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95773" w14:textId="77777777" w:rsidR="00641054" w:rsidRDefault="00735DB8">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526254F2" wp14:editId="2161B649">
                <wp:simplePos x="0" y="0"/>
                <wp:positionH relativeFrom="column">
                  <wp:posOffset>217805</wp:posOffset>
                </wp:positionH>
                <wp:positionV relativeFrom="paragraph">
                  <wp:posOffset>6682740</wp:posOffset>
                </wp:positionV>
                <wp:extent cx="6542405" cy="18929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26416" w14:textId="77777777" w:rsidR="00081119" w:rsidRPr="00902718" w:rsidRDefault="00081119" w:rsidP="009F0317">
                            <w:pPr>
                              <w:rPr>
                                <w:rFonts w:ascii="Corbel" w:hAnsi="Corbel"/>
                                <w:sz w:val="80"/>
                                <w:szCs w:val="80"/>
                              </w:rPr>
                            </w:pPr>
                            <w:r w:rsidRPr="00902718">
                              <w:rPr>
                                <w:rFonts w:ascii="Corbel" w:hAnsi="Corbel"/>
                                <w:sz w:val="80"/>
                                <w:szCs w:val="80"/>
                              </w:rPr>
                              <w:t>Statement of Accounts</w:t>
                            </w:r>
                          </w:p>
                          <w:p w14:paraId="7A166D8A" w14:textId="77777777" w:rsidR="00081119" w:rsidRPr="00902718" w:rsidRDefault="00081119" w:rsidP="009F0317">
                            <w:pPr>
                              <w:rPr>
                                <w:rFonts w:ascii="Corbel" w:hAnsi="Corbel"/>
                                <w:sz w:val="80"/>
                                <w:szCs w:val="80"/>
                              </w:rPr>
                            </w:pPr>
                            <w:r w:rsidRPr="00902718">
                              <w:rPr>
                                <w:rFonts w:ascii="Corbel" w:hAnsi="Corbel"/>
                                <w:sz w:val="80"/>
                                <w:szCs w:val="80"/>
                              </w:rPr>
                              <w:t>2014-15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254F2" id="_x0000_t202" coordsize="21600,21600" o:spt="202" path="m,l,21600r21600,l21600,xe">
                <v:stroke joinstyle="miter"/>
                <v:path gradientshapeok="t" o:connecttype="rect"/>
              </v:shapetype>
              <v:shape id="Text Box 4" o:spid="_x0000_s1026" type="#_x0000_t202" style="position:absolute;margin-left:17.15pt;margin-top:526.2pt;width:515.15pt;height:1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Z0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" filled="f" stroked="f">
                <v:textbox>
                  <w:txbxContent>
                    <w:p w14:paraId="3B926416" w14:textId="77777777" w:rsidR="00081119" w:rsidRPr="00902718" w:rsidRDefault="00081119" w:rsidP="009F0317">
                      <w:pPr>
                        <w:rPr>
                          <w:rFonts w:ascii="Corbel" w:hAnsi="Corbel"/>
                          <w:sz w:val="80"/>
                          <w:szCs w:val="80"/>
                        </w:rPr>
                      </w:pPr>
                      <w:r w:rsidRPr="00902718">
                        <w:rPr>
                          <w:rFonts w:ascii="Corbel" w:hAnsi="Corbel"/>
                          <w:sz w:val="80"/>
                          <w:szCs w:val="80"/>
                        </w:rPr>
                        <w:t>Statement of Accounts</w:t>
                      </w:r>
                    </w:p>
                    <w:p w14:paraId="7A166D8A" w14:textId="77777777" w:rsidR="00081119" w:rsidRPr="00902718" w:rsidRDefault="00081119" w:rsidP="009F0317">
                      <w:pPr>
                        <w:rPr>
                          <w:rFonts w:ascii="Corbel" w:hAnsi="Corbel"/>
                          <w:sz w:val="80"/>
                          <w:szCs w:val="80"/>
                        </w:rPr>
                      </w:pPr>
                      <w:r w:rsidRPr="00902718">
                        <w:rPr>
                          <w:rFonts w:ascii="Corbel" w:hAnsi="Corbel"/>
                          <w:sz w:val="80"/>
                          <w:szCs w:val="80"/>
                        </w:rPr>
                        <w:t>2014-15</w:t>
                      </w:r>
                    </w:p>
                  </w:txbxContent>
                </v:textbox>
              </v:shape>
            </w:pict>
          </mc:Fallback>
        </mc:AlternateContent>
      </w:r>
    </w:p>
    <w:p w14:paraId="153C8F20" w14:textId="77777777" w:rsidR="001218D1" w:rsidRPr="00902718" w:rsidRDefault="001218D1" w:rsidP="001218D1">
      <w:pPr>
        <w:pStyle w:val="Instructiontext"/>
        <w:jc w:val="center"/>
        <w:rPr>
          <w:b/>
          <w:i w:val="0"/>
          <w:color w:val="auto"/>
          <w:sz w:val="40"/>
          <w:szCs w:val="40"/>
        </w:rPr>
      </w:pPr>
      <w:bookmarkStart w:id="0" w:name="_Toc304199307"/>
      <w:r w:rsidRPr="00902718">
        <w:rPr>
          <w:b/>
          <w:i w:val="0"/>
          <w:color w:val="auto"/>
          <w:sz w:val="40"/>
          <w:szCs w:val="40"/>
        </w:rPr>
        <w:lastRenderedPageBreak/>
        <w:t>Lancashire County Council</w:t>
      </w:r>
    </w:p>
    <w:p w14:paraId="4F4B88E1" w14:textId="140844A9" w:rsidR="001218D1" w:rsidRPr="00902718" w:rsidRDefault="007323D0" w:rsidP="001218D1">
      <w:pPr>
        <w:pStyle w:val="Instructiontext"/>
        <w:jc w:val="center"/>
        <w:rPr>
          <w:b/>
          <w:i w:val="0"/>
          <w:color w:val="auto"/>
          <w:sz w:val="40"/>
          <w:szCs w:val="40"/>
        </w:rPr>
      </w:pPr>
      <w:r w:rsidRPr="00902718">
        <w:rPr>
          <w:b/>
          <w:i w:val="0"/>
          <w:color w:val="auto"/>
          <w:sz w:val="40"/>
          <w:szCs w:val="40"/>
        </w:rPr>
        <w:t xml:space="preserve">Draft </w:t>
      </w:r>
      <w:r w:rsidR="001218D1" w:rsidRPr="00902718">
        <w:rPr>
          <w:b/>
          <w:i w:val="0"/>
          <w:color w:val="auto"/>
          <w:sz w:val="40"/>
          <w:szCs w:val="40"/>
        </w:rPr>
        <w:t>Statement of Accounts 2014/15</w:t>
      </w:r>
    </w:p>
    <w:p w14:paraId="1FCEF9CE" w14:textId="77777777" w:rsidR="001218D1" w:rsidRDefault="001218D1" w:rsidP="00BD6097">
      <w:pPr>
        <w:pStyle w:val="Instructiontext"/>
        <w:rPr>
          <w:sz w:val="40"/>
          <w:szCs w:val="40"/>
        </w:rPr>
      </w:pPr>
    </w:p>
    <w:p w14:paraId="6252140C" w14:textId="608351D0" w:rsidR="00D104DA" w:rsidRDefault="00BD6097" w:rsidP="009F0317">
      <w:pPr>
        <w:pStyle w:val="Heading1"/>
      </w:pPr>
      <w:r w:rsidRPr="00BD6097">
        <w:t>Contents</w:t>
      </w:r>
    </w:p>
    <w:p w14:paraId="01D803C1" w14:textId="77777777" w:rsidR="001218D1" w:rsidRDefault="001218D1" w:rsidP="00BD6097">
      <w:pPr>
        <w:pStyle w:val="Instructiontext"/>
        <w:rPr>
          <w:sz w:val="40"/>
          <w:szCs w:val="40"/>
        </w:rPr>
      </w:pPr>
    </w:p>
    <w:tbl>
      <w:tblPr>
        <w:tblW w:w="10064" w:type="dxa"/>
        <w:tblInd w:w="392" w:type="dxa"/>
        <w:tblLook w:val="04A0" w:firstRow="1" w:lastRow="0" w:firstColumn="1" w:lastColumn="0" w:noHBand="0" w:noVBand="1"/>
      </w:tblPr>
      <w:tblGrid>
        <w:gridCol w:w="9157"/>
        <w:gridCol w:w="907"/>
      </w:tblGrid>
      <w:tr w:rsidR="00D104DA" w:rsidRPr="00747B0B" w14:paraId="5F0C92BE" w14:textId="77777777" w:rsidTr="00100442">
        <w:trPr>
          <w:trHeight w:val="510"/>
        </w:trPr>
        <w:tc>
          <w:tcPr>
            <w:tcW w:w="9157" w:type="dxa"/>
            <w:tcBorders>
              <w:top w:val="nil"/>
              <w:left w:val="nil"/>
              <w:bottom w:val="nil"/>
              <w:right w:val="nil"/>
            </w:tcBorders>
            <w:shd w:val="clear" w:color="auto" w:fill="auto"/>
            <w:vAlign w:val="center"/>
            <w:hideMark/>
          </w:tcPr>
          <w:p w14:paraId="5714AC19" w14:textId="77777777" w:rsidR="00D104DA" w:rsidRPr="009C1D66" w:rsidRDefault="00D104DA" w:rsidP="00100442">
            <w:pPr>
              <w:autoSpaceDE/>
              <w:autoSpaceDN/>
              <w:adjustRightInd/>
              <w:spacing w:after="0"/>
              <w:jc w:val="left"/>
              <w:rPr>
                <w:rFonts w:eastAsia="Times New Roman" w:cs="Arial"/>
                <w:b/>
                <w:bCs/>
                <w:lang w:eastAsia="en-GB"/>
              </w:rPr>
            </w:pPr>
            <w:r w:rsidRPr="009C1D66">
              <w:rPr>
                <w:rFonts w:eastAsia="Times New Roman" w:cs="Arial"/>
                <w:b/>
                <w:bCs/>
                <w:lang w:eastAsia="en-GB"/>
              </w:rPr>
              <w:t>Introduction</w:t>
            </w:r>
          </w:p>
        </w:tc>
        <w:tc>
          <w:tcPr>
            <w:tcW w:w="907" w:type="dxa"/>
            <w:tcBorders>
              <w:top w:val="nil"/>
              <w:left w:val="nil"/>
              <w:bottom w:val="nil"/>
              <w:right w:val="nil"/>
            </w:tcBorders>
            <w:shd w:val="clear" w:color="auto" w:fill="auto"/>
            <w:noWrap/>
            <w:vAlign w:val="center"/>
            <w:hideMark/>
          </w:tcPr>
          <w:p w14:paraId="4F1B22A2" w14:textId="77777777" w:rsidR="00D104DA" w:rsidRPr="009C1D66" w:rsidRDefault="00D104DA" w:rsidP="00100442">
            <w:pPr>
              <w:autoSpaceDE/>
              <w:autoSpaceDN/>
              <w:adjustRightInd/>
              <w:spacing w:after="0"/>
              <w:jc w:val="center"/>
              <w:rPr>
                <w:rFonts w:eastAsia="Times New Roman" w:cs="Arial"/>
                <w:b/>
                <w:lang w:eastAsia="en-GB"/>
              </w:rPr>
            </w:pPr>
            <w:r w:rsidRPr="009C1D66">
              <w:rPr>
                <w:rFonts w:eastAsia="Times New Roman" w:cs="Arial"/>
                <w:b/>
                <w:lang w:eastAsia="en-GB"/>
              </w:rPr>
              <w:t>1</w:t>
            </w:r>
          </w:p>
        </w:tc>
      </w:tr>
      <w:tr w:rsidR="00D104DA" w:rsidRPr="00747B0B" w14:paraId="7FD97A25" w14:textId="77777777" w:rsidTr="00100442">
        <w:trPr>
          <w:trHeight w:val="510"/>
        </w:trPr>
        <w:tc>
          <w:tcPr>
            <w:tcW w:w="9157" w:type="dxa"/>
            <w:tcBorders>
              <w:top w:val="nil"/>
              <w:left w:val="nil"/>
              <w:bottom w:val="nil"/>
              <w:right w:val="nil"/>
            </w:tcBorders>
            <w:shd w:val="clear" w:color="auto" w:fill="auto"/>
            <w:vAlign w:val="center"/>
            <w:hideMark/>
          </w:tcPr>
          <w:p w14:paraId="00666077" w14:textId="77777777" w:rsidR="00D104DA" w:rsidRPr="009C1D66" w:rsidRDefault="00D104DA" w:rsidP="00100442">
            <w:pPr>
              <w:autoSpaceDE/>
              <w:autoSpaceDN/>
              <w:adjustRightInd/>
              <w:spacing w:after="0"/>
              <w:jc w:val="left"/>
              <w:rPr>
                <w:rFonts w:eastAsia="Times New Roman" w:cs="Arial"/>
                <w:b/>
                <w:bCs/>
                <w:lang w:eastAsia="en-GB"/>
              </w:rPr>
            </w:pPr>
            <w:r w:rsidRPr="009C1D66">
              <w:rPr>
                <w:rFonts w:eastAsia="Times New Roman" w:cs="Arial"/>
                <w:b/>
                <w:bCs/>
                <w:lang w:eastAsia="en-GB"/>
              </w:rPr>
              <w:t>Independent Auditor's Report</w:t>
            </w:r>
          </w:p>
        </w:tc>
        <w:tc>
          <w:tcPr>
            <w:tcW w:w="907" w:type="dxa"/>
            <w:tcBorders>
              <w:top w:val="nil"/>
              <w:left w:val="nil"/>
              <w:bottom w:val="nil"/>
              <w:right w:val="nil"/>
            </w:tcBorders>
            <w:shd w:val="clear" w:color="auto" w:fill="auto"/>
            <w:noWrap/>
            <w:vAlign w:val="center"/>
            <w:hideMark/>
          </w:tcPr>
          <w:p w14:paraId="728F55BF" w14:textId="3342A5F4" w:rsidR="00D104DA" w:rsidRPr="009C1D66" w:rsidRDefault="00335342" w:rsidP="00100442">
            <w:pPr>
              <w:autoSpaceDE/>
              <w:autoSpaceDN/>
              <w:adjustRightInd/>
              <w:spacing w:after="0"/>
              <w:jc w:val="center"/>
              <w:rPr>
                <w:rFonts w:eastAsia="Times New Roman" w:cs="Arial"/>
                <w:b/>
                <w:lang w:eastAsia="en-GB"/>
              </w:rPr>
            </w:pPr>
            <w:r>
              <w:rPr>
                <w:rFonts w:eastAsia="Times New Roman" w:cs="Arial"/>
                <w:b/>
                <w:lang w:eastAsia="en-GB"/>
              </w:rPr>
              <w:t>7</w:t>
            </w:r>
          </w:p>
        </w:tc>
      </w:tr>
      <w:tr w:rsidR="00D104DA" w:rsidRPr="00747B0B" w14:paraId="59CD79E1" w14:textId="77777777" w:rsidTr="00100442">
        <w:trPr>
          <w:trHeight w:val="510"/>
        </w:trPr>
        <w:tc>
          <w:tcPr>
            <w:tcW w:w="9157" w:type="dxa"/>
            <w:tcBorders>
              <w:top w:val="nil"/>
              <w:left w:val="nil"/>
              <w:bottom w:val="nil"/>
              <w:right w:val="nil"/>
            </w:tcBorders>
            <w:shd w:val="clear" w:color="auto" w:fill="auto"/>
            <w:vAlign w:val="center"/>
            <w:hideMark/>
          </w:tcPr>
          <w:p w14:paraId="552FCC1C" w14:textId="77777777" w:rsidR="00D104DA" w:rsidRPr="009C1D66" w:rsidRDefault="00D104DA" w:rsidP="00100442">
            <w:pPr>
              <w:autoSpaceDE/>
              <w:autoSpaceDN/>
              <w:adjustRightInd/>
              <w:spacing w:after="0"/>
              <w:jc w:val="left"/>
              <w:rPr>
                <w:rFonts w:eastAsia="Times New Roman" w:cs="Arial"/>
                <w:b/>
                <w:bCs/>
                <w:lang w:eastAsia="en-GB"/>
              </w:rPr>
            </w:pPr>
            <w:r w:rsidRPr="009C1D66">
              <w:rPr>
                <w:rFonts w:eastAsia="Times New Roman" w:cs="Arial"/>
                <w:b/>
                <w:bCs/>
                <w:lang w:eastAsia="en-GB"/>
              </w:rPr>
              <w:t>Statement of Responsibilities</w:t>
            </w:r>
          </w:p>
        </w:tc>
        <w:tc>
          <w:tcPr>
            <w:tcW w:w="907" w:type="dxa"/>
            <w:tcBorders>
              <w:top w:val="nil"/>
              <w:left w:val="nil"/>
              <w:bottom w:val="nil"/>
              <w:right w:val="nil"/>
            </w:tcBorders>
            <w:shd w:val="clear" w:color="auto" w:fill="auto"/>
            <w:noWrap/>
            <w:vAlign w:val="center"/>
            <w:hideMark/>
          </w:tcPr>
          <w:p w14:paraId="25B632F4" w14:textId="1EE55B8F" w:rsidR="00D104DA" w:rsidRPr="009C1D66" w:rsidRDefault="00D104DA">
            <w:pPr>
              <w:autoSpaceDE/>
              <w:autoSpaceDN/>
              <w:adjustRightInd/>
              <w:spacing w:after="0"/>
              <w:jc w:val="center"/>
              <w:rPr>
                <w:rFonts w:eastAsia="Times New Roman" w:cs="Arial"/>
                <w:b/>
                <w:lang w:eastAsia="en-GB"/>
              </w:rPr>
            </w:pPr>
            <w:r w:rsidRPr="009C1D66">
              <w:rPr>
                <w:rFonts w:eastAsia="Times New Roman" w:cs="Arial"/>
                <w:b/>
                <w:lang w:eastAsia="en-GB"/>
              </w:rPr>
              <w:t>1</w:t>
            </w:r>
            <w:r w:rsidR="00335342">
              <w:rPr>
                <w:rFonts w:eastAsia="Times New Roman" w:cs="Arial"/>
                <w:b/>
                <w:lang w:eastAsia="en-GB"/>
              </w:rPr>
              <w:t>1</w:t>
            </w:r>
          </w:p>
        </w:tc>
      </w:tr>
      <w:tr w:rsidR="00D104DA" w:rsidRPr="00747B0B" w14:paraId="45BF0205" w14:textId="77777777" w:rsidTr="00100442">
        <w:trPr>
          <w:trHeight w:val="510"/>
        </w:trPr>
        <w:tc>
          <w:tcPr>
            <w:tcW w:w="9157" w:type="dxa"/>
            <w:tcBorders>
              <w:top w:val="nil"/>
              <w:left w:val="nil"/>
              <w:bottom w:val="nil"/>
              <w:right w:val="nil"/>
            </w:tcBorders>
            <w:shd w:val="clear" w:color="auto" w:fill="auto"/>
            <w:vAlign w:val="center"/>
            <w:hideMark/>
          </w:tcPr>
          <w:p w14:paraId="3AC99244" w14:textId="77777777" w:rsidR="00D104DA" w:rsidRPr="009C1D66" w:rsidRDefault="00D104DA" w:rsidP="00100442">
            <w:pPr>
              <w:autoSpaceDE/>
              <w:autoSpaceDN/>
              <w:adjustRightInd/>
              <w:spacing w:after="0"/>
              <w:jc w:val="left"/>
              <w:rPr>
                <w:rFonts w:eastAsia="Times New Roman" w:cs="Arial"/>
                <w:b/>
                <w:bCs/>
                <w:lang w:eastAsia="en-GB"/>
              </w:rPr>
            </w:pPr>
            <w:r w:rsidRPr="009C1D66">
              <w:rPr>
                <w:rFonts w:eastAsia="Times New Roman" w:cs="Arial"/>
                <w:b/>
                <w:bCs/>
                <w:lang w:eastAsia="en-GB"/>
              </w:rPr>
              <w:t>Annual Governance Statement</w:t>
            </w:r>
          </w:p>
        </w:tc>
        <w:tc>
          <w:tcPr>
            <w:tcW w:w="907" w:type="dxa"/>
            <w:tcBorders>
              <w:top w:val="nil"/>
              <w:left w:val="nil"/>
              <w:bottom w:val="nil"/>
              <w:right w:val="nil"/>
            </w:tcBorders>
            <w:shd w:val="clear" w:color="auto" w:fill="auto"/>
            <w:noWrap/>
            <w:vAlign w:val="center"/>
            <w:hideMark/>
          </w:tcPr>
          <w:p w14:paraId="61FD1943" w14:textId="5FF62F39" w:rsidR="00D104DA" w:rsidRPr="009C1D66" w:rsidRDefault="00D104DA">
            <w:pPr>
              <w:autoSpaceDE/>
              <w:autoSpaceDN/>
              <w:adjustRightInd/>
              <w:spacing w:after="0"/>
              <w:jc w:val="center"/>
              <w:rPr>
                <w:rFonts w:eastAsia="Times New Roman" w:cs="Arial"/>
                <w:b/>
                <w:lang w:eastAsia="en-GB"/>
              </w:rPr>
            </w:pPr>
            <w:r w:rsidRPr="009C1D66">
              <w:rPr>
                <w:rFonts w:eastAsia="Times New Roman" w:cs="Arial"/>
                <w:b/>
                <w:lang w:eastAsia="en-GB"/>
              </w:rPr>
              <w:t>1</w:t>
            </w:r>
            <w:r w:rsidR="00335342">
              <w:rPr>
                <w:rFonts w:eastAsia="Times New Roman" w:cs="Arial"/>
                <w:b/>
                <w:lang w:eastAsia="en-GB"/>
              </w:rPr>
              <w:t>2</w:t>
            </w:r>
          </w:p>
        </w:tc>
      </w:tr>
      <w:tr w:rsidR="00D104DA" w:rsidRPr="00747B0B" w14:paraId="73AB016C" w14:textId="77777777" w:rsidTr="00100442">
        <w:trPr>
          <w:trHeight w:val="510"/>
        </w:trPr>
        <w:tc>
          <w:tcPr>
            <w:tcW w:w="9157" w:type="dxa"/>
            <w:tcBorders>
              <w:top w:val="nil"/>
              <w:left w:val="nil"/>
              <w:bottom w:val="nil"/>
              <w:right w:val="nil"/>
            </w:tcBorders>
            <w:shd w:val="clear" w:color="auto" w:fill="auto"/>
            <w:vAlign w:val="center"/>
            <w:hideMark/>
          </w:tcPr>
          <w:p w14:paraId="4BBD5C1F" w14:textId="77777777" w:rsidR="00D104DA" w:rsidRPr="009C1D66" w:rsidRDefault="00194FAD" w:rsidP="00100442">
            <w:pPr>
              <w:autoSpaceDE/>
              <w:autoSpaceDN/>
              <w:adjustRightInd/>
              <w:spacing w:after="0"/>
              <w:jc w:val="left"/>
              <w:rPr>
                <w:rFonts w:eastAsia="Times New Roman" w:cs="Arial"/>
                <w:b/>
                <w:bCs/>
                <w:lang w:eastAsia="en-GB"/>
              </w:rPr>
            </w:pPr>
            <w:r w:rsidRPr="009C1D66">
              <w:rPr>
                <w:rFonts w:eastAsia="Times New Roman" w:cs="Arial"/>
                <w:b/>
                <w:bCs/>
                <w:lang w:eastAsia="en-GB"/>
              </w:rPr>
              <w:t>Financial statements:</w:t>
            </w:r>
          </w:p>
        </w:tc>
        <w:tc>
          <w:tcPr>
            <w:tcW w:w="907" w:type="dxa"/>
            <w:tcBorders>
              <w:top w:val="nil"/>
              <w:left w:val="nil"/>
              <w:bottom w:val="nil"/>
              <w:right w:val="nil"/>
            </w:tcBorders>
            <w:shd w:val="clear" w:color="auto" w:fill="auto"/>
            <w:noWrap/>
            <w:vAlign w:val="center"/>
            <w:hideMark/>
          </w:tcPr>
          <w:p w14:paraId="3A83F717" w14:textId="77777777" w:rsidR="00D104DA" w:rsidRPr="009C1D66" w:rsidRDefault="00D104DA" w:rsidP="00100442">
            <w:pPr>
              <w:autoSpaceDE/>
              <w:autoSpaceDN/>
              <w:adjustRightInd/>
              <w:spacing w:after="0"/>
              <w:jc w:val="center"/>
              <w:rPr>
                <w:rFonts w:eastAsia="Times New Roman" w:cs="Arial"/>
                <w:b/>
                <w:lang w:eastAsia="en-GB"/>
              </w:rPr>
            </w:pPr>
          </w:p>
        </w:tc>
      </w:tr>
      <w:tr w:rsidR="00D104DA" w:rsidRPr="00747B0B" w14:paraId="7E682FD5" w14:textId="77777777" w:rsidTr="00100442">
        <w:trPr>
          <w:trHeight w:val="510"/>
        </w:trPr>
        <w:tc>
          <w:tcPr>
            <w:tcW w:w="9157" w:type="dxa"/>
            <w:tcBorders>
              <w:top w:val="nil"/>
              <w:left w:val="nil"/>
              <w:bottom w:val="nil"/>
              <w:right w:val="nil"/>
            </w:tcBorders>
            <w:shd w:val="clear" w:color="auto" w:fill="auto"/>
            <w:vAlign w:val="center"/>
            <w:hideMark/>
          </w:tcPr>
          <w:p w14:paraId="026284CC" w14:textId="77777777" w:rsidR="00D104DA" w:rsidRPr="009C1D66" w:rsidRDefault="00D104DA" w:rsidP="00100442">
            <w:pPr>
              <w:autoSpaceDE/>
              <w:autoSpaceDN/>
              <w:adjustRightInd/>
              <w:spacing w:after="0"/>
              <w:jc w:val="left"/>
              <w:rPr>
                <w:rFonts w:eastAsia="Times New Roman" w:cs="Arial"/>
                <w:b/>
                <w:bCs/>
                <w:lang w:eastAsia="en-GB"/>
              </w:rPr>
            </w:pPr>
            <w:r w:rsidRPr="009C1D66">
              <w:rPr>
                <w:rFonts w:eastAsia="Times New Roman" w:cs="Arial"/>
                <w:b/>
                <w:bCs/>
                <w:lang w:eastAsia="en-GB"/>
              </w:rPr>
              <w:t>Movement in Reserves Statement</w:t>
            </w:r>
          </w:p>
        </w:tc>
        <w:tc>
          <w:tcPr>
            <w:tcW w:w="907" w:type="dxa"/>
            <w:tcBorders>
              <w:top w:val="nil"/>
              <w:left w:val="nil"/>
              <w:bottom w:val="nil"/>
              <w:right w:val="nil"/>
            </w:tcBorders>
            <w:shd w:val="clear" w:color="auto" w:fill="auto"/>
            <w:noWrap/>
            <w:vAlign w:val="center"/>
            <w:hideMark/>
          </w:tcPr>
          <w:p w14:paraId="188D43A1" w14:textId="4DCD6D34" w:rsidR="00D104DA" w:rsidRPr="009C1D66" w:rsidRDefault="00335342">
            <w:pPr>
              <w:autoSpaceDE/>
              <w:autoSpaceDN/>
              <w:adjustRightInd/>
              <w:spacing w:after="0"/>
              <w:jc w:val="center"/>
              <w:rPr>
                <w:rFonts w:eastAsia="Times New Roman" w:cs="Arial"/>
                <w:b/>
                <w:lang w:eastAsia="en-GB"/>
              </w:rPr>
            </w:pPr>
            <w:r>
              <w:rPr>
                <w:rFonts w:eastAsia="Times New Roman" w:cs="Arial"/>
                <w:b/>
                <w:lang w:eastAsia="en-GB"/>
              </w:rPr>
              <w:t>30</w:t>
            </w:r>
          </w:p>
        </w:tc>
      </w:tr>
      <w:tr w:rsidR="00D104DA" w:rsidRPr="00747B0B" w14:paraId="423323DB" w14:textId="77777777" w:rsidTr="00100442">
        <w:trPr>
          <w:trHeight w:val="510"/>
        </w:trPr>
        <w:tc>
          <w:tcPr>
            <w:tcW w:w="9157" w:type="dxa"/>
            <w:tcBorders>
              <w:top w:val="nil"/>
              <w:left w:val="nil"/>
              <w:bottom w:val="nil"/>
              <w:right w:val="nil"/>
            </w:tcBorders>
            <w:shd w:val="clear" w:color="auto" w:fill="auto"/>
            <w:vAlign w:val="center"/>
            <w:hideMark/>
          </w:tcPr>
          <w:p w14:paraId="7E0005FF" w14:textId="77777777" w:rsidR="00D104DA" w:rsidRPr="009C1D66" w:rsidRDefault="00D104DA" w:rsidP="00100442">
            <w:pPr>
              <w:autoSpaceDE/>
              <w:autoSpaceDN/>
              <w:adjustRightInd/>
              <w:spacing w:after="0"/>
              <w:jc w:val="left"/>
              <w:rPr>
                <w:rFonts w:eastAsia="Times New Roman" w:cs="Arial"/>
                <w:b/>
                <w:bCs/>
                <w:lang w:eastAsia="en-GB"/>
              </w:rPr>
            </w:pPr>
            <w:r w:rsidRPr="009C1D66">
              <w:rPr>
                <w:rFonts w:eastAsia="Times New Roman" w:cs="Arial"/>
                <w:b/>
                <w:bCs/>
                <w:lang w:eastAsia="en-GB"/>
              </w:rPr>
              <w:t>Comprehensive Income and Expenditure Statement</w:t>
            </w:r>
          </w:p>
        </w:tc>
        <w:tc>
          <w:tcPr>
            <w:tcW w:w="907" w:type="dxa"/>
            <w:tcBorders>
              <w:top w:val="nil"/>
              <w:left w:val="nil"/>
              <w:bottom w:val="nil"/>
              <w:right w:val="nil"/>
            </w:tcBorders>
            <w:shd w:val="clear" w:color="auto" w:fill="auto"/>
            <w:noWrap/>
            <w:vAlign w:val="center"/>
            <w:hideMark/>
          </w:tcPr>
          <w:p w14:paraId="61F2FF25" w14:textId="5CE3527C" w:rsidR="00D104DA" w:rsidRPr="009C1D66" w:rsidRDefault="0059059D">
            <w:pPr>
              <w:autoSpaceDE/>
              <w:autoSpaceDN/>
              <w:adjustRightInd/>
              <w:spacing w:after="0"/>
              <w:jc w:val="center"/>
              <w:rPr>
                <w:rFonts w:eastAsia="Times New Roman" w:cs="Arial"/>
                <w:b/>
                <w:lang w:eastAsia="en-GB"/>
              </w:rPr>
            </w:pPr>
            <w:r>
              <w:rPr>
                <w:rFonts w:eastAsia="Times New Roman" w:cs="Arial"/>
                <w:b/>
                <w:lang w:eastAsia="en-GB"/>
              </w:rPr>
              <w:t>3</w:t>
            </w:r>
            <w:r w:rsidR="00335342">
              <w:rPr>
                <w:rFonts w:eastAsia="Times New Roman" w:cs="Arial"/>
                <w:b/>
                <w:lang w:eastAsia="en-GB"/>
              </w:rPr>
              <w:t>3</w:t>
            </w:r>
          </w:p>
        </w:tc>
      </w:tr>
      <w:tr w:rsidR="00D104DA" w:rsidRPr="00747B0B" w14:paraId="70AFEF9F" w14:textId="77777777" w:rsidTr="00100442">
        <w:trPr>
          <w:trHeight w:val="510"/>
        </w:trPr>
        <w:tc>
          <w:tcPr>
            <w:tcW w:w="9157" w:type="dxa"/>
            <w:tcBorders>
              <w:top w:val="nil"/>
              <w:left w:val="nil"/>
              <w:bottom w:val="nil"/>
              <w:right w:val="nil"/>
            </w:tcBorders>
            <w:shd w:val="clear" w:color="auto" w:fill="auto"/>
            <w:vAlign w:val="center"/>
            <w:hideMark/>
          </w:tcPr>
          <w:p w14:paraId="3EF3543D" w14:textId="77777777" w:rsidR="00D104DA" w:rsidRPr="009C1D66" w:rsidRDefault="00D104DA" w:rsidP="00100442">
            <w:pPr>
              <w:autoSpaceDE/>
              <w:autoSpaceDN/>
              <w:adjustRightInd/>
              <w:spacing w:after="0"/>
              <w:jc w:val="left"/>
              <w:rPr>
                <w:rFonts w:eastAsia="Times New Roman" w:cs="Arial"/>
                <w:b/>
                <w:bCs/>
                <w:lang w:eastAsia="en-GB"/>
              </w:rPr>
            </w:pPr>
            <w:r w:rsidRPr="009C1D66">
              <w:rPr>
                <w:rFonts w:eastAsia="Times New Roman" w:cs="Arial"/>
                <w:b/>
                <w:bCs/>
                <w:lang w:eastAsia="en-GB"/>
              </w:rPr>
              <w:t>Balance Sheet</w:t>
            </w:r>
          </w:p>
        </w:tc>
        <w:tc>
          <w:tcPr>
            <w:tcW w:w="907" w:type="dxa"/>
            <w:tcBorders>
              <w:top w:val="nil"/>
              <w:left w:val="nil"/>
              <w:bottom w:val="nil"/>
              <w:right w:val="nil"/>
            </w:tcBorders>
            <w:shd w:val="clear" w:color="auto" w:fill="auto"/>
            <w:noWrap/>
            <w:vAlign w:val="center"/>
            <w:hideMark/>
          </w:tcPr>
          <w:p w14:paraId="17F36D2C" w14:textId="17E053CA" w:rsidR="00D104DA" w:rsidRPr="009C1D66" w:rsidRDefault="0059059D">
            <w:pPr>
              <w:autoSpaceDE/>
              <w:autoSpaceDN/>
              <w:adjustRightInd/>
              <w:spacing w:after="0"/>
              <w:jc w:val="center"/>
              <w:rPr>
                <w:rFonts w:eastAsia="Times New Roman" w:cs="Arial"/>
                <w:b/>
                <w:color w:val="auto"/>
                <w:lang w:eastAsia="en-GB"/>
              </w:rPr>
            </w:pPr>
            <w:r>
              <w:rPr>
                <w:rFonts w:eastAsia="Times New Roman" w:cs="Arial"/>
                <w:b/>
                <w:color w:val="auto"/>
                <w:lang w:eastAsia="en-GB"/>
              </w:rPr>
              <w:t>3</w:t>
            </w:r>
            <w:r w:rsidR="00335342">
              <w:rPr>
                <w:rFonts w:eastAsia="Times New Roman" w:cs="Arial"/>
                <w:b/>
                <w:color w:val="auto"/>
                <w:lang w:eastAsia="en-GB"/>
              </w:rPr>
              <w:t>5</w:t>
            </w:r>
          </w:p>
        </w:tc>
      </w:tr>
      <w:tr w:rsidR="00D104DA" w:rsidRPr="00747B0B" w14:paraId="34C86FFD" w14:textId="77777777" w:rsidTr="00100442">
        <w:trPr>
          <w:trHeight w:val="510"/>
        </w:trPr>
        <w:tc>
          <w:tcPr>
            <w:tcW w:w="9157" w:type="dxa"/>
            <w:tcBorders>
              <w:top w:val="nil"/>
              <w:left w:val="nil"/>
              <w:bottom w:val="nil"/>
              <w:right w:val="nil"/>
            </w:tcBorders>
            <w:shd w:val="clear" w:color="auto" w:fill="auto"/>
            <w:vAlign w:val="center"/>
            <w:hideMark/>
          </w:tcPr>
          <w:p w14:paraId="2888A145" w14:textId="77777777" w:rsidR="00D104DA" w:rsidRPr="009C1D66" w:rsidRDefault="00D104DA" w:rsidP="00100442">
            <w:pPr>
              <w:autoSpaceDE/>
              <w:autoSpaceDN/>
              <w:adjustRightInd/>
              <w:spacing w:after="0"/>
              <w:jc w:val="left"/>
              <w:rPr>
                <w:rFonts w:eastAsia="Times New Roman" w:cs="Arial"/>
                <w:b/>
                <w:bCs/>
                <w:lang w:eastAsia="en-GB"/>
              </w:rPr>
            </w:pPr>
            <w:r w:rsidRPr="009C1D66">
              <w:rPr>
                <w:rFonts w:eastAsia="Times New Roman" w:cs="Arial"/>
                <w:b/>
                <w:bCs/>
                <w:lang w:eastAsia="en-GB"/>
              </w:rPr>
              <w:t>Cash Flow Statement</w:t>
            </w:r>
          </w:p>
        </w:tc>
        <w:tc>
          <w:tcPr>
            <w:tcW w:w="907" w:type="dxa"/>
            <w:tcBorders>
              <w:top w:val="nil"/>
              <w:left w:val="nil"/>
              <w:bottom w:val="nil"/>
              <w:right w:val="nil"/>
            </w:tcBorders>
            <w:shd w:val="clear" w:color="auto" w:fill="auto"/>
            <w:noWrap/>
            <w:vAlign w:val="center"/>
            <w:hideMark/>
          </w:tcPr>
          <w:p w14:paraId="1C9FAD4F" w14:textId="13FB1FB6" w:rsidR="00D104DA" w:rsidRPr="009C1D66" w:rsidRDefault="0059059D">
            <w:pPr>
              <w:autoSpaceDE/>
              <w:autoSpaceDN/>
              <w:adjustRightInd/>
              <w:spacing w:after="0"/>
              <w:jc w:val="center"/>
              <w:rPr>
                <w:rFonts w:eastAsia="Times New Roman" w:cs="Arial"/>
                <w:b/>
                <w:lang w:eastAsia="en-GB"/>
              </w:rPr>
            </w:pPr>
            <w:r>
              <w:rPr>
                <w:rFonts w:eastAsia="Times New Roman" w:cs="Arial"/>
                <w:b/>
                <w:lang w:eastAsia="en-GB"/>
              </w:rPr>
              <w:t>3</w:t>
            </w:r>
            <w:r w:rsidR="00335342">
              <w:rPr>
                <w:rFonts w:eastAsia="Times New Roman" w:cs="Arial"/>
                <w:b/>
                <w:lang w:eastAsia="en-GB"/>
              </w:rPr>
              <w:t>7</w:t>
            </w:r>
          </w:p>
        </w:tc>
      </w:tr>
      <w:tr w:rsidR="00D104DA" w:rsidRPr="00747B0B" w14:paraId="79A2E626" w14:textId="77777777" w:rsidTr="00100442">
        <w:trPr>
          <w:trHeight w:val="510"/>
        </w:trPr>
        <w:tc>
          <w:tcPr>
            <w:tcW w:w="9157" w:type="dxa"/>
            <w:tcBorders>
              <w:top w:val="nil"/>
              <w:left w:val="nil"/>
              <w:bottom w:val="nil"/>
              <w:right w:val="nil"/>
            </w:tcBorders>
            <w:shd w:val="clear" w:color="auto" w:fill="auto"/>
            <w:vAlign w:val="center"/>
            <w:hideMark/>
          </w:tcPr>
          <w:p w14:paraId="087D10E9" w14:textId="77777777" w:rsidR="00D104DA" w:rsidRPr="009C1D66" w:rsidRDefault="00D104DA" w:rsidP="00100442">
            <w:pPr>
              <w:autoSpaceDE/>
              <w:autoSpaceDN/>
              <w:adjustRightInd/>
              <w:spacing w:after="0"/>
              <w:jc w:val="left"/>
              <w:rPr>
                <w:rFonts w:eastAsia="Times New Roman" w:cs="Arial"/>
                <w:b/>
                <w:bCs/>
                <w:lang w:eastAsia="en-GB"/>
              </w:rPr>
            </w:pPr>
            <w:r w:rsidRPr="009C1D66">
              <w:rPr>
                <w:rFonts w:eastAsia="Times New Roman" w:cs="Arial"/>
                <w:b/>
                <w:bCs/>
                <w:lang w:eastAsia="en-GB"/>
              </w:rPr>
              <w:t>Not</w:t>
            </w:r>
            <w:r w:rsidR="00194FAD" w:rsidRPr="009C1D66">
              <w:rPr>
                <w:rFonts w:eastAsia="Times New Roman" w:cs="Arial"/>
                <w:b/>
                <w:bCs/>
                <w:lang w:eastAsia="en-GB"/>
              </w:rPr>
              <w:t>es to the Financial Statements:</w:t>
            </w:r>
          </w:p>
        </w:tc>
        <w:tc>
          <w:tcPr>
            <w:tcW w:w="907" w:type="dxa"/>
            <w:tcBorders>
              <w:top w:val="nil"/>
              <w:left w:val="nil"/>
              <w:bottom w:val="nil"/>
              <w:right w:val="nil"/>
            </w:tcBorders>
            <w:shd w:val="clear" w:color="auto" w:fill="auto"/>
            <w:noWrap/>
            <w:vAlign w:val="center"/>
            <w:hideMark/>
          </w:tcPr>
          <w:p w14:paraId="40FE5F82" w14:textId="77777777" w:rsidR="00D104DA" w:rsidRPr="009C1D66" w:rsidRDefault="00D104DA" w:rsidP="00100442">
            <w:pPr>
              <w:autoSpaceDE/>
              <w:autoSpaceDN/>
              <w:adjustRightInd/>
              <w:spacing w:after="0"/>
              <w:jc w:val="center"/>
              <w:rPr>
                <w:rFonts w:eastAsia="Times New Roman" w:cs="Arial"/>
                <w:lang w:eastAsia="en-GB"/>
              </w:rPr>
            </w:pPr>
          </w:p>
        </w:tc>
      </w:tr>
      <w:tr w:rsidR="00D104DA" w:rsidRPr="00747B0B" w14:paraId="3D3C61DE" w14:textId="77777777" w:rsidTr="00100442">
        <w:trPr>
          <w:trHeight w:val="454"/>
        </w:trPr>
        <w:tc>
          <w:tcPr>
            <w:tcW w:w="9157" w:type="dxa"/>
            <w:tcBorders>
              <w:top w:val="nil"/>
              <w:left w:val="nil"/>
              <w:bottom w:val="nil"/>
              <w:right w:val="nil"/>
            </w:tcBorders>
            <w:shd w:val="clear" w:color="auto" w:fill="auto"/>
            <w:vAlign w:val="center"/>
            <w:hideMark/>
          </w:tcPr>
          <w:p w14:paraId="79643D88" w14:textId="2F04FFA9" w:rsidR="00D104DA" w:rsidRPr="009C1D66" w:rsidRDefault="00E25972"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Accounting policies</w:t>
            </w:r>
          </w:p>
        </w:tc>
        <w:tc>
          <w:tcPr>
            <w:tcW w:w="907" w:type="dxa"/>
            <w:tcBorders>
              <w:top w:val="nil"/>
              <w:left w:val="nil"/>
              <w:bottom w:val="nil"/>
              <w:right w:val="nil"/>
            </w:tcBorders>
            <w:shd w:val="clear" w:color="auto" w:fill="auto"/>
            <w:noWrap/>
            <w:vAlign w:val="center"/>
            <w:hideMark/>
          </w:tcPr>
          <w:p w14:paraId="159982D2" w14:textId="23FC4CDB" w:rsidR="00D104DA" w:rsidRPr="009C1D66" w:rsidRDefault="0059059D">
            <w:pPr>
              <w:autoSpaceDE/>
              <w:autoSpaceDN/>
              <w:adjustRightInd/>
              <w:spacing w:after="0"/>
              <w:jc w:val="center"/>
              <w:rPr>
                <w:rFonts w:eastAsia="Times New Roman" w:cs="Arial"/>
                <w:color w:val="auto"/>
                <w:lang w:eastAsia="en-GB"/>
              </w:rPr>
            </w:pPr>
            <w:r>
              <w:rPr>
                <w:rFonts w:eastAsia="Times New Roman" w:cs="Arial"/>
                <w:color w:val="auto"/>
                <w:lang w:eastAsia="en-GB"/>
              </w:rPr>
              <w:t>3</w:t>
            </w:r>
            <w:r w:rsidR="00335342">
              <w:rPr>
                <w:rFonts w:eastAsia="Times New Roman" w:cs="Arial"/>
                <w:color w:val="auto"/>
                <w:lang w:eastAsia="en-GB"/>
              </w:rPr>
              <w:t>8</w:t>
            </w:r>
          </w:p>
        </w:tc>
      </w:tr>
      <w:tr w:rsidR="00D104DA" w:rsidRPr="00747B0B" w14:paraId="1CE80DE3" w14:textId="77777777" w:rsidTr="00100442">
        <w:trPr>
          <w:trHeight w:val="454"/>
        </w:trPr>
        <w:tc>
          <w:tcPr>
            <w:tcW w:w="9157" w:type="dxa"/>
            <w:tcBorders>
              <w:top w:val="nil"/>
              <w:left w:val="nil"/>
              <w:bottom w:val="nil"/>
              <w:right w:val="nil"/>
            </w:tcBorders>
            <w:shd w:val="clear" w:color="auto" w:fill="auto"/>
            <w:vAlign w:val="center"/>
            <w:hideMark/>
          </w:tcPr>
          <w:p w14:paraId="50836899" w14:textId="6DD0CD62" w:rsidR="00D104DA" w:rsidRPr="009C1D66" w:rsidRDefault="00E25972"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 xml:space="preserve">Critical judgements in applying accounting policies </w:t>
            </w:r>
          </w:p>
        </w:tc>
        <w:tc>
          <w:tcPr>
            <w:tcW w:w="907" w:type="dxa"/>
            <w:tcBorders>
              <w:top w:val="nil"/>
              <w:left w:val="nil"/>
              <w:bottom w:val="nil"/>
              <w:right w:val="nil"/>
            </w:tcBorders>
            <w:shd w:val="clear" w:color="auto" w:fill="auto"/>
            <w:noWrap/>
            <w:vAlign w:val="center"/>
            <w:hideMark/>
          </w:tcPr>
          <w:p w14:paraId="5C50A573" w14:textId="211D28D4" w:rsidR="00D104DA" w:rsidRPr="009C1D66" w:rsidRDefault="0059059D">
            <w:pPr>
              <w:autoSpaceDE/>
              <w:autoSpaceDN/>
              <w:adjustRightInd/>
              <w:spacing w:after="0"/>
              <w:jc w:val="center"/>
              <w:rPr>
                <w:rFonts w:eastAsia="Times New Roman" w:cs="Arial"/>
                <w:color w:val="auto"/>
                <w:lang w:eastAsia="en-GB"/>
              </w:rPr>
            </w:pPr>
            <w:r>
              <w:rPr>
                <w:rFonts w:eastAsia="Times New Roman" w:cs="Arial"/>
                <w:color w:val="auto"/>
                <w:lang w:eastAsia="en-GB"/>
              </w:rPr>
              <w:t>5</w:t>
            </w:r>
            <w:r w:rsidR="00335342">
              <w:rPr>
                <w:rFonts w:eastAsia="Times New Roman" w:cs="Arial"/>
                <w:color w:val="auto"/>
                <w:lang w:eastAsia="en-GB"/>
              </w:rPr>
              <w:t>3</w:t>
            </w:r>
          </w:p>
        </w:tc>
      </w:tr>
      <w:tr w:rsidR="00D104DA" w:rsidRPr="00747B0B" w14:paraId="4805305B" w14:textId="77777777" w:rsidTr="00100442">
        <w:trPr>
          <w:trHeight w:val="454"/>
        </w:trPr>
        <w:tc>
          <w:tcPr>
            <w:tcW w:w="9157" w:type="dxa"/>
            <w:tcBorders>
              <w:top w:val="nil"/>
              <w:left w:val="nil"/>
              <w:bottom w:val="nil"/>
              <w:right w:val="nil"/>
            </w:tcBorders>
            <w:shd w:val="clear" w:color="auto" w:fill="auto"/>
            <w:vAlign w:val="center"/>
            <w:hideMark/>
          </w:tcPr>
          <w:p w14:paraId="0D698087" w14:textId="7E642461" w:rsidR="00D104DA" w:rsidRPr="009C1D66" w:rsidRDefault="00E25972"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Accounting standards that have been issued but not yet adopted</w:t>
            </w:r>
          </w:p>
        </w:tc>
        <w:tc>
          <w:tcPr>
            <w:tcW w:w="907" w:type="dxa"/>
            <w:tcBorders>
              <w:top w:val="nil"/>
              <w:left w:val="nil"/>
              <w:bottom w:val="nil"/>
              <w:right w:val="nil"/>
            </w:tcBorders>
            <w:shd w:val="clear" w:color="auto" w:fill="auto"/>
            <w:noWrap/>
            <w:vAlign w:val="center"/>
            <w:hideMark/>
          </w:tcPr>
          <w:p w14:paraId="23748453" w14:textId="76B41A7D" w:rsidR="00D104DA" w:rsidRPr="009C1D66" w:rsidRDefault="0059059D">
            <w:pPr>
              <w:autoSpaceDE/>
              <w:autoSpaceDN/>
              <w:adjustRightInd/>
              <w:spacing w:after="0"/>
              <w:jc w:val="center"/>
              <w:rPr>
                <w:rFonts w:eastAsia="Times New Roman" w:cs="Arial"/>
                <w:color w:val="auto"/>
                <w:lang w:eastAsia="en-GB"/>
              </w:rPr>
            </w:pPr>
            <w:r>
              <w:rPr>
                <w:rFonts w:eastAsia="Times New Roman" w:cs="Arial"/>
                <w:color w:val="auto"/>
                <w:lang w:eastAsia="en-GB"/>
              </w:rPr>
              <w:t>5</w:t>
            </w:r>
            <w:r w:rsidR="00335342">
              <w:rPr>
                <w:rFonts w:eastAsia="Times New Roman" w:cs="Arial"/>
                <w:color w:val="auto"/>
                <w:lang w:eastAsia="en-GB"/>
              </w:rPr>
              <w:t>5</w:t>
            </w:r>
          </w:p>
        </w:tc>
      </w:tr>
      <w:tr w:rsidR="00D104DA" w:rsidRPr="00747B0B" w14:paraId="60F3FFE8" w14:textId="77777777" w:rsidTr="00100442">
        <w:trPr>
          <w:trHeight w:val="454"/>
        </w:trPr>
        <w:tc>
          <w:tcPr>
            <w:tcW w:w="9157" w:type="dxa"/>
            <w:tcBorders>
              <w:top w:val="nil"/>
              <w:left w:val="nil"/>
              <w:bottom w:val="nil"/>
              <w:right w:val="nil"/>
            </w:tcBorders>
            <w:shd w:val="clear" w:color="auto" w:fill="auto"/>
            <w:vAlign w:val="center"/>
            <w:hideMark/>
          </w:tcPr>
          <w:p w14:paraId="0A1CE27C" w14:textId="62D4A023" w:rsidR="00D104DA" w:rsidRPr="009C1D66" w:rsidRDefault="00E25972"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lastRenderedPageBreak/>
              <w:t xml:space="preserve"> </w:t>
            </w:r>
            <w:r w:rsidR="00D104DA" w:rsidRPr="009C1D66">
              <w:rPr>
                <w:rFonts w:eastAsia="Times New Roman" w:cs="Arial"/>
                <w:lang w:eastAsia="en-GB"/>
              </w:rPr>
              <w:t xml:space="preserve">Assumptions made about the future and other major sources </w:t>
            </w:r>
          </w:p>
          <w:p w14:paraId="11297735" w14:textId="77777777" w:rsidR="00D104DA" w:rsidRPr="009C1D66" w:rsidRDefault="00D104DA" w:rsidP="00A06955">
            <w:pPr>
              <w:pStyle w:val="ListParagraph"/>
              <w:autoSpaceDE/>
              <w:autoSpaceDN/>
              <w:adjustRightInd/>
              <w:spacing w:after="0"/>
              <w:ind w:left="1060" w:hanging="284"/>
              <w:jc w:val="left"/>
              <w:rPr>
                <w:rFonts w:eastAsia="Times New Roman" w:cs="Arial"/>
                <w:lang w:eastAsia="en-GB"/>
              </w:rPr>
            </w:pPr>
            <w:r w:rsidRPr="009C1D66">
              <w:rPr>
                <w:rFonts w:eastAsia="Times New Roman" w:cs="Arial"/>
                <w:lang w:eastAsia="en-GB"/>
              </w:rPr>
              <w:t>of estimation uncertainty</w:t>
            </w:r>
          </w:p>
        </w:tc>
        <w:tc>
          <w:tcPr>
            <w:tcW w:w="907" w:type="dxa"/>
            <w:tcBorders>
              <w:top w:val="nil"/>
              <w:left w:val="nil"/>
              <w:bottom w:val="nil"/>
              <w:right w:val="nil"/>
            </w:tcBorders>
            <w:shd w:val="clear" w:color="auto" w:fill="auto"/>
            <w:noWrap/>
            <w:vAlign w:val="center"/>
            <w:hideMark/>
          </w:tcPr>
          <w:p w14:paraId="7ECEDCA7" w14:textId="76692691" w:rsidR="00D104DA" w:rsidRPr="009C1D66" w:rsidRDefault="0059059D">
            <w:pPr>
              <w:autoSpaceDE/>
              <w:autoSpaceDN/>
              <w:adjustRightInd/>
              <w:spacing w:after="0"/>
              <w:jc w:val="center"/>
              <w:rPr>
                <w:rFonts w:eastAsia="Times New Roman" w:cs="Arial"/>
                <w:color w:val="auto"/>
                <w:lang w:eastAsia="en-GB"/>
              </w:rPr>
            </w:pPr>
            <w:r>
              <w:rPr>
                <w:rFonts w:eastAsia="Times New Roman" w:cs="Arial"/>
                <w:color w:val="auto"/>
                <w:lang w:eastAsia="en-GB"/>
              </w:rPr>
              <w:t>5</w:t>
            </w:r>
            <w:r w:rsidR="00335342">
              <w:rPr>
                <w:rFonts w:eastAsia="Times New Roman" w:cs="Arial"/>
                <w:color w:val="auto"/>
                <w:lang w:eastAsia="en-GB"/>
              </w:rPr>
              <w:t>5</w:t>
            </w:r>
          </w:p>
        </w:tc>
      </w:tr>
      <w:tr w:rsidR="00D104DA" w:rsidRPr="00747B0B" w14:paraId="1EA11F21" w14:textId="77777777" w:rsidTr="00100442">
        <w:trPr>
          <w:trHeight w:val="454"/>
        </w:trPr>
        <w:tc>
          <w:tcPr>
            <w:tcW w:w="9157" w:type="dxa"/>
            <w:tcBorders>
              <w:top w:val="nil"/>
              <w:left w:val="nil"/>
              <w:bottom w:val="nil"/>
              <w:right w:val="nil"/>
            </w:tcBorders>
            <w:shd w:val="clear" w:color="auto" w:fill="auto"/>
            <w:vAlign w:val="center"/>
            <w:hideMark/>
          </w:tcPr>
          <w:p w14:paraId="0BAD5042" w14:textId="15395B89" w:rsidR="00D104DA" w:rsidRPr="009C1D66" w:rsidRDefault="00E25972"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A2F2B" w:rsidRPr="009C1D66">
              <w:rPr>
                <w:rFonts w:eastAsia="Times New Roman" w:cs="Arial"/>
                <w:lang w:eastAsia="en-GB"/>
              </w:rPr>
              <w:t>Minimum Revenue Provision</w:t>
            </w:r>
          </w:p>
        </w:tc>
        <w:tc>
          <w:tcPr>
            <w:tcW w:w="907" w:type="dxa"/>
            <w:tcBorders>
              <w:top w:val="nil"/>
              <w:left w:val="nil"/>
              <w:bottom w:val="nil"/>
              <w:right w:val="nil"/>
            </w:tcBorders>
            <w:shd w:val="clear" w:color="auto" w:fill="auto"/>
            <w:noWrap/>
            <w:vAlign w:val="center"/>
            <w:hideMark/>
          </w:tcPr>
          <w:p w14:paraId="12ECB9D0" w14:textId="3AF97DF0" w:rsidR="00D104DA" w:rsidRPr="009C1D66" w:rsidRDefault="0059059D">
            <w:pPr>
              <w:autoSpaceDE/>
              <w:autoSpaceDN/>
              <w:adjustRightInd/>
              <w:spacing w:after="0"/>
              <w:jc w:val="center"/>
              <w:rPr>
                <w:rFonts w:eastAsia="Times New Roman" w:cs="Arial"/>
                <w:color w:val="auto"/>
                <w:lang w:eastAsia="en-GB"/>
              </w:rPr>
            </w:pPr>
            <w:r>
              <w:rPr>
                <w:rFonts w:eastAsia="Times New Roman" w:cs="Arial"/>
                <w:color w:val="auto"/>
                <w:lang w:eastAsia="en-GB"/>
              </w:rPr>
              <w:t>5</w:t>
            </w:r>
            <w:r w:rsidR="00335342">
              <w:rPr>
                <w:rFonts w:eastAsia="Times New Roman" w:cs="Arial"/>
                <w:color w:val="auto"/>
                <w:lang w:eastAsia="en-GB"/>
              </w:rPr>
              <w:t>5</w:t>
            </w:r>
          </w:p>
        </w:tc>
      </w:tr>
      <w:tr w:rsidR="00D104DA" w:rsidRPr="00747B0B" w14:paraId="2B56CDCE" w14:textId="77777777" w:rsidTr="00100442">
        <w:trPr>
          <w:trHeight w:val="454"/>
        </w:trPr>
        <w:tc>
          <w:tcPr>
            <w:tcW w:w="9157" w:type="dxa"/>
            <w:tcBorders>
              <w:top w:val="nil"/>
              <w:left w:val="nil"/>
              <w:bottom w:val="nil"/>
              <w:right w:val="nil"/>
            </w:tcBorders>
            <w:shd w:val="clear" w:color="auto" w:fill="auto"/>
            <w:vAlign w:val="center"/>
            <w:hideMark/>
          </w:tcPr>
          <w:p w14:paraId="2634022B" w14:textId="4BCBE870" w:rsidR="00D104DA" w:rsidRPr="009C1D66" w:rsidRDefault="00E25972"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 xml:space="preserve">Adjustments between </w:t>
            </w:r>
            <w:r w:rsidR="00A83AF9" w:rsidRPr="009C1D66">
              <w:rPr>
                <w:rFonts w:eastAsia="Times New Roman" w:cs="Arial"/>
                <w:lang w:eastAsia="en-GB"/>
              </w:rPr>
              <w:t xml:space="preserve">accounting basis and </w:t>
            </w:r>
            <w:r w:rsidR="00D104DA" w:rsidRPr="009C1D66">
              <w:rPr>
                <w:rFonts w:eastAsia="Times New Roman" w:cs="Arial"/>
                <w:lang w:eastAsia="en-GB"/>
              </w:rPr>
              <w:t xml:space="preserve">funding basis </w:t>
            </w:r>
            <w:r w:rsidR="00A83AF9" w:rsidRPr="009C1D66">
              <w:rPr>
                <w:rFonts w:eastAsia="Times New Roman" w:cs="Arial"/>
                <w:lang w:eastAsia="en-GB"/>
              </w:rPr>
              <w:t xml:space="preserve">under </w:t>
            </w:r>
            <w:r w:rsidR="00D104DA" w:rsidRPr="009C1D66">
              <w:rPr>
                <w:rFonts w:eastAsia="Times New Roman" w:cs="Arial"/>
                <w:lang w:eastAsia="en-GB"/>
              </w:rPr>
              <w:t>regulation</w:t>
            </w:r>
            <w:r w:rsidR="00A83AF9" w:rsidRPr="009C1D66">
              <w:rPr>
                <w:rFonts w:eastAsia="Times New Roman" w:cs="Arial"/>
                <w:lang w:eastAsia="en-GB"/>
              </w:rPr>
              <w:t>s</w:t>
            </w:r>
          </w:p>
        </w:tc>
        <w:tc>
          <w:tcPr>
            <w:tcW w:w="907" w:type="dxa"/>
            <w:tcBorders>
              <w:top w:val="nil"/>
              <w:left w:val="nil"/>
              <w:bottom w:val="nil"/>
              <w:right w:val="nil"/>
            </w:tcBorders>
            <w:shd w:val="clear" w:color="auto" w:fill="auto"/>
            <w:noWrap/>
            <w:vAlign w:val="center"/>
            <w:hideMark/>
          </w:tcPr>
          <w:p w14:paraId="3443E28B" w14:textId="1061445F" w:rsidR="00D104DA" w:rsidRPr="009C1D66" w:rsidRDefault="0059059D">
            <w:pPr>
              <w:autoSpaceDE/>
              <w:autoSpaceDN/>
              <w:adjustRightInd/>
              <w:spacing w:after="0"/>
              <w:jc w:val="center"/>
              <w:rPr>
                <w:rFonts w:eastAsia="Times New Roman" w:cs="Arial"/>
                <w:color w:val="auto"/>
                <w:lang w:eastAsia="en-GB"/>
              </w:rPr>
            </w:pPr>
            <w:r>
              <w:rPr>
                <w:rFonts w:eastAsia="Times New Roman" w:cs="Arial"/>
                <w:color w:val="auto"/>
                <w:lang w:eastAsia="en-GB"/>
              </w:rPr>
              <w:t>5</w:t>
            </w:r>
            <w:r w:rsidR="00335342">
              <w:rPr>
                <w:rFonts w:eastAsia="Times New Roman" w:cs="Arial"/>
                <w:color w:val="auto"/>
                <w:lang w:eastAsia="en-GB"/>
              </w:rPr>
              <w:t>7</w:t>
            </w:r>
          </w:p>
        </w:tc>
      </w:tr>
      <w:tr w:rsidR="00D104DA" w:rsidRPr="00747B0B" w14:paraId="13073416" w14:textId="77777777" w:rsidTr="00100442">
        <w:trPr>
          <w:trHeight w:val="454"/>
        </w:trPr>
        <w:tc>
          <w:tcPr>
            <w:tcW w:w="9157" w:type="dxa"/>
            <w:tcBorders>
              <w:top w:val="nil"/>
              <w:left w:val="nil"/>
              <w:bottom w:val="nil"/>
              <w:right w:val="nil"/>
            </w:tcBorders>
            <w:shd w:val="clear" w:color="auto" w:fill="auto"/>
            <w:vAlign w:val="center"/>
            <w:hideMark/>
          </w:tcPr>
          <w:p w14:paraId="3C223379" w14:textId="68A0F29E" w:rsidR="00D104DA" w:rsidRPr="009C1D66" w:rsidRDefault="00E25972"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Transfers to and from earmarked reserves</w:t>
            </w:r>
          </w:p>
        </w:tc>
        <w:tc>
          <w:tcPr>
            <w:tcW w:w="907" w:type="dxa"/>
            <w:tcBorders>
              <w:top w:val="nil"/>
              <w:left w:val="nil"/>
              <w:bottom w:val="nil"/>
              <w:right w:val="nil"/>
            </w:tcBorders>
            <w:shd w:val="clear" w:color="auto" w:fill="auto"/>
            <w:noWrap/>
            <w:vAlign w:val="center"/>
            <w:hideMark/>
          </w:tcPr>
          <w:p w14:paraId="071D886B" w14:textId="5A305C48"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6</w:t>
            </w:r>
            <w:r w:rsidR="00335342">
              <w:rPr>
                <w:rFonts w:eastAsia="Times New Roman" w:cs="Arial"/>
                <w:color w:val="auto"/>
                <w:lang w:eastAsia="en-GB"/>
              </w:rPr>
              <w:t>1</w:t>
            </w:r>
          </w:p>
        </w:tc>
      </w:tr>
      <w:tr w:rsidR="00D104DA" w:rsidRPr="00747B0B" w14:paraId="1FAB43EC" w14:textId="77777777" w:rsidTr="00100442">
        <w:trPr>
          <w:trHeight w:val="454"/>
        </w:trPr>
        <w:tc>
          <w:tcPr>
            <w:tcW w:w="9157" w:type="dxa"/>
            <w:tcBorders>
              <w:top w:val="nil"/>
              <w:left w:val="nil"/>
              <w:bottom w:val="nil"/>
              <w:right w:val="nil"/>
            </w:tcBorders>
            <w:shd w:val="clear" w:color="auto" w:fill="auto"/>
            <w:vAlign w:val="center"/>
            <w:hideMark/>
          </w:tcPr>
          <w:p w14:paraId="1665E0D9" w14:textId="018880C0" w:rsidR="00D104DA" w:rsidRPr="009C1D66" w:rsidRDefault="00E25972"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Revenue reserves</w:t>
            </w:r>
          </w:p>
        </w:tc>
        <w:tc>
          <w:tcPr>
            <w:tcW w:w="907" w:type="dxa"/>
            <w:tcBorders>
              <w:top w:val="nil"/>
              <w:left w:val="nil"/>
              <w:bottom w:val="nil"/>
              <w:right w:val="nil"/>
            </w:tcBorders>
            <w:shd w:val="clear" w:color="auto" w:fill="auto"/>
            <w:noWrap/>
            <w:vAlign w:val="center"/>
            <w:hideMark/>
          </w:tcPr>
          <w:p w14:paraId="5D6FA8CA" w14:textId="0C5111CC" w:rsidR="00D104DA" w:rsidRPr="009C1D66" w:rsidRDefault="00420A8F">
            <w:pPr>
              <w:autoSpaceDE/>
              <w:autoSpaceDN/>
              <w:adjustRightInd/>
              <w:spacing w:after="0"/>
              <w:jc w:val="center"/>
              <w:rPr>
                <w:rFonts w:eastAsia="Times New Roman" w:cs="Arial"/>
                <w:color w:val="auto"/>
                <w:lang w:eastAsia="en-GB"/>
              </w:rPr>
            </w:pPr>
            <w:r>
              <w:rPr>
                <w:rFonts w:eastAsia="Times New Roman" w:cs="Arial"/>
                <w:color w:val="auto"/>
                <w:lang w:eastAsia="en-GB"/>
              </w:rPr>
              <w:t>6</w:t>
            </w:r>
            <w:r w:rsidR="00335342">
              <w:rPr>
                <w:rFonts w:eastAsia="Times New Roman" w:cs="Arial"/>
                <w:color w:val="auto"/>
                <w:lang w:eastAsia="en-GB"/>
              </w:rPr>
              <w:t>3</w:t>
            </w:r>
          </w:p>
        </w:tc>
      </w:tr>
      <w:tr w:rsidR="00D104DA" w:rsidRPr="00747B0B" w14:paraId="1A508560" w14:textId="77777777" w:rsidTr="00100442">
        <w:trPr>
          <w:trHeight w:val="454"/>
        </w:trPr>
        <w:tc>
          <w:tcPr>
            <w:tcW w:w="9157" w:type="dxa"/>
            <w:tcBorders>
              <w:top w:val="nil"/>
              <w:left w:val="nil"/>
              <w:bottom w:val="nil"/>
              <w:right w:val="nil"/>
            </w:tcBorders>
            <w:shd w:val="clear" w:color="auto" w:fill="auto"/>
            <w:vAlign w:val="center"/>
            <w:hideMark/>
          </w:tcPr>
          <w:p w14:paraId="085975DA" w14:textId="6CC0080F" w:rsidR="00D104DA" w:rsidRPr="009C1D66" w:rsidRDefault="00E25972"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Other operating expenditure</w:t>
            </w:r>
          </w:p>
        </w:tc>
        <w:tc>
          <w:tcPr>
            <w:tcW w:w="907" w:type="dxa"/>
            <w:tcBorders>
              <w:top w:val="nil"/>
              <w:left w:val="nil"/>
              <w:bottom w:val="nil"/>
              <w:right w:val="nil"/>
            </w:tcBorders>
            <w:shd w:val="clear" w:color="auto" w:fill="auto"/>
            <w:noWrap/>
            <w:vAlign w:val="center"/>
            <w:hideMark/>
          </w:tcPr>
          <w:p w14:paraId="6B0AD9C0" w14:textId="1D247835" w:rsidR="00D104DA" w:rsidRPr="009C1D66" w:rsidRDefault="0059059D">
            <w:pPr>
              <w:autoSpaceDE/>
              <w:autoSpaceDN/>
              <w:adjustRightInd/>
              <w:spacing w:after="0"/>
              <w:jc w:val="center"/>
              <w:rPr>
                <w:rFonts w:eastAsia="Times New Roman" w:cs="Arial"/>
                <w:color w:val="auto"/>
                <w:lang w:eastAsia="en-GB"/>
              </w:rPr>
            </w:pPr>
            <w:r>
              <w:rPr>
                <w:rFonts w:eastAsia="Times New Roman" w:cs="Arial"/>
                <w:color w:val="auto"/>
                <w:lang w:eastAsia="en-GB"/>
              </w:rPr>
              <w:t>6</w:t>
            </w:r>
            <w:r w:rsidR="00335342">
              <w:rPr>
                <w:rFonts w:eastAsia="Times New Roman" w:cs="Arial"/>
                <w:color w:val="auto"/>
                <w:lang w:eastAsia="en-GB"/>
              </w:rPr>
              <w:t>4</w:t>
            </w:r>
          </w:p>
        </w:tc>
      </w:tr>
      <w:tr w:rsidR="00D104DA" w:rsidRPr="00747B0B" w14:paraId="325711DC" w14:textId="77777777" w:rsidTr="00100442">
        <w:trPr>
          <w:trHeight w:val="454"/>
        </w:trPr>
        <w:tc>
          <w:tcPr>
            <w:tcW w:w="9157" w:type="dxa"/>
            <w:tcBorders>
              <w:top w:val="nil"/>
              <w:left w:val="nil"/>
              <w:bottom w:val="nil"/>
              <w:right w:val="nil"/>
            </w:tcBorders>
            <w:shd w:val="clear" w:color="auto" w:fill="auto"/>
            <w:vAlign w:val="center"/>
            <w:hideMark/>
          </w:tcPr>
          <w:p w14:paraId="1E1979A3" w14:textId="524AFF4D" w:rsidR="00D104DA" w:rsidRPr="009C1D66" w:rsidRDefault="00E25972"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Financing and investment income and expenditure</w:t>
            </w:r>
          </w:p>
        </w:tc>
        <w:tc>
          <w:tcPr>
            <w:tcW w:w="907" w:type="dxa"/>
            <w:tcBorders>
              <w:top w:val="nil"/>
              <w:left w:val="nil"/>
              <w:bottom w:val="nil"/>
              <w:right w:val="nil"/>
            </w:tcBorders>
            <w:shd w:val="clear" w:color="auto" w:fill="auto"/>
            <w:noWrap/>
            <w:vAlign w:val="center"/>
            <w:hideMark/>
          </w:tcPr>
          <w:p w14:paraId="525C19D0" w14:textId="1B244C78" w:rsidR="00D104DA" w:rsidRPr="009C1D66" w:rsidRDefault="0059059D">
            <w:pPr>
              <w:autoSpaceDE/>
              <w:autoSpaceDN/>
              <w:adjustRightInd/>
              <w:spacing w:after="0"/>
              <w:jc w:val="center"/>
              <w:rPr>
                <w:rFonts w:eastAsia="Times New Roman" w:cs="Arial"/>
                <w:color w:val="auto"/>
                <w:lang w:eastAsia="en-GB"/>
              </w:rPr>
            </w:pPr>
            <w:r>
              <w:rPr>
                <w:rFonts w:eastAsia="Times New Roman" w:cs="Arial"/>
                <w:color w:val="auto"/>
                <w:lang w:eastAsia="en-GB"/>
              </w:rPr>
              <w:t>6</w:t>
            </w:r>
            <w:r w:rsidR="00335342">
              <w:rPr>
                <w:rFonts w:eastAsia="Times New Roman" w:cs="Arial"/>
                <w:color w:val="auto"/>
                <w:lang w:eastAsia="en-GB"/>
              </w:rPr>
              <w:t>4</w:t>
            </w:r>
          </w:p>
        </w:tc>
      </w:tr>
      <w:tr w:rsidR="00D104DA" w:rsidRPr="00747B0B" w14:paraId="7D6A807E" w14:textId="77777777" w:rsidTr="00100442">
        <w:trPr>
          <w:trHeight w:val="454"/>
        </w:trPr>
        <w:tc>
          <w:tcPr>
            <w:tcW w:w="9157" w:type="dxa"/>
            <w:tcBorders>
              <w:top w:val="nil"/>
              <w:left w:val="nil"/>
              <w:bottom w:val="nil"/>
              <w:right w:val="nil"/>
            </w:tcBorders>
            <w:shd w:val="clear" w:color="auto" w:fill="auto"/>
            <w:vAlign w:val="center"/>
            <w:hideMark/>
          </w:tcPr>
          <w:p w14:paraId="515501D5" w14:textId="22311DF7"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Taxation and non-specific grants income</w:t>
            </w:r>
          </w:p>
        </w:tc>
        <w:tc>
          <w:tcPr>
            <w:tcW w:w="907" w:type="dxa"/>
            <w:tcBorders>
              <w:top w:val="nil"/>
              <w:left w:val="nil"/>
              <w:bottom w:val="nil"/>
              <w:right w:val="nil"/>
            </w:tcBorders>
            <w:shd w:val="clear" w:color="auto" w:fill="auto"/>
            <w:noWrap/>
            <w:vAlign w:val="center"/>
            <w:hideMark/>
          </w:tcPr>
          <w:p w14:paraId="45342B36" w14:textId="5A964872" w:rsidR="00D104DA" w:rsidRPr="009C1D66" w:rsidRDefault="0059059D">
            <w:pPr>
              <w:autoSpaceDE/>
              <w:autoSpaceDN/>
              <w:adjustRightInd/>
              <w:spacing w:after="0"/>
              <w:jc w:val="center"/>
              <w:rPr>
                <w:rFonts w:eastAsia="Times New Roman" w:cs="Arial"/>
                <w:color w:val="auto"/>
                <w:lang w:eastAsia="en-GB"/>
              </w:rPr>
            </w:pPr>
            <w:r>
              <w:rPr>
                <w:rFonts w:eastAsia="Times New Roman" w:cs="Arial"/>
                <w:color w:val="auto"/>
                <w:lang w:eastAsia="en-GB"/>
              </w:rPr>
              <w:t>6</w:t>
            </w:r>
            <w:r w:rsidR="00335342">
              <w:rPr>
                <w:rFonts w:eastAsia="Times New Roman" w:cs="Arial"/>
                <w:color w:val="auto"/>
                <w:lang w:eastAsia="en-GB"/>
              </w:rPr>
              <w:t>5</w:t>
            </w:r>
          </w:p>
        </w:tc>
      </w:tr>
      <w:tr w:rsidR="00D104DA" w:rsidRPr="00747B0B" w14:paraId="58109AA4" w14:textId="77777777" w:rsidTr="00100442">
        <w:trPr>
          <w:trHeight w:val="454"/>
        </w:trPr>
        <w:tc>
          <w:tcPr>
            <w:tcW w:w="9157" w:type="dxa"/>
            <w:tcBorders>
              <w:top w:val="nil"/>
              <w:left w:val="nil"/>
              <w:bottom w:val="nil"/>
              <w:right w:val="nil"/>
            </w:tcBorders>
            <w:shd w:val="clear" w:color="auto" w:fill="auto"/>
            <w:vAlign w:val="center"/>
            <w:hideMark/>
          </w:tcPr>
          <w:p w14:paraId="79D065B8" w14:textId="51576346"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Amounts reported for resource allocation decisions</w:t>
            </w:r>
          </w:p>
        </w:tc>
        <w:tc>
          <w:tcPr>
            <w:tcW w:w="907" w:type="dxa"/>
            <w:tcBorders>
              <w:top w:val="nil"/>
              <w:left w:val="nil"/>
              <w:bottom w:val="nil"/>
              <w:right w:val="nil"/>
            </w:tcBorders>
            <w:shd w:val="clear" w:color="auto" w:fill="auto"/>
            <w:vAlign w:val="center"/>
            <w:hideMark/>
          </w:tcPr>
          <w:p w14:paraId="4ADB3F1A" w14:textId="526627BD" w:rsidR="00D104DA" w:rsidRPr="009C1D66" w:rsidRDefault="0059059D">
            <w:pPr>
              <w:autoSpaceDE/>
              <w:autoSpaceDN/>
              <w:adjustRightInd/>
              <w:spacing w:after="0"/>
              <w:jc w:val="center"/>
              <w:rPr>
                <w:rFonts w:eastAsia="Times New Roman" w:cs="Arial"/>
                <w:color w:val="auto"/>
                <w:lang w:eastAsia="en-GB"/>
              </w:rPr>
            </w:pPr>
            <w:r>
              <w:rPr>
                <w:rFonts w:eastAsia="Times New Roman" w:cs="Arial"/>
                <w:color w:val="auto"/>
                <w:lang w:eastAsia="en-GB"/>
              </w:rPr>
              <w:t>6</w:t>
            </w:r>
            <w:r w:rsidR="00335342">
              <w:rPr>
                <w:rFonts w:eastAsia="Times New Roman" w:cs="Arial"/>
                <w:color w:val="auto"/>
                <w:lang w:eastAsia="en-GB"/>
              </w:rPr>
              <w:t>5</w:t>
            </w:r>
          </w:p>
        </w:tc>
      </w:tr>
      <w:tr w:rsidR="00D104DA" w:rsidRPr="00747B0B" w14:paraId="6B0C7A57" w14:textId="77777777" w:rsidTr="00100442">
        <w:trPr>
          <w:trHeight w:val="454"/>
        </w:trPr>
        <w:tc>
          <w:tcPr>
            <w:tcW w:w="9157" w:type="dxa"/>
            <w:tcBorders>
              <w:top w:val="nil"/>
              <w:left w:val="nil"/>
              <w:bottom w:val="nil"/>
              <w:right w:val="nil"/>
            </w:tcBorders>
            <w:shd w:val="clear" w:color="auto" w:fill="auto"/>
            <w:vAlign w:val="center"/>
            <w:hideMark/>
          </w:tcPr>
          <w:p w14:paraId="10096963" w14:textId="20884667"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Grant income</w:t>
            </w:r>
          </w:p>
        </w:tc>
        <w:tc>
          <w:tcPr>
            <w:tcW w:w="907" w:type="dxa"/>
            <w:tcBorders>
              <w:top w:val="nil"/>
              <w:left w:val="nil"/>
              <w:bottom w:val="nil"/>
              <w:right w:val="nil"/>
            </w:tcBorders>
            <w:shd w:val="clear" w:color="auto" w:fill="auto"/>
            <w:noWrap/>
            <w:vAlign w:val="center"/>
            <w:hideMark/>
          </w:tcPr>
          <w:p w14:paraId="541CAC57" w14:textId="4A29CBDB"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7</w:t>
            </w:r>
            <w:r w:rsidR="00335342">
              <w:rPr>
                <w:rFonts w:eastAsia="Times New Roman" w:cs="Arial"/>
                <w:color w:val="auto"/>
                <w:lang w:eastAsia="en-GB"/>
              </w:rPr>
              <w:t>1</w:t>
            </w:r>
          </w:p>
        </w:tc>
      </w:tr>
      <w:tr w:rsidR="00D104DA" w:rsidRPr="00747B0B" w14:paraId="3AF9817E" w14:textId="77777777" w:rsidTr="00100442">
        <w:trPr>
          <w:trHeight w:val="454"/>
        </w:trPr>
        <w:tc>
          <w:tcPr>
            <w:tcW w:w="9157" w:type="dxa"/>
            <w:tcBorders>
              <w:top w:val="nil"/>
              <w:left w:val="nil"/>
              <w:bottom w:val="nil"/>
              <w:right w:val="nil"/>
            </w:tcBorders>
            <w:shd w:val="clear" w:color="auto" w:fill="auto"/>
            <w:vAlign w:val="center"/>
            <w:hideMark/>
          </w:tcPr>
          <w:p w14:paraId="58BE5BA8" w14:textId="2701AC52"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Dedicated Schools Grant</w:t>
            </w:r>
          </w:p>
        </w:tc>
        <w:tc>
          <w:tcPr>
            <w:tcW w:w="907" w:type="dxa"/>
            <w:tcBorders>
              <w:top w:val="nil"/>
              <w:left w:val="nil"/>
              <w:bottom w:val="nil"/>
              <w:right w:val="nil"/>
            </w:tcBorders>
            <w:shd w:val="clear" w:color="auto" w:fill="auto"/>
            <w:noWrap/>
            <w:vAlign w:val="center"/>
            <w:hideMark/>
          </w:tcPr>
          <w:p w14:paraId="19CF2635" w14:textId="4BE186F1"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7</w:t>
            </w:r>
            <w:r w:rsidR="00335342">
              <w:rPr>
                <w:rFonts w:eastAsia="Times New Roman" w:cs="Arial"/>
                <w:color w:val="auto"/>
                <w:lang w:eastAsia="en-GB"/>
              </w:rPr>
              <w:t>2</w:t>
            </w:r>
          </w:p>
        </w:tc>
      </w:tr>
      <w:tr w:rsidR="00D104DA" w:rsidRPr="00747B0B" w14:paraId="3C894933" w14:textId="77777777" w:rsidTr="00100442">
        <w:trPr>
          <w:trHeight w:val="454"/>
        </w:trPr>
        <w:tc>
          <w:tcPr>
            <w:tcW w:w="9157" w:type="dxa"/>
            <w:tcBorders>
              <w:top w:val="nil"/>
              <w:left w:val="nil"/>
              <w:bottom w:val="nil"/>
              <w:right w:val="nil"/>
            </w:tcBorders>
            <w:shd w:val="clear" w:color="auto" w:fill="auto"/>
            <w:vAlign w:val="center"/>
            <w:hideMark/>
          </w:tcPr>
          <w:p w14:paraId="10E98822" w14:textId="5A8EC5A8"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Pooled budgets</w:t>
            </w:r>
          </w:p>
        </w:tc>
        <w:tc>
          <w:tcPr>
            <w:tcW w:w="907" w:type="dxa"/>
            <w:tcBorders>
              <w:top w:val="nil"/>
              <w:left w:val="nil"/>
              <w:bottom w:val="nil"/>
              <w:right w:val="nil"/>
            </w:tcBorders>
            <w:shd w:val="clear" w:color="auto" w:fill="auto"/>
            <w:noWrap/>
            <w:vAlign w:val="center"/>
            <w:hideMark/>
          </w:tcPr>
          <w:p w14:paraId="6A182D28" w14:textId="514A3F93" w:rsidR="00D104DA" w:rsidRPr="009C1D66" w:rsidRDefault="00413839">
            <w:pPr>
              <w:autoSpaceDE/>
              <w:autoSpaceDN/>
              <w:adjustRightInd/>
              <w:spacing w:after="0"/>
              <w:jc w:val="center"/>
              <w:rPr>
                <w:rFonts w:eastAsia="Times New Roman" w:cs="Arial"/>
                <w:lang w:eastAsia="en-GB"/>
              </w:rPr>
            </w:pPr>
            <w:r>
              <w:rPr>
                <w:rFonts w:eastAsia="Times New Roman" w:cs="Arial"/>
                <w:lang w:eastAsia="en-GB"/>
              </w:rPr>
              <w:t>7</w:t>
            </w:r>
            <w:r w:rsidR="00335342">
              <w:rPr>
                <w:rFonts w:eastAsia="Times New Roman" w:cs="Arial"/>
                <w:lang w:eastAsia="en-GB"/>
              </w:rPr>
              <w:t>3</w:t>
            </w:r>
          </w:p>
        </w:tc>
      </w:tr>
      <w:tr w:rsidR="00D104DA" w:rsidRPr="00747B0B" w14:paraId="71860B02" w14:textId="77777777" w:rsidTr="00100442">
        <w:trPr>
          <w:trHeight w:val="454"/>
        </w:trPr>
        <w:tc>
          <w:tcPr>
            <w:tcW w:w="9157" w:type="dxa"/>
            <w:tcBorders>
              <w:top w:val="nil"/>
              <w:left w:val="nil"/>
              <w:bottom w:val="nil"/>
              <w:right w:val="nil"/>
            </w:tcBorders>
            <w:shd w:val="clear" w:color="auto" w:fill="auto"/>
            <w:vAlign w:val="center"/>
            <w:hideMark/>
          </w:tcPr>
          <w:p w14:paraId="79C9F20E" w14:textId="3241A249"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External audit costs</w:t>
            </w:r>
          </w:p>
        </w:tc>
        <w:tc>
          <w:tcPr>
            <w:tcW w:w="907" w:type="dxa"/>
            <w:tcBorders>
              <w:top w:val="nil"/>
              <w:left w:val="nil"/>
              <w:bottom w:val="nil"/>
              <w:right w:val="nil"/>
            </w:tcBorders>
            <w:shd w:val="clear" w:color="auto" w:fill="auto"/>
            <w:noWrap/>
            <w:vAlign w:val="center"/>
            <w:hideMark/>
          </w:tcPr>
          <w:p w14:paraId="5357FCB2" w14:textId="484CB7D3"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7</w:t>
            </w:r>
            <w:r w:rsidR="00335342">
              <w:rPr>
                <w:rFonts w:eastAsia="Times New Roman" w:cs="Arial"/>
                <w:color w:val="auto"/>
                <w:lang w:eastAsia="en-GB"/>
              </w:rPr>
              <w:t>3</w:t>
            </w:r>
          </w:p>
        </w:tc>
      </w:tr>
      <w:tr w:rsidR="00D104DA" w:rsidRPr="00747B0B" w14:paraId="4EC9CB95" w14:textId="77777777" w:rsidTr="00100442">
        <w:trPr>
          <w:trHeight w:val="454"/>
        </w:trPr>
        <w:tc>
          <w:tcPr>
            <w:tcW w:w="9157" w:type="dxa"/>
            <w:tcBorders>
              <w:top w:val="nil"/>
              <w:left w:val="nil"/>
              <w:bottom w:val="nil"/>
              <w:right w:val="nil"/>
            </w:tcBorders>
            <w:shd w:val="clear" w:color="auto" w:fill="auto"/>
            <w:vAlign w:val="center"/>
            <w:hideMark/>
          </w:tcPr>
          <w:p w14:paraId="3E613D78" w14:textId="1AFBA5B6"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Members' allowances</w:t>
            </w:r>
          </w:p>
        </w:tc>
        <w:tc>
          <w:tcPr>
            <w:tcW w:w="907" w:type="dxa"/>
            <w:tcBorders>
              <w:top w:val="nil"/>
              <w:left w:val="nil"/>
              <w:bottom w:val="nil"/>
              <w:right w:val="nil"/>
            </w:tcBorders>
            <w:shd w:val="clear" w:color="auto" w:fill="auto"/>
            <w:noWrap/>
            <w:vAlign w:val="center"/>
            <w:hideMark/>
          </w:tcPr>
          <w:p w14:paraId="337FF43E" w14:textId="064E04DA"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7</w:t>
            </w:r>
            <w:r w:rsidR="00335342">
              <w:rPr>
                <w:rFonts w:eastAsia="Times New Roman" w:cs="Arial"/>
                <w:color w:val="auto"/>
                <w:lang w:eastAsia="en-GB"/>
              </w:rPr>
              <w:t>4</w:t>
            </w:r>
          </w:p>
        </w:tc>
      </w:tr>
      <w:tr w:rsidR="00D104DA" w:rsidRPr="00747B0B" w14:paraId="131F4623" w14:textId="77777777" w:rsidTr="00100442">
        <w:trPr>
          <w:trHeight w:val="454"/>
        </w:trPr>
        <w:tc>
          <w:tcPr>
            <w:tcW w:w="9157" w:type="dxa"/>
            <w:tcBorders>
              <w:top w:val="nil"/>
              <w:left w:val="nil"/>
              <w:bottom w:val="nil"/>
              <w:right w:val="nil"/>
            </w:tcBorders>
            <w:shd w:val="clear" w:color="auto" w:fill="auto"/>
            <w:vAlign w:val="center"/>
            <w:hideMark/>
          </w:tcPr>
          <w:p w14:paraId="2E9403E6" w14:textId="4310ECC4"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Senior officers' remuneration</w:t>
            </w:r>
          </w:p>
        </w:tc>
        <w:tc>
          <w:tcPr>
            <w:tcW w:w="907" w:type="dxa"/>
            <w:tcBorders>
              <w:top w:val="nil"/>
              <w:left w:val="nil"/>
              <w:bottom w:val="nil"/>
              <w:right w:val="nil"/>
            </w:tcBorders>
            <w:shd w:val="clear" w:color="auto" w:fill="auto"/>
            <w:noWrap/>
            <w:vAlign w:val="center"/>
            <w:hideMark/>
          </w:tcPr>
          <w:p w14:paraId="7F665030" w14:textId="3F12BEEC"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7</w:t>
            </w:r>
            <w:r w:rsidR="00335342">
              <w:rPr>
                <w:rFonts w:eastAsia="Times New Roman" w:cs="Arial"/>
                <w:color w:val="auto"/>
                <w:lang w:eastAsia="en-GB"/>
              </w:rPr>
              <w:t>5</w:t>
            </w:r>
          </w:p>
        </w:tc>
      </w:tr>
      <w:tr w:rsidR="00D104DA" w:rsidRPr="00747B0B" w14:paraId="1F66D9DD" w14:textId="77777777" w:rsidTr="00100442">
        <w:trPr>
          <w:trHeight w:val="454"/>
        </w:trPr>
        <w:tc>
          <w:tcPr>
            <w:tcW w:w="9157" w:type="dxa"/>
            <w:tcBorders>
              <w:top w:val="nil"/>
              <w:left w:val="nil"/>
              <w:bottom w:val="nil"/>
              <w:right w:val="nil"/>
            </w:tcBorders>
            <w:shd w:val="clear" w:color="auto" w:fill="auto"/>
            <w:vAlign w:val="center"/>
            <w:hideMark/>
          </w:tcPr>
          <w:p w14:paraId="31D27A91" w14:textId="7B57F723"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Private Finance Initiative (PFI) schemes</w:t>
            </w:r>
          </w:p>
        </w:tc>
        <w:tc>
          <w:tcPr>
            <w:tcW w:w="907" w:type="dxa"/>
            <w:tcBorders>
              <w:top w:val="nil"/>
              <w:left w:val="nil"/>
              <w:bottom w:val="nil"/>
              <w:right w:val="nil"/>
            </w:tcBorders>
            <w:shd w:val="clear" w:color="auto" w:fill="auto"/>
            <w:noWrap/>
            <w:vAlign w:val="center"/>
            <w:hideMark/>
          </w:tcPr>
          <w:p w14:paraId="72B4DBF2" w14:textId="438E6DE6" w:rsidR="00D104DA" w:rsidRPr="009C1D66" w:rsidRDefault="00335342">
            <w:pPr>
              <w:autoSpaceDE/>
              <w:autoSpaceDN/>
              <w:adjustRightInd/>
              <w:spacing w:after="0"/>
              <w:jc w:val="center"/>
              <w:rPr>
                <w:rFonts w:eastAsia="Times New Roman" w:cs="Arial"/>
                <w:color w:val="auto"/>
                <w:lang w:eastAsia="en-GB"/>
              </w:rPr>
            </w:pPr>
            <w:r>
              <w:rPr>
                <w:rFonts w:eastAsia="Times New Roman" w:cs="Arial"/>
                <w:color w:val="auto"/>
                <w:lang w:eastAsia="en-GB"/>
              </w:rPr>
              <w:t>80</w:t>
            </w:r>
          </w:p>
        </w:tc>
      </w:tr>
      <w:tr w:rsidR="00D104DA" w:rsidRPr="00747B0B" w14:paraId="48F36753" w14:textId="77777777" w:rsidTr="00100442">
        <w:trPr>
          <w:trHeight w:val="454"/>
        </w:trPr>
        <w:tc>
          <w:tcPr>
            <w:tcW w:w="9157" w:type="dxa"/>
            <w:tcBorders>
              <w:top w:val="nil"/>
              <w:left w:val="nil"/>
              <w:bottom w:val="nil"/>
              <w:right w:val="nil"/>
            </w:tcBorders>
            <w:shd w:val="clear" w:color="auto" w:fill="auto"/>
            <w:vAlign w:val="center"/>
            <w:hideMark/>
          </w:tcPr>
          <w:p w14:paraId="47C0AC01" w14:textId="78B0F50B"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Capital expenditure and capital financing</w:t>
            </w:r>
          </w:p>
        </w:tc>
        <w:tc>
          <w:tcPr>
            <w:tcW w:w="907" w:type="dxa"/>
            <w:tcBorders>
              <w:top w:val="nil"/>
              <w:left w:val="nil"/>
              <w:bottom w:val="nil"/>
              <w:right w:val="nil"/>
            </w:tcBorders>
            <w:shd w:val="clear" w:color="auto" w:fill="auto"/>
            <w:noWrap/>
            <w:vAlign w:val="center"/>
            <w:hideMark/>
          </w:tcPr>
          <w:p w14:paraId="45938F75" w14:textId="06F2271B"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8</w:t>
            </w:r>
            <w:r w:rsidR="00335342">
              <w:rPr>
                <w:rFonts w:eastAsia="Times New Roman" w:cs="Arial"/>
                <w:color w:val="auto"/>
                <w:lang w:eastAsia="en-GB"/>
              </w:rPr>
              <w:t>4</w:t>
            </w:r>
          </w:p>
        </w:tc>
      </w:tr>
      <w:tr w:rsidR="00D104DA" w:rsidRPr="00747B0B" w14:paraId="5B1CE2C7" w14:textId="77777777" w:rsidTr="00100442">
        <w:trPr>
          <w:trHeight w:val="454"/>
        </w:trPr>
        <w:tc>
          <w:tcPr>
            <w:tcW w:w="9157" w:type="dxa"/>
            <w:tcBorders>
              <w:top w:val="nil"/>
              <w:left w:val="nil"/>
              <w:bottom w:val="nil"/>
              <w:right w:val="nil"/>
            </w:tcBorders>
            <w:shd w:val="clear" w:color="auto" w:fill="auto"/>
            <w:vAlign w:val="center"/>
            <w:hideMark/>
          </w:tcPr>
          <w:p w14:paraId="641D4C19" w14:textId="37B5A69A"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Property, plant and equipment</w:t>
            </w:r>
          </w:p>
        </w:tc>
        <w:tc>
          <w:tcPr>
            <w:tcW w:w="907" w:type="dxa"/>
            <w:tcBorders>
              <w:top w:val="nil"/>
              <w:left w:val="nil"/>
              <w:bottom w:val="nil"/>
              <w:right w:val="nil"/>
            </w:tcBorders>
            <w:shd w:val="clear" w:color="auto" w:fill="auto"/>
            <w:noWrap/>
            <w:vAlign w:val="center"/>
            <w:hideMark/>
          </w:tcPr>
          <w:p w14:paraId="52FD5118" w14:textId="423EAF80"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8</w:t>
            </w:r>
            <w:r w:rsidR="00335342">
              <w:rPr>
                <w:rFonts w:eastAsia="Times New Roman" w:cs="Arial"/>
                <w:color w:val="auto"/>
                <w:lang w:eastAsia="en-GB"/>
              </w:rPr>
              <w:t>6</w:t>
            </w:r>
          </w:p>
        </w:tc>
      </w:tr>
      <w:tr w:rsidR="0059059D" w:rsidRPr="00747B0B" w14:paraId="083CDF47" w14:textId="77777777" w:rsidTr="00100442">
        <w:trPr>
          <w:trHeight w:val="454"/>
        </w:trPr>
        <w:tc>
          <w:tcPr>
            <w:tcW w:w="9157" w:type="dxa"/>
            <w:tcBorders>
              <w:top w:val="nil"/>
              <w:left w:val="nil"/>
              <w:bottom w:val="nil"/>
              <w:right w:val="nil"/>
            </w:tcBorders>
            <w:shd w:val="clear" w:color="auto" w:fill="auto"/>
            <w:vAlign w:val="center"/>
          </w:tcPr>
          <w:p w14:paraId="0C0F232B" w14:textId="0C9511EE" w:rsidR="0059059D" w:rsidRPr="009C1D66" w:rsidRDefault="0059059D" w:rsidP="0059059D">
            <w:pPr>
              <w:pStyle w:val="ListParagraph"/>
              <w:numPr>
                <w:ilvl w:val="0"/>
                <w:numId w:val="44"/>
              </w:numPr>
              <w:autoSpaceDE/>
              <w:autoSpaceDN/>
              <w:adjustRightInd/>
              <w:spacing w:after="0"/>
              <w:ind w:left="776" w:hanging="416"/>
              <w:jc w:val="left"/>
              <w:rPr>
                <w:rFonts w:eastAsia="Times New Roman" w:cs="Arial"/>
                <w:lang w:eastAsia="en-GB"/>
              </w:rPr>
            </w:pPr>
            <w:r>
              <w:rPr>
                <w:rFonts w:eastAsia="Times New Roman" w:cs="Arial"/>
                <w:lang w:eastAsia="en-GB"/>
              </w:rPr>
              <w:t>Heritage assets</w:t>
            </w:r>
          </w:p>
        </w:tc>
        <w:tc>
          <w:tcPr>
            <w:tcW w:w="907" w:type="dxa"/>
            <w:tcBorders>
              <w:top w:val="nil"/>
              <w:left w:val="nil"/>
              <w:bottom w:val="nil"/>
              <w:right w:val="nil"/>
            </w:tcBorders>
            <w:shd w:val="clear" w:color="auto" w:fill="auto"/>
            <w:noWrap/>
            <w:vAlign w:val="center"/>
          </w:tcPr>
          <w:p w14:paraId="3BC4CEC3" w14:textId="1131F779" w:rsidR="0059059D"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8</w:t>
            </w:r>
            <w:r w:rsidR="00335342">
              <w:rPr>
                <w:rFonts w:eastAsia="Times New Roman" w:cs="Arial"/>
                <w:color w:val="auto"/>
                <w:lang w:eastAsia="en-GB"/>
              </w:rPr>
              <w:t>8</w:t>
            </w:r>
          </w:p>
        </w:tc>
      </w:tr>
      <w:tr w:rsidR="00D104DA" w:rsidRPr="00747B0B" w14:paraId="3113CA1D" w14:textId="77777777" w:rsidTr="00100442">
        <w:trPr>
          <w:trHeight w:val="454"/>
        </w:trPr>
        <w:tc>
          <w:tcPr>
            <w:tcW w:w="9157" w:type="dxa"/>
            <w:tcBorders>
              <w:top w:val="nil"/>
              <w:left w:val="nil"/>
              <w:bottom w:val="nil"/>
              <w:right w:val="nil"/>
            </w:tcBorders>
            <w:shd w:val="clear" w:color="auto" w:fill="auto"/>
            <w:vAlign w:val="center"/>
            <w:hideMark/>
          </w:tcPr>
          <w:p w14:paraId="7E34DD0E" w14:textId="7BC20BA9"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Financial instruments</w:t>
            </w:r>
          </w:p>
        </w:tc>
        <w:tc>
          <w:tcPr>
            <w:tcW w:w="907" w:type="dxa"/>
            <w:tcBorders>
              <w:top w:val="nil"/>
              <w:left w:val="nil"/>
              <w:bottom w:val="nil"/>
              <w:right w:val="nil"/>
            </w:tcBorders>
            <w:shd w:val="clear" w:color="auto" w:fill="auto"/>
            <w:noWrap/>
            <w:vAlign w:val="center"/>
            <w:hideMark/>
          </w:tcPr>
          <w:p w14:paraId="4D117073" w14:textId="3534479E" w:rsidR="00D104DA" w:rsidRPr="009C1D66" w:rsidRDefault="00335342">
            <w:pPr>
              <w:autoSpaceDE/>
              <w:autoSpaceDN/>
              <w:adjustRightInd/>
              <w:spacing w:after="0"/>
              <w:jc w:val="center"/>
              <w:rPr>
                <w:rFonts w:eastAsia="Times New Roman" w:cs="Arial"/>
                <w:color w:val="auto"/>
                <w:lang w:eastAsia="en-GB"/>
              </w:rPr>
            </w:pPr>
            <w:r>
              <w:rPr>
                <w:rFonts w:eastAsia="Times New Roman" w:cs="Arial"/>
                <w:color w:val="auto"/>
                <w:lang w:eastAsia="en-GB"/>
              </w:rPr>
              <w:t>90</w:t>
            </w:r>
          </w:p>
        </w:tc>
      </w:tr>
      <w:tr w:rsidR="00D104DA" w:rsidRPr="00747B0B" w14:paraId="4D1053DA" w14:textId="77777777" w:rsidTr="00100442">
        <w:trPr>
          <w:trHeight w:val="454"/>
        </w:trPr>
        <w:tc>
          <w:tcPr>
            <w:tcW w:w="9157" w:type="dxa"/>
            <w:tcBorders>
              <w:top w:val="nil"/>
              <w:left w:val="nil"/>
              <w:bottom w:val="nil"/>
              <w:right w:val="nil"/>
            </w:tcBorders>
            <w:shd w:val="clear" w:color="auto" w:fill="auto"/>
            <w:vAlign w:val="center"/>
            <w:hideMark/>
          </w:tcPr>
          <w:p w14:paraId="5F3D884F" w14:textId="5E463FDD"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Income, expense, gains and losses on financial instruments</w:t>
            </w:r>
          </w:p>
        </w:tc>
        <w:tc>
          <w:tcPr>
            <w:tcW w:w="907" w:type="dxa"/>
            <w:tcBorders>
              <w:top w:val="nil"/>
              <w:left w:val="nil"/>
              <w:bottom w:val="nil"/>
              <w:right w:val="nil"/>
            </w:tcBorders>
            <w:shd w:val="clear" w:color="auto" w:fill="auto"/>
            <w:noWrap/>
            <w:vAlign w:val="center"/>
            <w:hideMark/>
          </w:tcPr>
          <w:p w14:paraId="56A32D5E" w14:textId="3AD60017" w:rsidR="00D104DA" w:rsidRPr="009C1D66" w:rsidRDefault="00335342">
            <w:pPr>
              <w:autoSpaceDE/>
              <w:autoSpaceDN/>
              <w:adjustRightInd/>
              <w:spacing w:after="0"/>
              <w:jc w:val="center"/>
              <w:rPr>
                <w:rFonts w:eastAsia="Times New Roman" w:cs="Arial"/>
                <w:color w:val="auto"/>
                <w:lang w:eastAsia="en-GB"/>
              </w:rPr>
            </w:pPr>
            <w:r>
              <w:rPr>
                <w:rFonts w:eastAsia="Times New Roman" w:cs="Arial"/>
                <w:color w:val="auto"/>
                <w:lang w:eastAsia="en-GB"/>
              </w:rPr>
              <w:t>91</w:t>
            </w:r>
          </w:p>
        </w:tc>
      </w:tr>
      <w:tr w:rsidR="00D104DA" w:rsidRPr="00747B0B" w14:paraId="2BE98F5A" w14:textId="77777777" w:rsidTr="00100442">
        <w:trPr>
          <w:trHeight w:val="454"/>
        </w:trPr>
        <w:tc>
          <w:tcPr>
            <w:tcW w:w="9157" w:type="dxa"/>
            <w:tcBorders>
              <w:top w:val="nil"/>
              <w:left w:val="nil"/>
              <w:bottom w:val="nil"/>
              <w:right w:val="nil"/>
            </w:tcBorders>
            <w:shd w:val="clear" w:color="auto" w:fill="auto"/>
            <w:vAlign w:val="center"/>
            <w:hideMark/>
          </w:tcPr>
          <w:p w14:paraId="2F37ACC1" w14:textId="480CE9A9"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Fair value of financial assets and liabilities</w:t>
            </w:r>
          </w:p>
        </w:tc>
        <w:tc>
          <w:tcPr>
            <w:tcW w:w="907" w:type="dxa"/>
            <w:tcBorders>
              <w:top w:val="nil"/>
              <w:left w:val="nil"/>
              <w:bottom w:val="nil"/>
              <w:right w:val="nil"/>
            </w:tcBorders>
            <w:shd w:val="clear" w:color="auto" w:fill="auto"/>
            <w:noWrap/>
            <w:vAlign w:val="center"/>
            <w:hideMark/>
          </w:tcPr>
          <w:p w14:paraId="05EB38AA" w14:textId="0C78DE64"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9</w:t>
            </w:r>
            <w:r w:rsidR="00335342">
              <w:rPr>
                <w:rFonts w:eastAsia="Times New Roman" w:cs="Arial"/>
                <w:color w:val="auto"/>
                <w:lang w:eastAsia="en-GB"/>
              </w:rPr>
              <w:t>2</w:t>
            </w:r>
          </w:p>
        </w:tc>
      </w:tr>
      <w:tr w:rsidR="00D104DA" w:rsidRPr="00747B0B" w14:paraId="7F860124" w14:textId="77777777" w:rsidTr="00100442">
        <w:trPr>
          <w:trHeight w:val="454"/>
        </w:trPr>
        <w:tc>
          <w:tcPr>
            <w:tcW w:w="9157" w:type="dxa"/>
            <w:tcBorders>
              <w:top w:val="nil"/>
              <w:left w:val="nil"/>
              <w:bottom w:val="nil"/>
              <w:right w:val="nil"/>
            </w:tcBorders>
            <w:shd w:val="clear" w:color="auto" w:fill="auto"/>
            <w:vAlign w:val="center"/>
            <w:hideMark/>
          </w:tcPr>
          <w:p w14:paraId="3A2D2F03" w14:textId="326CD335"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Nature and extent of risks arising from financial instruments</w:t>
            </w:r>
          </w:p>
        </w:tc>
        <w:tc>
          <w:tcPr>
            <w:tcW w:w="907" w:type="dxa"/>
            <w:tcBorders>
              <w:top w:val="nil"/>
              <w:left w:val="nil"/>
              <w:bottom w:val="nil"/>
              <w:right w:val="nil"/>
            </w:tcBorders>
            <w:shd w:val="clear" w:color="auto" w:fill="auto"/>
            <w:noWrap/>
            <w:vAlign w:val="center"/>
            <w:hideMark/>
          </w:tcPr>
          <w:p w14:paraId="72714C38" w14:textId="37F25DAA"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9</w:t>
            </w:r>
            <w:r w:rsidR="00335342">
              <w:rPr>
                <w:rFonts w:eastAsia="Times New Roman" w:cs="Arial"/>
                <w:color w:val="auto"/>
                <w:lang w:eastAsia="en-GB"/>
              </w:rPr>
              <w:t>3</w:t>
            </w:r>
          </w:p>
        </w:tc>
      </w:tr>
      <w:tr w:rsidR="00D104DA" w:rsidRPr="00747B0B" w14:paraId="104869B9" w14:textId="77777777" w:rsidTr="00100442">
        <w:trPr>
          <w:trHeight w:val="454"/>
        </w:trPr>
        <w:tc>
          <w:tcPr>
            <w:tcW w:w="9157" w:type="dxa"/>
            <w:tcBorders>
              <w:top w:val="nil"/>
              <w:left w:val="nil"/>
              <w:bottom w:val="nil"/>
              <w:right w:val="nil"/>
            </w:tcBorders>
            <w:shd w:val="clear" w:color="auto" w:fill="auto"/>
            <w:vAlign w:val="center"/>
            <w:hideMark/>
          </w:tcPr>
          <w:p w14:paraId="52E6CB92" w14:textId="13EF77CA"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Debtors</w:t>
            </w:r>
          </w:p>
        </w:tc>
        <w:tc>
          <w:tcPr>
            <w:tcW w:w="907" w:type="dxa"/>
            <w:tcBorders>
              <w:top w:val="nil"/>
              <w:left w:val="nil"/>
              <w:bottom w:val="nil"/>
              <w:right w:val="nil"/>
            </w:tcBorders>
            <w:shd w:val="clear" w:color="auto" w:fill="auto"/>
            <w:noWrap/>
            <w:vAlign w:val="center"/>
            <w:hideMark/>
          </w:tcPr>
          <w:p w14:paraId="7B1C85DD" w14:textId="67D46590"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9</w:t>
            </w:r>
            <w:r w:rsidR="00335342">
              <w:rPr>
                <w:rFonts w:eastAsia="Times New Roman" w:cs="Arial"/>
                <w:color w:val="auto"/>
                <w:lang w:eastAsia="en-GB"/>
              </w:rPr>
              <w:t>6</w:t>
            </w:r>
          </w:p>
        </w:tc>
      </w:tr>
      <w:tr w:rsidR="00D104DA" w:rsidRPr="00747B0B" w14:paraId="5D50C535" w14:textId="77777777" w:rsidTr="00100442">
        <w:trPr>
          <w:trHeight w:val="454"/>
        </w:trPr>
        <w:tc>
          <w:tcPr>
            <w:tcW w:w="9157" w:type="dxa"/>
            <w:tcBorders>
              <w:top w:val="nil"/>
              <w:left w:val="nil"/>
              <w:bottom w:val="nil"/>
              <w:right w:val="nil"/>
            </w:tcBorders>
            <w:shd w:val="clear" w:color="auto" w:fill="auto"/>
            <w:vAlign w:val="center"/>
            <w:hideMark/>
          </w:tcPr>
          <w:p w14:paraId="450C8A31" w14:textId="64D34A8F"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lastRenderedPageBreak/>
              <w:t xml:space="preserve"> </w:t>
            </w:r>
            <w:r w:rsidR="00D104DA" w:rsidRPr="009C1D66">
              <w:rPr>
                <w:rFonts w:eastAsia="Times New Roman" w:cs="Arial"/>
                <w:lang w:eastAsia="en-GB"/>
              </w:rPr>
              <w:t>Creditors</w:t>
            </w:r>
          </w:p>
        </w:tc>
        <w:tc>
          <w:tcPr>
            <w:tcW w:w="907" w:type="dxa"/>
            <w:tcBorders>
              <w:top w:val="nil"/>
              <w:left w:val="nil"/>
              <w:bottom w:val="nil"/>
              <w:right w:val="nil"/>
            </w:tcBorders>
            <w:shd w:val="clear" w:color="auto" w:fill="auto"/>
            <w:noWrap/>
            <w:vAlign w:val="center"/>
            <w:hideMark/>
          </w:tcPr>
          <w:p w14:paraId="0D1E452F" w14:textId="43BE1B83"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9</w:t>
            </w:r>
            <w:r w:rsidR="00335342">
              <w:rPr>
                <w:rFonts w:eastAsia="Times New Roman" w:cs="Arial"/>
                <w:color w:val="auto"/>
                <w:lang w:eastAsia="en-GB"/>
              </w:rPr>
              <w:t>7</w:t>
            </w:r>
          </w:p>
        </w:tc>
      </w:tr>
      <w:tr w:rsidR="00D104DA" w:rsidRPr="00747B0B" w14:paraId="30FB3573" w14:textId="77777777" w:rsidTr="00100442">
        <w:trPr>
          <w:trHeight w:val="454"/>
        </w:trPr>
        <w:tc>
          <w:tcPr>
            <w:tcW w:w="9157" w:type="dxa"/>
            <w:tcBorders>
              <w:top w:val="nil"/>
              <w:left w:val="nil"/>
              <w:bottom w:val="nil"/>
              <w:right w:val="nil"/>
            </w:tcBorders>
            <w:shd w:val="clear" w:color="auto" w:fill="auto"/>
            <w:vAlign w:val="center"/>
            <w:hideMark/>
          </w:tcPr>
          <w:p w14:paraId="7EAA77BD" w14:textId="6F6D057A"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Cash &amp; cash equivalents</w:t>
            </w:r>
          </w:p>
        </w:tc>
        <w:tc>
          <w:tcPr>
            <w:tcW w:w="907" w:type="dxa"/>
            <w:tcBorders>
              <w:top w:val="nil"/>
              <w:left w:val="nil"/>
              <w:bottom w:val="nil"/>
              <w:right w:val="nil"/>
            </w:tcBorders>
            <w:shd w:val="clear" w:color="auto" w:fill="auto"/>
            <w:noWrap/>
            <w:vAlign w:val="center"/>
            <w:hideMark/>
          </w:tcPr>
          <w:p w14:paraId="6CC086AB" w14:textId="75084A88"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9</w:t>
            </w:r>
            <w:r w:rsidR="00335342">
              <w:rPr>
                <w:rFonts w:eastAsia="Times New Roman" w:cs="Arial"/>
                <w:color w:val="auto"/>
                <w:lang w:eastAsia="en-GB"/>
              </w:rPr>
              <w:t>7</w:t>
            </w:r>
          </w:p>
        </w:tc>
      </w:tr>
      <w:tr w:rsidR="00D104DA" w:rsidRPr="00747B0B" w14:paraId="39FE01CB" w14:textId="77777777" w:rsidTr="00100442">
        <w:trPr>
          <w:trHeight w:val="454"/>
        </w:trPr>
        <w:tc>
          <w:tcPr>
            <w:tcW w:w="9157" w:type="dxa"/>
            <w:tcBorders>
              <w:top w:val="nil"/>
              <w:left w:val="nil"/>
              <w:bottom w:val="nil"/>
              <w:right w:val="nil"/>
            </w:tcBorders>
            <w:shd w:val="clear" w:color="auto" w:fill="auto"/>
            <w:vAlign w:val="center"/>
            <w:hideMark/>
          </w:tcPr>
          <w:p w14:paraId="303E42D6" w14:textId="44780C56"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Provisions</w:t>
            </w:r>
          </w:p>
        </w:tc>
        <w:tc>
          <w:tcPr>
            <w:tcW w:w="907" w:type="dxa"/>
            <w:tcBorders>
              <w:top w:val="nil"/>
              <w:left w:val="nil"/>
              <w:bottom w:val="nil"/>
              <w:right w:val="nil"/>
            </w:tcBorders>
            <w:shd w:val="clear" w:color="auto" w:fill="auto"/>
            <w:noWrap/>
            <w:vAlign w:val="center"/>
            <w:hideMark/>
          </w:tcPr>
          <w:p w14:paraId="5F96DF36" w14:textId="1EFD3564"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9</w:t>
            </w:r>
            <w:r w:rsidR="00335342">
              <w:rPr>
                <w:rFonts w:eastAsia="Times New Roman" w:cs="Arial"/>
                <w:color w:val="auto"/>
                <w:lang w:eastAsia="en-GB"/>
              </w:rPr>
              <w:t>8</w:t>
            </w:r>
          </w:p>
        </w:tc>
      </w:tr>
      <w:tr w:rsidR="00D104DA" w:rsidRPr="00747B0B" w14:paraId="229D2DFB" w14:textId="77777777" w:rsidTr="00100442">
        <w:trPr>
          <w:trHeight w:val="454"/>
        </w:trPr>
        <w:tc>
          <w:tcPr>
            <w:tcW w:w="9157" w:type="dxa"/>
            <w:tcBorders>
              <w:top w:val="nil"/>
              <w:left w:val="nil"/>
              <w:bottom w:val="nil"/>
              <w:right w:val="nil"/>
            </w:tcBorders>
            <w:shd w:val="clear" w:color="auto" w:fill="auto"/>
            <w:vAlign w:val="center"/>
            <w:hideMark/>
          </w:tcPr>
          <w:p w14:paraId="6097A727" w14:textId="4C7E1230"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Usable reserves</w:t>
            </w:r>
          </w:p>
        </w:tc>
        <w:tc>
          <w:tcPr>
            <w:tcW w:w="907" w:type="dxa"/>
            <w:tcBorders>
              <w:top w:val="nil"/>
              <w:left w:val="nil"/>
              <w:bottom w:val="nil"/>
              <w:right w:val="nil"/>
            </w:tcBorders>
            <w:shd w:val="clear" w:color="auto" w:fill="auto"/>
            <w:noWrap/>
            <w:vAlign w:val="center"/>
            <w:hideMark/>
          </w:tcPr>
          <w:p w14:paraId="34F47E47" w14:textId="64205298"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9</w:t>
            </w:r>
            <w:r w:rsidR="00335342">
              <w:rPr>
                <w:rFonts w:eastAsia="Times New Roman" w:cs="Arial"/>
                <w:color w:val="auto"/>
                <w:lang w:eastAsia="en-GB"/>
              </w:rPr>
              <w:t>8</w:t>
            </w:r>
          </w:p>
        </w:tc>
      </w:tr>
      <w:tr w:rsidR="00D104DA" w:rsidRPr="00747B0B" w14:paraId="7D75932A" w14:textId="77777777" w:rsidTr="00100442">
        <w:trPr>
          <w:trHeight w:val="454"/>
        </w:trPr>
        <w:tc>
          <w:tcPr>
            <w:tcW w:w="9157" w:type="dxa"/>
            <w:tcBorders>
              <w:top w:val="nil"/>
              <w:left w:val="nil"/>
              <w:bottom w:val="nil"/>
              <w:right w:val="nil"/>
            </w:tcBorders>
            <w:shd w:val="clear" w:color="auto" w:fill="auto"/>
            <w:vAlign w:val="center"/>
            <w:hideMark/>
          </w:tcPr>
          <w:p w14:paraId="02F9B4E7" w14:textId="1B8C9834"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Unusable reserves</w:t>
            </w:r>
          </w:p>
        </w:tc>
        <w:tc>
          <w:tcPr>
            <w:tcW w:w="907" w:type="dxa"/>
            <w:tcBorders>
              <w:top w:val="nil"/>
              <w:left w:val="nil"/>
              <w:bottom w:val="nil"/>
              <w:right w:val="nil"/>
            </w:tcBorders>
            <w:shd w:val="clear" w:color="auto" w:fill="auto"/>
            <w:noWrap/>
            <w:vAlign w:val="center"/>
            <w:hideMark/>
          </w:tcPr>
          <w:p w14:paraId="409DB6AB" w14:textId="6DBBF779"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9</w:t>
            </w:r>
            <w:r w:rsidR="00335342">
              <w:rPr>
                <w:rFonts w:eastAsia="Times New Roman" w:cs="Arial"/>
                <w:color w:val="auto"/>
                <w:lang w:eastAsia="en-GB"/>
              </w:rPr>
              <w:t>9</w:t>
            </w:r>
          </w:p>
        </w:tc>
      </w:tr>
      <w:tr w:rsidR="00D104DA" w:rsidRPr="00747B0B" w14:paraId="5B5332BB" w14:textId="77777777" w:rsidTr="00100442">
        <w:trPr>
          <w:trHeight w:val="454"/>
        </w:trPr>
        <w:tc>
          <w:tcPr>
            <w:tcW w:w="9157" w:type="dxa"/>
            <w:tcBorders>
              <w:top w:val="nil"/>
              <w:left w:val="nil"/>
              <w:bottom w:val="nil"/>
              <w:right w:val="nil"/>
            </w:tcBorders>
            <w:shd w:val="clear" w:color="auto" w:fill="auto"/>
            <w:vAlign w:val="center"/>
            <w:hideMark/>
          </w:tcPr>
          <w:p w14:paraId="229BA952" w14:textId="7BB7B16B"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Long term debtors</w:t>
            </w:r>
          </w:p>
        </w:tc>
        <w:tc>
          <w:tcPr>
            <w:tcW w:w="907" w:type="dxa"/>
            <w:tcBorders>
              <w:top w:val="nil"/>
              <w:left w:val="nil"/>
              <w:bottom w:val="nil"/>
              <w:right w:val="nil"/>
            </w:tcBorders>
            <w:shd w:val="clear" w:color="auto" w:fill="auto"/>
            <w:noWrap/>
            <w:vAlign w:val="center"/>
            <w:hideMark/>
          </w:tcPr>
          <w:p w14:paraId="48BB7A64" w14:textId="4B0243C8"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10</w:t>
            </w:r>
            <w:r w:rsidR="00335342">
              <w:rPr>
                <w:rFonts w:eastAsia="Times New Roman" w:cs="Arial"/>
                <w:color w:val="auto"/>
                <w:lang w:eastAsia="en-GB"/>
              </w:rPr>
              <w:t>2</w:t>
            </w:r>
          </w:p>
        </w:tc>
      </w:tr>
      <w:tr w:rsidR="00D104DA" w:rsidRPr="00747B0B" w14:paraId="06A7C909" w14:textId="77777777" w:rsidTr="00100442">
        <w:trPr>
          <w:trHeight w:val="454"/>
        </w:trPr>
        <w:tc>
          <w:tcPr>
            <w:tcW w:w="9157" w:type="dxa"/>
            <w:tcBorders>
              <w:top w:val="nil"/>
              <w:left w:val="nil"/>
              <w:bottom w:val="nil"/>
              <w:right w:val="nil"/>
            </w:tcBorders>
            <w:shd w:val="clear" w:color="auto" w:fill="auto"/>
            <w:vAlign w:val="center"/>
            <w:hideMark/>
          </w:tcPr>
          <w:p w14:paraId="21CE190F" w14:textId="147E4876"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AC2E64" w:rsidRPr="009C1D66">
              <w:rPr>
                <w:rFonts w:eastAsia="Times New Roman" w:cs="Arial"/>
                <w:lang w:eastAsia="en-GB"/>
              </w:rPr>
              <w:t>Cash flows</w:t>
            </w:r>
            <w:r w:rsidR="00D02330" w:rsidRPr="009C1D66">
              <w:rPr>
                <w:rFonts w:eastAsia="Times New Roman" w:cs="Arial"/>
                <w:lang w:eastAsia="en-GB"/>
              </w:rPr>
              <w:t xml:space="preserve"> from operating activities</w:t>
            </w:r>
            <w:r w:rsidR="00AC2E64" w:rsidRPr="009C1D66">
              <w:rPr>
                <w:rFonts w:eastAsia="Times New Roman" w:cs="Arial"/>
                <w:lang w:eastAsia="en-GB"/>
              </w:rPr>
              <w:t xml:space="preserve">: </w:t>
            </w:r>
            <w:r w:rsidR="00D02330" w:rsidRPr="009C1D66">
              <w:rPr>
                <w:rFonts w:eastAsia="Times New Roman" w:cs="Arial"/>
                <w:lang w:eastAsia="en-GB"/>
              </w:rPr>
              <w:t>interest</w:t>
            </w:r>
          </w:p>
        </w:tc>
        <w:tc>
          <w:tcPr>
            <w:tcW w:w="907" w:type="dxa"/>
            <w:tcBorders>
              <w:top w:val="nil"/>
              <w:left w:val="nil"/>
              <w:bottom w:val="nil"/>
              <w:right w:val="nil"/>
            </w:tcBorders>
            <w:shd w:val="clear" w:color="auto" w:fill="auto"/>
            <w:noWrap/>
            <w:vAlign w:val="center"/>
            <w:hideMark/>
          </w:tcPr>
          <w:p w14:paraId="7AA42837" w14:textId="5FD5F8CD" w:rsidR="00D104DA" w:rsidRPr="009C1D66" w:rsidRDefault="00413839">
            <w:pPr>
              <w:autoSpaceDE/>
              <w:autoSpaceDN/>
              <w:adjustRightInd/>
              <w:spacing w:after="0"/>
              <w:jc w:val="center"/>
              <w:rPr>
                <w:rFonts w:eastAsia="Times New Roman" w:cs="Arial"/>
                <w:color w:val="auto"/>
                <w:lang w:eastAsia="en-GB"/>
              </w:rPr>
            </w:pPr>
            <w:r>
              <w:rPr>
                <w:rFonts w:eastAsia="Times New Roman" w:cs="Arial"/>
                <w:color w:val="auto"/>
                <w:lang w:eastAsia="en-GB"/>
              </w:rPr>
              <w:t>10</w:t>
            </w:r>
            <w:r w:rsidR="00335342">
              <w:rPr>
                <w:rFonts w:eastAsia="Times New Roman" w:cs="Arial"/>
                <w:color w:val="auto"/>
                <w:lang w:eastAsia="en-GB"/>
              </w:rPr>
              <w:t>3</w:t>
            </w:r>
          </w:p>
        </w:tc>
      </w:tr>
      <w:tr w:rsidR="00D104DA" w:rsidRPr="00747B0B" w14:paraId="02A0241E" w14:textId="77777777" w:rsidTr="00100442">
        <w:trPr>
          <w:trHeight w:val="454"/>
        </w:trPr>
        <w:tc>
          <w:tcPr>
            <w:tcW w:w="9157" w:type="dxa"/>
            <w:tcBorders>
              <w:top w:val="nil"/>
              <w:left w:val="nil"/>
              <w:bottom w:val="nil"/>
              <w:right w:val="nil"/>
            </w:tcBorders>
            <w:shd w:val="clear" w:color="auto" w:fill="auto"/>
            <w:vAlign w:val="center"/>
            <w:hideMark/>
          </w:tcPr>
          <w:p w14:paraId="6DD805E7" w14:textId="01C1C65C"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AC2E64" w:rsidRPr="009C1D66">
              <w:rPr>
                <w:rFonts w:eastAsia="Times New Roman" w:cs="Arial"/>
                <w:lang w:eastAsia="en-GB"/>
              </w:rPr>
              <w:t>Cash flows</w:t>
            </w:r>
            <w:r w:rsidR="00D02330" w:rsidRPr="009C1D66">
              <w:rPr>
                <w:rFonts w:eastAsia="Times New Roman" w:cs="Arial"/>
                <w:lang w:eastAsia="en-GB"/>
              </w:rPr>
              <w:t xml:space="preserve"> from operating activities</w:t>
            </w:r>
            <w:r w:rsidR="00D02330" w:rsidRPr="009C1D66" w:rsidDel="00D02330">
              <w:rPr>
                <w:rFonts w:eastAsia="Times New Roman" w:cs="Arial"/>
                <w:lang w:eastAsia="en-GB"/>
              </w:rPr>
              <w:t xml:space="preserve"> </w:t>
            </w:r>
          </w:p>
        </w:tc>
        <w:tc>
          <w:tcPr>
            <w:tcW w:w="907" w:type="dxa"/>
            <w:tcBorders>
              <w:top w:val="nil"/>
              <w:left w:val="nil"/>
              <w:bottom w:val="nil"/>
              <w:right w:val="nil"/>
            </w:tcBorders>
            <w:shd w:val="clear" w:color="auto" w:fill="auto"/>
            <w:noWrap/>
            <w:vAlign w:val="center"/>
            <w:hideMark/>
          </w:tcPr>
          <w:p w14:paraId="1367727F" w14:textId="34064A53" w:rsidR="00D104DA" w:rsidRPr="009C1D66" w:rsidRDefault="00413839">
            <w:pPr>
              <w:autoSpaceDE/>
              <w:autoSpaceDN/>
              <w:adjustRightInd/>
              <w:spacing w:after="0"/>
              <w:jc w:val="center"/>
              <w:rPr>
                <w:rFonts w:eastAsia="Times New Roman" w:cs="Arial"/>
                <w:lang w:eastAsia="en-GB"/>
              </w:rPr>
            </w:pPr>
            <w:r>
              <w:rPr>
                <w:rFonts w:eastAsia="Times New Roman" w:cs="Arial"/>
                <w:lang w:eastAsia="en-GB"/>
              </w:rPr>
              <w:t>10</w:t>
            </w:r>
            <w:r w:rsidR="00335342">
              <w:rPr>
                <w:rFonts w:eastAsia="Times New Roman" w:cs="Arial"/>
                <w:lang w:eastAsia="en-GB"/>
              </w:rPr>
              <w:t>4</w:t>
            </w:r>
          </w:p>
        </w:tc>
      </w:tr>
      <w:tr w:rsidR="00D104DA" w:rsidRPr="00747B0B" w14:paraId="1B21729E" w14:textId="77777777" w:rsidTr="00100442">
        <w:trPr>
          <w:trHeight w:val="454"/>
        </w:trPr>
        <w:tc>
          <w:tcPr>
            <w:tcW w:w="9157" w:type="dxa"/>
            <w:tcBorders>
              <w:top w:val="nil"/>
              <w:left w:val="nil"/>
              <w:bottom w:val="nil"/>
              <w:right w:val="nil"/>
            </w:tcBorders>
            <w:shd w:val="clear" w:color="auto" w:fill="auto"/>
            <w:vAlign w:val="center"/>
            <w:hideMark/>
          </w:tcPr>
          <w:p w14:paraId="54964C4B" w14:textId="0DF01B11"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AC2E64" w:rsidRPr="009C1D66">
              <w:rPr>
                <w:rFonts w:eastAsia="Times New Roman" w:cs="Arial"/>
                <w:lang w:eastAsia="en-GB"/>
              </w:rPr>
              <w:t>Cash flows</w:t>
            </w:r>
            <w:r w:rsidR="00D104DA" w:rsidRPr="009C1D66">
              <w:rPr>
                <w:rFonts w:eastAsia="Times New Roman" w:cs="Arial"/>
                <w:lang w:eastAsia="en-GB"/>
              </w:rPr>
              <w:t xml:space="preserve"> from investing activities</w:t>
            </w:r>
          </w:p>
        </w:tc>
        <w:tc>
          <w:tcPr>
            <w:tcW w:w="907" w:type="dxa"/>
            <w:tcBorders>
              <w:top w:val="nil"/>
              <w:left w:val="nil"/>
              <w:bottom w:val="nil"/>
              <w:right w:val="nil"/>
            </w:tcBorders>
            <w:shd w:val="clear" w:color="auto" w:fill="auto"/>
            <w:noWrap/>
            <w:vAlign w:val="center"/>
            <w:hideMark/>
          </w:tcPr>
          <w:p w14:paraId="24F9B856" w14:textId="68461B62" w:rsidR="00D104DA" w:rsidRPr="009C1D66" w:rsidRDefault="00413839">
            <w:pPr>
              <w:autoSpaceDE/>
              <w:autoSpaceDN/>
              <w:adjustRightInd/>
              <w:spacing w:after="0"/>
              <w:jc w:val="center"/>
              <w:rPr>
                <w:rFonts w:eastAsia="Times New Roman" w:cs="Arial"/>
                <w:lang w:eastAsia="en-GB"/>
              </w:rPr>
            </w:pPr>
            <w:r>
              <w:rPr>
                <w:rFonts w:eastAsia="Times New Roman" w:cs="Arial"/>
                <w:lang w:eastAsia="en-GB"/>
              </w:rPr>
              <w:t>10</w:t>
            </w:r>
            <w:r w:rsidR="00335342">
              <w:rPr>
                <w:rFonts w:eastAsia="Times New Roman" w:cs="Arial"/>
                <w:lang w:eastAsia="en-GB"/>
              </w:rPr>
              <w:t>5</w:t>
            </w:r>
          </w:p>
        </w:tc>
      </w:tr>
      <w:tr w:rsidR="00D104DA" w:rsidRPr="00747B0B" w14:paraId="097C6FD1" w14:textId="77777777" w:rsidTr="00100442">
        <w:trPr>
          <w:trHeight w:val="454"/>
        </w:trPr>
        <w:tc>
          <w:tcPr>
            <w:tcW w:w="9157" w:type="dxa"/>
            <w:tcBorders>
              <w:top w:val="nil"/>
              <w:left w:val="nil"/>
              <w:bottom w:val="nil"/>
              <w:right w:val="nil"/>
            </w:tcBorders>
            <w:shd w:val="clear" w:color="auto" w:fill="auto"/>
            <w:vAlign w:val="center"/>
            <w:hideMark/>
          </w:tcPr>
          <w:p w14:paraId="6D36D3CA" w14:textId="0E6975C0"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AC2E64" w:rsidRPr="009C1D66">
              <w:rPr>
                <w:rFonts w:eastAsia="Times New Roman" w:cs="Arial"/>
                <w:lang w:eastAsia="en-GB"/>
              </w:rPr>
              <w:t>Cash flows</w:t>
            </w:r>
            <w:r w:rsidR="00D104DA" w:rsidRPr="009C1D66">
              <w:rPr>
                <w:rFonts w:eastAsia="Times New Roman" w:cs="Arial"/>
                <w:lang w:eastAsia="en-GB"/>
              </w:rPr>
              <w:t xml:space="preserve"> from financing activities</w:t>
            </w:r>
          </w:p>
        </w:tc>
        <w:tc>
          <w:tcPr>
            <w:tcW w:w="907" w:type="dxa"/>
            <w:tcBorders>
              <w:top w:val="nil"/>
              <w:left w:val="nil"/>
              <w:bottom w:val="nil"/>
              <w:right w:val="nil"/>
            </w:tcBorders>
            <w:shd w:val="clear" w:color="auto" w:fill="auto"/>
            <w:noWrap/>
            <w:vAlign w:val="center"/>
            <w:hideMark/>
          </w:tcPr>
          <w:p w14:paraId="6B67D5A8" w14:textId="5290E026" w:rsidR="00D104DA" w:rsidRPr="009C1D66" w:rsidRDefault="00413839">
            <w:pPr>
              <w:autoSpaceDE/>
              <w:autoSpaceDN/>
              <w:adjustRightInd/>
              <w:spacing w:after="0"/>
              <w:jc w:val="center"/>
              <w:rPr>
                <w:rFonts w:eastAsia="Times New Roman" w:cs="Arial"/>
                <w:lang w:eastAsia="en-GB"/>
              </w:rPr>
            </w:pPr>
            <w:r>
              <w:rPr>
                <w:rFonts w:eastAsia="Times New Roman" w:cs="Arial"/>
                <w:lang w:eastAsia="en-GB"/>
              </w:rPr>
              <w:t>10</w:t>
            </w:r>
            <w:r w:rsidR="00335342">
              <w:rPr>
                <w:rFonts w:eastAsia="Times New Roman" w:cs="Arial"/>
                <w:lang w:eastAsia="en-GB"/>
              </w:rPr>
              <w:t>5</w:t>
            </w:r>
          </w:p>
        </w:tc>
      </w:tr>
      <w:tr w:rsidR="0047699E" w:rsidRPr="00747B0B" w14:paraId="6719D6B3" w14:textId="77777777" w:rsidTr="00100442">
        <w:trPr>
          <w:trHeight w:val="454"/>
        </w:trPr>
        <w:tc>
          <w:tcPr>
            <w:tcW w:w="9157" w:type="dxa"/>
            <w:tcBorders>
              <w:top w:val="nil"/>
              <w:left w:val="nil"/>
              <w:bottom w:val="nil"/>
              <w:right w:val="nil"/>
            </w:tcBorders>
            <w:shd w:val="clear" w:color="auto" w:fill="auto"/>
            <w:vAlign w:val="center"/>
          </w:tcPr>
          <w:p w14:paraId="79D89C5C" w14:textId="1EDEFD5E" w:rsidR="0047699E" w:rsidRPr="009C1D66" w:rsidRDefault="00335342" w:rsidP="00EC401F">
            <w:pPr>
              <w:pStyle w:val="ListParagraph"/>
              <w:numPr>
                <w:ilvl w:val="0"/>
                <w:numId w:val="44"/>
              </w:numPr>
              <w:autoSpaceDE/>
              <w:autoSpaceDN/>
              <w:adjustRightInd/>
              <w:spacing w:after="0"/>
              <w:jc w:val="left"/>
              <w:rPr>
                <w:rFonts w:eastAsia="Times New Roman" w:cs="Arial"/>
                <w:lang w:eastAsia="en-GB"/>
              </w:rPr>
            </w:pPr>
            <w:r>
              <w:rPr>
                <w:rFonts w:eastAsia="Times New Roman" w:cs="Arial"/>
                <w:lang w:eastAsia="en-GB"/>
              </w:rPr>
              <w:t xml:space="preserve"> </w:t>
            </w:r>
            <w:r w:rsidR="0047699E">
              <w:rPr>
                <w:rFonts w:eastAsia="Times New Roman" w:cs="Arial"/>
                <w:lang w:eastAsia="en-GB"/>
              </w:rPr>
              <w:t>Acquired operations</w:t>
            </w:r>
          </w:p>
        </w:tc>
        <w:tc>
          <w:tcPr>
            <w:tcW w:w="907" w:type="dxa"/>
            <w:tcBorders>
              <w:top w:val="nil"/>
              <w:left w:val="nil"/>
              <w:bottom w:val="nil"/>
              <w:right w:val="nil"/>
            </w:tcBorders>
            <w:shd w:val="clear" w:color="auto" w:fill="auto"/>
            <w:noWrap/>
            <w:vAlign w:val="center"/>
          </w:tcPr>
          <w:p w14:paraId="05F36FEF" w14:textId="6BAACFEB" w:rsidR="0047699E" w:rsidDel="00032185" w:rsidRDefault="00335342" w:rsidP="00413839">
            <w:pPr>
              <w:autoSpaceDE/>
              <w:autoSpaceDN/>
              <w:adjustRightInd/>
              <w:spacing w:after="0"/>
              <w:jc w:val="center"/>
              <w:rPr>
                <w:rFonts w:eastAsia="Times New Roman" w:cs="Arial"/>
                <w:lang w:eastAsia="en-GB"/>
              </w:rPr>
            </w:pPr>
            <w:r>
              <w:rPr>
                <w:rFonts w:eastAsia="Times New Roman" w:cs="Arial"/>
                <w:lang w:eastAsia="en-GB"/>
              </w:rPr>
              <w:t>105</w:t>
            </w:r>
          </w:p>
        </w:tc>
      </w:tr>
      <w:tr w:rsidR="00D104DA" w:rsidRPr="00747B0B" w14:paraId="136E1A58" w14:textId="77777777" w:rsidTr="00100442">
        <w:trPr>
          <w:trHeight w:val="454"/>
        </w:trPr>
        <w:tc>
          <w:tcPr>
            <w:tcW w:w="9157" w:type="dxa"/>
            <w:tcBorders>
              <w:top w:val="nil"/>
              <w:left w:val="nil"/>
              <w:bottom w:val="nil"/>
              <w:right w:val="nil"/>
            </w:tcBorders>
            <w:shd w:val="clear" w:color="auto" w:fill="auto"/>
            <w:vAlign w:val="center"/>
            <w:hideMark/>
          </w:tcPr>
          <w:p w14:paraId="05DA5A0E" w14:textId="3F3166D5"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Related parties</w:t>
            </w:r>
          </w:p>
        </w:tc>
        <w:tc>
          <w:tcPr>
            <w:tcW w:w="907" w:type="dxa"/>
            <w:tcBorders>
              <w:top w:val="nil"/>
              <w:left w:val="nil"/>
              <w:bottom w:val="nil"/>
              <w:right w:val="nil"/>
            </w:tcBorders>
            <w:shd w:val="clear" w:color="auto" w:fill="auto"/>
            <w:noWrap/>
            <w:vAlign w:val="center"/>
            <w:hideMark/>
          </w:tcPr>
          <w:p w14:paraId="24BD763F" w14:textId="1DF6C456" w:rsidR="00D104DA" w:rsidRPr="009C1D66" w:rsidRDefault="00413839">
            <w:pPr>
              <w:autoSpaceDE/>
              <w:autoSpaceDN/>
              <w:adjustRightInd/>
              <w:spacing w:after="0"/>
              <w:jc w:val="center"/>
              <w:rPr>
                <w:rFonts w:eastAsia="Times New Roman" w:cs="Arial"/>
                <w:lang w:eastAsia="en-GB"/>
              </w:rPr>
            </w:pPr>
            <w:r>
              <w:rPr>
                <w:rFonts w:eastAsia="Times New Roman" w:cs="Arial"/>
                <w:lang w:eastAsia="en-GB"/>
              </w:rPr>
              <w:t>10</w:t>
            </w:r>
            <w:r w:rsidR="00335342">
              <w:rPr>
                <w:rFonts w:eastAsia="Times New Roman" w:cs="Arial"/>
                <w:lang w:eastAsia="en-GB"/>
              </w:rPr>
              <w:t>6</w:t>
            </w:r>
          </w:p>
        </w:tc>
      </w:tr>
      <w:tr w:rsidR="00D104DA" w:rsidRPr="00747B0B" w14:paraId="1737304F" w14:textId="77777777" w:rsidTr="00100442">
        <w:trPr>
          <w:trHeight w:val="454"/>
        </w:trPr>
        <w:tc>
          <w:tcPr>
            <w:tcW w:w="9157" w:type="dxa"/>
            <w:tcBorders>
              <w:top w:val="nil"/>
              <w:left w:val="nil"/>
              <w:bottom w:val="nil"/>
              <w:right w:val="nil"/>
            </w:tcBorders>
            <w:shd w:val="clear" w:color="auto" w:fill="auto"/>
            <w:vAlign w:val="center"/>
            <w:hideMark/>
          </w:tcPr>
          <w:p w14:paraId="01F55214" w14:textId="6542C2F5"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Contingent liabilities</w:t>
            </w:r>
          </w:p>
        </w:tc>
        <w:tc>
          <w:tcPr>
            <w:tcW w:w="907" w:type="dxa"/>
            <w:tcBorders>
              <w:top w:val="nil"/>
              <w:left w:val="nil"/>
              <w:bottom w:val="nil"/>
              <w:right w:val="nil"/>
            </w:tcBorders>
            <w:shd w:val="clear" w:color="auto" w:fill="auto"/>
            <w:noWrap/>
            <w:vAlign w:val="center"/>
            <w:hideMark/>
          </w:tcPr>
          <w:p w14:paraId="3B5A6DE8" w14:textId="324579D8" w:rsidR="00D104DA" w:rsidRPr="009C1D66" w:rsidRDefault="00413839">
            <w:pPr>
              <w:autoSpaceDE/>
              <w:autoSpaceDN/>
              <w:adjustRightInd/>
              <w:spacing w:after="0"/>
              <w:jc w:val="center"/>
              <w:rPr>
                <w:rFonts w:eastAsia="Times New Roman" w:cs="Arial"/>
                <w:lang w:eastAsia="en-GB"/>
              </w:rPr>
            </w:pPr>
            <w:r>
              <w:rPr>
                <w:rFonts w:eastAsia="Times New Roman" w:cs="Arial"/>
                <w:lang w:eastAsia="en-GB"/>
              </w:rPr>
              <w:t>1</w:t>
            </w:r>
            <w:r w:rsidR="00335342">
              <w:rPr>
                <w:rFonts w:eastAsia="Times New Roman" w:cs="Arial"/>
                <w:lang w:eastAsia="en-GB"/>
              </w:rPr>
              <w:t>10</w:t>
            </w:r>
          </w:p>
        </w:tc>
      </w:tr>
      <w:tr w:rsidR="00D104DA" w:rsidRPr="00747B0B" w14:paraId="622F0130" w14:textId="77777777" w:rsidTr="00100442">
        <w:trPr>
          <w:trHeight w:val="454"/>
        </w:trPr>
        <w:tc>
          <w:tcPr>
            <w:tcW w:w="9157" w:type="dxa"/>
            <w:tcBorders>
              <w:top w:val="nil"/>
              <w:left w:val="nil"/>
              <w:bottom w:val="nil"/>
              <w:right w:val="nil"/>
            </w:tcBorders>
            <w:shd w:val="clear" w:color="auto" w:fill="auto"/>
            <w:vAlign w:val="center"/>
            <w:hideMark/>
          </w:tcPr>
          <w:p w14:paraId="3B44F4B5" w14:textId="4D3E1914" w:rsidR="00D104DA" w:rsidRPr="009C1D66" w:rsidRDefault="00B34787" w:rsidP="00EC401F">
            <w:pPr>
              <w:pStyle w:val="ListParagraph"/>
              <w:numPr>
                <w:ilvl w:val="0"/>
                <w:numId w:val="44"/>
              </w:numPr>
              <w:autoSpaceDE/>
              <w:autoSpaceDN/>
              <w:adjustRightInd/>
              <w:spacing w:after="0"/>
              <w:jc w:val="left"/>
              <w:rPr>
                <w:rFonts w:eastAsia="Times New Roman" w:cs="Arial"/>
                <w:lang w:eastAsia="en-GB"/>
              </w:rPr>
            </w:pPr>
            <w:r w:rsidRPr="009C1D66">
              <w:rPr>
                <w:rFonts w:eastAsia="Times New Roman" w:cs="Arial"/>
                <w:lang w:eastAsia="en-GB"/>
              </w:rPr>
              <w:t xml:space="preserve"> </w:t>
            </w:r>
            <w:r w:rsidR="00D104DA" w:rsidRPr="009C1D66">
              <w:rPr>
                <w:rFonts w:eastAsia="Times New Roman" w:cs="Arial"/>
                <w:lang w:eastAsia="en-GB"/>
              </w:rPr>
              <w:t>Defined benefit pension scheme</w:t>
            </w:r>
            <w:r w:rsidR="00760752" w:rsidRPr="009C1D66">
              <w:rPr>
                <w:rFonts w:eastAsia="Times New Roman" w:cs="Arial"/>
                <w:lang w:eastAsia="en-GB"/>
              </w:rPr>
              <w:t>s</w:t>
            </w:r>
          </w:p>
        </w:tc>
        <w:tc>
          <w:tcPr>
            <w:tcW w:w="907" w:type="dxa"/>
            <w:tcBorders>
              <w:top w:val="nil"/>
              <w:left w:val="nil"/>
              <w:bottom w:val="nil"/>
              <w:right w:val="nil"/>
            </w:tcBorders>
            <w:shd w:val="clear" w:color="auto" w:fill="auto"/>
            <w:noWrap/>
            <w:vAlign w:val="center"/>
            <w:hideMark/>
          </w:tcPr>
          <w:p w14:paraId="5F6C8B75" w14:textId="379DA511" w:rsidR="00D104DA" w:rsidRPr="009C1D66" w:rsidRDefault="00413839">
            <w:pPr>
              <w:autoSpaceDE/>
              <w:autoSpaceDN/>
              <w:adjustRightInd/>
              <w:spacing w:after="0"/>
              <w:jc w:val="center"/>
              <w:rPr>
                <w:rFonts w:eastAsia="Times New Roman" w:cs="Arial"/>
                <w:lang w:eastAsia="en-GB"/>
              </w:rPr>
            </w:pPr>
            <w:r>
              <w:rPr>
                <w:rFonts w:eastAsia="Times New Roman" w:cs="Arial"/>
                <w:lang w:eastAsia="en-GB"/>
              </w:rPr>
              <w:t>1</w:t>
            </w:r>
            <w:r w:rsidR="00335342">
              <w:rPr>
                <w:rFonts w:eastAsia="Times New Roman" w:cs="Arial"/>
                <w:lang w:eastAsia="en-GB"/>
              </w:rPr>
              <w:t>10</w:t>
            </w:r>
          </w:p>
        </w:tc>
      </w:tr>
      <w:tr w:rsidR="00EF4880" w:rsidRPr="00747B0B" w14:paraId="4FEFF560" w14:textId="77777777" w:rsidTr="00100442">
        <w:trPr>
          <w:trHeight w:val="454"/>
        </w:trPr>
        <w:tc>
          <w:tcPr>
            <w:tcW w:w="9157" w:type="dxa"/>
            <w:tcBorders>
              <w:top w:val="nil"/>
              <w:left w:val="nil"/>
              <w:bottom w:val="nil"/>
              <w:right w:val="nil"/>
            </w:tcBorders>
            <w:shd w:val="clear" w:color="auto" w:fill="auto"/>
            <w:vAlign w:val="center"/>
          </w:tcPr>
          <w:p w14:paraId="3D4A3B71" w14:textId="77777777" w:rsidR="00EF4880" w:rsidRPr="009C1D66" w:rsidRDefault="00EF4880" w:rsidP="00EF4880">
            <w:pPr>
              <w:autoSpaceDE/>
              <w:autoSpaceDN/>
              <w:adjustRightInd/>
              <w:jc w:val="left"/>
              <w:rPr>
                <w:rFonts w:eastAsia="Times New Roman" w:cs="Arial"/>
                <w:lang w:eastAsia="en-GB"/>
              </w:rPr>
            </w:pPr>
            <w:r w:rsidRPr="009C1D66">
              <w:rPr>
                <w:rFonts w:eastAsia="Times New Roman" w:cs="Arial"/>
                <w:b/>
                <w:lang w:eastAsia="en-GB"/>
              </w:rPr>
              <w:t>Other funds</w:t>
            </w:r>
          </w:p>
        </w:tc>
        <w:tc>
          <w:tcPr>
            <w:tcW w:w="907" w:type="dxa"/>
            <w:tcBorders>
              <w:top w:val="nil"/>
              <w:left w:val="nil"/>
              <w:bottom w:val="nil"/>
              <w:right w:val="nil"/>
            </w:tcBorders>
            <w:shd w:val="clear" w:color="auto" w:fill="auto"/>
            <w:noWrap/>
            <w:vAlign w:val="center"/>
          </w:tcPr>
          <w:p w14:paraId="63D72694" w14:textId="430BE35A" w:rsidR="00EF4880" w:rsidRPr="009C1D66" w:rsidRDefault="00413839">
            <w:pPr>
              <w:autoSpaceDE/>
              <w:autoSpaceDN/>
              <w:adjustRightInd/>
              <w:jc w:val="center"/>
              <w:rPr>
                <w:rFonts w:eastAsia="Times New Roman" w:cs="Arial"/>
                <w:b/>
                <w:lang w:eastAsia="en-GB"/>
              </w:rPr>
            </w:pPr>
            <w:r>
              <w:rPr>
                <w:rFonts w:eastAsia="Times New Roman" w:cs="Arial"/>
                <w:b/>
                <w:lang w:eastAsia="en-GB"/>
              </w:rPr>
              <w:t>1</w:t>
            </w:r>
            <w:r w:rsidR="00335342">
              <w:rPr>
                <w:rFonts w:eastAsia="Times New Roman" w:cs="Arial"/>
                <w:b/>
                <w:lang w:eastAsia="en-GB"/>
              </w:rPr>
              <w:t>20</w:t>
            </w:r>
          </w:p>
        </w:tc>
      </w:tr>
      <w:tr w:rsidR="00D104DA" w:rsidRPr="00747B0B" w14:paraId="0DE3559B" w14:textId="77777777" w:rsidTr="00100442">
        <w:trPr>
          <w:trHeight w:val="454"/>
        </w:trPr>
        <w:tc>
          <w:tcPr>
            <w:tcW w:w="9157" w:type="dxa"/>
            <w:tcBorders>
              <w:top w:val="nil"/>
              <w:left w:val="nil"/>
              <w:bottom w:val="nil"/>
              <w:right w:val="nil"/>
            </w:tcBorders>
            <w:shd w:val="clear" w:color="auto" w:fill="auto"/>
            <w:vAlign w:val="center"/>
            <w:hideMark/>
          </w:tcPr>
          <w:p w14:paraId="43A53625" w14:textId="77777777" w:rsidR="00D104DA" w:rsidRPr="00902718" w:rsidRDefault="00D104DA" w:rsidP="00100442">
            <w:pPr>
              <w:autoSpaceDE/>
              <w:autoSpaceDN/>
              <w:adjustRightInd/>
              <w:jc w:val="left"/>
              <w:rPr>
                <w:rFonts w:eastAsia="Times New Roman" w:cs="Arial"/>
                <w:b/>
                <w:lang w:eastAsia="en-GB"/>
              </w:rPr>
            </w:pPr>
            <w:r w:rsidRPr="00902718">
              <w:rPr>
                <w:rFonts w:eastAsia="Times New Roman" w:cs="Arial"/>
                <w:b/>
                <w:lang w:eastAsia="en-GB"/>
              </w:rPr>
              <w:t>Lancashire County Pension Fund accounts</w:t>
            </w:r>
          </w:p>
        </w:tc>
        <w:tc>
          <w:tcPr>
            <w:tcW w:w="907" w:type="dxa"/>
            <w:tcBorders>
              <w:top w:val="nil"/>
              <w:left w:val="nil"/>
              <w:bottom w:val="nil"/>
              <w:right w:val="nil"/>
            </w:tcBorders>
            <w:shd w:val="clear" w:color="auto" w:fill="auto"/>
            <w:noWrap/>
            <w:vAlign w:val="center"/>
            <w:hideMark/>
          </w:tcPr>
          <w:p w14:paraId="341B1437" w14:textId="3768D71C" w:rsidR="00D104DA" w:rsidRPr="00902718" w:rsidRDefault="00413839">
            <w:pPr>
              <w:autoSpaceDE/>
              <w:autoSpaceDN/>
              <w:adjustRightInd/>
              <w:jc w:val="center"/>
              <w:rPr>
                <w:rFonts w:eastAsia="Times New Roman" w:cs="Arial"/>
                <w:b/>
                <w:lang w:eastAsia="en-GB"/>
              </w:rPr>
            </w:pPr>
            <w:r>
              <w:rPr>
                <w:rFonts w:eastAsia="Times New Roman" w:cs="Arial"/>
                <w:b/>
                <w:lang w:eastAsia="en-GB"/>
              </w:rPr>
              <w:t>12</w:t>
            </w:r>
            <w:r w:rsidR="00335342">
              <w:rPr>
                <w:rFonts w:eastAsia="Times New Roman" w:cs="Arial"/>
                <w:b/>
                <w:lang w:eastAsia="en-GB"/>
              </w:rPr>
              <w:t>2</w:t>
            </w:r>
          </w:p>
        </w:tc>
      </w:tr>
      <w:tr w:rsidR="00D104DA" w:rsidRPr="00747B0B" w14:paraId="2FB215E0" w14:textId="77777777" w:rsidTr="00100442">
        <w:trPr>
          <w:trHeight w:val="510"/>
        </w:trPr>
        <w:tc>
          <w:tcPr>
            <w:tcW w:w="9157" w:type="dxa"/>
            <w:tcBorders>
              <w:top w:val="nil"/>
              <w:left w:val="nil"/>
              <w:bottom w:val="nil"/>
              <w:right w:val="nil"/>
            </w:tcBorders>
            <w:shd w:val="clear" w:color="auto" w:fill="auto"/>
            <w:vAlign w:val="center"/>
            <w:hideMark/>
          </w:tcPr>
          <w:p w14:paraId="6557C3B1" w14:textId="77777777" w:rsidR="00D104DA" w:rsidRPr="00902718" w:rsidRDefault="00D104DA" w:rsidP="00100442">
            <w:pPr>
              <w:autoSpaceDE/>
              <w:autoSpaceDN/>
              <w:adjustRightInd/>
              <w:jc w:val="left"/>
              <w:rPr>
                <w:rFonts w:eastAsia="Times New Roman" w:cs="Arial"/>
                <w:b/>
                <w:bCs/>
                <w:lang w:eastAsia="en-GB"/>
              </w:rPr>
            </w:pPr>
            <w:r w:rsidRPr="00902718">
              <w:rPr>
                <w:rFonts w:eastAsia="Times New Roman" w:cs="Arial"/>
                <w:b/>
                <w:bCs/>
                <w:lang w:eastAsia="en-GB"/>
              </w:rPr>
              <w:t>Glossary</w:t>
            </w:r>
          </w:p>
        </w:tc>
        <w:tc>
          <w:tcPr>
            <w:tcW w:w="907" w:type="dxa"/>
            <w:tcBorders>
              <w:top w:val="nil"/>
              <w:left w:val="nil"/>
              <w:bottom w:val="nil"/>
              <w:right w:val="nil"/>
            </w:tcBorders>
            <w:shd w:val="clear" w:color="auto" w:fill="auto"/>
            <w:noWrap/>
            <w:vAlign w:val="center"/>
            <w:hideMark/>
          </w:tcPr>
          <w:p w14:paraId="72FB59D4" w14:textId="49A3E78B" w:rsidR="00D104DA" w:rsidRPr="00902718" w:rsidRDefault="00413839">
            <w:pPr>
              <w:autoSpaceDE/>
              <w:autoSpaceDN/>
              <w:adjustRightInd/>
              <w:jc w:val="center"/>
              <w:rPr>
                <w:rFonts w:eastAsia="Times New Roman" w:cs="Arial"/>
                <w:b/>
                <w:lang w:eastAsia="en-GB"/>
              </w:rPr>
            </w:pPr>
            <w:r>
              <w:rPr>
                <w:rFonts w:eastAsia="Times New Roman" w:cs="Arial"/>
                <w:b/>
                <w:lang w:eastAsia="en-GB"/>
              </w:rPr>
              <w:t>17</w:t>
            </w:r>
            <w:r w:rsidR="00335342">
              <w:rPr>
                <w:rFonts w:eastAsia="Times New Roman" w:cs="Arial"/>
                <w:b/>
                <w:lang w:eastAsia="en-GB"/>
              </w:rPr>
              <w:t>4</w:t>
            </w:r>
          </w:p>
        </w:tc>
      </w:tr>
    </w:tbl>
    <w:p w14:paraId="5DFDEF97" w14:textId="77777777" w:rsidR="006D7BB1" w:rsidRDefault="006D7BB1" w:rsidP="000E00B0">
      <w:pPr>
        <w:sectPr w:rsidR="006D7BB1" w:rsidSect="001218D1">
          <w:pgSz w:w="11900" w:h="16840" w:code="9"/>
          <w:pgMar w:top="720" w:right="720" w:bottom="720" w:left="720" w:header="283" w:footer="283" w:gutter="0"/>
          <w:pgNumType w:start="1"/>
          <w:cols w:space="292"/>
          <w:docGrid w:linePitch="326"/>
        </w:sectPr>
      </w:pPr>
    </w:p>
    <w:p w14:paraId="71DD5D0D" w14:textId="77777777" w:rsidR="005602EE" w:rsidRPr="00A06955" w:rsidRDefault="00B21315" w:rsidP="00A06955">
      <w:pPr>
        <w:rPr>
          <w:szCs w:val="40"/>
        </w:rPr>
      </w:pPr>
      <w:bookmarkStart w:id="1" w:name="Introduction"/>
      <w:bookmarkEnd w:id="0"/>
      <w:bookmarkEnd w:id="1"/>
      <w:r w:rsidRPr="00A06955">
        <w:rPr>
          <w:b/>
          <w:sz w:val="40"/>
          <w:szCs w:val="40"/>
        </w:rPr>
        <w:lastRenderedPageBreak/>
        <w:t>Introduction to the statement of accounts</w:t>
      </w:r>
    </w:p>
    <w:p w14:paraId="5447BCD3" w14:textId="77777777" w:rsidR="00B21315" w:rsidRPr="00A06955" w:rsidRDefault="00B21315" w:rsidP="009F0317">
      <w:pPr>
        <w:pStyle w:val="Heading2"/>
      </w:pPr>
      <w:r w:rsidRPr="00A06955">
        <w:t>Purpose of the statement of accounts</w:t>
      </w:r>
    </w:p>
    <w:p w14:paraId="5F23C34A" w14:textId="60820448" w:rsidR="00B21315" w:rsidRPr="00A06955" w:rsidRDefault="00B21315" w:rsidP="00B21315">
      <w:r w:rsidRPr="00A06955">
        <w:t xml:space="preserve">This statement </w:t>
      </w:r>
      <w:r w:rsidR="00632343" w:rsidRPr="00A06955">
        <w:t>includes</w:t>
      </w:r>
      <w:r w:rsidRPr="00A06955">
        <w:t xml:space="preserve"> the formal audited accounts of the county council for the financial year 1 April 2014 to 31 March 2015. The production of the statement is prescribed by statute; it is prepared in accordance with the Accounts and Audit Regulations </w:t>
      </w:r>
      <w:r w:rsidR="00632343" w:rsidRPr="00A06955">
        <w:t xml:space="preserve">(England) </w:t>
      </w:r>
      <w:r w:rsidR="003338D2" w:rsidRPr="00A06955">
        <w:t>201</w:t>
      </w:r>
      <w:r w:rsidR="003338D2">
        <w:t>1</w:t>
      </w:r>
      <w:r w:rsidR="003338D2" w:rsidRPr="00A06955">
        <w:t xml:space="preserve"> </w:t>
      </w:r>
      <w:r w:rsidRPr="00A06955">
        <w:t>and the Code of Practice on Local Authority Accounting</w:t>
      </w:r>
      <w:r w:rsidR="008A2266" w:rsidRPr="00A06955">
        <w:t xml:space="preserve"> in the United Kingdom 201</w:t>
      </w:r>
      <w:r w:rsidR="00584F74" w:rsidRPr="00A06955">
        <w:t>4</w:t>
      </w:r>
      <w:r w:rsidR="008A2266" w:rsidRPr="00A06955">
        <w:t>/1</w:t>
      </w:r>
      <w:r w:rsidR="00584F74" w:rsidRPr="00A06955">
        <w:t>5</w:t>
      </w:r>
      <w:r w:rsidR="008A2266" w:rsidRPr="00A06955">
        <w:t>.</w:t>
      </w:r>
    </w:p>
    <w:p w14:paraId="7A07E983" w14:textId="77777777" w:rsidR="00D04FD5" w:rsidRPr="00A06955" w:rsidRDefault="00B21315" w:rsidP="00B21315">
      <w:r w:rsidRPr="00A06955">
        <w:t>The statement gives the reader an overall impression of the finances of the county council for the financial year 2014/15.  It is one of a series of reports and publications on the council's finances and financial position.</w:t>
      </w:r>
    </w:p>
    <w:p w14:paraId="1C963B8E" w14:textId="77777777" w:rsidR="00D04FD5" w:rsidRPr="00A06955" w:rsidRDefault="00D04FD5" w:rsidP="009F0317">
      <w:pPr>
        <w:pStyle w:val="Heading2"/>
      </w:pPr>
      <w:r w:rsidRPr="00A06955">
        <w:t>Contents of the statement of accounts</w:t>
      </w:r>
    </w:p>
    <w:p w14:paraId="4A777EE4" w14:textId="77777777" w:rsidR="00D04FD5" w:rsidRPr="00A06955" w:rsidRDefault="00D04FD5" w:rsidP="00B21315">
      <w:r w:rsidRPr="00A06955">
        <w:t>The main parts of the statement of accounts are:</w:t>
      </w:r>
    </w:p>
    <w:p w14:paraId="654BD588" w14:textId="77777777" w:rsidR="00D04FD5" w:rsidRPr="00A06955" w:rsidRDefault="00D04FD5" w:rsidP="005D76DD">
      <w:pPr>
        <w:numPr>
          <w:ilvl w:val="0"/>
          <w:numId w:val="5"/>
        </w:numPr>
      </w:pPr>
      <w:r w:rsidRPr="00A06955">
        <w:rPr>
          <w:b/>
        </w:rPr>
        <w:t>The Independent Auditor's Report</w:t>
      </w:r>
      <w:r w:rsidRPr="00A06955">
        <w:t xml:space="preserve"> – the external auditor's opinion on our 2014/15 accounts.</w:t>
      </w:r>
    </w:p>
    <w:p w14:paraId="294BA10B" w14:textId="77777777" w:rsidR="00D04FD5" w:rsidRPr="00A06955" w:rsidRDefault="00D04FD5" w:rsidP="005D76DD">
      <w:pPr>
        <w:numPr>
          <w:ilvl w:val="0"/>
          <w:numId w:val="5"/>
        </w:numPr>
      </w:pPr>
      <w:r w:rsidRPr="00A06955">
        <w:rPr>
          <w:b/>
        </w:rPr>
        <w:t>The Annual Governance Statement</w:t>
      </w:r>
      <w:r w:rsidRPr="00A06955">
        <w:t xml:space="preserve"> – assurances on our governance arrangements and the way we manage our affairs.</w:t>
      </w:r>
    </w:p>
    <w:p w14:paraId="556DE648" w14:textId="7E568E29" w:rsidR="00D04FD5" w:rsidRPr="00A06955" w:rsidRDefault="00D04FD5" w:rsidP="005D76DD">
      <w:pPr>
        <w:numPr>
          <w:ilvl w:val="0"/>
          <w:numId w:val="5"/>
        </w:numPr>
      </w:pPr>
      <w:r w:rsidRPr="00A06955">
        <w:rPr>
          <w:b/>
        </w:rPr>
        <w:lastRenderedPageBreak/>
        <w:t>The Movement in Reserves Statement</w:t>
      </w:r>
      <w:r w:rsidRPr="00A06955">
        <w:t xml:space="preserve"> – shows the movement in the year on the different reserves held by the council, analysed into 'usable reserves' (i</w:t>
      </w:r>
      <w:r w:rsidR="005708A1">
        <w:t>.</w:t>
      </w:r>
      <w:r w:rsidRPr="00A06955">
        <w:t>e</w:t>
      </w:r>
      <w:r w:rsidR="005708A1">
        <w:t>.</w:t>
      </w:r>
      <w:r w:rsidRPr="00A06955">
        <w:t xml:space="preserve"> those that can be applied to fund expenditure or reduce local taxation) and other reserves.  The surplus or deficit on the provision of services line shows the true economic cost of providing the council's services, more details of which are shown in the comprehensive income and expenditure statement. These are different from the statutory amounts required to be charged to the County Fund balance for council tax setting purposes.  The net increase/decrease before transfer to earmarked reserves line shows the statutory County Fund balance before any discretionary transfers to or from earmarked reserves undertaken by the council.</w:t>
      </w:r>
    </w:p>
    <w:p w14:paraId="74283657" w14:textId="77777777" w:rsidR="00D04FD5" w:rsidRPr="00A06955" w:rsidRDefault="00D04FD5" w:rsidP="005D76DD">
      <w:pPr>
        <w:numPr>
          <w:ilvl w:val="0"/>
          <w:numId w:val="5"/>
        </w:numPr>
      </w:pPr>
      <w:r w:rsidRPr="00A06955">
        <w:rPr>
          <w:b/>
        </w:rPr>
        <w:t>The Comprehensive Income and Expenditure Statement</w:t>
      </w:r>
      <w:r w:rsidRPr="00A06955">
        <w:t xml:space="preserve"> – shows the accounting cost in the year of providing services in accordance with generally accepted accounting practices, rather than the amount to be funded from taxation.  Authorities raise taxation to cover expenditure in accordance with regulations; this may be different from the accounting cost. The taxation position is shown in the Movement in Reserves Statement.</w:t>
      </w:r>
    </w:p>
    <w:p w14:paraId="45B98DCF" w14:textId="77777777" w:rsidR="00D04FD5" w:rsidRPr="00A06955" w:rsidRDefault="00D04FD5" w:rsidP="005D76DD">
      <w:pPr>
        <w:numPr>
          <w:ilvl w:val="0"/>
          <w:numId w:val="5"/>
        </w:numPr>
      </w:pPr>
      <w:r w:rsidRPr="00A06955">
        <w:rPr>
          <w:b/>
        </w:rPr>
        <w:t>The Balance Sheet</w:t>
      </w:r>
      <w:r w:rsidRPr="00A06955">
        <w:t xml:space="preserve"> – shows the value as at the balance sheet date of the assets and liabilities recognised by the council.  The net assets of the county council are matched </w:t>
      </w:r>
      <w:r w:rsidRPr="00A06955">
        <w:lastRenderedPageBreak/>
        <w:t>by the reserves held.  Reserves are reported in two categories, usable and unusable.</w:t>
      </w:r>
    </w:p>
    <w:p w14:paraId="7A820EBE" w14:textId="75E2ACCF" w:rsidR="00D04FD5" w:rsidRPr="00A06955" w:rsidRDefault="00D04FD5" w:rsidP="005D76DD">
      <w:pPr>
        <w:numPr>
          <w:ilvl w:val="0"/>
          <w:numId w:val="5"/>
        </w:numPr>
      </w:pPr>
      <w:r w:rsidRPr="00A06955">
        <w:rPr>
          <w:b/>
        </w:rPr>
        <w:t xml:space="preserve">The </w:t>
      </w:r>
      <w:r w:rsidR="00AC2E64">
        <w:rPr>
          <w:b/>
        </w:rPr>
        <w:t>Cash Flow</w:t>
      </w:r>
      <w:r w:rsidRPr="00A06955">
        <w:rPr>
          <w:b/>
        </w:rPr>
        <w:t xml:space="preserve"> Statement</w:t>
      </w:r>
      <w:r w:rsidRPr="00A06955">
        <w:t xml:space="preserve"> – shows the changes in cash and cash equivalents of the council during the reporting period.  </w:t>
      </w:r>
    </w:p>
    <w:p w14:paraId="6A7C9957" w14:textId="77777777" w:rsidR="00D04FD5" w:rsidRPr="00A06955" w:rsidRDefault="00D04FD5" w:rsidP="005D76DD">
      <w:pPr>
        <w:numPr>
          <w:ilvl w:val="0"/>
          <w:numId w:val="5"/>
        </w:numPr>
      </w:pPr>
      <w:r w:rsidRPr="00A06955">
        <w:rPr>
          <w:b/>
        </w:rPr>
        <w:t>The Notes to the Accounts</w:t>
      </w:r>
      <w:r w:rsidRPr="00A06955">
        <w:t xml:space="preserve"> – supporting information which sets out further details and explanations of many entries within the financial statements listed above</w:t>
      </w:r>
    </w:p>
    <w:p w14:paraId="4913846F" w14:textId="54907158" w:rsidR="00D04FD5" w:rsidRPr="00A06955" w:rsidRDefault="00D04FD5" w:rsidP="005D76DD">
      <w:pPr>
        <w:numPr>
          <w:ilvl w:val="0"/>
          <w:numId w:val="5"/>
        </w:numPr>
      </w:pPr>
      <w:r w:rsidRPr="00A06955">
        <w:rPr>
          <w:b/>
        </w:rPr>
        <w:t>The Pension Fund Accounts</w:t>
      </w:r>
      <w:r w:rsidRPr="00A06955">
        <w:t xml:space="preserve"> – a summary of pension fund performance over the year and the net assets of the pension fund at the end of the year. The pension fund accounts are separate from those of the county council</w:t>
      </w:r>
      <w:r w:rsidR="00632343" w:rsidRPr="00A06955">
        <w:t xml:space="preserve">.  </w:t>
      </w:r>
      <w:r w:rsidRPr="00A06955">
        <w:t>A Pension Fund annual report will be published for members of the fund, which will include these accounts.</w:t>
      </w:r>
    </w:p>
    <w:p w14:paraId="0668EC80" w14:textId="77777777" w:rsidR="00F44077" w:rsidRPr="00F44077" w:rsidRDefault="00F44077" w:rsidP="00F44077">
      <w:pPr>
        <w:keepNext/>
        <w:adjustRightInd/>
        <w:spacing w:before="60"/>
        <w:outlineLvl w:val="1"/>
        <w:rPr>
          <w:rFonts w:eastAsia="Times New Roman" w:cs="Arial"/>
          <w:b/>
          <w:bCs/>
          <w:color w:val="auto"/>
          <w:sz w:val="32"/>
          <w:szCs w:val="32"/>
          <w:lang w:eastAsia="en-GB"/>
        </w:rPr>
      </w:pPr>
      <w:r w:rsidRPr="00F44077">
        <w:rPr>
          <w:rFonts w:eastAsia="Times New Roman" w:cs="Arial"/>
          <w:b/>
          <w:bCs/>
          <w:color w:val="auto"/>
          <w:sz w:val="32"/>
          <w:szCs w:val="32"/>
          <w:lang w:eastAsia="en-GB"/>
        </w:rPr>
        <w:t xml:space="preserve">Revenue spending in 2014/15 </w:t>
      </w:r>
    </w:p>
    <w:p w14:paraId="024596DD" w14:textId="3FB0F2EF" w:rsidR="00F44077" w:rsidRPr="00F44077" w:rsidRDefault="00F44077" w:rsidP="00F44077">
      <w:pPr>
        <w:adjustRightInd/>
        <w:rPr>
          <w:rFonts w:cs="Arial"/>
          <w:color w:val="auto"/>
        </w:rPr>
      </w:pPr>
      <w:r w:rsidRPr="00F44077">
        <w:rPr>
          <w:rFonts w:cs="Arial"/>
          <w:color w:val="auto"/>
        </w:rPr>
        <w:t>The overall financial health of the county council at the end of the 2014/15 financial year continues to be strong. However, over 2015/16 to 201</w:t>
      </w:r>
      <w:r w:rsidR="00D2133B">
        <w:rPr>
          <w:rFonts w:cs="Arial"/>
          <w:color w:val="auto"/>
        </w:rPr>
        <w:t>7/18</w:t>
      </w:r>
      <w:r w:rsidRPr="00F44077">
        <w:rPr>
          <w:rFonts w:cs="Arial"/>
          <w:color w:val="auto"/>
        </w:rPr>
        <w:t xml:space="preserve"> the county council is facing a considerable financial challenge including reducing resources, as well as cost pressures from the continuing increase in demand for council services, in particular those services delivering social care to older people and children as well as increases in contract prices, pay and related costs.</w:t>
      </w:r>
    </w:p>
    <w:p w14:paraId="42B93DC7" w14:textId="77777777" w:rsidR="00F44077" w:rsidRPr="00F44077" w:rsidRDefault="00F44077" w:rsidP="00F44077">
      <w:pPr>
        <w:adjustRightInd/>
        <w:rPr>
          <w:rFonts w:cs="Arial"/>
          <w:color w:val="auto"/>
        </w:rPr>
      </w:pPr>
      <w:r w:rsidRPr="00F44077">
        <w:rPr>
          <w:rFonts w:cs="Arial"/>
          <w:color w:val="auto"/>
        </w:rPr>
        <w:lastRenderedPageBreak/>
        <w:t>Despite the difficult environment the council has continued to demonstrate:</w:t>
      </w:r>
    </w:p>
    <w:p w14:paraId="5783DC8D" w14:textId="77777777" w:rsidR="00F44077" w:rsidRPr="00F44077" w:rsidRDefault="00F44077" w:rsidP="004A7AA5">
      <w:pPr>
        <w:numPr>
          <w:ilvl w:val="0"/>
          <w:numId w:val="6"/>
        </w:numPr>
        <w:autoSpaceDE/>
        <w:autoSpaceDN/>
        <w:adjustRightInd/>
        <w:spacing w:after="160" w:line="259" w:lineRule="auto"/>
        <w:rPr>
          <w:rFonts w:eastAsia="Times New Roman" w:cs="Arial"/>
          <w:color w:val="auto"/>
        </w:rPr>
      </w:pPr>
      <w:r w:rsidRPr="00F44077">
        <w:rPr>
          <w:rFonts w:eastAsia="Times New Roman" w:cs="Arial"/>
          <w:color w:val="auto"/>
        </w:rPr>
        <w:t>Strong financial management, through managing the costs of demand led services within budget and demonstrating the ability to bring forecast service overspends back within budget.</w:t>
      </w:r>
    </w:p>
    <w:p w14:paraId="78B0F538" w14:textId="77777777" w:rsidR="00F44077" w:rsidRPr="00F44077" w:rsidRDefault="00F44077" w:rsidP="004A7AA5">
      <w:pPr>
        <w:numPr>
          <w:ilvl w:val="0"/>
          <w:numId w:val="6"/>
        </w:numPr>
        <w:autoSpaceDE/>
        <w:autoSpaceDN/>
        <w:adjustRightInd/>
        <w:spacing w:after="160" w:line="259" w:lineRule="auto"/>
        <w:rPr>
          <w:rFonts w:eastAsia="Times New Roman" w:cs="Arial"/>
          <w:color w:val="auto"/>
        </w:rPr>
      </w:pPr>
      <w:r w:rsidRPr="00F44077">
        <w:rPr>
          <w:rFonts w:eastAsia="Times New Roman" w:cs="Arial"/>
          <w:color w:val="auto"/>
        </w:rPr>
        <w:t>Strong delivery arrangements through achieving the delivery of savings early throughout the three year budget.</w:t>
      </w:r>
    </w:p>
    <w:p w14:paraId="37BC6A0B" w14:textId="283B34FA" w:rsidR="00F44077" w:rsidRPr="00F44077" w:rsidRDefault="00F44077" w:rsidP="004A7AA5">
      <w:pPr>
        <w:numPr>
          <w:ilvl w:val="0"/>
          <w:numId w:val="6"/>
        </w:numPr>
        <w:autoSpaceDE/>
        <w:autoSpaceDN/>
        <w:adjustRightInd/>
        <w:spacing w:after="160" w:line="259" w:lineRule="auto"/>
        <w:rPr>
          <w:rFonts w:eastAsia="Times New Roman" w:cs="Arial"/>
          <w:color w:val="auto"/>
        </w:rPr>
      </w:pPr>
      <w:r w:rsidRPr="00F44077">
        <w:rPr>
          <w:rFonts w:eastAsia="Times New Roman" w:cs="Arial"/>
          <w:color w:val="auto"/>
        </w:rPr>
        <w:t xml:space="preserve">Innovation through the successful implementation of the </w:t>
      </w:r>
      <w:r w:rsidR="006C2EE6">
        <w:rPr>
          <w:rFonts w:eastAsia="Times New Roman" w:cs="Arial"/>
          <w:color w:val="auto"/>
        </w:rPr>
        <w:t>Treasury M</w:t>
      </w:r>
      <w:r w:rsidRPr="00F44077">
        <w:rPr>
          <w:rFonts w:eastAsia="Times New Roman" w:cs="Arial"/>
          <w:color w:val="auto"/>
        </w:rPr>
        <w:t>anagement strategy, and</w:t>
      </w:r>
    </w:p>
    <w:p w14:paraId="523CF5D9" w14:textId="77777777" w:rsidR="00F44077" w:rsidRPr="00F44077" w:rsidRDefault="00F44077" w:rsidP="004A7AA5">
      <w:pPr>
        <w:numPr>
          <w:ilvl w:val="0"/>
          <w:numId w:val="6"/>
        </w:numPr>
        <w:autoSpaceDE/>
        <w:autoSpaceDN/>
        <w:adjustRightInd/>
        <w:spacing w:after="160" w:line="259" w:lineRule="auto"/>
        <w:rPr>
          <w:rFonts w:eastAsia="Times New Roman" w:cs="Arial"/>
          <w:color w:val="auto"/>
        </w:rPr>
      </w:pPr>
      <w:r w:rsidRPr="00F44077">
        <w:rPr>
          <w:rFonts w:eastAsia="Times New Roman" w:cs="Arial"/>
          <w:color w:val="auto"/>
        </w:rPr>
        <w:t>Flexibility through redeploying resources to address the county council's priorities.</w:t>
      </w:r>
    </w:p>
    <w:p w14:paraId="07B0551C" w14:textId="77777777" w:rsidR="00F44077" w:rsidRPr="00F44077" w:rsidRDefault="00F44077" w:rsidP="00F44077">
      <w:pPr>
        <w:adjustRightInd/>
        <w:rPr>
          <w:rFonts w:cs="Arial"/>
          <w:color w:val="auto"/>
        </w:rPr>
      </w:pPr>
      <w:r w:rsidRPr="00F44077">
        <w:rPr>
          <w:rFonts w:cs="Arial"/>
          <w:color w:val="auto"/>
        </w:rPr>
        <w:t>All of these are characteristic of organisations with well managed finances. At the same time the county council is maintaining a strong balance sheet and has set resources aside to mitigate identified risks.</w:t>
      </w:r>
    </w:p>
    <w:p w14:paraId="6DECA3CA" w14:textId="42817019" w:rsidR="00221154" w:rsidRDefault="00221154" w:rsidP="00221154">
      <w:pPr>
        <w:rPr>
          <w:rFonts w:eastAsiaTheme="minorHAnsi" w:cs="Arial"/>
          <w:color w:val="auto"/>
        </w:rPr>
      </w:pPr>
      <w:r>
        <w:rPr>
          <w:rFonts w:cs="Arial"/>
        </w:rPr>
        <w:t xml:space="preserve">During the year there was a major change in the financing of the operation of the </w:t>
      </w:r>
      <w:r>
        <w:rPr>
          <w:rFonts w:cs="Arial"/>
          <w:color w:val="1F497D"/>
        </w:rPr>
        <w:t>w</w:t>
      </w:r>
      <w:r>
        <w:rPr>
          <w:rFonts w:cs="Arial"/>
        </w:rPr>
        <w:t xml:space="preserve">aste </w:t>
      </w:r>
      <w:r>
        <w:rPr>
          <w:rFonts w:cs="Arial"/>
          <w:color w:val="1F497D"/>
        </w:rPr>
        <w:t>t</w:t>
      </w:r>
      <w:r>
        <w:rPr>
          <w:rFonts w:cs="Arial"/>
        </w:rPr>
        <w:t xml:space="preserve">reatment </w:t>
      </w:r>
      <w:r>
        <w:rPr>
          <w:rFonts w:cs="Arial"/>
          <w:color w:val="1F497D"/>
        </w:rPr>
        <w:t>f</w:t>
      </w:r>
      <w:r>
        <w:rPr>
          <w:rFonts w:cs="Arial"/>
        </w:rPr>
        <w:t>acilities.  The PFI agreement between L</w:t>
      </w:r>
      <w:r w:rsidR="00D53C07">
        <w:rPr>
          <w:rFonts w:cs="Arial"/>
        </w:rPr>
        <w:t>ancashire County Council (L</w:t>
      </w:r>
      <w:r>
        <w:rPr>
          <w:rFonts w:cs="Arial"/>
        </w:rPr>
        <w:t>CC</w:t>
      </w:r>
      <w:r w:rsidR="00D53C07">
        <w:rPr>
          <w:rFonts w:cs="Arial"/>
        </w:rPr>
        <w:t>)</w:t>
      </w:r>
      <w:r>
        <w:rPr>
          <w:rFonts w:cs="Arial"/>
        </w:rPr>
        <w:t xml:space="preserve"> and Global Renewables Lancashire Limited (GRLL) was brought to an end by the mutual consent of both parties.  The termination was approved by LCC cabinet on 15 July 2014 and took effect from 31 July </w:t>
      </w:r>
      <w:r>
        <w:rPr>
          <w:rFonts w:cs="Arial"/>
        </w:rPr>
        <w:lastRenderedPageBreak/>
        <w:t xml:space="preserve">2014.  Immediately following the termination, and with effect from 1 August 2015, the two strategic waste management facilities and Leyland and Thornton were transferred to LCC with no interruption in operation.  The PFI liability in respect of the </w:t>
      </w:r>
      <w:r>
        <w:rPr>
          <w:rFonts w:cs="Arial"/>
          <w:color w:val="1F497D"/>
        </w:rPr>
        <w:t>w</w:t>
      </w:r>
      <w:r>
        <w:rPr>
          <w:rFonts w:cs="Arial"/>
        </w:rPr>
        <w:t xml:space="preserve">aste </w:t>
      </w:r>
      <w:r>
        <w:rPr>
          <w:rFonts w:cs="Arial"/>
          <w:color w:val="1F497D"/>
        </w:rPr>
        <w:t>p</w:t>
      </w:r>
      <w:r>
        <w:rPr>
          <w:rFonts w:cs="Arial"/>
        </w:rPr>
        <w:t>roject was settled as a result of the termination, through borrowing.  The refinancing has resulted in an in-year revenue saving of £6.2m for the 8 month period since termination of the agreement.  This is line with an expected reduction in annual debt servicing costs of £9.0m.  The negotiated settlement value was greater than the PFI liability which existed at the termination date and the difference of £24.3m has been treated as a premium on early repayment of debt.  The premium is being amortised over the remaining 23 years of the borrowing,  this timeframe having been set in line with the original PFI contract timescales and representing the remaining economic life of the waste plants.</w:t>
      </w:r>
    </w:p>
    <w:p w14:paraId="61194D5E" w14:textId="2C9A50C7" w:rsidR="00F44077" w:rsidRPr="00F44077" w:rsidRDefault="00F44077" w:rsidP="004A7AA5">
      <w:pPr>
        <w:adjustRightInd/>
        <w:rPr>
          <w:rFonts w:cs="Arial"/>
          <w:color w:val="auto"/>
        </w:rPr>
      </w:pPr>
      <w:r w:rsidRPr="00F44077">
        <w:rPr>
          <w:rFonts w:cs="Arial"/>
          <w:color w:val="auto"/>
        </w:rPr>
        <w:t>The final position in respect of spending on the revenue budget was an underspend of £76.1m largely arising in the following areas:</w:t>
      </w:r>
    </w:p>
    <w:p w14:paraId="22B9FF18" w14:textId="5ECE3441" w:rsidR="00F44077" w:rsidRPr="00F44077" w:rsidRDefault="00F44077" w:rsidP="00717919">
      <w:pPr>
        <w:numPr>
          <w:ilvl w:val="0"/>
          <w:numId w:val="56"/>
        </w:numPr>
        <w:autoSpaceDE/>
        <w:autoSpaceDN/>
        <w:adjustRightInd/>
        <w:spacing w:after="160" w:line="259" w:lineRule="auto"/>
        <w:rPr>
          <w:rFonts w:cs="Arial"/>
          <w:color w:val="auto"/>
        </w:rPr>
      </w:pPr>
      <w:r w:rsidRPr="00F44077">
        <w:rPr>
          <w:rFonts w:cs="Arial"/>
          <w:color w:val="auto"/>
        </w:rPr>
        <w:t xml:space="preserve">An underspend of £14.3m in the Environment directorate mainly due to savings being achieved within the waste budget referred to above, expenditure on subsidised bus services being lower than budgeted with contract costs being smaller due to lower fuel costs and tender prices not being increased to recover the Bus Service Operators Grant which was previously paid directly to bus operators but is </w:t>
      </w:r>
      <w:r w:rsidRPr="00F44077">
        <w:rPr>
          <w:rFonts w:cs="Arial"/>
          <w:color w:val="auto"/>
        </w:rPr>
        <w:lastRenderedPageBreak/>
        <w:t>now paid straight to local authorities and concessionary travel also</w:t>
      </w:r>
      <w:r w:rsidR="00BF4E6A">
        <w:rPr>
          <w:rFonts w:cs="Arial"/>
          <w:color w:val="auto"/>
        </w:rPr>
        <w:t xml:space="preserve"> </w:t>
      </w:r>
      <w:r w:rsidRPr="00F44077">
        <w:rPr>
          <w:rFonts w:cs="Arial"/>
          <w:color w:val="auto"/>
        </w:rPr>
        <w:t xml:space="preserve">underspending due to lower fuel costs and reduced passenger journeys. </w:t>
      </w:r>
    </w:p>
    <w:p w14:paraId="547BFD6E" w14:textId="4D68F9B9" w:rsidR="00F44077" w:rsidRPr="00F44077" w:rsidRDefault="00C42D1A" w:rsidP="00717919">
      <w:pPr>
        <w:numPr>
          <w:ilvl w:val="0"/>
          <w:numId w:val="56"/>
        </w:numPr>
        <w:autoSpaceDE/>
        <w:autoSpaceDN/>
        <w:adjustRightInd/>
        <w:spacing w:after="160" w:line="259" w:lineRule="auto"/>
        <w:rPr>
          <w:rFonts w:cs="Arial"/>
          <w:color w:val="auto"/>
        </w:rPr>
      </w:pPr>
      <w:r>
        <w:rPr>
          <w:rFonts w:cs="Arial"/>
          <w:color w:val="auto"/>
        </w:rPr>
        <w:t>Corporate spending was £1.9</w:t>
      </w:r>
      <w:r w:rsidR="00F44077" w:rsidRPr="00F44077">
        <w:rPr>
          <w:rFonts w:cs="Arial"/>
          <w:color w:val="auto"/>
        </w:rPr>
        <w:t>m less than budget, the majority of which relates to £1.6m underspend on the Care and Urgent Needs Support Scheme.</w:t>
      </w:r>
    </w:p>
    <w:p w14:paraId="33B64A44" w14:textId="43D1B914" w:rsidR="00F44077" w:rsidRPr="00F44077" w:rsidRDefault="00F44077" w:rsidP="00717919">
      <w:pPr>
        <w:numPr>
          <w:ilvl w:val="0"/>
          <w:numId w:val="56"/>
        </w:numPr>
        <w:autoSpaceDE/>
        <w:autoSpaceDN/>
        <w:adjustRightInd/>
        <w:spacing w:after="160" w:line="259" w:lineRule="auto"/>
        <w:rPr>
          <w:rFonts w:cs="Arial"/>
          <w:color w:val="auto"/>
        </w:rPr>
      </w:pPr>
      <w:r w:rsidRPr="00F44077">
        <w:rPr>
          <w:rFonts w:cs="Arial"/>
          <w:color w:val="auto"/>
        </w:rPr>
        <w:t>Lancashire County Commercial Group (LCCG) has delivered an underspend of £2.5m due to ongoing operational efficiencies within the services, the uptake on free school meals being higher than budgeted and occupancy levels in care homes being higher than budgeted.</w:t>
      </w:r>
    </w:p>
    <w:p w14:paraId="734BDC5B" w14:textId="27460244" w:rsidR="00F44077" w:rsidRPr="00F44077" w:rsidRDefault="00F44077" w:rsidP="00717919">
      <w:pPr>
        <w:numPr>
          <w:ilvl w:val="0"/>
          <w:numId w:val="56"/>
        </w:numPr>
        <w:autoSpaceDE/>
        <w:autoSpaceDN/>
        <w:adjustRightInd/>
        <w:spacing w:after="160" w:line="259" w:lineRule="auto"/>
        <w:rPr>
          <w:rFonts w:cs="Arial"/>
          <w:color w:val="auto"/>
        </w:rPr>
      </w:pPr>
      <w:r w:rsidRPr="00F44077">
        <w:rPr>
          <w:rFonts w:cs="Arial"/>
          <w:color w:val="auto"/>
        </w:rPr>
        <w:t>The 2014/15 capital financing outturn is £69.</w:t>
      </w:r>
      <w:r w:rsidR="00C42D1A">
        <w:rPr>
          <w:rFonts w:cs="Arial"/>
          <w:color w:val="auto"/>
        </w:rPr>
        <w:t>6</w:t>
      </w:r>
      <w:r w:rsidRPr="00F44077">
        <w:rPr>
          <w:rFonts w:cs="Arial"/>
          <w:color w:val="auto"/>
        </w:rPr>
        <w:t>m under budget mainly due to gains realised following the sale of bonds. These sales have been in response to the economic uncertainty during the year and the UK Treasury decision</w:t>
      </w:r>
      <w:r w:rsidR="00F760A7">
        <w:rPr>
          <w:rFonts w:cs="Arial"/>
          <w:color w:val="auto"/>
        </w:rPr>
        <w:t xml:space="preserve"> to redeem </w:t>
      </w:r>
      <w:r w:rsidRPr="00F44077">
        <w:rPr>
          <w:rFonts w:cs="Arial"/>
          <w:color w:val="auto"/>
        </w:rPr>
        <w:t>war loan bonds.  This additional income is considered to be a one-off gain.</w:t>
      </w:r>
    </w:p>
    <w:p w14:paraId="40517E1A" w14:textId="6FC7C730" w:rsidR="00F44077" w:rsidRPr="00F44077" w:rsidRDefault="00F44077" w:rsidP="00717919">
      <w:pPr>
        <w:numPr>
          <w:ilvl w:val="0"/>
          <w:numId w:val="56"/>
        </w:numPr>
        <w:autoSpaceDE/>
        <w:autoSpaceDN/>
        <w:adjustRightInd/>
        <w:spacing w:after="160" w:line="259" w:lineRule="auto"/>
        <w:rPr>
          <w:rFonts w:cs="Arial"/>
          <w:color w:val="auto"/>
        </w:rPr>
      </w:pPr>
      <w:r w:rsidRPr="00F44077">
        <w:rPr>
          <w:rFonts w:cs="Arial"/>
          <w:color w:val="auto"/>
        </w:rPr>
        <w:t>There was a negative variance of £10.4m in relation to the various budgets for the services provided by BT Lancashire Services (BTLS).  The most significant cause of this was due to Cumbria Lancashire Education Online (CLEO), payroll and ICT income levels being below budget.</w:t>
      </w:r>
    </w:p>
    <w:p w14:paraId="19A88643" w14:textId="72F58FD5" w:rsidR="00F44077" w:rsidRPr="00F44077" w:rsidRDefault="00FE67DF" w:rsidP="00F44077">
      <w:pPr>
        <w:adjustRightInd/>
        <w:rPr>
          <w:rFonts w:cs="Arial"/>
          <w:color w:val="auto"/>
        </w:rPr>
      </w:pPr>
      <w:r w:rsidRPr="005F7526">
        <w:rPr>
          <w:rFonts w:cs="Arial"/>
          <w:color w:val="auto"/>
        </w:rPr>
        <w:lastRenderedPageBreak/>
        <w:t xml:space="preserve">The underspend in 2014/15 has </w:t>
      </w:r>
      <w:r w:rsidR="00F44077" w:rsidRPr="005F7526">
        <w:rPr>
          <w:rFonts w:cs="Arial"/>
          <w:color w:val="auto"/>
        </w:rPr>
        <w:t>allowed the council to end the year with the County Fund balance unchanged at £36</w:t>
      </w:r>
      <w:r w:rsidRPr="005F7526">
        <w:rPr>
          <w:rFonts w:cs="Arial"/>
          <w:color w:val="auto"/>
        </w:rPr>
        <w:t>.0</w:t>
      </w:r>
      <w:r w:rsidR="00F44077" w:rsidRPr="005F7526">
        <w:rPr>
          <w:rFonts w:cs="Arial"/>
          <w:color w:val="auto"/>
        </w:rPr>
        <w:t>m</w:t>
      </w:r>
      <w:r w:rsidRPr="005F7526">
        <w:rPr>
          <w:rFonts w:cs="Arial"/>
          <w:color w:val="auto"/>
        </w:rPr>
        <w:t>.</w:t>
      </w:r>
      <w:r w:rsidR="00F44077" w:rsidRPr="005F7526">
        <w:rPr>
          <w:rFonts w:cs="Arial"/>
          <w:color w:val="auto"/>
        </w:rPr>
        <w:t xml:space="preserve"> </w:t>
      </w:r>
      <w:r w:rsidRPr="005F7526">
        <w:rPr>
          <w:rFonts w:cs="Arial"/>
          <w:color w:val="auto"/>
        </w:rPr>
        <w:t xml:space="preserve">In addition the council has made a contribution of </w:t>
      </w:r>
      <w:r w:rsidR="00F44077" w:rsidRPr="005F7526">
        <w:rPr>
          <w:rFonts w:cs="Arial"/>
          <w:color w:val="auto"/>
        </w:rPr>
        <w:t>£69.</w:t>
      </w:r>
      <w:r w:rsidRPr="005F7526">
        <w:rPr>
          <w:rFonts w:cs="Arial"/>
          <w:color w:val="auto"/>
        </w:rPr>
        <w:t>6</w:t>
      </w:r>
      <w:r w:rsidR="00F44077" w:rsidRPr="005F7526">
        <w:rPr>
          <w:rFonts w:cs="Arial"/>
          <w:color w:val="auto"/>
        </w:rPr>
        <w:t xml:space="preserve">m </w:t>
      </w:r>
      <w:r w:rsidRPr="005F7526">
        <w:rPr>
          <w:rFonts w:cs="Arial"/>
          <w:color w:val="auto"/>
        </w:rPr>
        <w:t>to</w:t>
      </w:r>
      <w:r w:rsidR="00F44077" w:rsidRPr="005F7526">
        <w:rPr>
          <w:rFonts w:cs="Arial"/>
          <w:color w:val="auto"/>
        </w:rPr>
        <w:t xml:space="preserve"> the Risk Management Reserve and </w:t>
      </w:r>
      <w:r w:rsidRPr="005F7526">
        <w:rPr>
          <w:rFonts w:cs="Arial"/>
          <w:color w:val="auto"/>
        </w:rPr>
        <w:t xml:space="preserve">a contribution of </w:t>
      </w:r>
      <w:r w:rsidR="00F44077" w:rsidRPr="005F7526">
        <w:rPr>
          <w:rFonts w:cs="Arial"/>
          <w:color w:val="auto"/>
        </w:rPr>
        <w:t>£6.</w:t>
      </w:r>
      <w:r w:rsidRPr="005F7526">
        <w:rPr>
          <w:rFonts w:cs="Arial"/>
          <w:color w:val="auto"/>
        </w:rPr>
        <w:t>5</w:t>
      </w:r>
      <w:r w:rsidR="00F44077" w:rsidRPr="005F7526">
        <w:rPr>
          <w:rFonts w:cs="Arial"/>
          <w:color w:val="auto"/>
        </w:rPr>
        <w:t xml:space="preserve">m </w:t>
      </w:r>
      <w:r w:rsidRPr="005F7526">
        <w:rPr>
          <w:rFonts w:cs="Arial"/>
          <w:color w:val="auto"/>
        </w:rPr>
        <w:t>to</w:t>
      </w:r>
      <w:r w:rsidR="00F44077" w:rsidRPr="005F7526">
        <w:rPr>
          <w:rFonts w:cs="Arial"/>
          <w:color w:val="auto"/>
        </w:rPr>
        <w:t xml:space="preserve"> the Downsizing Reserve</w:t>
      </w:r>
      <w:r w:rsidRPr="005F7526">
        <w:rPr>
          <w:rFonts w:cs="Arial"/>
          <w:color w:val="auto"/>
        </w:rPr>
        <w:t xml:space="preserve">. These will be used to meet </w:t>
      </w:r>
      <w:r w:rsidR="00F44077" w:rsidRPr="005F7526">
        <w:rPr>
          <w:rFonts w:cs="Arial"/>
          <w:color w:val="auto"/>
        </w:rPr>
        <w:t>the costs of reshaping the organisation to manage the risks and meet t</w:t>
      </w:r>
      <w:r w:rsidRPr="005F7526">
        <w:rPr>
          <w:rFonts w:cs="Arial"/>
          <w:color w:val="auto"/>
        </w:rPr>
        <w:t>he financial challenges ahead. </w:t>
      </w:r>
    </w:p>
    <w:p w14:paraId="5E26324D" w14:textId="77777777" w:rsidR="00F44077" w:rsidRPr="00F44077" w:rsidRDefault="00F44077" w:rsidP="00F44077">
      <w:pPr>
        <w:keepNext/>
        <w:adjustRightInd/>
        <w:spacing w:before="60"/>
        <w:outlineLvl w:val="1"/>
        <w:rPr>
          <w:rFonts w:eastAsia="Times New Roman" w:cs="Arial"/>
          <w:b/>
          <w:bCs/>
          <w:color w:val="auto"/>
          <w:sz w:val="32"/>
          <w:szCs w:val="32"/>
          <w:lang w:eastAsia="en-GB"/>
        </w:rPr>
      </w:pPr>
      <w:r w:rsidRPr="00F44077">
        <w:rPr>
          <w:rFonts w:eastAsia="Times New Roman" w:cs="Arial"/>
          <w:b/>
          <w:bCs/>
          <w:color w:val="auto"/>
          <w:sz w:val="32"/>
          <w:szCs w:val="32"/>
          <w:lang w:eastAsia="en-GB"/>
        </w:rPr>
        <w:t xml:space="preserve">Capital spending in 2014/15 </w:t>
      </w:r>
    </w:p>
    <w:p w14:paraId="7A649F31" w14:textId="026C2321" w:rsidR="00F44077" w:rsidRPr="00F44077" w:rsidRDefault="00F44077" w:rsidP="00BF4E6A">
      <w:pPr>
        <w:adjustRightInd/>
        <w:rPr>
          <w:rFonts w:cs="Arial"/>
          <w:color w:val="auto"/>
        </w:rPr>
      </w:pPr>
      <w:r w:rsidRPr="00F44077">
        <w:rPr>
          <w:rFonts w:cs="Arial"/>
          <w:color w:val="auto"/>
        </w:rPr>
        <w:t>The total of the county council</w:t>
      </w:r>
      <w:r w:rsidR="006C2EE6">
        <w:rPr>
          <w:rFonts w:cs="Arial"/>
          <w:color w:val="auto"/>
        </w:rPr>
        <w:t>'</w:t>
      </w:r>
      <w:r w:rsidRPr="00F44077">
        <w:rPr>
          <w:rFonts w:cs="Arial"/>
          <w:color w:val="auto"/>
        </w:rPr>
        <w:t>s capital spending in 2014/15 was £178.0</w:t>
      </w:r>
      <w:r w:rsidR="009E2E9D">
        <w:rPr>
          <w:rFonts w:cs="Arial"/>
          <w:color w:val="auto"/>
        </w:rPr>
        <w:t>m</w:t>
      </w:r>
      <w:r w:rsidRPr="00F44077">
        <w:rPr>
          <w:rFonts w:cs="Arial"/>
          <w:color w:val="auto"/>
        </w:rPr>
        <w:t>. This reflects the county council's investment in assets which gives a long-term benefit to the residents of Lancashire such as schools, roads, libraries and social care facilities for adults and children. Projects included:</w:t>
      </w:r>
    </w:p>
    <w:p w14:paraId="797A6BF8" w14:textId="77777777" w:rsidR="00F44077" w:rsidRPr="00F44077" w:rsidRDefault="00F44077" w:rsidP="00891EBE">
      <w:pPr>
        <w:numPr>
          <w:ilvl w:val="0"/>
          <w:numId w:val="7"/>
        </w:numPr>
        <w:autoSpaceDE/>
        <w:autoSpaceDN/>
        <w:adjustRightInd/>
        <w:spacing w:after="160" w:line="259" w:lineRule="auto"/>
        <w:jc w:val="left"/>
        <w:rPr>
          <w:rFonts w:eastAsia="Times New Roman" w:cs="Arial"/>
          <w:color w:val="auto"/>
        </w:rPr>
      </w:pPr>
      <w:r w:rsidRPr="00F44077">
        <w:rPr>
          <w:rFonts w:eastAsia="Times New Roman" w:cs="Arial"/>
          <w:color w:val="auto"/>
        </w:rPr>
        <w:t>The completion of fourteen projects, to expand Primary Schools to meet demand for places.</w:t>
      </w:r>
    </w:p>
    <w:p w14:paraId="688CEF72" w14:textId="6B940DF0" w:rsidR="00F44077" w:rsidRPr="00F44077" w:rsidRDefault="00F44077" w:rsidP="00891EBE">
      <w:pPr>
        <w:numPr>
          <w:ilvl w:val="0"/>
          <w:numId w:val="7"/>
        </w:numPr>
        <w:autoSpaceDE/>
        <w:autoSpaceDN/>
        <w:adjustRightInd/>
        <w:spacing w:after="160" w:line="259" w:lineRule="auto"/>
        <w:jc w:val="left"/>
        <w:rPr>
          <w:rFonts w:eastAsia="Times New Roman" w:cs="Arial"/>
          <w:color w:val="auto"/>
        </w:rPr>
      </w:pPr>
      <w:r w:rsidRPr="00F44077">
        <w:rPr>
          <w:rFonts w:eastAsia="Times New Roman" w:cs="Arial"/>
          <w:color w:val="auto"/>
        </w:rPr>
        <w:t>The completion of an intensive support centre at Hillside Specialist School for Autism, to increase capacity in Lancashire Special Schools</w:t>
      </w:r>
      <w:r w:rsidR="00F21FC8">
        <w:rPr>
          <w:rFonts w:eastAsia="Times New Roman" w:cs="Arial"/>
          <w:color w:val="auto"/>
        </w:rPr>
        <w:t>.</w:t>
      </w:r>
    </w:p>
    <w:p w14:paraId="01CAD271" w14:textId="77777777" w:rsidR="00F44077" w:rsidRPr="00F44077" w:rsidRDefault="00F44077" w:rsidP="00891EBE">
      <w:pPr>
        <w:numPr>
          <w:ilvl w:val="0"/>
          <w:numId w:val="7"/>
        </w:numPr>
        <w:autoSpaceDE/>
        <w:autoSpaceDN/>
        <w:adjustRightInd/>
        <w:spacing w:after="160" w:line="259" w:lineRule="auto"/>
        <w:jc w:val="left"/>
        <w:rPr>
          <w:rFonts w:eastAsia="Times New Roman" w:cs="Arial"/>
          <w:color w:val="auto"/>
        </w:rPr>
      </w:pPr>
      <w:r w:rsidRPr="00F44077">
        <w:rPr>
          <w:rFonts w:eastAsia="Times New Roman" w:cs="Arial"/>
          <w:color w:val="auto"/>
        </w:rPr>
        <w:t>Conclusion of the phased programmes of condition projects at over 50 schools.</w:t>
      </w:r>
    </w:p>
    <w:p w14:paraId="5CF7ED59" w14:textId="77777777" w:rsidR="00F44077" w:rsidRPr="00F44077" w:rsidRDefault="00F44077" w:rsidP="00891EBE">
      <w:pPr>
        <w:numPr>
          <w:ilvl w:val="0"/>
          <w:numId w:val="7"/>
        </w:numPr>
        <w:autoSpaceDE/>
        <w:autoSpaceDN/>
        <w:adjustRightInd/>
        <w:spacing w:after="160" w:line="259" w:lineRule="auto"/>
        <w:jc w:val="left"/>
        <w:rPr>
          <w:rFonts w:eastAsia="Times New Roman" w:cs="Arial"/>
          <w:color w:val="auto"/>
        </w:rPr>
      </w:pPr>
      <w:r w:rsidRPr="00F44077">
        <w:rPr>
          <w:rFonts w:eastAsia="Times New Roman" w:cs="Arial"/>
          <w:color w:val="auto"/>
        </w:rPr>
        <w:t>The completion of the major new build scheme at Windermere Tower Wood Outdoor Education Centre.</w:t>
      </w:r>
    </w:p>
    <w:p w14:paraId="2E59674C" w14:textId="29E7A6A7" w:rsidR="00F44077" w:rsidRPr="00F44077" w:rsidRDefault="00F44077" w:rsidP="00891EBE">
      <w:pPr>
        <w:numPr>
          <w:ilvl w:val="0"/>
          <w:numId w:val="7"/>
        </w:numPr>
        <w:autoSpaceDE/>
        <w:autoSpaceDN/>
        <w:adjustRightInd/>
        <w:spacing w:after="160" w:line="259" w:lineRule="auto"/>
        <w:jc w:val="left"/>
        <w:rPr>
          <w:rFonts w:eastAsia="Times New Roman" w:cs="Arial"/>
          <w:color w:val="auto"/>
        </w:rPr>
      </w:pPr>
      <w:r w:rsidRPr="00F44077">
        <w:rPr>
          <w:rFonts w:eastAsia="Times New Roman" w:cs="Arial"/>
          <w:color w:val="auto"/>
        </w:rPr>
        <w:lastRenderedPageBreak/>
        <w:t>Completion of a programme of works to improve kitchen ventilation in Lancashire Care Homes</w:t>
      </w:r>
      <w:r w:rsidR="00F21FC8">
        <w:rPr>
          <w:rFonts w:eastAsia="Times New Roman" w:cs="Arial"/>
          <w:color w:val="auto"/>
        </w:rPr>
        <w:t>.</w:t>
      </w:r>
    </w:p>
    <w:p w14:paraId="36DC91AC" w14:textId="77777777" w:rsidR="00F44077" w:rsidRPr="00F44077" w:rsidRDefault="00F44077" w:rsidP="00891EBE">
      <w:pPr>
        <w:numPr>
          <w:ilvl w:val="0"/>
          <w:numId w:val="7"/>
        </w:numPr>
        <w:autoSpaceDE/>
        <w:autoSpaceDN/>
        <w:adjustRightInd/>
        <w:spacing w:after="160" w:line="259" w:lineRule="auto"/>
        <w:jc w:val="left"/>
        <w:rPr>
          <w:rFonts w:eastAsia="Times New Roman" w:cs="Arial"/>
          <w:color w:val="auto"/>
        </w:rPr>
      </w:pPr>
      <w:r w:rsidRPr="00F44077">
        <w:rPr>
          <w:rFonts w:eastAsia="Times New Roman" w:cs="Arial"/>
          <w:color w:val="auto"/>
        </w:rPr>
        <w:t>Completion of a new building for West Lancashire Youth Zone and various Youth Satellite projects throughout the county.</w:t>
      </w:r>
    </w:p>
    <w:p w14:paraId="46CD3CC4" w14:textId="77777777" w:rsidR="00F44077" w:rsidRPr="00F44077" w:rsidRDefault="00F44077" w:rsidP="00891EBE">
      <w:pPr>
        <w:numPr>
          <w:ilvl w:val="0"/>
          <w:numId w:val="7"/>
        </w:numPr>
        <w:autoSpaceDE/>
        <w:autoSpaceDN/>
        <w:adjustRightInd/>
        <w:spacing w:after="160" w:line="259" w:lineRule="auto"/>
        <w:jc w:val="left"/>
        <w:rPr>
          <w:rFonts w:eastAsia="Times New Roman" w:cs="Arial"/>
          <w:color w:val="auto"/>
        </w:rPr>
      </w:pPr>
      <w:r w:rsidRPr="00F44077">
        <w:rPr>
          <w:rFonts w:eastAsia="Times New Roman" w:cs="Arial"/>
          <w:color w:val="auto"/>
        </w:rPr>
        <w:t>Completion of the County Hall, Christ Church Precinct refurbishment.</w:t>
      </w:r>
    </w:p>
    <w:p w14:paraId="4AA0F768" w14:textId="77777777" w:rsidR="00F44077" w:rsidRPr="00F44077" w:rsidRDefault="00F44077" w:rsidP="00891EBE">
      <w:pPr>
        <w:numPr>
          <w:ilvl w:val="0"/>
          <w:numId w:val="7"/>
        </w:numPr>
        <w:autoSpaceDE/>
        <w:autoSpaceDN/>
        <w:adjustRightInd/>
        <w:spacing w:after="160" w:line="259" w:lineRule="auto"/>
        <w:jc w:val="left"/>
        <w:rPr>
          <w:rFonts w:eastAsia="Times New Roman" w:cs="Arial"/>
          <w:color w:val="auto"/>
        </w:rPr>
      </w:pPr>
      <w:r w:rsidRPr="00F44077">
        <w:rPr>
          <w:rFonts w:eastAsia="Times New Roman" w:cs="Arial"/>
          <w:color w:val="auto"/>
        </w:rPr>
        <w:t>Completion of four small regeneration projects, in libraries.</w:t>
      </w:r>
    </w:p>
    <w:p w14:paraId="73E8234A" w14:textId="77777777" w:rsidR="00F44077" w:rsidRPr="00F44077" w:rsidRDefault="00F44077" w:rsidP="00891EBE">
      <w:pPr>
        <w:numPr>
          <w:ilvl w:val="0"/>
          <w:numId w:val="7"/>
        </w:numPr>
        <w:autoSpaceDE/>
        <w:autoSpaceDN/>
        <w:adjustRightInd/>
        <w:spacing w:after="160" w:line="259" w:lineRule="auto"/>
        <w:jc w:val="left"/>
        <w:rPr>
          <w:rFonts w:eastAsia="Times New Roman" w:cs="Arial"/>
          <w:color w:val="auto"/>
        </w:rPr>
      </w:pPr>
      <w:r w:rsidRPr="00F44077">
        <w:rPr>
          <w:rFonts w:eastAsia="Times New Roman" w:cs="Arial"/>
          <w:color w:val="auto"/>
        </w:rPr>
        <w:t>Over 67,000 potholes were identified by Highway Safety Inspections during 2014/15, of which 97% were repaired within 30 days.</w:t>
      </w:r>
    </w:p>
    <w:p w14:paraId="2B9EBA15" w14:textId="77777777" w:rsidR="00F44077" w:rsidRPr="00F44077" w:rsidRDefault="00F44077" w:rsidP="00891EBE">
      <w:pPr>
        <w:numPr>
          <w:ilvl w:val="0"/>
          <w:numId w:val="7"/>
        </w:numPr>
        <w:autoSpaceDE/>
        <w:autoSpaceDN/>
        <w:adjustRightInd/>
        <w:spacing w:after="160" w:line="259" w:lineRule="auto"/>
        <w:jc w:val="left"/>
        <w:rPr>
          <w:rFonts w:eastAsia="Times New Roman" w:cs="Arial"/>
          <w:color w:val="auto"/>
        </w:rPr>
      </w:pPr>
      <w:r w:rsidRPr="00F44077">
        <w:rPr>
          <w:rFonts w:eastAsia="Times New Roman" w:cs="Arial"/>
          <w:color w:val="auto"/>
        </w:rPr>
        <w:t xml:space="preserve">Work continues on the Heysham to M6 link road at total of £53.1m being spent in year.  </w:t>
      </w:r>
    </w:p>
    <w:p w14:paraId="03557633" w14:textId="54C3151F" w:rsidR="00F44077" w:rsidRPr="00F44077" w:rsidRDefault="00F44077" w:rsidP="00891EBE">
      <w:pPr>
        <w:numPr>
          <w:ilvl w:val="0"/>
          <w:numId w:val="7"/>
        </w:numPr>
        <w:autoSpaceDE/>
        <w:autoSpaceDN/>
        <w:adjustRightInd/>
        <w:spacing w:after="160" w:line="259" w:lineRule="auto"/>
        <w:jc w:val="left"/>
        <w:rPr>
          <w:rFonts w:eastAsia="Times New Roman" w:cs="Arial"/>
          <w:color w:val="auto"/>
        </w:rPr>
      </w:pPr>
      <w:r w:rsidRPr="00F44077">
        <w:rPr>
          <w:rFonts w:eastAsia="Times New Roman" w:cs="Arial"/>
          <w:color w:val="auto"/>
        </w:rPr>
        <w:t>£26.9m was spent during 2014/15 on maintenance of highways</w:t>
      </w:r>
      <w:r w:rsidR="006C2EE6">
        <w:rPr>
          <w:rFonts w:eastAsia="Times New Roman" w:cs="Arial"/>
          <w:color w:val="auto"/>
        </w:rPr>
        <w:t>. T</w:t>
      </w:r>
      <w:r w:rsidRPr="00F44077">
        <w:rPr>
          <w:rFonts w:eastAsia="Times New Roman" w:cs="Arial"/>
          <w:color w:val="auto"/>
        </w:rPr>
        <w:t>his included additional funding received from DfT to tackle potholes and the effects on the highway as a result of the extreme weather.</w:t>
      </w:r>
    </w:p>
    <w:p w14:paraId="00A42958" w14:textId="723ED072" w:rsidR="00F44077" w:rsidRPr="00F44077" w:rsidRDefault="00613C8B" w:rsidP="00891EBE">
      <w:pPr>
        <w:numPr>
          <w:ilvl w:val="0"/>
          <w:numId w:val="7"/>
        </w:numPr>
        <w:autoSpaceDE/>
        <w:autoSpaceDN/>
        <w:adjustRightInd/>
        <w:spacing w:after="160" w:line="259" w:lineRule="auto"/>
        <w:jc w:val="left"/>
        <w:rPr>
          <w:rFonts w:eastAsia="Times New Roman" w:cs="Arial"/>
          <w:color w:val="auto"/>
        </w:rPr>
      </w:pPr>
      <w:r>
        <w:rPr>
          <w:rFonts w:eastAsia="Times New Roman" w:cs="Arial"/>
          <w:color w:val="auto"/>
        </w:rPr>
        <w:lastRenderedPageBreak/>
        <w:t>I</w:t>
      </w:r>
      <w:r w:rsidR="00F44077" w:rsidRPr="00F44077">
        <w:rPr>
          <w:rFonts w:eastAsia="Times New Roman" w:cs="Arial"/>
          <w:color w:val="auto"/>
        </w:rPr>
        <w:t>nitial work on the West Lancashire and East Lancashire Master Plans was started</w:t>
      </w:r>
      <w:r>
        <w:rPr>
          <w:rFonts w:eastAsia="Times New Roman" w:cs="Arial"/>
          <w:color w:val="auto"/>
        </w:rPr>
        <w:t>.  E</w:t>
      </w:r>
      <w:r w:rsidR="00F44077" w:rsidRPr="00F44077">
        <w:rPr>
          <w:rFonts w:eastAsia="Times New Roman" w:cs="Arial"/>
          <w:color w:val="auto"/>
        </w:rPr>
        <w:t>xamples of key schemes include the Burnley to Pendle Growth Corridor and the East Lancashire Cycle Network.</w:t>
      </w:r>
    </w:p>
    <w:p w14:paraId="34D2CBE4" w14:textId="36F10EE3" w:rsidR="00F44077" w:rsidRPr="00F44077" w:rsidRDefault="00F44077" w:rsidP="00891EBE">
      <w:pPr>
        <w:numPr>
          <w:ilvl w:val="0"/>
          <w:numId w:val="7"/>
        </w:numPr>
        <w:autoSpaceDE/>
        <w:autoSpaceDN/>
        <w:adjustRightInd/>
        <w:spacing w:after="160" w:line="259" w:lineRule="auto"/>
        <w:jc w:val="left"/>
        <w:rPr>
          <w:rFonts w:eastAsia="Times New Roman" w:cs="Arial"/>
          <w:color w:val="auto"/>
        </w:rPr>
      </w:pPr>
      <w:r w:rsidRPr="00F44077">
        <w:rPr>
          <w:rFonts w:eastAsia="Times New Roman" w:cs="Arial"/>
          <w:color w:val="auto"/>
        </w:rPr>
        <w:t>Expenditure on the Growing Places Fund which promotes economic development initiatives within the county</w:t>
      </w:r>
      <w:r w:rsidR="00F21FC8">
        <w:rPr>
          <w:rFonts w:eastAsia="Times New Roman" w:cs="Arial"/>
          <w:color w:val="auto"/>
        </w:rPr>
        <w:t>.</w:t>
      </w:r>
    </w:p>
    <w:p w14:paraId="15E4C924" w14:textId="58D4F979" w:rsidR="00F44077" w:rsidRPr="00F44077" w:rsidRDefault="00F44077" w:rsidP="00891EBE">
      <w:pPr>
        <w:numPr>
          <w:ilvl w:val="0"/>
          <w:numId w:val="7"/>
        </w:numPr>
        <w:autoSpaceDE/>
        <w:autoSpaceDN/>
        <w:adjustRightInd/>
        <w:spacing w:after="160" w:line="259" w:lineRule="auto"/>
        <w:jc w:val="left"/>
        <w:rPr>
          <w:rFonts w:eastAsia="Times New Roman" w:cs="Arial"/>
          <w:color w:val="auto"/>
        </w:rPr>
      </w:pPr>
      <w:r w:rsidRPr="00F44077">
        <w:rPr>
          <w:rFonts w:eastAsia="Times New Roman" w:cs="Arial"/>
          <w:color w:val="auto"/>
        </w:rPr>
        <w:t>Expenditure on economic development activities including the implementation of Superfast Broadband</w:t>
      </w:r>
      <w:r w:rsidR="00F21FC8">
        <w:rPr>
          <w:rFonts w:eastAsia="Times New Roman" w:cs="Arial"/>
          <w:color w:val="auto"/>
        </w:rPr>
        <w:t>.</w:t>
      </w:r>
    </w:p>
    <w:p w14:paraId="05052ADC" w14:textId="77777777" w:rsidR="00F44077" w:rsidRPr="00F44077" w:rsidRDefault="00F44077" w:rsidP="00F44077">
      <w:pPr>
        <w:adjustRightInd/>
        <w:rPr>
          <w:rFonts w:cs="Arial"/>
          <w:color w:val="auto"/>
        </w:rPr>
      </w:pPr>
      <w:r w:rsidRPr="00F44077">
        <w:rPr>
          <w:rFonts w:cs="Arial"/>
          <w:color w:val="auto"/>
        </w:rPr>
        <w:t>The expenditure was funded from government grants, other grants and contributions, capital receipts and revenue contributions.</w:t>
      </w:r>
    </w:p>
    <w:p w14:paraId="3249DB4E" w14:textId="71676A39" w:rsidR="00F44077" w:rsidRPr="00F44077" w:rsidRDefault="00F44077" w:rsidP="00F44077">
      <w:pPr>
        <w:adjustRightInd/>
        <w:rPr>
          <w:rFonts w:cs="Arial"/>
          <w:color w:val="auto"/>
        </w:rPr>
      </w:pPr>
      <w:r w:rsidRPr="00F44077">
        <w:rPr>
          <w:rFonts w:cs="Arial"/>
          <w:color w:val="auto"/>
        </w:rPr>
        <w:t>The total loan debt built up over the years to finance capital expenditure and still outstanding at the end of 201</w:t>
      </w:r>
      <w:r w:rsidR="0035371C">
        <w:rPr>
          <w:rFonts w:cs="Arial"/>
          <w:color w:val="auto"/>
        </w:rPr>
        <w:t>4/15</w:t>
      </w:r>
      <w:r w:rsidRPr="00F44077">
        <w:rPr>
          <w:rFonts w:cs="Arial"/>
          <w:color w:val="auto"/>
        </w:rPr>
        <w:t xml:space="preserve"> was £1</w:t>
      </w:r>
      <w:r w:rsidR="008A5D00">
        <w:rPr>
          <w:rFonts w:cs="Arial"/>
          <w:color w:val="auto"/>
        </w:rPr>
        <w:t>,</w:t>
      </w:r>
      <w:r w:rsidRPr="00F44077">
        <w:rPr>
          <w:rFonts w:cs="Arial"/>
          <w:color w:val="auto"/>
        </w:rPr>
        <w:t>035.5</w:t>
      </w:r>
      <w:r w:rsidR="009E2E9D">
        <w:rPr>
          <w:rFonts w:cs="Arial"/>
          <w:color w:val="auto"/>
        </w:rPr>
        <w:t>m</w:t>
      </w:r>
      <w:r w:rsidR="00C00F24">
        <w:rPr>
          <w:rFonts w:cs="Arial"/>
          <w:color w:val="auto"/>
        </w:rPr>
        <w:t xml:space="preserve"> (£814.8m in 2013/14)</w:t>
      </w:r>
      <w:r w:rsidRPr="00F44077">
        <w:rPr>
          <w:rFonts w:cs="Arial"/>
          <w:color w:val="auto"/>
        </w:rPr>
        <w:t>, excluding debt on PFI projects. This debt is higher than the previous year due to the refinancing of the waste PFI project. The average rate of interest paid on all this debt in 2014/1</w:t>
      </w:r>
      <w:r w:rsidR="002F68A4">
        <w:rPr>
          <w:rFonts w:cs="Arial"/>
          <w:color w:val="auto"/>
        </w:rPr>
        <w:t>5</w:t>
      </w:r>
      <w:r w:rsidRPr="00F44077">
        <w:rPr>
          <w:rFonts w:cs="Arial"/>
          <w:color w:val="auto"/>
        </w:rPr>
        <w:t xml:space="preserve"> was 2.05% compared with an average rate for 2013</w:t>
      </w:r>
      <w:r w:rsidR="002F68A4">
        <w:rPr>
          <w:rFonts w:cs="Arial"/>
          <w:color w:val="auto"/>
        </w:rPr>
        <w:t>/14</w:t>
      </w:r>
      <w:r w:rsidRPr="00F44077">
        <w:rPr>
          <w:rFonts w:cs="Arial"/>
          <w:color w:val="auto"/>
        </w:rPr>
        <w:t xml:space="preserve"> of </w:t>
      </w:r>
      <w:r w:rsidRPr="00103704">
        <w:rPr>
          <w:rFonts w:cs="Arial"/>
          <w:color w:val="auto"/>
        </w:rPr>
        <w:t>2.48</w:t>
      </w:r>
      <w:r w:rsidRPr="00F44077">
        <w:rPr>
          <w:rFonts w:cs="Arial"/>
          <w:color w:val="auto"/>
        </w:rPr>
        <w:t>%.</w:t>
      </w:r>
    </w:p>
    <w:p w14:paraId="19577ECD" w14:textId="77777777" w:rsidR="008A5D00" w:rsidRDefault="008A5D00" w:rsidP="00F44077">
      <w:pPr>
        <w:adjustRightInd/>
        <w:rPr>
          <w:rFonts w:cs="Arial"/>
          <w:color w:val="auto"/>
        </w:rPr>
      </w:pPr>
    </w:p>
    <w:p w14:paraId="566F02F5" w14:textId="59B2B34D" w:rsidR="00F44077" w:rsidRPr="00F44077" w:rsidRDefault="00F44077" w:rsidP="00F44077">
      <w:pPr>
        <w:adjustRightInd/>
        <w:rPr>
          <w:rFonts w:cs="Arial"/>
          <w:color w:val="auto"/>
        </w:rPr>
      </w:pPr>
      <w:r w:rsidRPr="00F44077">
        <w:rPr>
          <w:rFonts w:cs="Arial"/>
          <w:color w:val="auto"/>
        </w:rPr>
        <w:t>The graph below shows our major areas of capital spending during the year</w:t>
      </w:r>
      <w:r w:rsidR="008A5D00">
        <w:rPr>
          <w:rFonts w:cs="Arial"/>
          <w:color w:val="auto"/>
        </w:rPr>
        <w:t xml:space="preserve"> (£m)</w:t>
      </w:r>
      <w:r w:rsidRPr="00F44077">
        <w:rPr>
          <w:rFonts w:cs="Arial"/>
          <w:color w:val="auto"/>
        </w:rPr>
        <w:t>.</w:t>
      </w:r>
    </w:p>
    <w:p w14:paraId="799BF05A" w14:textId="5DBC146D" w:rsidR="00F760A7" w:rsidRDefault="002F68A4" w:rsidP="00F44077">
      <w:pPr>
        <w:adjustRightInd/>
        <w:rPr>
          <w:rFonts w:cs="Arial"/>
          <w:color w:val="auto"/>
        </w:rPr>
      </w:pPr>
      <w:r>
        <w:rPr>
          <w:noProof/>
          <w:lang w:eastAsia="en-GB"/>
        </w:rPr>
        <w:lastRenderedPageBreak/>
        <w:drawing>
          <wp:inline distT="0" distB="0" distL="0" distR="0" wp14:anchorId="13687BCC" wp14:editId="20F9C2A9">
            <wp:extent cx="6642100" cy="405003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AAE597" w14:textId="43A2025A" w:rsidR="00F44077" w:rsidRPr="00F44077" w:rsidRDefault="00F44077" w:rsidP="00891EBE">
      <w:pPr>
        <w:adjustRightInd/>
        <w:rPr>
          <w:rFonts w:cs="Arial"/>
          <w:color w:val="auto"/>
        </w:rPr>
      </w:pPr>
      <w:r w:rsidRPr="00F44077">
        <w:rPr>
          <w:rFonts w:cs="Arial"/>
          <w:color w:val="auto"/>
        </w:rPr>
        <w:t>Full details of spending, income and budget variances are set out in the county council's end of year report 2014/15 to Cabinet on 9th July 2015</w:t>
      </w:r>
      <w:r w:rsidR="008A5D00">
        <w:rPr>
          <w:rFonts w:cs="Arial"/>
          <w:color w:val="auto"/>
        </w:rPr>
        <w:t xml:space="preserve">.  </w:t>
      </w:r>
      <w:r w:rsidR="00891EBE">
        <w:rPr>
          <w:rFonts w:cs="Arial"/>
          <w:color w:val="auto"/>
        </w:rPr>
        <w:t xml:space="preserve">This is available on our </w:t>
      </w:r>
      <w:r w:rsidRPr="00F44077">
        <w:rPr>
          <w:rFonts w:cs="Arial"/>
          <w:color w:val="auto"/>
        </w:rPr>
        <w:t>website</w:t>
      </w:r>
      <w:r w:rsidR="00891EBE">
        <w:rPr>
          <w:rFonts w:cs="Arial"/>
          <w:color w:val="auto"/>
        </w:rPr>
        <w:t xml:space="preserve">: </w:t>
      </w:r>
      <w:r w:rsidRPr="00F44077">
        <w:rPr>
          <w:rFonts w:cs="Arial"/>
          <w:color w:val="auto"/>
        </w:rPr>
        <w:t xml:space="preserve"> </w:t>
      </w:r>
      <w:hyperlink r:id="rId11" w:history="1">
        <w:r w:rsidRPr="00F44077">
          <w:rPr>
            <w:rFonts w:cs="Arial"/>
            <w:color w:val="auto"/>
            <w:u w:val="single"/>
          </w:rPr>
          <w:t>http://council.lancashire.gov.uk/ieListDocuments.aspx?CId=122&amp;MId=3457</w:t>
        </w:r>
      </w:hyperlink>
    </w:p>
    <w:p w14:paraId="1C368D6D" w14:textId="77777777" w:rsidR="00F44077" w:rsidRPr="00F44077" w:rsidRDefault="00F44077" w:rsidP="00F44077">
      <w:pPr>
        <w:keepNext/>
        <w:adjustRightInd/>
        <w:spacing w:before="60"/>
        <w:outlineLvl w:val="1"/>
        <w:rPr>
          <w:rFonts w:eastAsia="Times New Roman" w:cs="Arial"/>
          <w:b/>
          <w:bCs/>
          <w:color w:val="auto"/>
          <w:sz w:val="32"/>
          <w:szCs w:val="32"/>
          <w:lang w:eastAsia="en-GB"/>
        </w:rPr>
      </w:pPr>
      <w:r w:rsidRPr="00F44077">
        <w:rPr>
          <w:rFonts w:eastAsia="Times New Roman" w:cs="Arial"/>
          <w:b/>
          <w:bCs/>
          <w:color w:val="auto"/>
          <w:sz w:val="32"/>
          <w:szCs w:val="32"/>
          <w:lang w:eastAsia="en-GB"/>
        </w:rPr>
        <w:t xml:space="preserve">Schools Spending </w:t>
      </w:r>
    </w:p>
    <w:p w14:paraId="73DC5195" w14:textId="1D530DF9" w:rsidR="00F44077" w:rsidRPr="00F44077" w:rsidRDefault="002F68A4" w:rsidP="00F44077">
      <w:pPr>
        <w:adjustRightInd/>
        <w:rPr>
          <w:rFonts w:cs="Arial"/>
          <w:color w:val="auto"/>
        </w:rPr>
      </w:pPr>
      <w:r>
        <w:rPr>
          <w:rFonts w:cs="Arial"/>
          <w:color w:val="auto"/>
        </w:rPr>
        <w:t>T</w:t>
      </w:r>
      <w:r w:rsidR="00F44077" w:rsidRPr="00F44077">
        <w:rPr>
          <w:rFonts w:cs="Arial"/>
          <w:color w:val="auto"/>
        </w:rPr>
        <w:t>he schools funded via the county council increased their accumula</w:t>
      </w:r>
      <w:r w:rsidR="008A5D00">
        <w:rPr>
          <w:rFonts w:cs="Arial"/>
          <w:color w:val="auto"/>
        </w:rPr>
        <w:t>ted individual reserves by £0.5</w:t>
      </w:r>
      <w:r w:rsidR="00F44077" w:rsidRPr="00F44077">
        <w:rPr>
          <w:rFonts w:cs="Arial"/>
          <w:color w:val="auto"/>
        </w:rPr>
        <w:t>m.</w:t>
      </w:r>
    </w:p>
    <w:p w14:paraId="6632A9CD" w14:textId="439F5602" w:rsidR="00F44077" w:rsidRPr="00F44077" w:rsidRDefault="005F7526" w:rsidP="00F44077">
      <w:pPr>
        <w:adjustRightInd/>
        <w:rPr>
          <w:rFonts w:cs="Arial"/>
          <w:color w:val="auto"/>
        </w:rPr>
      </w:pPr>
      <w:r w:rsidRPr="005F7526">
        <w:rPr>
          <w:rFonts w:cs="Arial"/>
          <w:color w:val="auto"/>
        </w:rPr>
        <w:lastRenderedPageBreak/>
        <w:t xml:space="preserve">The council has an agreed claw back policy </w:t>
      </w:r>
      <w:r w:rsidR="00F44077" w:rsidRPr="005F7526">
        <w:rPr>
          <w:rFonts w:cs="Arial"/>
          <w:color w:val="auto"/>
        </w:rPr>
        <w:t>in relation to schools with excessive balances</w:t>
      </w:r>
      <w:r w:rsidRPr="005F7526">
        <w:rPr>
          <w:rFonts w:cs="Arial"/>
          <w:color w:val="auto"/>
        </w:rPr>
        <w:t>. This</w:t>
      </w:r>
      <w:r w:rsidR="00F44077" w:rsidRPr="005F7526">
        <w:rPr>
          <w:rFonts w:cs="Arial"/>
          <w:color w:val="auto"/>
        </w:rPr>
        <w:t xml:space="preserve"> will affect 14 schools </w:t>
      </w:r>
      <w:r w:rsidRPr="005F7526">
        <w:rPr>
          <w:rFonts w:cs="Arial"/>
          <w:color w:val="auto"/>
        </w:rPr>
        <w:t>resulting</w:t>
      </w:r>
      <w:r w:rsidR="00F44077" w:rsidRPr="005F7526">
        <w:rPr>
          <w:rFonts w:cs="Arial"/>
          <w:color w:val="auto"/>
        </w:rPr>
        <w:t xml:space="preserve"> in £0.1m being recycled within the schools budget.</w:t>
      </w:r>
    </w:p>
    <w:p w14:paraId="40A9143C" w14:textId="77777777" w:rsidR="00F44077" w:rsidRDefault="00F44077" w:rsidP="00F44077">
      <w:pPr>
        <w:adjustRightInd/>
        <w:rPr>
          <w:rFonts w:cs="Arial"/>
          <w:color w:val="auto"/>
        </w:rPr>
      </w:pPr>
      <w:r w:rsidRPr="00F44077">
        <w:rPr>
          <w:rFonts w:cs="Arial"/>
          <w:color w:val="auto"/>
        </w:rPr>
        <w:t>The overall picture on individual schools balances is shown below:</w:t>
      </w:r>
    </w:p>
    <w:p w14:paraId="2645C669" w14:textId="77777777" w:rsidR="00B3248D" w:rsidRDefault="00B3248D" w:rsidP="00F44077">
      <w:pPr>
        <w:adjustRightInd/>
        <w:rPr>
          <w:rFonts w:cs="Arial"/>
          <w:color w:val="auto"/>
        </w:rPr>
      </w:pPr>
    </w:p>
    <w:p w14:paraId="5DD975E5" w14:textId="77777777" w:rsidR="00B3248D" w:rsidRDefault="00B3248D" w:rsidP="00F44077">
      <w:pPr>
        <w:adjustRightInd/>
        <w:rPr>
          <w:rFonts w:cs="Arial"/>
          <w:color w:val="auto"/>
        </w:rPr>
      </w:pPr>
    </w:p>
    <w:p w14:paraId="7A8CC487" w14:textId="77777777" w:rsidR="00B3248D" w:rsidRDefault="00B3248D" w:rsidP="00F44077">
      <w:pPr>
        <w:adjustRightInd/>
        <w:rPr>
          <w:rFonts w:cs="Arial"/>
          <w:color w:val="auto"/>
        </w:rPr>
      </w:pPr>
    </w:p>
    <w:p w14:paraId="055C764B" w14:textId="77777777" w:rsidR="00B3248D" w:rsidRDefault="00B3248D" w:rsidP="00F44077">
      <w:pPr>
        <w:adjustRightInd/>
        <w:rPr>
          <w:rFonts w:cs="Arial"/>
          <w:color w:val="auto"/>
        </w:rPr>
      </w:pPr>
    </w:p>
    <w:p w14:paraId="4732C97A" w14:textId="77777777" w:rsidR="00B3248D" w:rsidRDefault="00B3248D" w:rsidP="00F44077">
      <w:pPr>
        <w:adjustRightInd/>
        <w:rPr>
          <w:rFonts w:cs="Arial"/>
          <w:color w:val="auto"/>
        </w:rPr>
      </w:pPr>
    </w:p>
    <w:p w14:paraId="026829F0" w14:textId="77777777" w:rsidR="00B3248D" w:rsidRPr="00F44077" w:rsidRDefault="00B3248D" w:rsidP="00F44077">
      <w:pPr>
        <w:adjustRightInd/>
        <w:rPr>
          <w:rFonts w:cs="Arial"/>
          <w:color w:val="auto"/>
        </w:rPr>
      </w:pPr>
    </w:p>
    <w:tbl>
      <w:tblPr>
        <w:tblW w:w="5000" w:type="pct"/>
        <w:tblCellMar>
          <w:left w:w="0" w:type="dxa"/>
          <w:right w:w="0" w:type="dxa"/>
        </w:tblCellMar>
        <w:tblLook w:val="04A0" w:firstRow="1" w:lastRow="0" w:firstColumn="1" w:lastColumn="0" w:noHBand="0" w:noVBand="1"/>
      </w:tblPr>
      <w:tblGrid>
        <w:gridCol w:w="3987"/>
        <w:gridCol w:w="2356"/>
        <w:gridCol w:w="2080"/>
        <w:gridCol w:w="2017"/>
      </w:tblGrid>
      <w:tr w:rsidR="00F44077" w:rsidRPr="00F44077" w14:paraId="61F88BF4" w14:textId="77777777" w:rsidTr="00F44077">
        <w:trPr>
          <w:trHeight w:val="538"/>
        </w:trPr>
        <w:tc>
          <w:tcPr>
            <w:tcW w:w="1909" w:type="pct"/>
            <w:tcBorders>
              <w:top w:val="single" w:sz="8" w:space="0" w:color="auto"/>
              <w:left w:val="single" w:sz="8" w:space="0" w:color="auto"/>
              <w:bottom w:val="nil"/>
              <w:right w:val="nil"/>
            </w:tcBorders>
            <w:shd w:val="clear" w:color="auto" w:fill="D0CECE"/>
            <w:tcMar>
              <w:top w:w="0" w:type="dxa"/>
              <w:left w:w="108" w:type="dxa"/>
              <w:bottom w:w="0" w:type="dxa"/>
              <w:right w:w="108" w:type="dxa"/>
            </w:tcMar>
            <w:vAlign w:val="bottom"/>
          </w:tcPr>
          <w:p w14:paraId="317A17D1" w14:textId="77777777" w:rsidR="00F44077" w:rsidRPr="00F44077" w:rsidRDefault="00F44077" w:rsidP="00F44077">
            <w:pPr>
              <w:adjustRightInd/>
              <w:jc w:val="left"/>
              <w:rPr>
                <w:rFonts w:cs="Arial"/>
                <w:color w:val="auto"/>
              </w:rPr>
            </w:pPr>
          </w:p>
        </w:tc>
        <w:tc>
          <w:tcPr>
            <w:tcW w:w="1128" w:type="pct"/>
            <w:tcBorders>
              <w:top w:val="single" w:sz="8" w:space="0" w:color="auto"/>
              <w:left w:val="nil"/>
              <w:bottom w:val="nil"/>
              <w:right w:val="nil"/>
            </w:tcBorders>
            <w:shd w:val="clear" w:color="auto" w:fill="D0CECE"/>
            <w:tcMar>
              <w:top w:w="0" w:type="dxa"/>
              <w:left w:w="108" w:type="dxa"/>
              <w:bottom w:w="0" w:type="dxa"/>
              <w:right w:w="108" w:type="dxa"/>
            </w:tcMar>
            <w:vAlign w:val="bottom"/>
            <w:hideMark/>
          </w:tcPr>
          <w:p w14:paraId="33F0747C" w14:textId="40E90D53" w:rsidR="00F44077" w:rsidRPr="00F44077" w:rsidRDefault="00F44077" w:rsidP="00F44077">
            <w:pPr>
              <w:adjustRightInd/>
              <w:jc w:val="center"/>
              <w:rPr>
                <w:rFonts w:cs="Arial"/>
                <w:b/>
                <w:bCs/>
                <w:color w:val="auto"/>
              </w:rPr>
            </w:pPr>
            <w:r w:rsidRPr="00F44077">
              <w:rPr>
                <w:rFonts w:cs="Arial"/>
                <w:b/>
                <w:bCs/>
                <w:color w:val="auto"/>
              </w:rPr>
              <w:t>Balance</w:t>
            </w:r>
            <w:r w:rsidR="000E3906">
              <w:rPr>
                <w:rFonts w:cs="Arial"/>
                <w:b/>
                <w:bCs/>
                <w:color w:val="auto"/>
              </w:rPr>
              <w:t xml:space="preserve"> as</w:t>
            </w:r>
            <w:r w:rsidRPr="00F44077">
              <w:rPr>
                <w:rFonts w:cs="Arial"/>
                <w:b/>
                <w:bCs/>
                <w:color w:val="auto"/>
              </w:rPr>
              <w:t xml:space="preserve"> at 1 April 2014</w:t>
            </w:r>
          </w:p>
        </w:tc>
        <w:tc>
          <w:tcPr>
            <w:tcW w:w="996" w:type="pct"/>
            <w:tcBorders>
              <w:top w:val="single" w:sz="8" w:space="0" w:color="auto"/>
              <w:left w:val="nil"/>
              <w:bottom w:val="nil"/>
              <w:right w:val="nil"/>
            </w:tcBorders>
            <w:shd w:val="clear" w:color="auto" w:fill="D0CECE"/>
            <w:tcMar>
              <w:top w:w="0" w:type="dxa"/>
              <w:left w:w="108" w:type="dxa"/>
              <w:bottom w:w="0" w:type="dxa"/>
              <w:right w:w="108" w:type="dxa"/>
            </w:tcMar>
            <w:vAlign w:val="bottom"/>
            <w:hideMark/>
          </w:tcPr>
          <w:p w14:paraId="2AB17E6F" w14:textId="77777777" w:rsidR="00F44077" w:rsidRPr="00F44077" w:rsidRDefault="00F44077" w:rsidP="00F44077">
            <w:pPr>
              <w:adjustRightInd/>
              <w:jc w:val="center"/>
              <w:rPr>
                <w:rFonts w:cs="Arial"/>
                <w:b/>
                <w:bCs/>
                <w:color w:val="auto"/>
              </w:rPr>
            </w:pPr>
            <w:r w:rsidRPr="00F44077">
              <w:rPr>
                <w:rFonts w:cs="Arial"/>
                <w:b/>
                <w:bCs/>
                <w:color w:val="auto"/>
              </w:rPr>
              <w:t>Net change in balances</w:t>
            </w:r>
          </w:p>
        </w:tc>
        <w:tc>
          <w:tcPr>
            <w:tcW w:w="966" w:type="pct"/>
            <w:tcBorders>
              <w:top w:val="single" w:sz="8" w:space="0" w:color="auto"/>
              <w:left w:val="nil"/>
              <w:bottom w:val="nil"/>
              <w:right w:val="single" w:sz="8" w:space="0" w:color="auto"/>
            </w:tcBorders>
            <w:shd w:val="clear" w:color="auto" w:fill="D0CECE"/>
            <w:tcMar>
              <w:top w:w="0" w:type="dxa"/>
              <w:left w:w="108" w:type="dxa"/>
              <w:bottom w:w="0" w:type="dxa"/>
              <w:right w:w="108" w:type="dxa"/>
            </w:tcMar>
            <w:vAlign w:val="bottom"/>
            <w:hideMark/>
          </w:tcPr>
          <w:p w14:paraId="764C2371" w14:textId="4B5C9A09" w:rsidR="00F44077" w:rsidRPr="00F44077" w:rsidRDefault="00F44077" w:rsidP="00F44077">
            <w:pPr>
              <w:adjustRightInd/>
              <w:jc w:val="center"/>
              <w:rPr>
                <w:rFonts w:cs="Arial"/>
                <w:b/>
                <w:bCs/>
                <w:color w:val="auto"/>
              </w:rPr>
            </w:pPr>
            <w:r w:rsidRPr="00F44077">
              <w:rPr>
                <w:rFonts w:cs="Arial"/>
                <w:b/>
                <w:bCs/>
                <w:color w:val="auto"/>
              </w:rPr>
              <w:t xml:space="preserve">Balances </w:t>
            </w:r>
            <w:r w:rsidR="00567A6F">
              <w:rPr>
                <w:rFonts w:cs="Arial"/>
                <w:b/>
                <w:bCs/>
                <w:color w:val="auto"/>
              </w:rPr>
              <w:t xml:space="preserve">as </w:t>
            </w:r>
            <w:r w:rsidRPr="00F44077">
              <w:rPr>
                <w:rFonts w:cs="Arial"/>
                <w:b/>
                <w:bCs/>
                <w:color w:val="auto"/>
              </w:rPr>
              <w:t>at 31 March 2015</w:t>
            </w:r>
          </w:p>
        </w:tc>
      </w:tr>
      <w:tr w:rsidR="00F44077" w:rsidRPr="00F44077" w14:paraId="67A0BEE3" w14:textId="77777777" w:rsidTr="00F44077">
        <w:trPr>
          <w:trHeight w:val="80"/>
        </w:trPr>
        <w:tc>
          <w:tcPr>
            <w:tcW w:w="1909" w:type="pct"/>
            <w:tcBorders>
              <w:top w:val="nil"/>
              <w:left w:val="single" w:sz="8" w:space="0" w:color="auto"/>
              <w:bottom w:val="nil"/>
              <w:right w:val="nil"/>
            </w:tcBorders>
            <w:shd w:val="clear" w:color="auto" w:fill="D0CECE"/>
            <w:tcMar>
              <w:top w:w="0" w:type="dxa"/>
              <w:left w:w="108" w:type="dxa"/>
              <w:bottom w:w="0" w:type="dxa"/>
              <w:right w:w="108" w:type="dxa"/>
            </w:tcMar>
            <w:vAlign w:val="bottom"/>
          </w:tcPr>
          <w:p w14:paraId="171DEAAE" w14:textId="77777777" w:rsidR="00F44077" w:rsidRPr="00F44077" w:rsidRDefault="00F44077" w:rsidP="00F44077">
            <w:pPr>
              <w:adjustRightInd/>
              <w:jc w:val="left"/>
              <w:rPr>
                <w:rFonts w:cs="Arial"/>
                <w:color w:val="auto"/>
              </w:rPr>
            </w:pPr>
          </w:p>
        </w:tc>
        <w:tc>
          <w:tcPr>
            <w:tcW w:w="1128" w:type="pct"/>
            <w:shd w:val="clear" w:color="auto" w:fill="D0CECE"/>
            <w:tcMar>
              <w:top w:w="0" w:type="dxa"/>
              <w:left w:w="108" w:type="dxa"/>
              <w:bottom w:w="0" w:type="dxa"/>
              <w:right w:w="108" w:type="dxa"/>
            </w:tcMar>
            <w:vAlign w:val="bottom"/>
            <w:hideMark/>
          </w:tcPr>
          <w:p w14:paraId="71C0E349" w14:textId="77777777" w:rsidR="00F44077" w:rsidRPr="00F44077" w:rsidRDefault="00F44077" w:rsidP="00F44077">
            <w:pPr>
              <w:adjustRightInd/>
              <w:jc w:val="center"/>
              <w:rPr>
                <w:rFonts w:cs="Arial"/>
                <w:b/>
                <w:bCs/>
                <w:color w:val="auto"/>
              </w:rPr>
            </w:pPr>
            <w:r w:rsidRPr="00F44077">
              <w:rPr>
                <w:rFonts w:cs="Arial"/>
                <w:b/>
                <w:bCs/>
                <w:color w:val="auto"/>
              </w:rPr>
              <w:t>£m</w:t>
            </w:r>
          </w:p>
        </w:tc>
        <w:tc>
          <w:tcPr>
            <w:tcW w:w="996" w:type="pct"/>
            <w:shd w:val="clear" w:color="auto" w:fill="D0CECE"/>
            <w:tcMar>
              <w:top w:w="0" w:type="dxa"/>
              <w:left w:w="108" w:type="dxa"/>
              <w:bottom w:w="0" w:type="dxa"/>
              <w:right w:w="108" w:type="dxa"/>
            </w:tcMar>
            <w:vAlign w:val="bottom"/>
            <w:hideMark/>
          </w:tcPr>
          <w:p w14:paraId="0FDC4BB4" w14:textId="77777777" w:rsidR="00F44077" w:rsidRPr="00F44077" w:rsidRDefault="00F44077" w:rsidP="00F44077">
            <w:pPr>
              <w:adjustRightInd/>
              <w:jc w:val="center"/>
              <w:rPr>
                <w:rFonts w:cs="Arial"/>
                <w:b/>
                <w:bCs/>
                <w:color w:val="auto"/>
              </w:rPr>
            </w:pPr>
            <w:r w:rsidRPr="00F44077">
              <w:rPr>
                <w:rFonts w:cs="Arial"/>
                <w:b/>
                <w:bCs/>
                <w:color w:val="auto"/>
              </w:rPr>
              <w:t>£m</w:t>
            </w:r>
          </w:p>
        </w:tc>
        <w:tc>
          <w:tcPr>
            <w:tcW w:w="966" w:type="pct"/>
            <w:tcBorders>
              <w:top w:val="nil"/>
              <w:left w:val="nil"/>
              <w:bottom w:val="nil"/>
              <w:right w:val="single" w:sz="8" w:space="0" w:color="auto"/>
            </w:tcBorders>
            <w:shd w:val="clear" w:color="auto" w:fill="D0CECE"/>
            <w:tcMar>
              <w:top w:w="0" w:type="dxa"/>
              <w:left w:w="108" w:type="dxa"/>
              <w:bottom w:w="0" w:type="dxa"/>
              <w:right w:w="108" w:type="dxa"/>
            </w:tcMar>
            <w:vAlign w:val="bottom"/>
            <w:hideMark/>
          </w:tcPr>
          <w:p w14:paraId="1150E653" w14:textId="77777777" w:rsidR="00F44077" w:rsidRPr="00F44077" w:rsidRDefault="00F44077" w:rsidP="00F44077">
            <w:pPr>
              <w:adjustRightInd/>
              <w:jc w:val="center"/>
              <w:rPr>
                <w:rFonts w:cs="Arial"/>
                <w:b/>
                <w:bCs/>
                <w:color w:val="auto"/>
              </w:rPr>
            </w:pPr>
            <w:r w:rsidRPr="00F44077">
              <w:rPr>
                <w:rFonts w:cs="Arial"/>
                <w:b/>
                <w:bCs/>
                <w:color w:val="auto"/>
              </w:rPr>
              <w:t>£m</w:t>
            </w:r>
          </w:p>
        </w:tc>
      </w:tr>
      <w:tr w:rsidR="00F44077" w:rsidRPr="00F44077" w14:paraId="7AB4E57E" w14:textId="77777777" w:rsidTr="00F44077">
        <w:tc>
          <w:tcPr>
            <w:tcW w:w="1909" w:type="pct"/>
            <w:tcBorders>
              <w:top w:val="nil"/>
              <w:left w:val="single" w:sz="8" w:space="0" w:color="auto"/>
              <w:bottom w:val="nil"/>
              <w:right w:val="nil"/>
            </w:tcBorders>
            <w:tcMar>
              <w:top w:w="0" w:type="dxa"/>
              <w:left w:w="108" w:type="dxa"/>
              <w:bottom w:w="0" w:type="dxa"/>
              <w:right w:w="108" w:type="dxa"/>
            </w:tcMar>
            <w:vAlign w:val="bottom"/>
            <w:hideMark/>
          </w:tcPr>
          <w:p w14:paraId="1CC80846" w14:textId="77777777" w:rsidR="00F44077" w:rsidRPr="00F44077" w:rsidRDefault="00F44077" w:rsidP="00F44077">
            <w:pPr>
              <w:adjustRightInd/>
              <w:jc w:val="left"/>
              <w:rPr>
                <w:rFonts w:cs="Arial"/>
                <w:color w:val="auto"/>
              </w:rPr>
            </w:pPr>
            <w:r w:rsidRPr="00F44077">
              <w:rPr>
                <w:rFonts w:cs="Arial"/>
                <w:color w:val="auto"/>
              </w:rPr>
              <w:t>Nursery</w:t>
            </w:r>
          </w:p>
        </w:tc>
        <w:tc>
          <w:tcPr>
            <w:tcW w:w="1128" w:type="pct"/>
            <w:tcMar>
              <w:top w:w="0" w:type="dxa"/>
              <w:left w:w="108" w:type="dxa"/>
              <w:bottom w:w="0" w:type="dxa"/>
              <w:right w:w="108" w:type="dxa"/>
            </w:tcMar>
            <w:vAlign w:val="bottom"/>
            <w:hideMark/>
          </w:tcPr>
          <w:p w14:paraId="40F217EE" w14:textId="5B4305BF" w:rsidR="00F44077" w:rsidRPr="00F44077" w:rsidRDefault="008A5D00" w:rsidP="009E64EC">
            <w:pPr>
              <w:tabs>
                <w:tab w:val="decimal" w:pos="1045"/>
              </w:tabs>
              <w:adjustRightInd/>
              <w:rPr>
                <w:rFonts w:cs="Arial"/>
                <w:color w:val="auto"/>
              </w:rPr>
            </w:pPr>
            <w:r>
              <w:rPr>
                <w:rFonts w:cs="Arial"/>
                <w:color w:val="auto"/>
              </w:rPr>
              <w:t>1.0</w:t>
            </w:r>
          </w:p>
        </w:tc>
        <w:tc>
          <w:tcPr>
            <w:tcW w:w="996" w:type="pct"/>
            <w:tcMar>
              <w:top w:w="0" w:type="dxa"/>
              <w:left w:w="108" w:type="dxa"/>
              <w:bottom w:w="0" w:type="dxa"/>
              <w:right w:w="108" w:type="dxa"/>
            </w:tcMar>
            <w:vAlign w:val="bottom"/>
            <w:hideMark/>
          </w:tcPr>
          <w:p w14:paraId="228CEFA3" w14:textId="466F1C9B" w:rsidR="00F44077" w:rsidRPr="00F44077" w:rsidRDefault="00F44077" w:rsidP="009E64EC">
            <w:pPr>
              <w:tabs>
                <w:tab w:val="decimal" w:pos="885"/>
              </w:tabs>
              <w:adjustRightInd/>
              <w:rPr>
                <w:rFonts w:cs="Arial"/>
                <w:color w:val="auto"/>
              </w:rPr>
            </w:pPr>
            <w:r w:rsidRPr="00F44077">
              <w:rPr>
                <w:rFonts w:cs="Arial"/>
                <w:color w:val="auto"/>
              </w:rPr>
              <w:t>(0.1)</w:t>
            </w:r>
          </w:p>
        </w:tc>
        <w:tc>
          <w:tcPr>
            <w:tcW w:w="966" w:type="pct"/>
            <w:tcBorders>
              <w:top w:val="nil"/>
              <w:left w:val="nil"/>
              <w:bottom w:val="nil"/>
              <w:right w:val="single" w:sz="8" w:space="0" w:color="auto"/>
            </w:tcBorders>
            <w:tcMar>
              <w:top w:w="0" w:type="dxa"/>
              <w:left w:w="108" w:type="dxa"/>
              <w:bottom w:w="0" w:type="dxa"/>
              <w:right w:w="108" w:type="dxa"/>
            </w:tcMar>
            <w:vAlign w:val="bottom"/>
            <w:hideMark/>
          </w:tcPr>
          <w:p w14:paraId="13D20274" w14:textId="564C1A3B" w:rsidR="00F44077" w:rsidRPr="00F44077" w:rsidRDefault="00F44077" w:rsidP="009E64EC">
            <w:pPr>
              <w:tabs>
                <w:tab w:val="decimal" w:pos="885"/>
              </w:tabs>
              <w:adjustRightInd/>
              <w:rPr>
                <w:rFonts w:cs="Arial"/>
                <w:color w:val="auto"/>
              </w:rPr>
            </w:pPr>
            <w:r w:rsidRPr="00F44077">
              <w:rPr>
                <w:rFonts w:cs="Arial"/>
                <w:color w:val="auto"/>
              </w:rPr>
              <w:t>0.9</w:t>
            </w:r>
          </w:p>
        </w:tc>
      </w:tr>
      <w:tr w:rsidR="00F44077" w:rsidRPr="00F44077" w14:paraId="15DEE31C" w14:textId="77777777" w:rsidTr="00F44077">
        <w:tc>
          <w:tcPr>
            <w:tcW w:w="1909" w:type="pct"/>
            <w:tcBorders>
              <w:top w:val="nil"/>
              <w:left w:val="single" w:sz="8" w:space="0" w:color="auto"/>
              <w:bottom w:val="nil"/>
              <w:right w:val="nil"/>
            </w:tcBorders>
            <w:tcMar>
              <w:top w:w="0" w:type="dxa"/>
              <w:left w:w="108" w:type="dxa"/>
              <w:bottom w:w="0" w:type="dxa"/>
              <w:right w:w="108" w:type="dxa"/>
            </w:tcMar>
            <w:vAlign w:val="bottom"/>
            <w:hideMark/>
          </w:tcPr>
          <w:p w14:paraId="08D50C50" w14:textId="77777777" w:rsidR="00F44077" w:rsidRPr="00F44077" w:rsidRDefault="00F44077" w:rsidP="00F44077">
            <w:pPr>
              <w:adjustRightInd/>
              <w:jc w:val="left"/>
              <w:rPr>
                <w:rFonts w:cs="Arial"/>
                <w:color w:val="auto"/>
              </w:rPr>
            </w:pPr>
            <w:r w:rsidRPr="00F44077">
              <w:rPr>
                <w:rFonts w:cs="Arial"/>
                <w:color w:val="auto"/>
              </w:rPr>
              <w:t>Primary</w:t>
            </w:r>
          </w:p>
        </w:tc>
        <w:tc>
          <w:tcPr>
            <w:tcW w:w="1128" w:type="pct"/>
            <w:tcMar>
              <w:top w:w="0" w:type="dxa"/>
              <w:left w:w="108" w:type="dxa"/>
              <w:bottom w:w="0" w:type="dxa"/>
              <w:right w:w="108" w:type="dxa"/>
            </w:tcMar>
            <w:vAlign w:val="bottom"/>
            <w:hideMark/>
          </w:tcPr>
          <w:p w14:paraId="7045FE26" w14:textId="49691B40" w:rsidR="00F44077" w:rsidRPr="00F44077" w:rsidRDefault="00F44077" w:rsidP="009E64EC">
            <w:pPr>
              <w:tabs>
                <w:tab w:val="decimal" w:pos="1045"/>
              </w:tabs>
              <w:adjustRightInd/>
              <w:rPr>
                <w:rFonts w:cs="Arial"/>
                <w:color w:val="auto"/>
              </w:rPr>
            </w:pPr>
            <w:r w:rsidRPr="00F44077">
              <w:rPr>
                <w:rFonts w:cs="Arial"/>
                <w:color w:val="auto"/>
              </w:rPr>
              <w:t>32.</w:t>
            </w:r>
            <w:r w:rsidR="008A5D00">
              <w:rPr>
                <w:rFonts w:cs="Arial"/>
                <w:color w:val="auto"/>
              </w:rPr>
              <w:t>1</w:t>
            </w:r>
          </w:p>
        </w:tc>
        <w:tc>
          <w:tcPr>
            <w:tcW w:w="996" w:type="pct"/>
            <w:tcMar>
              <w:top w:w="0" w:type="dxa"/>
              <w:left w:w="108" w:type="dxa"/>
              <w:bottom w:w="0" w:type="dxa"/>
              <w:right w:w="108" w:type="dxa"/>
            </w:tcMar>
            <w:vAlign w:val="bottom"/>
            <w:hideMark/>
          </w:tcPr>
          <w:p w14:paraId="4833F4A3" w14:textId="09EF506A" w:rsidR="00F44077" w:rsidRPr="00F44077" w:rsidRDefault="00F44077" w:rsidP="009E64EC">
            <w:pPr>
              <w:tabs>
                <w:tab w:val="decimal" w:pos="885"/>
              </w:tabs>
              <w:adjustRightInd/>
              <w:rPr>
                <w:rFonts w:cs="Arial"/>
                <w:color w:val="auto"/>
              </w:rPr>
            </w:pPr>
            <w:r w:rsidRPr="00F44077">
              <w:rPr>
                <w:rFonts w:cs="Arial"/>
                <w:color w:val="auto"/>
              </w:rPr>
              <w:t>4.5</w:t>
            </w:r>
          </w:p>
        </w:tc>
        <w:tc>
          <w:tcPr>
            <w:tcW w:w="966" w:type="pct"/>
            <w:tcBorders>
              <w:top w:val="nil"/>
              <w:left w:val="nil"/>
              <w:bottom w:val="nil"/>
              <w:right w:val="single" w:sz="8" w:space="0" w:color="auto"/>
            </w:tcBorders>
            <w:tcMar>
              <w:top w:w="0" w:type="dxa"/>
              <w:left w:w="108" w:type="dxa"/>
              <w:bottom w:w="0" w:type="dxa"/>
              <w:right w:w="108" w:type="dxa"/>
            </w:tcMar>
            <w:vAlign w:val="bottom"/>
            <w:hideMark/>
          </w:tcPr>
          <w:p w14:paraId="0C3CDC5F" w14:textId="2A689E63" w:rsidR="00F44077" w:rsidRPr="00F44077" w:rsidRDefault="00F44077" w:rsidP="009E64EC">
            <w:pPr>
              <w:tabs>
                <w:tab w:val="decimal" w:pos="885"/>
              </w:tabs>
              <w:adjustRightInd/>
              <w:rPr>
                <w:rFonts w:cs="Arial"/>
                <w:color w:val="auto"/>
              </w:rPr>
            </w:pPr>
            <w:r w:rsidRPr="00F44077">
              <w:rPr>
                <w:rFonts w:cs="Arial"/>
                <w:color w:val="auto"/>
              </w:rPr>
              <w:t>36.</w:t>
            </w:r>
            <w:r w:rsidR="008A5D00">
              <w:rPr>
                <w:rFonts w:cs="Arial"/>
                <w:color w:val="auto"/>
              </w:rPr>
              <w:t>6</w:t>
            </w:r>
          </w:p>
        </w:tc>
      </w:tr>
      <w:tr w:rsidR="00F44077" w:rsidRPr="00F44077" w14:paraId="67243E56" w14:textId="77777777" w:rsidTr="00F44077">
        <w:tc>
          <w:tcPr>
            <w:tcW w:w="1909" w:type="pct"/>
            <w:tcBorders>
              <w:top w:val="nil"/>
              <w:left w:val="single" w:sz="8" w:space="0" w:color="auto"/>
              <w:bottom w:val="nil"/>
              <w:right w:val="nil"/>
            </w:tcBorders>
            <w:tcMar>
              <w:top w:w="0" w:type="dxa"/>
              <w:left w:w="108" w:type="dxa"/>
              <w:bottom w:w="0" w:type="dxa"/>
              <w:right w:w="108" w:type="dxa"/>
            </w:tcMar>
            <w:vAlign w:val="bottom"/>
            <w:hideMark/>
          </w:tcPr>
          <w:p w14:paraId="22BB5E4C" w14:textId="77777777" w:rsidR="00F44077" w:rsidRPr="00F44077" w:rsidRDefault="00F44077" w:rsidP="00F44077">
            <w:pPr>
              <w:adjustRightInd/>
              <w:jc w:val="left"/>
              <w:rPr>
                <w:rFonts w:cs="Arial"/>
                <w:color w:val="auto"/>
              </w:rPr>
            </w:pPr>
            <w:r w:rsidRPr="00F44077">
              <w:rPr>
                <w:rFonts w:cs="Arial"/>
                <w:color w:val="auto"/>
              </w:rPr>
              <w:t>Secondary</w:t>
            </w:r>
          </w:p>
        </w:tc>
        <w:tc>
          <w:tcPr>
            <w:tcW w:w="1128" w:type="pct"/>
            <w:tcMar>
              <w:top w:w="0" w:type="dxa"/>
              <w:left w:w="108" w:type="dxa"/>
              <w:bottom w:w="0" w:type="dxa"/>
              <w:right w:w="108" w:type="dxa"/>
            </w:tcMar>
            <w:vAlign w:val="bottom"/>
            <w:hideMark/>
          </w:tcPr>
          <w:p w14:paraId="091D5B23" w14:textId="661C0D35" w:rsidR="00F44077" w:rsidRPr="00F44077" w:rsidRDefault="00F44077" w:rsidP="009E64EC">
            <w:pPr>
              <w:tabs>
                <w:tab w:val="decimal" w:pos="1045"/>
              </w:tabs>
              <w:adjustRightInd/>
              <w:rPr>
                <w:rFonts w:cs="Arial"/>
                <w:color w:val="auto"/>
              </w:rPr>
            </w:pPr>
            <w:r w:rsidRPr="00F44077">
              <w:rPr>
                <w:rFonts w:cs="Arial"/>
                <w:color w:val="auto"/>
              </w:rPr>
              <w:t>15.</w:t>
            </w:r>
            <w:r w:rsidR="008A5D00">
              <w:rPr>
                <w:rFonts w:cs="Arial"/>
                <w:color w:val="auto"/>
              </w:rPr>
              <w:t>6</w:t>
            </w:r>
          </w:p>
        </w:tc>
        <w:tc>
          <w:tcPr>
            <w:tcW w:w="996" w:type="pct"/>
            <w:tcMar>
              <w:top w:w="0" w:type="dxa"/>
              <w:left w:w="108" w:type="dxa"/>
              <w:bottom w:w="0" w:type="dxa"/>
              <w:right w:w="108" w:type="dxa"/>
            </w:tcMar>
            <w:vAlign w:val="bottom"/>
            <w:hideMark/>
          </w:tcPr>
          <w:p w14:paraId="463DF2CE" w14:textId="400A1D8A" w:rsidR="00F44077" w:rsidRPr="00F44077" w:rsidRDefault="00F44077" w:rsidP="009E64EC">
            <w:pPr>
              <w:tabs>
                <w:tab w:val="decimal" w:pos="885"/>
              </w:tabs>
              <w:adjustRightInd/>
              <w:rPr>
                <w:rFonts w:cs="Arial"/>
                <w:color w:val="auto"/>
              </w:rPr>
            </w:pPr>
            <w:r w:rsidRPr="00F44077">
              <w:rPr>
                <w:rFonts w:cs="Arial"/>
                <w:color w:val="auto"/>
              </w:rPr>
              <w:t>(3.</w:t>
            </w:r>
            <w:r w:rsidR="008A5D00">
              <w:rPr>
                <w:rFonts w:cs="Arial"/>
                <w:color w:val="auto"/>
              </w:rPr>
              <w:t>1</w:t>
            </w:r>
            <w:r w:rsidRPr="00F44077">
              <w:rPr>
                <w:rFonts w:cs="Arial"/>
                <w:color w:val="auto"/>
              </w:rPr>
              <w:t>)</w:t>
            </w:r>
          </w:p>
        </w:tc>
        <w:tc>
          <w:tcPr>
            <w:tcW w:w="966" w:type="pct"/>
            <w:tcBorders>
              <w:top w:val="nil"/>
              <w:left w:val="nil"/>
              <w:bottom w:val="nil"/>
              <w:right w:val="single" w:sz="8" w:space="0" w:color="auto"/>
            </w:tcBorders>
            <w:tcMar>
              <w:top w:w="0" w:type="dxa"/>
              <w:left w:w="108" w:type="dxa"/>
              <w:bottom w:w="0" w:type="dxa"/>
              <w:right w:w="108" w:type="dxa"/>
            </w:tcMar>
            <w:vAlign w:val="bottom"/>
            <w:hideMark/>
          </w:tcPr>
          <w:p w14:paraId="51989F4D" w14:textId="75BD0E08" w:rsidR="00F44077" w:rsidRPr="00F44077" w:rsidRDefault="00F44077" w:rsidP="009E64EC">
            <w:pPr>
              <w:tabs>
                <w:tab w:val="decimal" w:pos="885"/>
              </w:tabs>
              <w:adjustRightInd/>
              <w:rPr>
                <w:rFonts w:cs="Arial"/>
                <w:color w:val="auto"/>
              </w:rPr>
            </w:pPr>
            <w:r w:rsidRPr="00F44077">
              <w:rPr>
                <w:rFonts w:cs="Arial"/>
                <w:color w:val="auto"/>
              </w:rPr>
              <w:t>12.5</w:t>
            </w:r>
          </w:p>
        </w:tc>
      </w:tr>
      <w:tr w:rsidR="00F44077" w:rsidRPr="00F44077" w14:paraId="53691E14" w14:textId="77777777" w:rsidTr="00F44077">
        <w:tc>
          <w:tcPr>
            <w:tcW w:w="1909" w:type="pct"/>
            <w:tcBorders>
              <w:top w:val="nil"/>
              <w:left w:val="single" w:sz="8" w:space="0" w:color="auto"/>
              <w:bottom w:val="nil"/>
              <w:right w:val="nil"/>
            </w:tcBorders>
            <w:tcMar>
              <w:top w:w="0" w:type="dxa"/>
              <w:left w:w="108" w:type="dxa"/>
              <w:bottom w:w="0" w:type="dxa"/>
              <w:right w:w="108" w:type="dxa"/>
            </w:tcMar>
            <w:vAlign w:val="bottom"/>
            <w:hideMark/>
          </w:tcPr>
          <w:p w14:paraId="747862A0" w14:textId="77777777" w:rsidR="00F44077" w:rsidRPr="00F44077" w:rsidRDefault="00F44077" w:rsidP="00F44077">
            <w:pPr>
              <w:adjustRightInd/>
              <w:jc w:val="left"/>
              <w:rPr>
                <w:rFonts w:cs="Arial"/>
                <w:color w:val="auto"/>
              </w:rPr>
            </w:pPr>
            <w:r w:rsidRPr="00F44077">
              <w:rPr>
                <w:rFonts w:cs="Arial"/>
                <w:color w:val="auto"/>
              </w:rPr>
              <w:t>Special</w:t>
            </w:r>
          </w:p>
        </w:tc>
        <w:tc>
          <w:tcPr>
            <w:tcW w:w="1128" w:type="pct"/>
            <w:tcMar>
              <w:top w:w="0" w:type="dxa"/>
              <w:left w:w="108" w:type="dxa"/>
              <w:bottom w:w="0" w:type="dxa"/>
              <w:right w:w="108" w:type="dxa"/>
            </w:tcMar>
            <w:vAlign w:val="bottom"/>
            <w:hideMark/>
          </w:tcPr>
          <w:p w14:paraId="496C77DB" w14:textId="221C3C4F" w:rsidR="00F44077" w:rsidRPr="00F44077" w:rsidRDefault="00F44077" w:rsidP="009E64EC">
            <w:pPr>
              <w:tabs>
                <w:tab w:val="decimal" w:pos="1045"/>
              </w:tabs>
              <w:adjustRightInd/>
              <w:rPr>
                <w:rFonts w:cs="Arial"/>
                <w:color w:val="auto"/>
              </w:rPr>
            </w:pPr>
            <w:r w:rsidRPr="00F44077">
              <w:rPr>
                <w:rFonts w:cs="Arial"/>
                <w:color w:val="auto"/>
              </w:rPr>
              <w:t>6.0</w:t>
            </w:r>
          </w:p>
        </w:tc>
        <w:tc>
          <w:tcPr>
            <w:tcW w:w="996" w:type="pct"/>
            <w:tcMar>
              <w:top w:w="0" w:type="dxa"/>
              <w:left w:w="108" w:type="dxa"/>
              <w:bottom w:w="0" w:type="dxa"/>
              <w:right w:w="108" w:type="dxa"/>
            </w:tcMar>
            <w:vAlign w:val="bottom"/>
            <w:hideMark/>
          </w:tcPr>
          <w:p w14:paraId="613EDD68" w14:textId="2CA1ED09" w:rsidR="00F44077" w:rsidRPr="00F44077" w:rsidRDefault="009E64EC" w:rsidP="009E64EC">
            <w:pPr>
              <w:tabs>
                <w:tab w:val="decimal" w:pos="885"/>
              </w:tabs>
              <w:adjustRightInd/>
              <w:rPr>
                <w:rFonts w:cs="Arial"/>
                <w:color w:val="auto"/>
              </w:rPr>
            </w:pPr>
            <w:r>
              <w:rPr>
                <w:rFonts w:cs="Arial"/>
                <w:color w:val="auto"/>
              </w:rPr>
              <w:t>(1</w:t>
            </w:r>
            <w:r w:rsidR="00F44077" w:rsidRPr="00F44077">
              <w:rPr>
                <w:rFonts w:cs="Arial"/>
                <w:color w:val="auto"/>
              </w:rPr>
              <w:t>.</w:t>
            </w:r>
            <w:r w:rsidR="008A5D00">
              <w:rPr>
                <w:rFonts w:cs="Arial"/>
                <w:color w:val="auto"/>
              </w:rPr>
              <w:t>2</w:t>
            </w:r>
            <w:r w:rsidR="00F44077" w:rsidRPr="00F44077">
              <w:rPr>
                <w:rFonts w:cs="Arial"/>
                <w:color w:val="auto"/>
              </w:rPr>
              <w:t>)</w:t>
            </w:r>
          </w:p>
        </w:tc>
        <w:tc>
          <w:tcPr>
            <w:tcW w:w="966" w:type="pct"/>
            <w:tcBorders>
              <w:top w:val="nil"/>
              <w:left w:val="nil"/>
              <w:bottom w:val="nil"/>
              <w:right w:val="single" w:sz="8" w:space="0" w:color="auto"/>
            </w:tcBorders>
            <w:tcMar>
              <w:top w:w="0" w:type="dxa"/>
              <w:left w:w="108" w:type="dxa"/>
              <w:bottom w:w="0" w:type="dxa"/>
              <w:right w:w="108" w:type="dxa"/>
            </w:tcMar>
            <w:vAlign w:val="bottom"/>
            <w:hideMark/>
          </w:tcPr>
          <w:p w14:paraId="43C0B83F" w14:textId="650B6656" w:rsidR="00F44077" w:rsidRPr="00F44077" w:rsidRDefault="00F44077" w:rsidP="009E64EC">
            <w:pPr>
              <w:tabs>
                <w:tab w:val="decimal" w:pos="885"/>
              </w:tabs>
              <w:adjustRightInd/>
              <w:rPr>
                <w:rFonts w:cs="Arial"/>
                <w:color w:val="auto"/>
              </w:rPr>
            </w:pPr>
            <w:r w:rsidRPr="00F44077">
              <w:rPr>
                <w:rFonts w:cs="Arial"/>
                <w:color w:val="auto"/>
              </w:rPr>
              <w:t>4.</w:t>
            </w:r>
            <w:r w:rsidR="008A5D00">
              <w:rPr>
                <w:rFonts w:cs="Arial"/>
                <w:color w:val="auto"/>
              </w:rPr>
              <w:t>8</w:t>
            </w:r>
          </w:p>
        </w:tc>
      </w:tr>
      <w:tr w:rsidR="00F44077" w:rsidRPr="00F44077" w14:paraId="1A4BF74D" w14:textId="77777777" w:rsidTr="00F44077">
        <w:tc>
          <w:tcPr>
            <w:tcW w:w="1909" w:type="pct"/>
            <w:tcBorders>
              <w:top w:val="nil"/>
              <w:left w:val="single" w:sz="8" w:space="0" w:color="auto"/>
              <w:bottom w:val="nil"/>
              <w:right w:val="nil"/>
            </w:tcBorders>
            <w:tcMar>
              <w:top w:w="0" w:type="dxa"/>
              <w:left w:w="108" w:type="dxa"/>
              <w:bottom w:w="0" w:type="dxa"/>
              <w:right w:w="108" w:type="dxa"/>
            </w:tcMar>
            <w:vAlign w:val="bottom"/>
            <w:hideMark/>
          </w:tcPr>
          <w:p w14:paraId="02B3D344" w14:textId="77777777" w:rsidR="00F44077" w:rsidRPr="00F44077" w:rsidRDefault="00F44077" w:rsidP="00F44077">
            <w:pPr>
              <w:adjustRightInd/>
              <w:jc w:val="left"/>
              <w:rPr>
                <w:rFonts w:cs="Arial"/>
                <w:color w:val="auto"/>
              </w:rPr>
            </w:pPr>
            <w:r w:rsidRPr="00F44077">
              <w:rPr>
                <w:rFonts w:cs="Arial"/>
                <w:color w:val="auto"/>
              </w:rPr>
              <w:t>Short stay Primary</w:t>
            </w:r>
          </w:p>
        </w:tc>
        <w:tc>
          <w:tcPr>
            <w:tcW w:w="1128" w:type="pct"/>
            <w:tcMar>
              <w:top w:w="0" w:type="dxa"/>
              <w:left w:w="108" w:type="dxa"/>
              <w:bottom w:w="0" w:type="dxa"/>
              <w:right w:w="108" w:type="dxa"/>
            </w:tcMar>
            <w:vAlign w:val="bottom"/>
            <w:hideMark/>
          </w:tcPr>
          <w:p w14:paraId="47BC7DB1" w14:textId="5F7E6C90" w:rsidR="00F44077" w:rsidRPr="00F44077" w:rsidRDefault="00F44077" w:rsidP="009E64EC">
            <w:pPr>
              <w:tabs>
                <w:tab w:val="decimal" w:pos="1045"/>
              </w:tabs>
              <w:adjustRightInd/>
              <w:rPr>
                <w:rFonts w:cs="Arial"/>
                <w:color w:val="auto"/>
              </w:rPr>
            </w:pPr>
            <w:r w:rsidRPr="00F44077">
              <w:rPr>
                <w:rFonts w:cs="Arial"/>
                <w:color w:val="auto"/>
              </w:rPr>
              <w:t>0.</w:t>
            </w:r>
            <w:r w:rsidR="008A5D00">
              <w:rPr>
                <w:rFonts w:cs="Arial"/>
                <w:color w:val="auto"/>
              </w:rPr>
              <w:t>3</w:t>
            </w:r>
          </w:p>
        </w:tc>
        <w:tc>
          <w:tcPr>
            <w:tcW w:w="996" w:type="pct"/>
            <w:tcMar>
              <w:top w:w="0" w:type="dxa"/>
              <w:left w:w="108" w:type="dxa"/>
              <w:bottom w:w="0" w:type="dxa"/>
              <w:right w:w="108" w:type="dxa"/>
            </w:tcMar>
            <w:vAlign w:val="bottom"/>
            <w:hideMark/>
          </w:tcPr>
          <w:p w14:paraId="252ECCAA" w14:textId="55687A74" w:rsidR="00F44077" w:rsidRPr="00F44077" w:rsidRDefault="00F44077" w:rsidP="009E64EC">
            <w:pPr>
              <w:tabs>
                <w:tab w:val="decimal" w:pos="885"/>
              </w:tabs>
              <w:adjustRightInd/>
              <w:rPr>
                <w:rFonts w:cs="Arial"/>
                <w:color w:val="auto"/>
              </w:rPr>
            </w:pPr>
            <w:r w:rsidRPr="00F44077">
              <w:rPr>
                <w:rFonts w:cs="Arial"/>
                <w:color w:val="auto"/>
              </w:rPr>
              <w:t>0.</w:t>
            </w:r>
            <w:r w:rsidR="008A5D00">
              <w:rPr>
                <w:rFonts w:cs="Arial"/>
                <w:color w:val="auto"/>
              </w:rPr>
              <w:t>1</w:t>
            </w:r>
          </w:p>
        </w:tc>
        <w:tc>
          <w:tcPr>
            <w:tcW w:w="966" w:type="pct"/>
            <w:tcBorders>
              <w:top w:val="nil"/>
              <w:left w:val="nil"/>
              <w:bottom w:val="nil"/>
              <w:right w:val="single" w:sz="8" w:space="0" w:color="auto"/>
            </w:tcBorders>
            <w:tcMar>
              <w:top w:w="0" w:type="dxa"/>
              <w:left w:w="108" w:type="dxa"/>
              <w:bottom w:w="0" w:type="dxa"/>
              <w:right w:w="108" w:type="dxa"/>
            </w:tcMar>
            <w:vAlign w:val="bottom"/>
            <w:hideMark/>
          </w:tcPr>
          <w:p w14:paraId="0F6E6CAE" w14:textId="63D8B1E7" w:rsidR="00F44077" w:rsidRPr="00F44077" w:rsidRDefault="00F44077" w:rsidP="009E64EC">
            <w:pPr>
              <w:tabs>
                <w:tab w:val="decimal" w:pos="885"/>
              </w:tabs>
              <w:adjustRightInd/>
              <w:rPr>
                <w:rFonts w:cs="Arial"/>
                <w:color w:val="auto"/>
              </w:rPr>
            </w:pPr>
            <w:r w:rsidRPr="00F44077">
              <w:rPr>
                <w:rFonts w:cs="Arial"/>
                <w:color w:val="auto"/>
              </w:rPr>
              <w:t>0.</w:t>
            </w:r>
            <w:r w:rsidR="008A5D00">
              <w:rPr>
                <w:rFonts w:cs="Arial"/>
                <w:color w:val="auto"/>
              </w:rPr>
              <w:t>4</w:t>
            </w:r>
          </w:p>
        </w:tc>
      </w:tr>
      <w:tr w:rsidR="00F44077" w:rsidRPr="00F44077" w14:paraId="7CE2620D" w14:textId="77777777" w:rsidTr="00F44077">
        <w:tc>
          <w:tcPr>
            <w:tcW w:w="1909" w:type="pct"/>
            <w:tcBorders>
              <w:top w:val="nil"/>
              <w:left w:val="single" w:sz="8" w:space="0" w:color="auto"/>
              <w:bottom w:val="nil"/>
              <w:right w:val="nil"/>
            </w:tcBorders>
            <w:tcMar>
              <w:top w:w="0" w:type="dxa"/>
              <w:left w:w="108" w:type="dxa"/>
              <w:bottom w:w="0" w:type="dxa"/>
              <w:right w:w="108" w:type="dxa"/>
            </w:tcMar>
            <w:vAlign w:val="bottom"/>
            <w:hideMark/>
          </w:tcPr>
          <w:p w14:paraId="6F5AFF44" w14:textId="77777777" w:rsidR="00F44077" w:rsidRPr="00F44077" w:rsidRDefault="00F44077" w:rsidP="00F44077">
            <w:pPr>
              <w:adjustRightInd/>
              <w:jc w:val="left"/>
              <w:rPr>
                <w:rFonts w:cs="Arial"/>
                <w:color w:val="auto"/>
              </w:rPr>
            </w:pPr>
            <w:r w:rsidRPr="00F44077">
              <w:rPr>
                <w:rFonts w:cs="Arial"/>
                <w:color w:val="auto"/>
              </w:rPr>
              <w:t>Short stay Secondary</w:t>
            </w:r>
          </w:p>
        </w:tc>
        <w:tc>
          <w:tcPr>
            <w:tcW w:w="1128" w:type="pct"/>
            <w:tcBorders>
              <w:top w:val="nil"/>
              <w:left w:val="nil"/>
              <w:bottom w:val="single" w:sz="8" w:space="0" w:color="auto"/>
              <w:right w:val="nil"/>
            </w:tcBorders>
            <w:tcMar>
              <w:top w:w="0" w:type="dxa"/>
              <w:left w:w="108" w:type="dxa"/>
              <w:bottom w:w="0" w:type="dxa"/>
              <w:right w:w="108" w:type="dxa"/>
            </w:tcMar>
            <w:vAlign w:val="bottom"/>
            <w:hideMark/>
          </w:tcPr>
          <w:p w14:paraId="10FFB9AF" w14:textId="02073A59" w:rsidR="00F44077" w:rsidRPr="00F44077" w:rsidRDefault="00F44077" w:rsidP="009E64EC">
            <w:pPr>
              <w:tabs>
                <w:tab w:val="decimal" w:pos="1045"/>
              </w:tabs>
              <w:adjustRightInd/>
              <w:rPr>
                <w:rFonts w:cs="Arial"/>
                <w:color w:val="auto"/>
              </w:rPr>
            </w:pPr>
            <w:r w:rsidRPr="00F44077">
              <w:rPr>
                <w:rFonts w:cs="Arial"/>
                <w:color w:val="auto"/>
              </w:rPr>
              <w:t>0.</w:t>
            </w:r>
            <w:r w:rsidR="008A5D00">
              <w:rPr>
                <w:rFonts w:cs="Arial"/>
                <w:color w:val="auto"/>
              </w:rPr>
              <w:t>9</w:t>
            </w:r>
          </w:p>
        </w:tc>
        <w:tc>
          <w:tcPr>
            <w:tcW w:w="996" w:type="pct"/>
            <w:tcBorders>
              <w:top w:val="nil"/>
              <w:left w:val="nil"/>
              <w:bottom w:val="single" w:sz="8" w:space="0" w:color="auto"/>
              <w:right w:val="nil"/>
            </w:tcBorders>
            <w:tcMar>
              <w:top w:w="0" w:type="dxa"/>
              <w:left w:w="108" w:type="dxa"/>
              <w:bottom w:w="0" w:type="dxa"/>
              <w:right w:w="108" w:type="dxa"/>
            </w:tcMar>
            <w:vAlign w:val="bottom"/>
            <w:hideMark/>
          </w:tcPr>
          <w:p w14:paraId="3D832A4B" w14:textId="29A7C0BF" w:rsidR="00F44077" w:rsidRPr="00F44077" w:rsidRDefault="00F44077" w:rsidP="009E64EC">
            <w:pPr>
              <w:tabs>
                <w:tab w:val="decimal" w:pos="885"/>
              </w:tabs>
              <w:adjustRightInd/>
              <w:rPr>
                <w:rFonts w:cs="Arial"/>
                <w:color w:val="auto"/>
              </w:rPr>
            </w:pPr>
            <w:r w:rsidRPr="00F44077">
              <w:rPr>
                <w:rFonts w:cs="Arial"/>
                <w:color w:val="auto"/>
              </w:rPr>
              <w:t>0.3</w:t>
            </w:r>
          </w:p>
        </w:tc>
        <w:tc>
          <w:tcPr>
            <w:tcW w:w="96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FA502B" w14:textId="78015FB4" w:rsidR="00F44077" w:rsidRPr="00F44077" w:rsidRDefault="00F44077" w:rsidP="009E64EC">
            <w:pPr>
              <w:tabs>
                <w:tab w:val="decimal" w:pos="885"/>
              </w:tabs>
              <w:adjustRightInd/>
              <w:rPr>
                <w:rFonts w:cs="Arial"/>
                <w:color w:val="auto"/>
              </w:rPr>
            </w:pPr>
            <w:r w:rsidRPr="00F44077">
              <w:rPr>
                <w:rFonts w:cs="Arial"/>
                <w:color w:val="auto"/>
              </w:rPr>
              <w:t>1.2</w:t>
            </w:r>
          </w:p>
        </w:tc>
      </w:tr>
      <w:tr w:rsidR="00F44077" w:rsidRPr="00F44077" w14:paraId="43633054" w14:textId="77777777" w:rsidTr="00F44077">
        <w:tc>
          <w:tcPr>
            <w:tcW w:w="1909" w:type="pct"/>
            <w:tcBorders>
              <w:top w:val="nil"/>
              <w:left w:val="single" w:sz="8" w:space="0" w:color="auto"/>
              <w:bottom w:val="single" w:sz="8" w:space="0" w:color="auto"/>
              <w:right w:val="nil"/>
            </w:tcBorders>
            <w:tcMar>
              <w:top w:w="0" w:type="dxa"/>
              <w:left w:w="108" w:type="dxa"/>
              <w:bottom w:w="0" w:type="dxa"/>
              <w:right w:w="108" w:type="dxa"/>
            </w:tcMar>
            <w:vAlign w:val="bottom"/>
            <w:hideMark/>
          </w:tcPr>
          <w:p w14:paraId="13D8843C" w14:textId="77777777" w:rsidR="00F44077" w:rsidRPr="00F44077" w:rsidRDefault="00F44077" w:rsidP="00F44077">
            <w:pPr>
              <w:adjustRightInd/>
              <w:jc w:val="left"/>
              <w:rPr>
                <w:rFonts w:cs="Arial"/>
                <w:b/>
                <w:bCs/>
                <w:color w:val="auto"/>
              </w:rPr>
            </w:pPr>
            <w:r w:rsidRPr="00F44077">
              <w:rPr>
                <w:rFonts w:cs="Arial"/>
                <w:b/>
                <w:bCs/>
                <w:color w:val="auto"/>
              </w:rPr>
              <w:t>Total</w:t>
            </w:r>
          </w:p>
        </w:tc>
        <w:tc>
          <w:tcPr>
            <w:tcW w:w="1128" w:type="pct"/>
            <w:tcBorders>
              <w:top w:val="nil"/>
              <w:left w:val="nil"/>
              <w:bottom w:val="single" w:sz="8" w:space="0" w:color="auto"/>
              <w:right w:val="nil"/>
            </w:tcBorders>
            <w:tcMar>
              <w:top w:w="0" w:type="dxa"/>
              <w:left w:w="108" w:type="dxa"/>
              <w:bottom w:w="0" w:type="dxa"/>
              <w:right w:w="108" w:type="dxa"/>
            </w:tcMar>
            <w:vAlign w:val="bottom"/>
            <w:hideMark/>
          </w:tcPr>
          <w:p w14:paraId="7455C0D8" w14:textId="68EFB7C9" w:rsidR="00F44077" w:rsidRPr="00F44077" w:rsidRDefault="00F44077" w:rsidP="009E64EC">
            <w:pPr>
              <w:tabs>
                <w:tab w:val="decimal" w:pos="1045"/>
              </w:tabs>
              <w:adjustRightInd/>
              <w:rPr>
                <w:rFonts w:cs="Arial"/>
                <w:b/>
                <w:bCs/>
                <w:color w:val="auto"/>
              </w:rPr>
            </w:pPr>
            <w:r w:rsidRPr="00F44077">
              <w:rPr>
                <w:rFonts w:cs="Arial"/>
                <w:b/>
                <w:bCs/>
                <w:color w:val="auto"/>
              </w:rPr>
              <w:t>55.</w:t>
            </w:r>
            <w:r w:rsidR="008A5D00">
              <w:rPr>
                <w:rFonts w:cs="Arial"/>
                <w:b/>
                <w:bCs/>
                <w:color w:val="auto"/>
              </w:rPr>
              <w:t>9</w:t>
            </w:r>
          </w:p>
        </w:tc>
        <w:tc>
          <w:tcPr>
            <w:tcW w:w="996" w:type="pct"/>
            <w:tcBorders>
              <w:top w:val="nil"/>
              <w:left w:val="nil"/>
              <w:bottom w:val="single" w:sz="8" w:space="0" w:color="auto"/>
              <w:right w:val="nil"/>
            </w:tcBorders>
            <w:tcMar>
              <w:top w:w="0" w:type="dxa"/>
              <w:left w:w="108" w:type="dxa"/>
              <w:bottom w:w="0" w:type="dxa"/>
              <w:right w:w="108" w:type="dxa"/>
            </w:tcMar>
            <w:vAlign w:val="bottom"/>
            <w:hideMark/>
          </w:tcPr>
          <w:p w14:paraId="18D41083" w14:textId="694854A7" w:rsidR="00F44077" w:rsidRPr="00F44077" w:rsidRDefault="00F44077" w:rsidP="009E64EC">
            <w:pPr>
              <w:tabs>
                <w:tab w:val="decimal" w:pos="885"/>
              </w:tabs>
              <w:adjustRightInd/>
              <w:rPr>
                <w:rFonts w:cs="Arial"/>
                <w:b/>
                <w:bCs/>
                <w:color w:val="auto"/>
              </w:rPr>
            </w:pPr>
            <w:r w:rsidRPr="00F44077">
              <w:rPr>
                <w:rFonts w:cs="Arial"/>
                <w:b/>
                <w:bCs/>
                <w:color w:val="auto"/>
              </w:rPr>
              <w:t>0.5</w:t>
            </w:r>
          </w:p>
        </w:tc>
        <w:tc>
          <w:tcPr>
            <w:tcW w:w="96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8A36C0" w14:textId="2121CDB6" w:rsidR="00F44077" w:rsidRPr="00F44077" w:rsidRDefault="00F44077" w:rsidP="009E64EC">
            <w:pPr>
              <w:tabs>
                <w:tab w:val="decimal" w:pos="885"/>
              </w:tabs>
              <w:adjustRightInd/>
              <w:rPr>
                <w:rFonts w:cs="Arial"/>
                <w:b/>
                <w:bCs/>
                <w:color w:val="auto"/>
              </w:rPr>
            </w:pPr>
            <w:r w:rsidRPr="00F44077">
              <w:rPr>
                <w:rFonts w:cs="Arial"/>
                <w:b/>
                <w:bCs/>
                <w:color w:val="auto"/>
              </w:rPr>
              <w:t>56.</w:t>
            </w:r>
            <w:r w:rsidR="008A5D00">
              <w:rPr>
                <w:rFonts w:cs="Arial"/>
                <w:b/>
                <w:bCs/>
                <w:color w:val="auto"/>
              </w:rPr>
              <w:t>4</w:t>
            </w:r>
          </w:p>
        </w:tc>
      </w:tr>
    </w:tbl>
    <w:p w14:paraId="5DD06E3B" w14:textId="77777777" w:rsidR="008A54CC" w:rsidRDefault="008A54CC" w:rsidP="00F44077">
      <w:pPr>
        <w:autoSpaceDE/>
        <w:autoSpaceDN/>
        <w:adjustRightInd/>
        <w:spacing w:after="0" w:line="259" w:lineRule="auto"/>
        <w:jc w:val="left"/>
        <w:rPr>
          <w:rFonts w:eastAsiaTheme="minorHAnsi" w:cs="Arial"/>
          <w:color w:val="auto"/>
          <w:lang w:eastAsia="en-GB"/>
        </w:rPr>
      </w:pPr>
    </w:p>
    <w:p w14:paraId="2B322CC9" w14:textId="77777777" w:rsidR="00F44077" w:rsidRPr="00F44077" w:rsidRDefault="00F44077" w:rsidP="00F44077">
      <w:pPr>
        <w:autoSpaceDE/>
        <w:autoSpaceDN/>
        <w:adjustRightInd/>
        <w:spacing w:after="0" w:line="259" w:lineRule="auto"/>
        <w:jc w:val="left"/>
        <w:rPr>
          <w:rFonts w:eastAsiaTheme="minorHAnsi" w:cs="Arial"/>
          <w:color w:val="auto"/>
          <w:lang w:eastAsia="en-GB"/>
        </w:rPr>
      </w:pPr>
      <w:r w:rsidRPr="00F44077">
        <w:rPr>
          <w:rFonts w:eastAsiaTheme="minorHAnsi" w:cs="Arial"/>
          <w:color w:val="auto"/>
          <w:lang w:eastAsia="en-GB"/>
        </w:rPr>
        <w:lastRenderedPageBreak/>
        <w:t xml:space="preserve">Whilst the largest total movement has been in the primary sector, the secondary sectors have the greater mean change per school.  </w:t>
      </w:r>
    </w:p>
    <w:p w14:paraId="234C6FAA" w14:textId="622C2C74" w:rsidR="00F44077" w:rsidRPr="00F44077" w:rsidRDefault="00F44077" w:rsidP="00891EBE">
      <w:pPr>
        <w:autoSpaceDE/>
        <w:autoSpaceDN/>
        <w:adjustRightInd/>
        <w:spacing w:after="0" w:line="259" w:lineRule="auto"/>
        <w:rPr>
          <w:rFonts w:eastAsiaTheme="minorHAnsi" w:cs="Arial"/>
          <w:color w:val="auto"/>
          <w:lang w:eastAsia="en-GB"/>
        </w:rPr>
      </w:pPr>
      <w:r w:rsidRPr="00F44077">
        <w:rPr>
          <w:rFonts w:eastAsiaTheme="minorHAnsi" w:cs="Arial"/>
          <w:color w:val="auto"/>
          <w:lang w:eastAsia="en-GB"/>
        </w:rPr>
        <w:t xml:space="preserve">During 2014/15 no schools converted to academies. Out of 602 schools, 256 schools had an in year deficit </w:t>
      </w:r>
      <w:r w:rsidR="002F68A4">
        <w:rPr>
          <w:rFonts w:eastAsiaTheme="minorHAnsi" w:cs="Arial"/>
          <w:color w:val="auto"/>
          <w:lang w:eastAsia="en-GB"/>
        </w:rPr>
        <w:t>as</w:t>
      </w:r>
      <w:r w:rsidRPr="00F44077">
        <w:rPr>
          <w:rFonts w:eastAsiaTheme="minorHAnsi" w:cs="Arial"/>
          <w:color w:val="auto"/>
          <w:lang w:eastAsia="en-GB"/>
        </w:rPr>
        <w:t xml:space="preserve"> at 31 March 2015, 18 schools had deficit balances.</w:t>
      </w:r>
    </w:p>
    <w:p w14:paraId="1CA8E0A8" w14:textId="77777777" w:rsidR="00F44077" w:rsidRPr="00F44077" w:rsidRDefault="00F44077" w:rsidP="00F44077">
      <w:pPr>
        <w:keepNext/>
        <w:adjustRightInd/>
        <w:spacing w:before="60"/>
        <w:outlineLvl w:val="1"/>
        <w:rPr>
          <w:rFonts w:eastAsia="Times New Roman" w:cs="Arial"/>
          <w:b/>
          <w:bCs/>
          <w:color w:val="auto"/>
          <w:sz w:val="32"/>
          <w:szCs w:val="32"/>
          <w:lang w:eastAsia="en-GB"/>
        </w:rPr>
      </w:pPr>
      <w:r w:rsidRPr="00F44077">
        <w:rPr>
          <w:rFonts w:eastAsia="Times New Roman" w:cs="Arial"/>
          <w:b/>
          <w:bCs/>
          <w:color w:val="auto"/>
          <w:sz w:val="32"/>
          <w:szCs w:val="32"/>
          <w:lang w:eastAsia="en-GB"/>
        </w:rPr>
        <w:t xml:space="preserve">Outlook for the future </w:t>
      </w:r>
    </w:p>
    <w:p w14:paraId="0A3D0DA6" w14:textId="27630AE3" w:rsidR="002017A3" w:rsidRDefault="002017A3" w:rsidP="002017A3">
      <w:pPr>
        <w:rPr>
          <w:rFonts w:eastAsiaTheme="minorHAnsi" w:cs="Arial"/>
          <w:color w:val="auto"/>
        </w:rPr>
      </w:pPr>
      <w:r>
        <w:rPr>
          <w:rFonts w:cs="Arial"/>
        </w:rPr>
        <w:t>When full council agreed the 2015/16 budget on 12 February 2015 indicative budgets for 2016/17 and 2018/19 were considered as part of the strategy for reshaping the council. These showed a funding gap of £26.4m, consisting of £18.3m in 2016/17 and £8.1m in 2017/18. These budgets have been reviewed in the light of more up to date information and the time horizon for the financial strategy has been extended by three years to 2020/21. In August 2015 Cabinet was presented with an updated strategy</w:t>
      </w:r>
      <w:r w:rsidR="00A72004">
        <w:rPr>
          <w:rFonts w:cs="Arial"/>
        </w:rPr>
        <w:t>.  This showed a revised forecast of the spending gap from 2016/17 to 2020/21 of £294.6m of which revised savings of £71.4m have been identified.  This leaves an outstanding funding gap of £223.2m by 2020/21.</w:t>
      </w:r>
      <w:r>
        <w:rPr>
          <w:rFonts w:cs="Arial"/>
        </w:rPr>
        <w:t xml:space="preserve"> The Strategy will be constantly reviewed as more information becomes available on funding and as a result of decisions taken by the County Council on the future shape of its services. </w:t>
      </w:r>
      <w:r w:rsidRPr="00F44077">
        <w:rPr>
          <w:rFonts w:cs="Arial"/>
          <w:color w:val="auto"/>
        </w:rPr>
        <w:t>In addition to this there are othe</w:t>
      </w:r>
      <w:r>
        <w:rPr>
          <w:rFonts w:cs="Arial"/>
          <w:color w:val="auto"/>
        </w:rPr>
        <w:t>r outstanding pressures on the c</w:t>
      </w:r>
      <w:r w:rsidRPr="00F44077">
        <w:rPr>
          <w:rFonts w:cs="Arial"/>
          <w:color w:val="auto"/>
        </w:rPr>
        <w:t>ouncil namely:</w:t>
      </w:r>
    </w:p>
    <w:p w14:paraId="15BF4468" w14:textId="72A1F779" w:rsidR="00F44077" w:rsidRPr="00F44077" w:rsidRDefault="00F44077" w:rsidP="00BF4E6A">
      <w:pPr>
        <w:adjustRightInd/>
        <w:rPr>
          <w:rFonts w:cs="Arial"/>
          <w:color w:val="auto"/>
        </w:rPr>
      </w:pPr>
    </w:p>
    <w:p w14:paraId="2CE9AF43" w14:textId="2CEAAC82" w:rsidR="00F44077" w:rsidRPr="005E7FB5" w:rsidRDefault="00F44077" w:rsidP="00717919">
      <w:pPr>
        <w:numPr>
          <w:ilvl w:val="0"/>
          <w:numId w:val="57"/>
        </w:numPr>
        <w:autoSpaceDE/>
        <w:autoSpaceDN/>
        <w:adjustRightInd/>
        <w:spacing w:after="0" w:line="259" w:lineRule="auto"/>
        <w:contextualSpacing/>
        <w:rPr>
          <w:rFonts w:eastAsia="Arial Unicode MS" w:cs="Arial"/>
          <w:color w:val="auto"/>
          <w:lang w:eastAsia="en-GB"/>
        </w:rPr>
      </w:pPr>
      <w:r w:rsidRPr="005E7FB5">
        <w:rPr>
          <w:rFonts w:eastAsia="Arial Unicode MS" w:cs="Arial"/>
          <w:color w:val="auto"/>
          <w:lang w:eastAsia="en-GB"/>
        </w:rPr>
        <w:lastRenderedPageBreak/>
        <w:t>Although the most recent deman</w:t>
      </w:r>
      <w:r w:rsidR="00BF4E6A">
        <w:rPr>
          <w:rFonts w:eastAsia="Arial Unicode MS" w:cs="Arial"/>
          <w:color w:val="auto"/>
          <w:lang w:eastAsia="en-GB"/>
        </w:rPr>
        <w:t xml:space="preserve">d forecasts are included in the </w:t>
      </w:r>
      <w:r w:rsidRPr="005E7FB5">
        <w:rPr>
          <w:rFonts w:eastAsia="Arial Unicode MS" w:cs="Arial"/>
          <w:color w:val="auto"/>
          <w:lang w:eastAsia="en-GB"/>
        </w:rPr>
        <w:t>budget any additional increases in demand will add further pr</w:t>
      </w:r>
      <w:r w:rsidR="00BF4E6A">
        <w:rPr>
          <w:rFonts w:eastAsia="Arial Unicode MS" w:cs="Arial"/>
          <w:color w:val="auto"/>
          <w:lang w:eastAsia="en-GB"/>
        </w:rPr>
        <w:t>essure to future budgets.  The c</w:t>
      </w:r>
      <w:r w:rsidRPr="005E7FB5">
        <w:rPr>
          <w:rFonts w:eastAsia="Arial Unicode MS" w:cs="Arial"/>
          <w:color w:val="auto"/>
          <w:lang w:eastAsia="en-GB"/>
        </w:rPr>
        <w:t>ouncil continues to face significant budget pressures due to demands for Adults Social Care and Learning Disability Services.  In addition, the impact of national changes relating to Ordinary Residence, the Winterbourne Concordat and Deprivation of Liberty Safeguards, adds further pressure on resources.  Children's Social Care agency placement costs is another area affected by financial pressures</w:t>
      </w:r>
      <w:r w:rsidR="00BF4E6A">
        <w:rPr>
          <w:rFonts w:eastAsia="Arial Unicode MS" w:cs="Arial"/>
          <w:color w:val="auto"/>
          <w:lang w:eastAsia="en-GB"/>
        </w:rPr>
        <w:t xml:space="preserve"> due to increased demand.  The c</w:t>
      </w:r>
      <w:r w:rsidRPr="005E7FB5">
        <w:rPr>
          <w:rFonts w:eastAsia="Arial Unicode MS" w:cs="Arial"/>
          <w:color w:val="auto"/>
          <w:lang w:eastAsia="en-GB"/>
        </w:rPr>
        <w:t xml:space="preserve">ouncil is working to source and commission suitable placement and support services, as well as focusing on recruiting and retaining foster carers.  </w:t>
      </w:r>
    </w:p>
    <w:p w14:paraId="1BF558B0" w14:textId="77777777" w:rsidR="00F44077" w:rsidRPr="00F44077" w:rsidRDefault="00F44077" w:rsidP="00BF4E6A">
      <w:pPr>
        <w:autoSpaceDE/>
        <w:autoSpaceDN/>
        <w:adjustRightInd/>
        <w:spacing w:after="0" w:line="259" w:lineRule="auto"/>
        <w:rPr>
          <w:rFonts w:asciiTheme="minorHAnsi" w:eastAsia="Arial Unicode MS" w:hAnsiTheme="minorHAnsi" w:cs="Arial"/>
          <w:color w:val="auto"/>
          <w:sz w:val="22"/>
          <w:szCs w:val="22"/>
          <w:lang w:eastAsia="en-GB"/>
        </w:rPr>
      </w:pPr>
    </w:p>
    <w:p w14:paraId="2E580605" w14:textId="77777777" w:rsidR="00F44077" w:rsidRPr="00F44077" w:rsidRDefault="00F44077" w:rsidP="00717919">
      <w:pPr>
        <w:numPr>
          <w:ilvl w:val="0"/>
          <w:numId w:val="57"/>
        </w:numPr>
        <w:autoSpaceDE/>
        <w:autoSpaceDN/>
        <w:adjustRightInd/>
        <w:spacing w:after="0" w:line="259" w:lineRule="auto"/>
        <w:contextualSpacing/>
        <w:rPr>
          <w:rFonts w:eastAsia="Times New Roman" w:cs="Arial"/>
          <w:color w:val="auto"/>
        </w:rPr>
      </w:pPr>
      <w:r w:rsidRPr="00F44077">
        <w:rPr>
          <w:rFonts w:cs="Arial"/>
          <w:color w:val="auto"/>
        </w:rPr>
        <w:t>The new system of local government finance passes responsibility for the management of a number of risks concerned with resource volatility from central government to councils. The impact of business rates appeals presents a continuing risk to income from business rates.</w:t>
      </w:r>
    </w:p>
    <w:p w14:paraId="01EBBC7F" w14:textId="77777777" w:rsidR="00F44077" w:rsidRPr="00F44077" w:rsidRDefault="00F44077" w:rsidP="00BF4E6A">
      <w:pPr>
        <w:autoSpaceDE/>
        <w:autoSpaceDN/>
        <w:adjustRightInd/>
        <w:spacing w:after="0" w:line="259" w:lineRule="auto"/>
        <w:rPr>
          <w:rFonts w:asciiTheme="minorHAnsi" w:eastAsia="Times New Roman" w:hAnsiTheme="minorHAnsi" w:cs="Arial"/>
          <w:color w:val="auto"/>
          <w:sz w:val="22"/>
          <w:szCs w:val="22"/>
        </w:rPr>
      </w:pPr>
      <w:r w:rsidRPr="00F44077">
        <w:rPr>
          <w:rFonts w:asciiTheme="minorHAnsi" w:eastAsiaTheme="minorHAnsi" w:hAnsiTheme="minorHAnsi" w:cs="Arial"/>
          <w:color w:val="auto"/>
          <w:sz w:val="22"/>
          <w:szCs w:val="22"/>
        </w:rPr>
        <w:t xml:space="preserve">  </w:t>
      </w:r>
    </w:p>
    <w:p w14:paraId="4BAAFCF9" w14:textId="3D8AE3F6" w:rsidR="00F44077" w:rsidRPr="00F44077" w:rsidRDefault="00F44077" w:rsidP="00717919">
      <w:pPr>
        <w:numPr>
          <w:ilvl w:val="0"/>
          <w:numId w:val="57"/>
        </w:numPr>
        <w:autoSpaceDE/>
        <w:autoSpaceDN/>
        <w:adjustRightInd/>
        <w:spacing w:after="0" w:line="259" w:lineRule="auto"/>
        <w:contextualSpacing/>
        <w:rPr>
          <w:rFonts w:cs="Arial"/>
          <w:color w:val="auto"/>
        </w:rPr>
      </w:pPr>
      <w:r w:rsidRPr="00F44077">
        <w:rPr>
          <w:rFonts w:cs="Arial"/>
          <w:color w:val="auto"/>
        </w:rPr>
        <w:t xml:space="preserve">The resources to be received from the Government beyond 2015/16 is currently unknown. Future budget assumptions will continue to be reviewed in line with improved information </w:t>
      </w:r>
      <w:r w:rsidRPr="00F44077">
        <w:rPr>
          <w:rFonts w:cs="Arial"/>
          <w:color w:val="auto"/>
        </w:rPr>
        <w:lastRenderedPageBreak/>
        <w:t>and to ensure that appropriate time is available to consider potential strategies and policy options for the future.</w:t>
      </w:r>
      <w:r w:rsidR="002F68A4">
        <w:rPr>
          <w:rFonts w:cs="Arial"/>
          <w:color w:val="auto"/>
        </w:rPr>
        <w:t xml:space="preserve">  </w:t>
      </w:r>
    </w:p>
    <w:p w14:paraId="3FFC0552" w14:textId="77777777" w:rsidR="00F44077" w:rsidRPr="00F44077" w:rsidRDefault="00F44077" w:rsidP="00BF4E6A">
      <w:pPr>
        <w:adjustRightInd/>
        <w:rPr>
          <w:rFonts w:cs="Arial"/>
          <w:color w:val="auto"/>
        </w:rPr>
      </w:pPr>
    </w:p>
    <w:p w14:paraId="4264F6A7" w14:textId="77777777" w:rsidR="00F44077" w:rsidRPr="00F44077" w:rsidRDefault="00F44077" w:rsidP="00BF4E6A">
      <w:pPr>
        <w:adjustRightInd/>
        <w:rPr>
          <w:rFonts w:cs="Arial"/>
          <w:color w:val="auto"/>
        </w:rPr>
      </w:pPr>
      <w:r w:rsidRPr="00F44077">
        <w:rPr>
          <w:rFonts w:cs="Arial"/>
          <w:color w:val="auto"/>
        </w:rPr>
        <w:t>Strong financial management will be maintained across the county council in 2015/16 and beyond in order to ensure that the county council can maintain an effective approach to the financial challenge ahead.</w:t>
      </w:r>
    </w:p>
    <w:p w14:paraId="720F5681" w14:textId="77777777" w:rsidR="00B40C7A" w:rsidRDefault="00B40C7A" w:rsidP="00B40C7A">
      <w:pPr>
        <w:rPr>
          <w:color w:val="auto"/>
          <w:highlight w:val="yellow"/>
        </w:rPr>
      </w:pPr>
    </w:p>
    <w:p w14:paraId="190E0EF4" w14:textId="77777777" w:rsidR="00B3248D" w:rsidRDefault="00B3248D" w:rsidP="00B40C7A">
      <w:pPr>
        <w:rPr>
          <w:b/>
          <w:color w:val="auto"/>
        </w:rPr>
      </w:pPr>
    </w:p>
    <w:p w14:paraId="4B606BCD" w14:textId="77777777" w:rsidR="00B3248D" w:rsidRDefault="00B3248D" w:rsidP="00B40C7A">
      <w:pPr>
        <w:rPr>
          <w:b/>
          <w:color w:val="auto"/>
        </w:rPr>
      </w:pPr>
    </w:p>
    <w:p w14:paraId="4D14640D" w14:textId="77777777" w:rsidR="00B3248D" w:rsidRDefault="00B3248D" w:rsidP="00B40C7A">
      <w:pPr>
        <w:rPr>
          <w:b/>
          <w:color w:val="auto"/>
        </w:rPr>
      </w:pPr>
    </w:p>
    <w:p w14:paraId="224F12A1" w14:textId="77777777" w:rsidR="00B3248D" w:rsidRDefault="00B3248D" w:rsidP="00B40C7A">
      <w:pPr>
        <w:rPr>
          <w:b/>
          <w:color w:val="auto"/>
        </w:rPr>
      </w:pPr>
    </w:p>
    <w:p w14:paraId="4E8A5E0A" w14:textId="77777777" w:rsidR="00B3248D" w:rsidRDefault="00B3248D" w:rsidP="00B40C7A">
      <w:pPr>
        <w:rPr>
          <w:b/>
          <w:color w:val="auto"/>
        </w:rPr>
      </w:pPr>
    </w:p>
    <w:p w14:paraId="1DA9ACF3" w14:textId="7E2A9027" w:rsidR="00B40C7A" w:rsidRPr="00A06955" w:rsidRDefault="00803F29" w:rsidP="00B40C7A">
      <w:pPr>
        <w:rPr>
          <w:b/>
          <w:color w:val="auto"/>
        </w:rPr>
      </w:pPr>
      <w:r>
        <w:rPr>
          <w:b/>
          <w:color w:val="auto"/>
        </w:rPr>
        <w:t>Abigail Leech</w:t>
      </w:r>
    </w:p>
    <w:p w14:paraId="2B54E395" w14:textId="41E93555" w:rsidR="00D971DE" w:rsidRDefault="00803F29" w:rsidP="00B40C7A">
      <w:pPr>
        <w:rPr>
          <w:b/>
          <w:color w:val="auto"/>
        </w:rPr>
      </w:pPr>
      <w:r>
        <w:rPr>
          <w:b/>
          <w:color w:val="auto"/>
        </w:rPr>
        <w:t>Acting Section 151 Officer</w:t>
      </w:r>
    </w:p>
    <w:p w14:paraId="293E2A61" w14:textId="18894FC5" w:rsidR="00E32866" w:rsidRDefault="00803F29" w:rsidP="00B40C7A">
      <w:pPr>
        <w:rPr>
          <w:b/>
          <w:color w:val="auto"/>
        </w:rPr>
      </w:pPr>
      <w:r>
        <w:rPr>
          <w:b/>
          <w:color w:val="auto"/>
        </w:rPr>
        <w:t>28 September 2015</w:t>
      </w:r>
    </w:p>
    <w:p w14:paraId="2021A46D" w14:textId="77777777" w:rsidR="008A54CC" w:rsidRDefault="008A54CC" w:rsidP="008A54CC">
      <w:pPr>
        <w:autoSpaceDE/>
        <w:autoSpaceDN/>
        <w:adjustRightInd/>
        <w:spacing w:after="0"/>
        <w:jc w:val="center"/>
      </w:pPr>
    </w:p>
    <w:p w14:paraId="45ADBF04" w14:textId="77777777" w:rsidR="008A54CC" w:rsidRDefault="008A54CC" w:rsidP="008A54CC">
      <w:pPr>
        <w:autoSpaceDE/>
        <w:autoSpaceDN/>
        <w:adjustRightInd/>
        <w:spacing w:after="0"/>
        <w:jc w:val="center"/>
      </w:pPr>
    </w:p>
    <w:p w14:paraId="3585D8FE" w14:textId="77777777" w:rsidR="008A54CC" w:rsidRDefault="008A54CC" w:rsidP="008A54CC">
      <w:pPr>
        <w:autoSpaceDE/>
        <w:autoSpaceDN/>
        <w:adjustRightInd/>
        <w:spacing w:after="0"/>
        <w:jc w:val="center"/>
      </w:pPr>
    </w:p>
    <w:p w14:paraId="6AE24843" w14:textId="77777777" w:rsidR="008A54CC" w:rsidRDefault="008A54CC" w:rsidP="008A54CC">
      <w:pPr>
        <w:autoSpaceDE/>
        <w:autoSpaceDN/>
        <w:adjustRightInd/>
        <w:spacing w:after="0"/>
        <w:jc w:val="center"/>
      </w:pPr>
    </w:p>
    <w:p w14:paraId="05FB10D4" w14:textId="77777777" w:rsidR="008A54CC" w:rsidRDefault="008A54CC" w:rsidP="008A54CC">
      <w:pPr>
        <w:autoSpaceDE/>
        <w:autoSpaceDN/>
        <w:adjustRightInd/>
        <w:spacing w:after="0"/>
        <w:jc w:val="center"/>
      </w:pPr>
    </w:p>
    <w:p w14:paraId="0BC14A71" w14:textId="77777777" w:rsidR="008A54CC" w:rsidRDefault="008A54CC" w:rsidP="008A54CC">
      <w:pPr>
        <w:autoSpaceDE/>
        <w:autoSpaceDN/>
        <w:adjustRightInd/>
        <w:spacing w:after="0"/>
        <w:jc w:val="center"/>
      </w:pPr>
    </w:p>
    <w:p w14:paraId="11519816" w14:textId="77777777" w:rsidR="008A54CC" w:rsidRDefault="008A54CC" w:rsidP="008A54CC">
      <w:pPr>
        <w:autoSpaceDE/>
        <w:autoSpaceDN/>
        <w:adjustRightInd/>
        <w:spacing w:after="0"/>
        <w:jc w:val="center"/>
      </w:pPr>
    </w:p>
    <w:p w14:paraId="02443EF7" w14:textId="77777777" w:rsidR="008A54CC" w:rsidRDefault="008A54CC" w:rsidP="008A54CC">
      <w:pPr>
        <w:autoSpaceDE/>
        <w:autoSpaceDN/>
        <w:adjustRightInd/>
        <w:spacing w:after="0"/>
        <w:jc w:val="center"/>
      </w:pPr>
    </w:p>
    <w:p w14:paraId="0F303B56" w14:textId="77777777" w:rsidR="008A54CC" w:rsidRDefault="008A54CC" w:rsidP="008A54CC">
      <w:pPr>
        <w:autoSpaceDE/>
        <w:autoSpaceDN/>
        <w:adjustRightInd/>
        <w:spacing w:after="0"/>
        <w:jc w:val="center"/>
      </w:pPr>
    </w:p>
    <w:p w14:paraId="48610F29" w14:textId="77777777" w:rsidR="008A54CC" w:rsidRDefault="008A54CC" w:rsidP="008A54CC">
      <w:pPr>
        <w:autoSpaceDE/>
        <w:autoSpaceDN/>
        <w:adjustRightInd/>
        <w:spacing w:after="0"/>
        <w:jc w:val="center"/>
      </w:pPr>
    </w:p>
    <w:p w14:paraId="4E8F7C39" w14:textId="77777777" w:rsidR="008A54CC" w:rsidRDefault="008A54CC" w:rsidP="008A54CC">
      <w:pPr>
        <w:autoSpaceDE/>
        <w:autoSpaceDN/>
        <w:adjustRightInd/>
        <w:spacing w:after="0"/>
        <w:jc w:val="center"/>
      </w:pPr>
    </w:p>
    <w:p w14:paraId="719D78DC" w14:textId="77777777" w:rsidR="008A54CC" w:rsidRDefault="008A54CC" w:rsidP="008A54CC">
      <w:pPr>
        <w:autoSpaceDE/>
        <w:autoSpaceDN/>
        <w:adjustRightInd/>
        <w:spacing w:after="0"/>
        <w:jc w:val="center"/>
      </w:pPr>
    </w:p>
    <w:p w14:paraId="41328E2D" w14:textId="77777777" w:rsidR="008A54CC" w:rsidRDefault="008A54CC" w:rsidP="008A54CC">
      <w:pPr>
        <w:autoSpaceDE/>
        <w:autoSpaceDN/>
        <w:adjustRightInd/>
        <w:spacing w:after="0"/>
        <w:jc w:val="center"/>
      </w:pPr>
    </w:p>
    <w:p w14:paraId="4B8530BC" w14:textId="77777777" w:rsidR="008A54CC" w:rsidRDefault="008A54CC" w:rsidP="008A54CC">
      <w:pPr>
        <w:autoSpaceDE/>
        <w:autoSpaceDN/>
        <w:adjustRightInd/>
        <w:spacing w:after="0"/>
        <w:jc w:val="center"/>
      </w:pPr>
    </w:p>
    <w:p w14:paraId="4FAB74B6" w14:textId="77777777" w:rsidR="008A54CC" w:rsidRDefault="008A54CC" w:rsidP="008A54CC">
      <w:pPr>
        <w:autoSpaceDE/>
        <w:autoSpaceDN/>
        <w:adjustRightInd/>
        <w:spacing w:after="0"/>
        <w:jc w:val="center"/>
      </w:pPr>
    </w:p>
    <w:p w14:paraId="7FA950D7" w14:textId="77777777" w:rsidR="008A54CC" w:rsidRDefault="008A54CC" w:rsidP="008A54CC">
      <w:pPr>
        <w:autoSpaceDE/>
        <w:autoSpaceDN/>
        <w:adjustRightInd/>
        <w:spacing w:after="0"/>
        <w:jc w:val="center"/>
      </w:pPr>
    </w:p>
    <w:p w14:paraId="1D8F496F" w14:textId="77777777" w:rsidR="008A54CC" w:rsidRDefault="008A54CC" w:rsidP="008A54CC">
      <w:pPr>
        <w:autoSpaceDE/>
        <w:autoSpaceDN/>
        <w:adjustRightInd/>
        <w:spacing w:after="0"/>
        <w:jc w:val="center"/>
      </w:pPr>
    </w:p>
    <w:p w14:paraId="1D00EE95" w14:textId="77777777" w:rsidR="008A54CC" w:rsidRDefault="008A54CC" w:rsidP="008A54CC">
      <w:pPr>
        <w:autoSpaceDE/>
        <w:autoSpaceDN/>
        <w:adjustRightInd/>
        <w:spacing w:after="0"/>
        <w:jc w:val="center"/>
      </w:pPr>
    </w:p>
    <w:p w14:paraId="47CD9A01" w14:textId="77777777" w:rsidR="008A54CC" w:rsidRDefault="008A54CC" w:rsidP="008A54CC">
      <w:pPr>
        <w:autoSpaceDE/>
        <w:autoSpaceDN/>
        <w:adjustRightInd/>
        <w:spacing w:after="0"/>
        <w:jc w:val="center"/>
      </w:pPr>
    </w:p>
    <w:p w14:paraId="3599E3F8" w14:textId="77777777" w:rsidR="008A54CC" w:rsidRDefault="008A54CC" w:rsidP="008A54CC">
      <w:pPr>
        <w:autoSpaceDE/>
        <w:autoSpaceDN/>
        <w:adjustRightInd/>
        <w:spacing w:after="0"/>
        <w:jc w:val="center"/>
      </w:pPr>
    </w:p>
    <w:p w14:paraId="6BCB5F22" w14:textId="77777777" w:rsidR="008A54CC" w:rsidRDefault="008A54CC" w:rsidP="008A54CC">
      <w:pPr>
        <w:autoSpaceDE/>
        <w:autoSpaceDN/>
        <w:adjustRightInd/>
        <w:spacing w:after="0"/>
        <w:jc w:val="center"/>
      </w:pPr>
    </w:p>
    <w:p w14:paraId="740D8479" w14:textId="77777777" w:rsidR="008A54CC" w:rsidRDefault="008A54CC" w:rsidP="008A54CC">
      <w:pPr>
        <w:autoSpaceDE/>
        <w:autoSpaceDN/>
        <w:adjustRightInd/>
        <w:spacing w:after="0"/>
        <w:jc w:val="center"/>
      </w:pPr>
    </w:p>
    <w:p w14:paraId="35F1FDDE" w14:textId="77777777" w:rsidR="00B3248D" w:rsidRDefault="00B3248D" w:rsidP="008A54CC">
      <w:pPr>
        <w:autoSpaceDE/>
        <w:autoSpaceDN/>
        <w:adjustRightInd/>
        <w:spacing w:after="0"/>
        <w:jc w:val="center"/>
        <w:rPr>
          <w:sz w:val="28"/>
          <w:szCs w:val="28"/>
        </w:rPr>
      </w:pPr>
    </w:p>
    <w:p w14:paraId="1FA50577" w14:textId="77777777" w:rsidR="00B3248D" w:rsidRDefault="00B3248D" w:rsidP="008A54CC">
      <w:pPr>
        <w:autoSpaceDE/>
        <w:autoSpaceDN/>
        <w:adjustRightInd/>
        <w:spacing w:after="0"/>
        <w:jc w:val="center"/>
        <w:rPr>
          <w:sz w:val="28"/>
          <w:szCs w:val="28"/>
        </w:rPr>
      </w:pPr>
    </w:p>
    <w:p w14:paraId="33AD0539" w14:textId="77777777" w:rsidR="0047381F" w:rsidRDefault="0047381F" w:rsidP="008A54CC">
      <w:pPr>
        <w:autoSpaceDE/>
        <w:autoSpaceDN/>
        <w:adjustRightInd/>
        <w:spacing w:after="0"/>
        <w:jc w:val="center"/>
        <w:rPr>
          <w:sz w:val="28"/>
          <w:szCs w:val="28"/>
        </w:rPr>
      </w:pPr>
    </w:p>
    <w:p w14:paraId="0FAE3D91" w14:textId="77777777" w:rsidR="0047381F" w:rsidRDefault="0047381F" w:rsidP="008A54CC">
      <w:pPr>
        <w:autoSpaceDE/>
        <w:autoSpaceDN/>
        <w:adjustRightInd/>
        <w:spacing w:after="0"/>
        <w:jc w:val="center"/>
        <w:rPr>
          <w:sz w:val="28"/>
          <w:szCs w:val="28"/>
        </w:rPr>
      </w:pPr>
    </w:p>
    <w:p w14:paraId="2A7C9FB2" w14:textId="77777777" w:rsidR="0047381F" w:rsidRDefault="0047381F" w:rsidP="008A54CC">
      <w:pPr>
        <w:autoSpaceDE/>
        <w:autoSpaceDN/>
        <w:adjustRightInd/>
        <w:spacing w:after="0"/>
        <w:jc w:val="center"/>
        <w:rPr>
          <w:sz w:val="28"/>
          <w:szCs w:val="28"/>
        </w:rPr>
      </w:pPr>
    </w:p>
    <w:p w14:paraId="0A07361A" w14:textId="77777777" w:rsidR="0047381F" w:rsidRDefault="0047381F" w:rsidP="008A54CC">
      <w:pPr>
        <w:autoSpaceDE/>
        <w:autoSpaceDN/>
        <w:adjustRightInd/>
        <w:spacing w:after="0"/>
        <w:jc w:val="center"/>
        <w:rPr>
          <w:sz w:val="28"/>
          <w:szCs w:val="28"/>
        </w:rPr>
      </w:pPr>
    </w:p>
    <w:p w14:paraId="51B32D08" w14:textId="77777777" w:rsidR="0047381F" w:rsidRDefault="0047381F" w:rsidP="008A54CC">
      <w:pPr>
        <w:autoSpaceDE/>
        <w:autoSpaceDN/>
        <w:adjustRightInd/>
        <w:spacing w:after="0"/>
        <w:jc w:val="center"/>
        <w:rPr>
          <w:sz w:val="28"/>
          <w:szCs w:val="28"/>
        </w:rPr>
      </w:pPr>
    </w:p>
    <w:p w14:paraId="61D35E7A" w14:textId="77777777" w:rsidR="0047381F" w:rsidRDefault="0047381F" w:rsidP="008A54CC">
      <w:pPr>
        <w:autoSpaceDE/>
        <w:autoSpaceDN/>
        <w:adjustRightInd/>
        <w:spacing w:after="0"/>
        <w:jc w:val="center"/>
        <w:rPr>
          <w:sz w:val="28"/>
          <w:szCs w:val="28"/>
        </w:rPr>
      </w:pPr>
    </w:p>
    <w:p w14:paraId="04DC4E9B" w14:textId="77777777" w:rsidR="0047381F" w:rsidRDefault="0047381F" w:rsidP="008A54CC">
      <w:pPr>
        <w:autoSpaceDE/>
        <w:autoSpaceDN/>
        <w:adjustRightInd/>
        <w:spacing w:after="0"/>
        <w:jc w:val="center"/>
        <w:rPr>
          <w:sz w:val="28"/>
          <w:szCs w:val="28"/>
        </w:rPr>
      </w:pPr>
    </w:p>
    <w:p w14:paraId="12C05373" w14:textId="77777777" w:rsidR="0047381F" w:rsidRDefault="0047381F" w:rsidP="008A54CC">
      <w:pPr>
        <w:autoSpaceDE/>
        <w:autoSpaceDN/>
        <w:adjustRightInd/>
        <w:spacing w:after="0"/>
        <w:jc w:val="center"/>
        <w:rPr>
          <w:sz w:val="28"/>
          <w:szCs w:val="28"/>
        </w:rPr>
      </w:pPr>
    </w:p>
    <w:p w14:paraId="774E0CA9" w14:textId="77777777" w:rsidR="0047381F" w:rsidRDefault="0047381F" w:rsidP="008A54CC">
      <w:pPr>
        <w:autoSpaceDE/>
        <w:autoSpaceDN/>
        <w:adjustRightInd/>
        <w:spacing w:after="0"/>
        <w:jc w:val="center"/>
        <w:rPr>
          <w:sz w:val="28"/>
          <w:szCs w:val="28"/>
        </w:rPr>
      </w:pPr>
    </w:p>
    <w:p w14:paraId="08489DD8" w14:textId="77777777" w:rsidR="0047381F" w:rsidRDefault="0047381F" w:rsidP="008A54CC">
      <w:pPr>
        <w:autoSpaceDE/>
        <w:autoSpaceDN/>
        <w:adjustRightInd/>
        <w:spacing w:after="0"/>
        <w:jc w:val="center"/>
        <w:rPr>
          <w:sz w:val="28"/>
          <w:szCs w:val="28"/>
        </w:rPr>
      </w:pPr>
    </w:p>
    <w:p w14:paraId="64DC110D" w14:textId="77777777" w:rsidR="0047381F" w:rsidRDefault="0047381F" w:rsidP="008A54CC">
      <w:pPr>
        <w:autoSpaceDE/>
        <w:autoSpaceDN/>
        <w:adjustRightInd/>
        <w:spacing w:after="0"/>
        <w:jc w:val="center"/>
        <w:rPr>
          <w:sz w:val="28"/>
          <w:szCs w:val="28"/>
        </w:rPr>
      </w:pPr>
    </w:p>
    <w:p w14:paraId="698718A8" w14:textId="77777777" w:rsidR="0047381F" w:rsidRDefault="0047381F" w:rsidP="008A54CC">
      <w:pPr>
        <w:autoSpaceDE/>
        <w:autoSpaceDN/>
        <w:adjustRightInd/>
        <w:spacing w:after="0"/>
        <w:jc w:val="center"/>
        <w:rPr>
          <w:sz w:val="28"/>
          <w:szCs w:val="28"/>
        </w:rPr>
      </w:pPr>
    </w:p>
    <w:p w14:paraId="7EC9C550" w14:textId="77777777" w:rsidR="0047381F" w:rsidRDefault="0047381F" w:rsidP="008A54CC">
      <w:pPr>
        <w:autoSpaceDE/>
        <w:autoSpaceDN/>
        <w:adjustRightInd/>
        <w:spacing w:after="0"/>
        <w:jc w:val="center"/>
        <w:rPr>
          <w:sz w:val="28"/>
          <w:szCs w:val="28"/>
        </w:rPr>
      </w:pPr>
    </w:p>
    <w:p w14:paraId="1DA37790" w14:textId="77777777" w:rsidR="0047381F" w:rsidRDefault="0047381F" w:rsidP="008A54CC">
      <w:pPr>
        <w:autoSpaceDE/>
        <w:autoSpaceDN/>
        <w:adjustRightInd/>
        <w:spacing w:after="0"/>
        <w:jc w:val="center"/>
        <w:rPr>
          <w:sz w:val="28"/>
          <w:szCs w:val="28"/>
        </w:rPr>
      </w:pPr>
    </w:p>
    <w:p w14:paraId="232E9F90" w14:textId="77777777" w:rsidR="0047381F" w:rsidRDefault="0047381F" w:rsidP="008A54CC">
      <w:pPr>
        <w:autoSpaceDE/>
        <w:autoSpaceDN/>
        <w:adjustRightInd/>
        <w:spacing w:after="0"/>
        <w:jc w:val="center"/>
        <w:rPr>
          <w:sz w:val="28"/>
          <w:szCs w:val="28"/>
        </w:rPr>
      </w:pPr>
    </w:p>
    <w:p w14:paraId="4EAC1F65" w14:textId="77777777" w:rsidR="0047381F" w:rsidRDefault="0047381F" w:rsidP="008A54CC">
      <w:pPr>
        <w:autoSpaceDE/>
        <w:autoSpaceDN/>
        <w:adjustRightInd/>
        <w:spacing w:after="0"/>
        <w:jc w:val="center"/>
        <w:rPr>
          <w:sz w:val="28"/>
          <w:szCs w:val="28"/>
        </w:rPr>
      </w:pPr>
    </w:p>
    <w:p w14:paraId="3C3D357E" w14:textId="77777777" w:rsidR="0047381F" w:rsidRDefault="0047381F" w:rsidP="008A54CC">
      <w:pPr>
        <w:autoSpaceDE/>
        <w:autoSpaceDN/>
        <w:adjustRightInd/>
        <w:spacing w:after="0"/>
        <w:jc w:val="center"/>
        <w:rPr>
          <w:sz w:val="28"/>
          <w:szCs w:val="28"/>
        </w:rPr>
      </w:pPr>
    </w:p>
    <w:p w14:paraId="1339E769" w14:textId="77777777" w:rsidR="0047381F" w:rsidRDefault="0047381F" w:rsidP="008A54CC">
      <w:pPr>
        <w:autoSpaceDE/>
        <w:autoSpaceDN/>
        <w:adjustRightInd/>
        <w:spacing w:after="0"/>
        <w:jc w:val="center"/>
        <w:rPr>
          <w:sz w:val="28"/>
          <w:szCs w:val="28"/>
        </w:rPr>
      </w:pPr>
    </w:p>
    <w:p w14:paraId="2F6F694F" w14:textId="77777777" w:rsidR="0047381F" w:rsidRDefault="0047381F" w:rsidP="008A54CC">
      <w:pPr>
        <w:autoSpaceDE/>
        <w:autoSpaceDN/>
        <w:adjustRightInd/>
        <w:spacing w:after="0"/>
        <w:jc w:val="center"/>
        <w:rPr>
          <w:sz w:val="28"/>
          <w:szCs w:val="28"/>
        </w:rPr>
      </w:pPr>
    </w:p>
    <w:p w14:paraId="6027BE16" w14:textId="77777777" w:rsidR="0047381F" w:rsidRDefault="0047381F" w:rsidP="008A54CC">
      <w:pPr>
        <w:autoSpaceDE/>
        <w:autoSpaceDN/>
        <w:adjustRightInd/>
        <w:spacing w:after="0"/>
        <w:jc w:val="center"/>
        <w:rPr>
          <w:sz w:val="28"/>
          <w:szCs w:val="28"/>
        </w:rPr>
      </w:pPr>
    </w:p>
    <w:p w14:paraId="6FB42948" w14:textId="77777777" w:rsidR="0047381F" w:rsidRDefault="0047381F" w:rsidP="008A54CC">
      <w:pPr>
        <w:autoSpaceDE/>
        <w:autoSpaceDN/>
        <w:adjustRightInd/>
        <w:spacing w:after="0"/>
        <w:jc w:val="center"/>
        <w:rPr>
          <w:sz w:val="28"/>
          <w:szCs w:val="28"/>
        </w:rPr>
      </w:pPr>
    </w:p>
    <w:p w14:paraId="6DA0A072" w14:textId="77777777" w:rsidR="0047381F" w:rsidRDefault="0047381F" w:rsidP="008A54CC">
      <w:pPr>
        <w:autoSpaceDE/>
        <w:autoSpaceDN/>
        <w:adjustRightInd/>
        <w:spacing w:after="0"/>
        <w:jc w:val="center"/>
        <w:rPr>
          <w:sz w:val="28"/>
          <w:szCs w:val="28"/>
        </w:rPr>
      </w:pPr>
    </w:p>
    <w:p w14:paraId="463827D4" w14:textId="77777777" w:rsidR="0047381F" w:rsidRDefault="0047381F" w:rsidP="008A54CC">
      <w:pPr>
        <w:autoSpaceDE/>
        <w:autoSpaceDN/>
        <w:adjustRightInd/>
        <w:spacing w:after="0"/>
        <w:jc w:val="center"/>
        <w:rPr>
          <w:sz w:val="28"/>
          <w:szCs w:val="28"/>
        </w:rPr>
      </w:pPr>
    </w:p>
    <w:p w14:paraId="735CD7F0" w14:textId="77777777" w:rsidR="0047381F" w:rsidRDefault="0047381F" w:rsidP="008A54CC">
      <w:pPr>
        <w:autoSpaceDE/>
        <w:autoSpaceDN/>
        <w:adjustRightInd/>
        <w:spacing w:after="0"/>
        <w:jc w:val="center"/>
        <w:rPr>
          <w:sz w:val="28"/>
          <w:szCs w:val="28"/>
        </w:rPr>
      </w:pPr>
    </w:p>
    <w:p w14:paraId="4BD50FEB" w14:textId="77777777" w:rsidR="0047381F" w:rsidRDefault="0047381F" w:rsidP="008A54CC">
      <w:pPr>
        <w:autoSpaceDE/>
        <w:autoSpaceDN/>
        <w:adjustRightInd/>
        <w:spacing w:after="0"/>
        <w:jc w:val="center"/>
        <w:rPr>
          <w:sz w:val="28"/>
          <w:szCs w:val="28"/>
        </w:rPr>
      </w:pPr>
    </w:p>
    <w:p w14:paraId="47D07C6B" w14:textId="77777777" w:rsidR="0047381F" w:rsidRDefault="0047381F" w:rsidP="008A54CC">
      <w:pPr>
        <w:autoSpaceDE/>
        <w:autoSpaceDN/>
        <w:adjustRightInd/>
        <w:spacing w:after="0"/>
        <w:jc w:val="center"/>
        <w:rPr>
          <w:sz w:val="28"/>
          <w:szCs w:val="28"/>
        </w:rPr>
      </w:pPr>
    </w:p>
    <w:p w14:paraId="2441EABE" w14:textId="77777777" w:rsidR="0047381F" w:rsidRDefault="0047381F" w:rsidP="008A54CC">
      <w:pPr>
        <w:autoSpaceDE/>
        <w:autoSpaceDN/>
        <w:adjustRightInd/>
        <w:spacing w:after="0"/>
        <w:jc w:val="center"/>
        <w:rPr>
          <w:sz w:val="28"/>
          <w:szCs w:val="28"/>
        </w:rPr>
      </w:pPr>
    </w:p>
    <w:p w14:paraId="0FD734A6" w14:textId="77777777" w:rsidR="0047381F" w:rsidRDefault="0047381F" w:rsidP="008A54CC">
      <w:pPr>
        <w:autoSpaceDE/>
        <w:autoSpaceDN/>
        <w:adjustRightInd/>
        <w:spacing w:after="0"/>
        <w:jc w:val="center"/>
        <w:rPr>
          <w:sz w:val="28"/>
          <w:szCs w:val="28"/>
        </w:rPr>
      </w:pPr>
    </w:p>
    <w:p w14:paraId="4E0B6B91" w14:textId="77777777" w:rsidR="0047381F" w:rsidRDefault="0047381F" w:rsidP="008A54CC">
      <w:pPr>
        <w:autoSpaceDE/>
        <w:autoSpaceDN/>
        <w:adjustRightInd/>
        <w:spacing w:after="0"/>
        <w:jc w:val="center"/>
        <w:rPr>
          <w:sz w:val="28"/>
          <w:szCs w:val="28"/>
        </w:rPr>
      </w:pPr>
    </w:p>
    <w:p w14:paraId="272A7A69" w14:textId="77777777" w:rsidR="0047381F" w:rsidRDefault="0047381F" w:rsidP="008A54CC">
      <w:pPr>
        <w:autoSpaceDE/>
        <w:autoSpaceDN/>
        <w:adjustRightInd/>
        <w:spacing w:after="0"/>
        <w:jc w:val="center"/>
        <w:rPr>
          <w:sz w:val="28"/>
          <w:szCs w:val="28"/>
        </w:rPr>
      </w:pPr>
    </w:p>
    <w:p w14:paraId="45A0102A" w14:textId="43211E85" w:rsidR="008A54CC" w:rsidRPr="008D0533" w:rsidRDefault="00B3248D" w:rsidP="008A54CC">
      <w:pPr>
        <w:autoSpaceDE/>
        <w:autoSpaceDN/>
        <w:adjustRightInd/>
        <w:spacing w:after="0"/>
        <w:jc w:val="center"/>
        <w:rPr>
          <w:sz w:val="28"/>
          <w:szCs w:val="28"/>
        </w:rPr>
      </w:pPr>
      <w:r w:rsidRPr="008D0533">
        <w:rPr>
          <w:sz w:val="28"/>
          <w:szCs w:val="28"/>
        </w:rPr>
        <w:t>This page is left intentionally blank</w:t>
      </w:r>
    </w:p>
    <w:p w14:paraId="3016EF3E" w14:textId="7690BBCE" w:rsidR="000C6DA1" w:rsidRDefault="000C6DA1">
      <w:pPr>
        <w:autoSpaceDE/>
        <w:autoSpaceDN/>
        <w:adjustRightInd/>
        <w:spacing w:after="0"/>
        <w:jc w:val="left"/>
      </w:pPr>
      <w:r>
        <w:br w:type="page"/>
      </w:r>
    </w:p>
    <w:p w14:paraId="107B00B0" w14:textId="77777777" w:rsidR="008A54CC" w:rsidRDefault="008A54CC" w:rsidP="008A54CC">
      <w:pPr>
        <w:autoSpaceDE/>
        <w:autoSpaceDN/>
        <w:adjustRightInd/>
        <w:spacing w:after="0"/>
        <w:jc w:val="center"/>
      </w:pPr>
    </w:p>
    <w:p w14:paraId="59D60C12" w14:textId="77777777" w:rsidR="008A54CC" w:rsidRDefault="008A54CC" w:rsidP="008A54CC">
      <w:pPr>
        <w:autoSpaceDE/>
        <w:autoSpaceDN/>
        <w:adjustRightInd/>
        <w:spacing w:after="0"/>
        <w:jc w:val="center"/>
      </w:pPr>
    </w:p>
    <w:p w14:paraId="0399E7DC" w14:textId="77777777" w:rsidR="008A54CC" w:rsidRDefault="008A54CC" w:rsidP="008A54CC">
      <w:pPr>
        <w:autoSpaceDE/>
        <w:autoSpaceDN/>
        <w:adjustRightInd/>
        <w:spacing w:after="0"/>
        <w:jc w:val="center"/>
      </w:pPr>
    </w:p>
    <w:p w14:paraId="426083D1" w14:textId="77777777" w:rsidR="008A54CC" w:rsidRDefault="008A54CC" w:rsidP="008A54CC">
      <w:pPr>
        <w:autoSpaceDE/>
        <w:autoSpaceDN/>
        <w:adjustRightInd/>
        <w:spacing w:after="0"/>
        <w:jc w:val="center"/>
      </w:pPr>
    </w:p>
    <w:p w14:paraId="0BADB8CE" w14:textId="77777777" w:rsidR="008A54CC" w:rsidRDefault="008A54CC" w:rsidP="008A54CC">
      <w:pPr>
        <w:autoSpaceDE/>
        <w:autoSpaceDN/>
        <w:adjustRightInd/>
        <w:spacing w:after="0"/>
        <w:jc w:val="center"/>
      </w:pPr>
    </w:p>
    <w:p w14:paraId="22975C14" w14:textId="77777777" w:rsidR="008A54CC" w:rsidRDefault="008A54CC" w:rsidP="008A54CC">
      <w:pPr>
        <w:autoSpaceDE/>
        <w:autoSpaceDN/>
        <w:adjustRightInd/>
        <w:spacing w:after="0"/>
        <w:jc w:val="center"/>
      </w:pPr>
    </w:p>
    <w:p w14:paraId="23B4294F" w14:textId="77777777" w:rsidR="008A54CC" w:rsidRDefault="008A54CC" w:rsidP="008A54CC">
      <w:pPr>
        <w:autoSpaceDE/>
        <w:autoSpaceDN/>
        <w:adjustRightInd/>
        <w:spacing w:after="0"/>
        <w:jc w:val="center"/>
      </w:pPr>
    </w:p>
    <w:p w14:paraId="51A17E76" w14:textId="77777777" w:rsidR="008A54CC" w:rsidRDefault="008A54CC" w:rsidP="008A54CC">
      <w:pPr>
        <w:autoSpaceDE/>
        <w:autoSpaceDN/>
        <w:adjustRightInd/>
        <w:spacing w:after="0"/>
        <w:jc w:val="center"/>
      </w:pPr>
    </w:p>
    <w:p w14:paraId="3B7D48A3" w14:textId="77777777" w:rsidR="008A54CC" w:rsidRDefault="008A54CC" w:rsidP="008A54CC">
      <w:pPr>
        <w:autoSpaceDE/>
        <w:autoSpaceDN/>
        <w:adjustRightInd/>
        <w:spacing w:after="0"/>
        <w:jc w:val="center"/>
      </w:pPr>
    </w:p>
    <w:p w14:paraId="505871E7" w14:textId="77777777" w:rsidR="008A54CC" w:rsidRDefault="008A54CC" w:rsidP="008A54CC">
      <w:pPr>
        <w:autoSpaceDE/>
        <w:autoSpaceDN/>
        <w:adjustRightInd/>
        <w:spacing w:after="0"/>
        <w:jc w:val="center"/>
      </w:pPr>
    </w:p>
    <w:p w14:paraId="6C1678D7" w14:textId="77777777" w:rsidR="008A54CC" w:rsidRDefault="008A54CC" w:rsidP="008A54CC">
      <w:pPr>
        <w:autoSpaceDE/>
        <w:autoSpaceDN/>
        <w:adjustRightInd/>
        <w:spacing w:after="0"/>
        <w:jc w:val="center"/>
      </w:pPr>
    </w:p>
    <w:p w14:paraId="3526CCB6" w14:textId="77777777" w:rsidR="008A54CC" w:rsidRDefault="008A54CC" w:rsidP="008A54CC">
      <w:pPr>
        <w:autoSpaceDE/>
        <w:autoSpaceDN/>
        <w:adjustRightInd/>
        <w:spacing w:after="0"/>
        <w:jc w:val="center"/>
      </w:pPr>
    </w:p>
    <w:p w14:paraId="2C883EA8" w14:textId="77777777" w:rsidR="008A54CC" w:rsidRDefault="008A54CC" w:rsidP="008A54CC">
      <w:pPr>
        <w:autoSpaceDE/>
        <w:autoSpaceDN/>
        <w:adjustRightInd/>
        <w:spacing w:after="0"/>
        <w:jc w:val="center"/>
      </w:pPr>
    </w:p>
    <w:p w14:paraId="01D87306" w14:textId="77777777" w:rsidR="008A54CC" w:rsidRDefault="008A54CC" w:rsidP="008A54CC">
      <w:pPr>
        <w:autoSpaceDE/>
        <w:autoSpaceDN/>
        <w:adjustRightInd/>
        <w:spacing w:after="0"/>
        <w:jc w:val="center"/>
      </w:pPr>
    </w:p>
    <w:p w14:paraId="67C1654D" w14:textId="77777777" w:rsidR="008A54CC" w:rsidRDefault="008A54CC" w:rsidP="008A54CC">
      <w:pPr>
        <w:autoSpaceDE/>
        <w:autoSpaceDN/>
        <w:adjustRightInd/>
        <w:spacing w:after="0"/>
        <w:jc w:val="center"/>
      </w:pPr>
    </w:p>
    <w:p w14:paraId="015816B1" w14:textId="77777777" w:rsidR="008A54CC" w:rsidRDefault="008A54CC" w:rsidP="008A54CC">
      <w:pPr>
        <w:autoSpaceDE/>
        <w:autoSpaceDN/>
        <w:adjustRightInd/>
        <w:spacing w:after="0"/>
        <w:jc w:val="center"/>
      </w:pPr>
    </w:p>
    <w:p w14:paraId="2B6B3501" w14:textId="77777777" w:rsidR="008A54CC" w:rsidRDefault="008A54CC" w:rsidP="008A54CC">
      <w:pPr>
        <w:autoSpaceDE/>
        <w:autoSpaceDN/>
        <w:adjustRightInd/>
        <w:spacing w:after="0"/>
        <w:jc w:val="center"/>
      </w:pPr>
    </w:p>
    <w:p w14:paraId="4ADD43C0" w14:textId="77777777" w:rsidR="008A54CC" w:rsidRDefault="008A54CC" w:rsidP="008A54CC">
      <w:pPr>
        <w:autoSpaceDE/>
        <w:autoSpaceDN/>
        <w:adjustRightInd/>
        <w:spacing w:after="0"/>
        <w:jc w:val="center"/>
      </w:pPr>
    </w:p>
    <w:p w14:paraId="257D00AB" w14:textId="77777777" w:rsidR="008A54CC" w:rsidRDefault="008A54CC" w:rsidP="008A54CC">
      <w:pPr>
        <w:autoSpaceDE/>
        <w:autoSpaceDN/>
        <w:adjustRightInd/>
        <w:spacing w:after="0"/>
        <w:jc w:val="center"/>
      </w:pPr>
    </w:p>
    <w:p w14:paraId="478F6F18" w14:textId="77777777" w:rsidR="008A54CC" w:rsidRDefault="008A54CC" w:rsidP="008A54CC">
      <w:pPr>
        <w:autoSpaceDE/>
        <w:autoSpaceDN/>
        <w:adjustRightInd/>
        <w:spacing w:after="0"/>
        <w:jc w:val="center"/>
      </w:pPr>
    </w:p>
    <w:p w14:paraId="64A5D6CA" w14:textId="77777777" w:rsidR="008A54CC" w:rsidRDefault="008A54CC" w:rsidP="008A54CC">
      <w:pPr>
        <w:autoSpaceDE/>
        <w:autoSpaceDN/>
        <w:adjustRightInd/>
        <w:spacing w:after="0"/>
        <w:jc w:val="center"/>
      </w:pPr>
    </w:p>
    <w:p w14:paraId="492DF2E0" w14:textId="77777777" w:rsidR="008A54CC" w:rsidRDefault="008A54CC" w:rsidP="008A54CC">
      <w:pPr>
        <w:autoSpaceDE/>
        <w:autoSpaceDN/>
        <w:adjustRightInd/>
        <w:spacing w:after="0"/>
        <w:jc w:val="center"/>
      </w:pPr>
    </w:p>
    <w:p w14:paraId="4932A379" w14:textId="77777777" w:rsidR="000C6DA1" w:rsidRPr="00705C83" w:rsidRDefault="000C6DA1" w:rsidP="008A54CC">
      <w:pPr>
        <w:autoSpaceDE/>
        <w:autoSpaceDN/>
        <w:adjustRightInd/>
        <w:spacing w:after="0"/>
        <w:jc w:val="center"/>
        <w:rPr>
          <w:sz w:val="28"/>
          <w:szCs w:val="28"/>
        </w:rPr>
      </w:pPr>
      <w:r w:rsidRPr="00705C83">
        <w:rPr>
          <w:sz w:val="28"/>
          <w:szCs w:val="28"/>
        </w:rPr>
        <w:t>This page is left intentionally blank</w:t>
      </w:r>
    </w:p>
    <w:p w14:paraId="2698224D" w14:textId="77777777" w:rsidR="000C6DA1" w:rsidRDefault="000C6DA1">
      <w:pPr>
        <w:autoSpaceDE/>
        <w:autoSpaceDN/>
        <w:adjustRightInd/>
        <w:spacing w:after="0"/>
        <w:jc w:val="left"/>
      </w:pPr>
    </w:p>
    <w:p w14:paraId="0B4728C5" w14:textId="77777777" w:rsidR="000C6DA1" w:rsidRDefault="000C6DA1">
      <w:pPr>
        <w:autoSpaceDE/>
        <w:autoSpaceDN/>
        <w:adjustRightInd/>
        <w:spacing w:after="0"/>
        <w:jc w:val="left"/>
      </w:pPr>
      <w:r>
        <w:br w:type="page"/>
      </w:r>
    </w:p>
    <w:p w14:paraId="02CB6002" w14:textId="77777777" w:rsidR="008A54CC" w:rsidRDefault="008A54CC" w:rsidP="008A54CC">
      <w:pPr>
        <w:autoSpaceDE/>
        <w:autoSpaceDN/>
        <w:adjustRightInd/>
        <w:spacing w:after="0"/>
        <w:jc w:val="center"/>
      </w:pPr>
    </w:p>
    <w:p w14:paraId="4F2EDE07" w14:textId="77777777" w:rsidR="008A54CC" w:rsidRDefault="008A54CC" w:rsidP="008A54CC">
      <w:pPr>
        <w:autoSpaceDE/>
        <w:autoSpaceDN/>
        <w:adjustRightInd/>
        <w:spacing w:after="0"/>
        <w:jc w:val="center"/>
      </w:pPr>
    </w:p>
    <w:p w14:paraId="5408A050" w14:textId="77777777" w:rsidR="008A54CC" w:rsidRDefault="008A54CC" w:rsidP="008A54CC">
      <w:pPr>
        <w:autoSpaceDE/>
        <w:autoSpaceDN/>
        <w:adjustRightInd/>
        <w:spacing w:after="0"/>
        <w:jc w:val="center"/>
      </w:pPr>
    </w:p>
    <w:p w14:paraId="69FB11E0" w14:textId="77777777" w:rsidR="008A54CC" w:rsidRDefault="008A54CC" w:rsidP="008A54CC">
      <w:pPr>
        <w:autoSpaceDE/>
        <w:autoSpaceDN/>
        <w:adjustRightInd/>
        <w:spacing w:after="0"/>
        <w:jc w:val="center"/>
      </w:pPr>
    </w:p>
    <w:p w14:paraId="5FE99F08" w14:textId="77777777" w:rsidR="008A54CC" w:rsidRDefault="008A54CC" w:rsidP="008A54CC">
      <w:pPr>
        <w:autoSpaceDE/>
        <w:autoSpaceDN/>
        <w:adjustRightInd/>
        <w:spacing w:after="0"/>
        <w:jc w:val="center"/>
      </w:pPr>
    </w:p>
    <w:p w14:paraId="2086DBE3" w14:textId="77777777" w:rsidR="008A54CC" w:rsidRDefault="008A54CC" w:rsidP="008A54CC">
      <w:pPr>
        <w:autoSpaceDE/>
        <w:autoSpaceDN/>
        <w:adjustRightInd/>
        <w:spacing w:after="0"/>
        <w:jc w:val="center"/>
      </w:pPr>
    </w:p>
    <w:p w14:paraId="70AE4F1B" w14:textId="77777777" w:rsidR="008A54CC" w:rsidRDefault="008A54CC" w:rsidP="008A54CC">
      <w:pPr>
        <w:autoSpaceDE/>
        <w:autoSpaceDN/>
        <w:adjustRightInd/>
        <w:spacing w:after="0"/>
        <w:jc w:val="center"/>
      </w:pPr>
    </w:p>
    <w:p w14:paraId="6A1DAF20" w14:textId="77777777" w:rsidR="008A54CC" w:rsidRDefault="008A54CC" w:rsidP="008A54CC">
      <w:pPr>
        <w:autoSpaceDE/>
        <w:autoSpaceDN/>
        <w:adjustRightInd/>
        <w:spacing w:after="0"/>
        <w:jc w:val="center"/>
      </w:pPr>
    </w:p>
    <w:p w14:paraId="0FD44342" w14:textId="77777777" w:rsidR="008A54CC" w:rsidRDefault="008A54CC" w:rsidP="008A54CC">
      <w:pPr>
        <w:autoSpaceDE/>
        <w:autoSpaceDN/>
        <w:adjustRightInd/>
        <w:spacing w:after="0"/>
        <w:jc w:val="center"/>
      </w:pPr>
    </w:p>
    <w:p w14:paraId="5D24EC47" w14:textId="77777777" w:rsidR="008A54CC" w:rsidRDefault="008A54CC" w:rsidP="008A54CC">
      <w:pPr>
        <w:autoSpaceDE/>
        <w:autoSpaceDN/>
        <w:adjustRightInd/>
        <w:spacing w:after="0"/>
        <w:jc w:val="center"/>
      </w:pPr>
    </w:p>
    <w:p w14:paraId="6C894D8F" w14:textId="77777777" w:rsidR="008A54CC" w:rsidRDefault="008A54CC" w:rsidP="008A54CC">
      <w:pPr>
        <w:autoSpaceDE/>
        <w:autoSpaceDN/>
        <w:adjustRightInd/>
        <w:spacing w:after="0"/>
        <w:jc w:val="center"/>
      </w:pPr>
    </w:p>
    <w:p w14:paraId="6A716B1F" w14:textId="77777777" w:rsidR="008A54CC" w:rsidRDefault="008A54CC" w:rsidP="008A54CC">
      <w:pPr>
        <w:autoSpaceDE/>
        <w:autoSpaceDN/>
        <w:adjustRightInd/>
        <w:spacing w:after="0"/>
        <w:jc w:val="center"/>
      </w:pPr>
    </w:p>
    <w:p w14:paraId="1C276DFD" w14:textId="77777777" w:rsidR="008A54CC" w:rsidRDefault="008A54CC" w:rsidP="008A54CC">
      <w:pPr>
        <w:autoSpaceDE/>
        <w:autoSpaceDN/>
        <w:adjustRightInd/>
        <w:spacing w:after="0"/>
        <w:jc w:val="center"/>
      </w:pPr>
    </w:p>
    <w:p w14:paraId="2FB341B4" w14:textId="77777777" w:rsidR="008A54CC" w:rsidRDefault="008A54CC" w:rsidP="008A54CC">
      <w:pPr>
        <w:autoSpaceDE/>
        <w:autoSpaceDN/>
        <w:adjustRightInd/>
        <w:spacing w:after="0"/>
        <w:jc w:val="center"/>
      </w:pPr>
    </w:p>
    <w:p w14:paraId="0AEC521D" w14:textId="77777777" w:rsidR="008A54CC" w:rsidRDefault="008A54CC" w:rsidP="008A54CC">
      <w:pPr>
        <w:autoSpaceDE/>
        <w:autoSpaceDN/>
        <w:adjustRightInd/>
        <w:spacing w:after="0"/>
        <w:jc w:val="center"/>
      </w:pPr>
    </w:p>
    <w:p w14:paraId="2716CD19" w14:textId="77777777" w:rsidR="008A54CC" w:rsidRDefault="008A54CC" w:rsidP="008A54CC">
      <w:pPr>
        <w:autoSpaceDE/>
        <w:autoSpaceDN/>
        <w:adjustRightInd/>
        <w:spacing w:after="0"/>
        <w:jc w:val="center"/>
      </w:pPr>
    </w:p>
    <w:p w14:paraId="30C6F227" w14:textId="77777777" w:rsidR="008A54CC" w:rsidRDefault="008A54CC" w:rsidP="008A54CC">
      <w:pPr>
        <w:autoSpaceDE/>
        <w:autoSpaceDN/>
        <w:adjustRightInd/>
        <w:spacing w:after="0"/>
        <w:jc w:val="center"/>
      </w:pPr>
    </w:p>
    <w:p w14:paraId="5B44933D" w14:textId="77777777" w:rsidR="008A54CC" w:rsidRDefault="008A54CC" w:rsidP="008A54CC">
      <w:pPr>
        <w:autoSpaceDE/>
        <w:autoSpaceDN/>
        <w:adjustRightInd/>
        <w:spacing w:after="0"/>
        <w:jc w:val="center"/>
      </w:pPr>
    </w:p>
    <w:p w14:paraId="70D17987" w14:textId="77777777" w:rsidR="008A54CC" w:rsidRDefault="008A54CC" w:rsidP="008A54CC">
      <w:pPr>
        <w:autoSpaceDE/>
        <w:autoSpaceDN/>
        <w:adjustRightInd/>
        <w:spacing w:after="0"/>
        <w:jc w:val="center"/>
      </w:pPr>
    </w:p>
    <w:p w14:paraId="2F301F3D" w14:textId="77777777" w:rsidR="008A54CC" w:rsidRDefault="008A54CC" w:rsidP="008A54CC">
      <w:pPr>
        <w:autoSpaceDE/>
        <w:autoSpaceDN/>
        <w:adjustRightInd/>
        <w:spacing w:after="0"/>
        <w:jc w:val="center"/>
      </w:pPr>
    </w:p>
    <w:p w14:paraId="642B2FEA" w14:textId="77777777" w:rsidR="008A54CC" w:rsidRDefault="008A54CC" w:rsidP="008A54CC">
      <w:pPr>
        <w:autoSpaceDE/>
        <w:autoSpaceDN/>
        <w:adjustRightInd/>
        <w:spacing w:after="0"/>
        <w:jc w:val="center"/>
      </w:pPr>
    </w:p>
    <w:p w14:paraId="67DA0C28" w14:textId="77777777" w:rsidR="008A54CC" w:rsidRDefault="008A54CC" w:rsidP="008A54CC">
      <w:pPr>
        <w:autoSpaceDE/>
        <w:autoSpaceDN/>
        <w:adjustRightInd/>
        <w:spacing w:after="0"/>
        <w:jc w:val="center"/>
      </w:pPr>
    </w:p>
    <w:p w14:paraId="331146CE" w14:textId="77777777" w:rsidR="008A54CC" w:rsidRDefault="008A54CC" w:rsidP="008A54CC">
      <w:pPr>
        <w:autoSpaceDE/>
        <w:autoSpaceDN/>
        <w:adjustRightInd/>
        <w:spacing w:after="0"/>
        <w:jc w:val="center"/>
      </w:pPr>
    </w:p>
    <w:p w14:paraId="0B70A68D" w14:textId="77777777" w:rsidR="000C6DA1" w:rsidRPr="00705C83" w:rsidRDefault="000C6DA1" w:rsidP="008A54CC">
      <w:pPr>
        <w:autoSpaceDE/>
        <w:autoSpaceDN/>
        <w:adjustRightInd/>
        <w:spacing w:after="0"/>
        <w:jc w:val="center"/>
        <w:rPr>
          <w:sz w:val="28"/>
          <w:szCs w:val="28"/>
        </w:rPr>
      </w:pPr>
      <w:r w:rsidRPr="00705C83">
        <w:rPr>
          <w:sz w:val="28"/>
          <w:szCs w:val="28"/>
        </w:rPr>
        <w:t>This page is left intentionally blank</w:t>
      </w:r>
    </w:p>
    <w:p w14:paraId="297DF84B" w14:textId="77777777" w:rsidR="000C6DA1" w:rsidRDefault="000C6DA1">
      <w:pPr>
        <w:autoSpaceDE/>
        <w:autoSpaceDN/>
        <w:adjustRightInd/>
        <w:spacing w:after="0"/>
        <w:jc w:val="left"/>
      </w:pPr>
      <w:r>
        <w:br w:type="page"/>
      </w:r>
    </w:p>
    <w:p w14:paraId="38D6125F" w14:textId="77777777" w:rsidR="008A54CC" w:rsidRDefault="008A54CC" w:rsidP="008A54CC">
      <w:pPr>
        <w:autoSpaceDE/>
        <w:autoSpaceDN/>
        <w:adjustRightInd/>
        <w:spacing w:after="0"/>
        <w:jc w:val="center"/>
      </w:pPr>
    </w:p>
    <w:p w14:paraId="078B8F92" w14:textId="77777777" w:rsidR="008A54CC" w:rsidRDefault="008A54CC" w:rsidP="008A54CC">
      <w:pPr>
        <w:autoSpaceDE/>
        <w:autoSpaceDN/>
        <w:adjustRightInd/>
        <w:spacing w:after="0"/>
        <w:jc w:val="center"/>
      </w:pPr>
    </w:p>
    <w:p w14:paraId="100F8B57" w14:textId="77777777" w:rsidR="008A54CC" w:rsidRDefault="008A54CC" w:rsidP="008A54CC">
      <w:pPr>
        <w:autoSpaceDE/>
        <w:autoSpaceDN/>
        <w:adjustRightInd/>
        <w:spacing w:after="0"/>
        <w:jc w:val="center"/>
      </w:pPr>
    </w:p>
    <w:p w14:paraId="3F613E08" w14:textId="77777777" w:rsidR="008A54CC" w:rsidRDefault="008A54CC" w:rsidP="008A54CC">
      <w:pPr>
        <w:autoSpaceDE/>
        <w:autoSpaceDN/>
        <w:adjustRightInd/>
        <w:spacing w:after="0"/>
        <w:jc w:val="center"/>
      </w:pPr>
    </w:p>
    <w:p w14:paraId="10957FF1" w14:textId="77777777" w:rsidR="008A54CC" w:rsidRDefault="008A54CC" w:rsidP="008A54CC">
      <w:pPr>
        <w:autoSpaceDE/>
        <w:autoSpaceDN/>
        <w:adjustRightInd/>
        <w:spacing w:after="0"/>
        <w:jc w:val="center"/>
      </w:pPr>
    </w:p>
    <w:p w14:paraId="5259FB85" w14:textId="77777777" w:rsidR="008A54CC" w:rsidRDefault="008A54CC" w:rsidP="008A54CC">
      <w:pPr>
        <w:autoSpaceDE/>
        <w:autoSpaceDN/>
        <w:adjustRightInd/>
        <w:spacing w:after="0"/>
        <w:jc w:val="center"/>
      </w:pPr>
    </w:p>
    <w:p w14:paraId="6112F548" w14:textId="77777777" w:rsidR="008A54CC" w:rsidRDefault="008A54CC" w:rsidP="008A54CC">
      <w:pPr>
        <w:autoSpaceDE/>
        <w:autoSpaceDN/>
        <w:adjustRightInd/>
        <w:spacing w:after="0"/>
        <w:jc w:val="center"/>
      </w:pPr>
    </w:p>
    <w:p w14:paraId="2F58AE70" w14:textId="77777777" w:rsidR="008A54CC" w:rsidRDefault="008A54CC" w:rsidP="008A54CC">
      <w:pPr>
        <w:autoSpaceDE/>
        <w:autoSpaceDN/>
        <w:adjustRightInd/>
        <w:spacing w:after="0"/>
        <w:jc w:val="center"/>
      </w:pPr>
    </w:p>
    <w:p w14:paraId="7828CC03" w14:textId="77777777" w:rsidR="008A54CC" w:rsidRDefault="008A54CC" w:rsidP="008A54CC">
      <w:pPr>
        <w:autoSpaceDE/>
        <w:autoSpaceDN/>
        <w:adjustRightInd/>
        <w:spacing w:after="0"/>
        <w:jc w:val="center"/>
      </w:pPr>
    </w:p>
    <w:p w14:paraId="50277A50" w14:textId="77777777" w:rsidR="008A54CC" w:rsidRDefault="008A54CC" w:rsidP="008A54CC">
      <w:pPr>
        <w:autoSpaceDE/>
        <w:autoSpaceDN/>
        <w:adjustRightInd/>
        <w:spacing w:after="0"/>
        <w:jc w:val="center"/>
      </w:pPr>
    </w:p>
    <w:p w14:paraId="158C2635" w14:textId="77777777" w:rsidR="008A54CC" w:rsidRDefault="008A54CC" w:rsidP="008A54CC">
      <w:pPr>
        <w:autoSpaceDE/>
        <w:autoSpaceDN/>
        <w:adjustRightInd/>
        <w:spacing w:after="0"/>
        <w:jc w:val="center"/>
      </w:pPr>
    </w:p>
    <w:p w14:paraId="3CA27C3F" w14:textId="77777777" w:rsidR="008A54CC" w:rsidRDefault="008A54CC" w:rsidP="008A54CC">
      <w:pPr>
        <w:autoSpaceDE/>
        <w:autoSpaceDN/>
        <w:adjustRightInd/>
        <w:spacing w:after="0"/>
        <w:jc w:val="center"/>
      </w:pPr>
    </w:p>
    <w:p w14:paraId="4085512E" w14:textId="77777777" w:rsidR="008A54CC" w:rsidRDefault="008A54CC" w:rsidP="008A54CC">
      <w:pPr>
        <w:autoSpaceDE/>
        <w:autoSpaceDN/>
        <w:adjustRightInd/>
        <w:spacing w:after="0"/>
        <w:jc w:val="center"/>
      </w:pPr>
    </w:p>
    <w:p w14:paraId="558838D0" w14:textId="77777777" w:rsidR="008A54CC" w:rsidRDefault="008A54CC" w:rsidP="008A54CC">
      <w:pPr>
        <w:autoSpaceDE/>
        <w:autoSpaceDN/>
        <w:adjustRightInd/>
        <w:spacing w:after="0"/>
        <w:jc w:val="center"/>
      </w:pPr>
    </w:p>
    <w:p w14:paraId="65F85B00" w14:textId="77777777" w:rsidR="008A54CC" w:rsidRDefault="008A54CC" w:rsidP="008A54CC">
      <w:pPr>
        <w:autoSpaceDE/>
        <w:autoSpaceDN/>
        <w:adjustRightInd/>
        <w:spacing w:after="0"/>
        <w:jc w:val="center"/>
      </w:pPr>
    </w:p>
    <w:p w14:paraId="03C80E3B" w14:textId="77777777" w:rsidR="008A54CC" w:rsidRDefault="008A54CC" w:rsidP="008A54CC">
      <w:pPr>
        <w:autoSpaceDE/>
        <w:autoSpaceDN/>
        <w:adjustRightInd/>
        <w:spacing w:after="0"/>
        <w:jc w:val="center"/>
      </w:pPr>
    </w:p>
    <w:p w14:paraId="2CD6B13F" w14:textId="77777777" w:rsidR="008A54CC" w:rsidRDefault="008A54CC" w:rsidP="008A54CC">
      <w:pPr>
        <w:autoSpaceDE/>
        <w:autoSpaceDN/>
        <w:adjustRightInd/>
        <w:spacing w:after="0"/>
        <w:jc w:val="center"/>
      </w:pPr>
    </w:p>
    <w:p w14:paraId="435A8020" w14:textId="77777777" w:rsidR="008A54CC" w:rsidRDefault="008A54CC" w:rsidP="008A54CC">
      <w:pPr>
        <w:autoSpaceDE/>
        <w:autoSpaceDN/>
        <w:adjustRightInd/>
        <w:spacing w:after="0"/>
        <w:jc w:val="center"/>
      </w:pPr>
    </w:p>
    <w:p w14:paraId="01F214FC" w14:textId="77777777" w:rsidR="008A54CC" w:rsidRDefault="008A54CC" w:rsidP="008A54CC">
      <w:pPr>
        <w:autoSpaceDE/>
        <w:autoSpaceDN/>
        <w:adjustRightInd/>
        <w:spacing w:after="0"/>
        <w:jc w:val="center"/>
      </w:pPr>
    </w:p>
    <w:p w14:paraId="3F1BB45B" w14:textId="77777777" w:rsidR="008A54CC" w:rsidRDefault="008A54CC" w:rsidP="008A54CC">
      <w:pPr>
        <w:autoSpaceDE/>
        <w:autoSpaceDN/>
        <w:adjustRightInd/>
        <w:spacing w:after="0"/>
        <w:jc w:val="center"/>
      </w:pPr>
    </w:p>
    <w:p w14:paraId="24E2D25E" w14:textId="77777777" w:rsidR="008A54CC" w:rsidRDefault="008A54CC" w:rsidP="008A54CC">
      <w:pPr>
        <w:autoSpaceDE/>
        <w:autoSpaceDN/>
        <w:adjustRightInd/>
        <w:spacing w:after="0"/>
        <w:jc w:val="center"/>
      </w:pPr>
    </w:p>
    <w:p w14:paraId="49610699" w14:textId="77777777" w:rsidR="000C6DA1" w:rsidRPr="00705C83" w:rsidRDefault="000C6DA1" w:rsidP="008A54CC">
      <w:pPr>
        <w:autoSpaceDE/>
        <w:autoSpaceDN/>
        <w:adjustRightInd/>
        <w:spacing w:after="0"/>
        <w:jc w:val="center"/>
        <w:rPr>
          <w:sz w:val="28"/>
          <w:szCs w:val="28"/>
        </w:rPr>
      </w:pPr>
      <w:r w:rsidRPr="00705C83">
        <w:rPr>
          <w:sz w:val="28"/>
          <w:szCs w:val="28"/>
        </w:rPr>
        <w:t>This page is left intentionally blank</w:t>
      </w:r>
    </w:p>
    <w:p w14:paraId="15ED1B83" w14:textId="2A46F4E6" w:rsidR="000C6DA1" w:rsidRDefault="00E32866">
      <w:pPr>
        <w:autoSpaceDE/>
        <w:autoSpaceDN/>
        <w:adjustRightInd/>
        <w:spacing w:after="0"/>
        <w:jc w:val="left"/>
        <w:rPr>
          <w:rFonts w:eastAsia="Times New Roman"/>
          <w:b/>
          <w:bCs/>
          <w:color w:val="auto"/>
          <w:sz w:val="40"/>
          <w:szCs w:val="28"/>
          <w:lang w:eastAsia="en-GB"/>
        </w:rPr>
      </w:pPr>
      <w:r>
        <w:br w:type="page"/>
      </w:r>
      <w:bookmarkStart w:id="2" w:name="Independent_Audit"/>
      <w:bookmarkStart w:id="3" w:name="Responsibilities"/>
      <w:bookmarkEnd w:id="2"/>
      <w:bookmarkEnd w:id="3"/>
    </w:p>
    <w:p w14:paraId="28177218" w14:textId="2E4C1F1E" w:rsidR="00E32866" w:rsidRPr="00A06955" w:rsidRDefault="00B70011" w:rsidP="00110ABE">
      <w:pPr>
        <w:pStyle w:val="Heading1"/>
        <w:jc w:val="left"/>
      </w:pPr>
      <w:r w:rsidRPr="00A06955">
        <w:lastRenderedPageBreak/>
        <w:t>Statement of responsibilities for the statement of accounts</w:t>
      </w:r>
    </w:p>
    <w:p w14:paraId="2680C4A8" w14:textId="77777777" w:rsidR="00B70011" w:rsidRPr="00A06955" w:rsidRDefault="00B70011" w:rsidP="009F0317">
      <w:pPr>
        <w:pStyle w:val="Heading2"/>
      </w:pPr>
      <w:r w:rsidRPr="00A06955">
        <w:t>The county council’s responsibilities</w:t>
      </w:r>
    </w:p>
    <w:p w14:paraId="350534E1" w14:textId="1B1D0670" w:rsidR="00B70011" w:rsidRPr="00A06955" w:rsidRDefault="00B70011" w:rsidP="00B40C7A">
      <w:pPr>
        <w:rPr>
          <w:color w:val="auto"/>
        </w:rPr>
      </w:pPr>
      <w:r w:rsidRPr="00A06955">
        <w:rPr>
          <w:color w:val="auto"/>
        </w:rPr>
        <w:t>We must</w:t>
      </w:r>
      <w:r w:rsidR="00FA671F">
        <w:rPr>
          <w:color w:val="auto"/>
        </w:rPr>
        <w:t>;</w:t>
      </w:r>
    </w:p>
    <w:p w14:paraId="23CA5908" w14:textId="04EDB62B" w:rsidR="00B70011" w:rsidRPr="00A06955" w:rsidRDefault="00B70011" w:rsidP="003F0703">
      <w:pPr>
        <w:numPr>
          <w:ilvl w:val="0"/>
          <w:numId w:val="8"/>
        </w:numPr>
        <w:rPr>
          <w:color w:val="auto"/>
        </w:rPr>
      </w:pPr>
      <w:r w:rsidRPr="00A06955">
        <w:rPr>
          <w:color w:val="auto"/>
        </w:rPr>
        <w:t xml:space="preserve">make arrangements for the proper administration of our financial affairs and ensure that one of our officers has the responsibility for the administration of those affairs.  In the county council, that officer is the </w:t>
      </w:r>
      <w:r w:rsidR="00E154A1">
        <w:rPr>
          <w:color w:val="auto"/>
        </w:rPr>
        <w:t>Section 151 officer</w:t>
      </w:r>
      <w:r w:rsidRPr="00A06955">
        <w:rPr>
          <w:color w:val="auto"/>
        </w:rPr>
        <w:t>;</w:t>
      </w:r>
    </w:p>
    <w:p w14:paraId="24C651B6" w14:textId="77777777" w:rsidR="00B70011" w:rsidRPr="00A06955" w:rsidRDefault="00B70011" w:rsidP="003F0703">
      <w:pPr>
        <w:numPr>
          <w:ilvl w:val="0"/>
          <w:numId w:val="8"/>
        </w:numPr>
        <w:rPr>
          <w:color w:val="auto"/>
        </w:rPr>
      </w:pPr>
      <w:r w:rsidRPr="00A06955">
        <w:rPr>
          <w:color w:val="auto"/>
        </w:rPr>
        <w:t>manage our affairs to secure economic, efficient and effective use of resources and safeguard our assets;</w:t>
      </w:r>
    </w:p>
    <w:p w14:paraId="673989BB" w14:textId="77777777" w:rsidR="00FA5FA5" w:rsidRPr="00A06955" w:rsidRDefault="00B70011" w:rsidP="003F0703">
      <w:pPr>
        <w:numPr>
          <w:ilvl w:val="0"/>
          <w:numId w:val="8"/>
        </w:numPr>
        <w:rPr>
          <w:color w:val="auto"/>
        </w:rPr>
      </w:pPr>
      <w:r w:rsidRPr="00A06955">
        <w:rPr>
          <w:color w:val="auto"/>
        </w:rPr>
        <w:t>approve the statement of accounts.</w:t>
      </w:r>
    </w:p>
    <w:p w14:paraId="2565CA3D" w14:textId="6091EBDC" w:rsidR="00B70011" w:rsidRPr="00A06955" w:rsidRDefault="00E154A1" w:rsidP="009F0317">
      <w:pPr>
        <w:pStyle w:val="Heading2"/>
      </w:pPr>
      <w:r>
        <w:t>The</w:t>
      </w:r>
      <w:r w:rsidR="00B70011" w:rsidRPr="00A06955">
        <w:t xml:space="preserve"> responsibilities</w:t>
      </w:r>
      <w:r>
        <w:t xml:space="preserve"> of the Section 151 officer</w:t>
      </w:r>
    </w:p>
    <w:p w14:paraId="4D0C50F0" w14:textId="1514CEB6" w:rsidR="00B70011" w:rsidRDefault="00B70011" w:rsidP="00B70011">
      <w:pPr>
        <w:rPr>
          <w:color w:val="auto"/>
        </w:rPr>
      </w:pPr>
      <w:r w:rsidRPr="00A06955">
        <w:rPr>
          <w:color w:val="auto"/>
        </w:rPr>
        <w:t xml:space="preserve">The </w:t>
      </w:r>
      <w:r w:rsidR="00E154A1">
        <w:rPr>
          <w:color w:val="auto"/>
        </w:rPr>
        <w:t>Section 151 officer</w:t>
      </w:r>
      <w:r w:rsidRPr="00A06955">
        <w:rPr>
          <w:color w:val="auto"/>
        </w:rPr>
        <w:t xml:space="preserve"> is responsible for preparing our statement of accounts in line with the Chartered Institute of Public Finance and Accountancy/Local Authority (Scotland) Accounts Advisory Committee Code of Practice on Local Authority Accounting in the United Kingdom. This means presenting a true and fair view of our financial position on the accounting date and our income and expenditure for the year ending 31 March 201</w:t>
      </w:r>
      <w:r w:rsidR="00A552FB" w:rsidRPr="00A06955">
        <w:rPr>
          <w:color w:val="auto"/>
        </w:rPr>
        <w:t>5</w:t>
      </w:r>
      <w:r w:rsidRPr="00A06955">
        <w:rPr>
          <w:color w:val="auto"/>
        </w:rPr>
        <w:t>.</w:t>
      </w:r>
    </w:p>
    <w:p w14:paraId="0222C8DB" w14:textId="702EABA2" w:rsidR="00B70011" w:rsidRPr="00A06955" w:rsidRDefault="00B70011" w:rsidP="00B70011">
      <w:pPr>
        <w:rPr>
          <w:color w:val="auto"/>
        </w:rPr>
      </w:pPr>
      <w:r w:rsidRPr="00A06955">
        <w:rPr>
          <w:color w:val="auto"/>
        </w:rPr>
        <w:t xml:space="preserve">In preparing this statement of accounts, the </w:t>
      </w:r>
      <w:r w:rsidR="00E154A1">
        <w:rPr>
          <w:color w:val="auto"/>
        </w:rPr>
        <w:t>Section 151 officer</w:t>
      </w:r>
      <w:r w:rsidRPr="00A06955">
        <w:rPr>
          <w:color w:val="auto"/>
        </w:rPr>
        <w:t xml:space="preserve"> has:</w:t>
      </w:r>
    </w:p>
    <w:p w14:paraId="0B8022D9" w14:textId="77777777" w:rsidR="00B70011" w:rsidRPr="00A06955" w:rsidRDefault="00B70011" w:rsidP="003F0703">
      <w:pPr>
        <w:numPr>
          <w:ilvl w:val="0"/>
          <w:numId w:val="9"/>
        </w:numPr>
        <w:rPr>
          <w:color w:val="auto"/>
        </w:rPr>
      </w:pPr>
      <w:r w:rsidRPr="00A06955">
        <w:rPr>
          <w:color w:val="auto"/>
        </w:rPr>
        <w:lastRenderedPageBreak/>
        <w:t>selected suitable accounting policies and applied them consistently;</w:t>
      </w:r>
    </w:p>
    <w:p w14:paraId="4DC59588" w14:textId="2BD32A15" w:rsidR="00B70011" w:rsidRPr="00A06955" w:rsidRDefault="00B70011" w:rsidP="003F0703">
      <w:pPr>
        <w:numPr>
          <w:ilvl w:val="0"/>
          <w:numId w:val="9"/>
        </w:numPr>
        <w:rPr>
          <w:color w:val="auto"/>
        </w:rPr>
      </w:pPr>
      <w:r w:rsidRPr="00A06955">
        <w:rPr>
          <w:color w:val="auto"/>
        </w:rPr>
        <w:t>made judgements and estimates that are reasonable and prudent</w:t>
      </w:r>
      <w:r w:rsidR="00A552FB" w:rsidRPr="00A06955">
        <w:rPr>
          <w:color w:val="auto"/>
        </w:rPr>
        <w:t>,</w:t>
      </w:r>
      <w:r w:rsidRPr="00A06955">
        <w:rPr>
          <w:color w:val="auto"/>
        </w:rPr>
        <w:t xml:space="preserve"> and</w:t>
      </w:r>
      <w:r w:rsidR="00A552FB" w:rsidRPr="00A06955">
        <w:rPr>
          <w:color w:val="auto"/>
        </w:rPr>
        <w:t>;</w:t>
      </w:r>
    </w:p>
    <w:p w14:paraId="300663CE" w14:textId="77777777" w:rsidR="00B70011" w:rsidRDefault="00B70011" w:rsidP="003F0703">
      <w:pPr>
        <w:numPr>
          <w:ilvl w:val="0"/>
          <w:numId w:val="9"/>
        </w:numPr>
        <w:rPr>
          <w:color w:val="auto"/>
        </w:rPr>
      </w:pPr>
      <w:r w:rsidRPr="00A06955">
        <w:rPr>
          <w:color w:val="auto"/>
        </w:rPr>
        <w:t>complied with the local authority code.</w:t>
      </w:r>
    </w:p>
    <w:p w14:paraId="3EEC631C" w14:textId="197DAD15" w:rsidR="00B70011" w:rsidRPr="00A06955" w:rsidRDefault="00B70011" w:rsidP="00B70011">
      <w:pPr>
        <w:rPr>
          <w:color w:val="auto"/>
        </w:rPr>
      </w:pPr>
      <w:r w:rsidRPr="00A06955">
        <w:rPr>
          <w:color w:val="auto"/>
        </w:rPr>
        <w:t xml:space="preserve">The </w:t>
      </w:r>
      <w:r w:rsidR="00E154A1">
        <w:rPr>
          <w:color w:val="auto"/>
        </w:rPr>
        <w:t>Section 151 officer</w:t>
      </w:r>
      <w:r w:rsidRPr="00A06955">
        <w:rPr>
          <w:color w:val="auto"/>
        </w:rPr>
        <w:t xml:space="preserve"> also:</w:t>
      </w:r>
    </w:p>
    <w:p w14:paraId="0DA2F395" w14:textId="71C20ADA" w:rsidR="00975110" w:rsidRPr="00A06955" w:rsidRDefault="00975110" w:rsidP="003F0703">
      <w:pPr>
        <w:numPr>
          <w:ilvl w:val="0"/>
          <w:numId w:val="10"/>
        </w:numPr>
        <w:rPr>
          <w:color w:val="auto"/>
        </w:rPr>
      </w:pPr>
      <w:r w:rsidRPr="00A06955">
        <w:rPr>
          <w:color w:val="auto"/>
        </w:rPr>
        <w:t>kept proper, up-to-date accounting records</w:t>
      </w:r>
      <w:r w:rsidR="00A552FB" w:rsidRPr="00A06955">
        <w:rPr>
          <w:color w:val="auto"/>
        </w:rPr>
        <w:t>,</w:t>
      </w:r>
      <w:r w:rsidRPr="00A06955">
        <w:rPr>
          <w:color w:val="auto"/>
        </w:rPr>
        <w:t xml:space="preserve"> and</w:t>
      </w:r>
      <w:r w:rsidR="00A552FB" w:rsidRPr="00A06955">
        <w:rPr>
          <w:color w:val="auto"/>
        </w:rPr>
        <w:t>;</w:t>
      </w:r>
    </w:p>
    <w:p w14:paraId="3F6744CA" w14:textId="77777777" w:rsidR="00B70011" w:rsidRPr="00A06955" w:rsidRDefault="00975110" w:rsidP="003F0703">
      <w:pPr>
        <w:numPr>
          <w:ilvl w:val="0"/>
          <w:numId w:val="10"/>
        </w:numPr>
        <w:rPr>
          <w:color w:val="auto"/>
        </w:rPr>
      </w:pPr>
      <w:r w:rsidRPr="00A06955">
        <w:rPr>
          <w:color w:val="auto"/>
        </w:rPr>
        <w:t>taken responsible steps to prevent and detect fraud and other risks.</w:t>
      </w:r>
    </w:p>
    <w:p w14:paraId="219683E6" w14:textId="77777777" w:rsidR="00975110" w:rsidRPr="00A06955" w:rsidRDefault="00A552FB" w:rsidP="00975110">
      <w:pPr>
        <w:rPr>
          <w:color w:val="auto"/>
        </w:rPr>
      </w:pPr>
      <w:r w:rsidRPr="00A06955">
        <w:rPr>
          <w:color w:val="auto"/>
        </w:rPr>
        <w:t>This statement of accounts is that upon which the auditor should enter his certificate and opinion.  It presents a true and fair view of the financial position of the county council at 31 March 2015 and its income and expenditure for the year then ended.</w:t>
      </w:r>
    </w:p>
    <w:p w14:paraId="264ED238" w14:textId="77777777" w:rsidR="00975110" w:rsidRPr="00747B0B" w:rsidRDefault="00975110" w:rsidP="00975110">
      <w:pPr>
        <w:rPr>
          <w:color w:val="auto"/>
          <w:highlight w:val="yellow"/>
        </w:rPr>
      </w:pPr>
    </w:p>
    <w:p w14:paraId="38E362A5" w14:textId="77777777" w:rsidR="00975110" w:rsidRPr="00747B0B" w:rsidRDefault="00975110" w:rsidP="00975110">
      <w:pPr>
        <w:rPr>
          <w:color w:val="auto"/>
          <w:highlight w:val="yellow"/>
        </w:rPr>
      </w:pPr>
    </w:p>
    <w:p w14:paraId="064C258B" w14:textId="77777777" w:rsidR="00975110" w:rsidRPr="00747B0B" w:rsidRDefault="00975110" w:rsidP="00975110">
      <w:pPr>
        <w:rPr>
          <w:color w:val="auto"/>
          <w:highlight w:val="yellow"/>
        </w:rPr>
      </w:pPr>
    </w:p>
    <w:p w14:paraId="3248F18E" w14:textId="77777777" w:rsidR="00975110" w:rsidRPr="00747B0B" w:rsidRDefault="00975110" w:rsidP="00975110">
      <w:pPr>
        <w:rPr>
          <w:color w:val="auto"/>
          <w:highlight w:val="yellow"/>
        </w:rPr>
      </w:pPr>
    </w:p>
    <w:p w14:paraId="3367A6EF" w14:textId="77777777" w:rsidR="00975110" w:rsidRPr="00747B0B" w:rsidRDefault="00975110" w:rsidP="00975110">
      <w:pPr>
        <w:rPr>
          <w:color w:val="auto"/>
          <w:highlight w:val="yellow"/>
        </w:rPr>
      </w:pPr>
    </w:p>
    <w:p w14:paraId="3407E4CC" w14:textId="77777777" w:rsidR="00184C22" w:rsidRDefault="00184C22" w:rsidP="00975110">
      <w:pPr>
        <w:rPr>
          <w:color w:val="auto"/>
          <w:highlight w:val="yellow"/>
        </w:rPr>
      </w:pPr>
    </w:p>
    <w:p w14:paraId="2DE12E44" w14:textId="77777777" w:rsidR="00184C22" w:rsidRDefault="00184C22" w:rsidP="00975110">
      <w:pPr>
        <w:rPr>
          <w:color w:val="auto"/>
          <w:highlight w:val="yellow"/>
        </w:rPr>
      </w:pPr>
    </w:p>
    <w:p w14:paraId="774CEA7A" w14:textId="77777777" w:rsidR="00EA704F" w:rsidRDefault="00EA704F" w:rsidP="00975110">
      <w:pPr>
        <w:rPr>
          <w:b/>
          <w:color w:val="auto"/>
        </w:rPr>
      </w:pPr>
    </w:p>
    <w:p w14:paraId="5CCC370A" w14:textId="77777777" w:rsidR="00EA704F" w:rsidRDefault="00EA704F" w:rsidP="00975110">
      <w:pPr>
        <w:rPr>
          <w:b/>
          <w:color w:val="auto"/>
        </w:rPr>
      </w:pPr>
    </w:p>
    <w:p w14:paraId="0B945959" w14:textId="594B1D78" w:rsidR="00975110" w:rsidRDefault="006C29C6" w:rsidP="00975110">
      <w:pPr>
        <w:rPr>
          <w:b/>
          <w:color w:val="auto"/>
        </w:rPr>
      </w:pPr>
      <w:r>
        <w:rPr>
          <w:b/>
          <w:color w:val="auto"/>
        </w:rPr>
        <w:t>Abigail Leech ACA</w:t>
      </w:r>
    </w:p>
    <w:p w14:paraId="3E09DF5B" w14:textId="2A4CF5DC" w:rsidR="006C29C6" w:rsidRDefault="006C29C6" w:rsidP="00975110">
      <w:pPr>
        <w:rPr>
          <w:b/>
          <w:color w:val="auto"/>
        </w:rPr>
      </w:pPr>
      <w:r>
        <w:rPr>
          <w:b/>
          <w:color w:val="auto"/>
        </w:rPr>
        <w:t xml:space="preserve">Acting Section 151 </w:t>
      </w:r>
      <w:r w:rsidR="00E154A1">
        <w:rPr>
          <w:b/>
          <w:color w:val="auto"/>
        </w:rPr>
        <w:t>o</w:t>
      </w:r>
      <w:r>
        <w:rPr>
          <w:b/>
          <w:color w:val="auto"/>
        </w:rPr>
        <w:t>fficer</w:t>
      </w:r>
    </w:p>
    <w:p w14:paraId="40ED1F7F" w14:textId="5C34BCE1" w:rsidR="006C29C6" w:rsidRDefault="006C29C6" w:rsidP="00975110">
      <w:pPr>
        <w:rPr>
          <w:b/>
          <w:color w:val="auto"/>
        </w:rPr>
      </w:pPr>
      <w:r>
        <w:rPr>
          <w:b/>
          <w:color w:val="auto"/>
        </w:rPr>
        <w:t>28 September 2015</w:t>
      </w:r>
    </w:p>
    <w:p w14:paraId="730ABA02" w14:textId="5416A288" w:rsidR="00CB332F" w:rsidRPr="001B6AC1" w:rsidRDefault="00975110" w:rsidP="00E82A30">
      <w:pPr>
        <w:pStyle w:val="Heading1"/>
        <w:jc w:val="left"/>
        <w:rPr>
          <w:highlight w:val="yellow"/>
        </w:rPr>
      </w:pPr>
      <w:r>
        <w:br w:type="page"/>
      </w:r>
      <w:bookmarkStart w:id="4" w:name="Annual_Governance"/>
      <w:bookmarkEnd w:id="4"/>
      <w:r w:rsidR="004367A7" w:rsidRPr="004709A4">
        <w:lastRenderedPageBreak/>
        <w:t>Annual Governance Statement – Financial Year 2014/15</w:t>
      </w:r>
      <w:r w:rsidR="007B079E" w:rsidRPr="004709A4">
        <w:t xml:space="preserve"> </w:t>
      </w:r>
    </w:p>
    <w:p w14:paraId="4D8A9C0E" w14:textId="0E2672D2" w:rsidR="00324B65" w:rsidRPr="006A1DEC" w:rsidRDefault="00D02CFE" w:rsidP="00324B65">
      <w:pPr>
        <w:autoSpaceDE/>
        <w:autoSpaceDN/>
        <w:adjustRightInd/>
        <w:spacing w:after="0"/>
        <w:outlineLvl w:val="0"/>
        <w:rPr>
          <w:rFonts w:cs="Arial"/>
          <w:b/>
        </w:rPr>
      </w:pPr>
      <w:r>
        <w:rPr>
          <w:rFonts w:cs="Arial"/>
          <w:b/>
        </w:rPr>
        <w:t>The c</w:t>
      </w:r>
      <w:r w:rsidR="00324B65" w:rsidRPr="006A1DEC">
        <w:rPr>
          <w:rFonts w:cs="Arial"/>
          <w:b/>
        </w:rPr>
        <w:t xml:space="preserve">ouncil’s responsibilities </w:t>
      </w:r>
    </w:p>
    <w:p w14:paraId="2E083F41" w14:textId="77777777" w:rsidR="00324B65" w:rsidRDefault="00324B65" w:rsidP="00324B65">
      <w:pPr>
        <w:autoSpaceDE/>
        <w:autoSpaceDN/>
        <w:adjustRightInd/>
        <w:spacing w:after="0"/>
        <w:outlineLvl w:val="0"/>
        <w:rPr>
          <w:rFonts w:cs="Arial"/>
        </w:rPr>
      </w:pPr>
    </w:p>
    <w:p w14:paraId="43D54CE6" w14:textId="15308F08" w:rsidR="00324B65" w:rsidRPr="00324B65" w:rsidRDefault="00324B65" w:rsidP="00324B65">
      <w:pPr>
        <w:autoSpaceDE/>
        <w:autoSpaceDN/>
        <w:adjustRightInd/>
        <w:spacing w:after="0"/>
        <w:outlineLvl w:val="0"/>
        <w:rPr>
          <w:rFonts w:cs="Arial"/>
          <w:b/>
        </w:rPr>
      </w:pPr>
      <w:r w:rsidRPr="00324B65">
        <w:rPr>
          <w:rFonts w:cs="Arial"/>
        </w:rPr>
        <w:t>Lancashire County Council is responsible for ensuring that its business is conducted in accordance with the law and proper standards, and that public money is safeguarded, properly accounted for, and used economically, ef</w:t>
      </w:r>
      <w:r w:rsidR="00D02CFE">
        <w:rPr>
          <w:rFonts w:cs="Arial"/>
        </w:rPr>
        <w:t>ficiently and effectively. The c</w:t>
      </w:r>
      <w:r w:rsidRPr="00324B65">
        <w:rPr>
          <w:rFonts w:cs="Arial"/>
        </w:rPr>
        <w:t xml:space="preserve">ouncil also has a duty under the Local Government Act 1999 to make arrangements to secure continuous improvement in the way in which its functions are exercised, having regard to a combination of economy, efficiency and effectiveness. </w:t>
      </w:r>
    </w:p>
    <w:p w14:paraId="68F3DF61" w14:textId="77777777" w:rsidR="00324B65" w:rsidRPr="008C6B90" w:rsidRDefault="00324B65" w:rsidP="00324B65">
      <w:pPr>
        <w:pStyle w:val="ListParagraph"/>
        <w:spacing w:after="0"/>
        <w:ind w:left="709"/>
        <w:rPr>
          <w:rFonts w:cs="Arial"/>
          <w:b/>
        </w:rPr>
      </w:pPr>
    </w:p>
    <w:p w14:paraId="6ECD858B" w14:textId="30972CE4" w:rsidR="00324B65" w:rsidRPr="00324B65" w:rsidRDefault="00324B65" w:rsidP="00324B65">
      <w:pPr>
        <w:autoSpaceDE/>
        <w:autoSpaceDN/>
        <w:adjustRightInd/>
        <w:spacing w:after="0"/>
        <w:outlineLvl w:val="0"/>
        <w:rPr>
          <w:rFonts w:cs="Arial"/>
          <w:b/>
        </w:rPr>
      </w:pPr>
      <w:r w:rsidRPr="00324B65">
        <w:rPr>
          <w:rFonts w:cs="Arial"/>
        </w:rPr>
        <w:t>In discharging this ov</w:t>
      </w:r>
      <w:r w:rsidR="00D02CFE">
        <w:rPr>
          <w:rFonts w:cs="Arial"/>
        </w:rPr>
        <w:t>erall responsibility, the c</w:t>
      </w:r>
      <w:r w:rsidRPr="00324B65">
        <w:rPr>
          <w:rFonts w:cs="Arial"/>
        </w:rPr>
        <w:t xml:space="preserve">ouncil is responsible for putting in place proper arrangements for the governance of its affairs and facilitating the effective exercise of its functions, including arrangements for the management of risk.  </w:t>
      </w:r>
    </w:p>
    <w:p w14:paraId="5D89289E" w14:textId="77777777" w:rsidR="00324B65" w:rsidRPr="008C6B90" w:rsidRDefault="00324B65" w:rsidP="00324B65">
      <w:pPr>
        <w:pStyle w:val="ListParagraph"/>
        <w:spacing w:after="0"/>
        <w:ind w:left="709"/>
        <w:rPr>
          <w:rFonts w:cs="Arial"/>
          <w:b/>
        </w:rPr>
      </w:pPr>
    </w:p>
    <w:p w14:paraId="71E830CD" w14:textId="09C76268" w:rsidR="00324B65" w:rsidRPr="00324B65" w:rsidRDefault="00D02CFE" w:rsidP="00324B65">
      <w:pPr>
        <w:autoSpaceDE/>
        <w:autoSpaceDN/>
        <w:adjustRightInd/>
        <w:spacing w:after="0"/>
        <w:outlineLvl w:val="0"/>
        <w:rPr>
          <w:rFonts w:cs="Arial"/>
          <w:b/>
        </w:rPr>
      </w:pPr>
      <w:r>
        <w:rPr>
          <w:rFonts w:cs="Arial"/>
        </w:rPr>
        <w:t>The c</w:t>
      </w:r>
      <w:r w:rsidR="00324B65" w:rsidRPr="00324B65">
        <w:rPr>
          <w:rFonts w:cs="Arial"/>
        </w:rPr>
        <w:t xml:space="preserve">ouncil has adopted a code of corporate governance which is consistent with the principles of the CIPFA/SOLACE Framework 'Delivering Good Governance in Local Government'.  The Code is currently under review and a revised Code will be approved during 2015/16. </w:t>
      </w:r>
    </w:p>
    <w:p w14:paraId="73A52EE4" w14:textId="77777777" w:rsidR="00324B65" w:rsidRPr="008C6B90" w:rsidRDefault="00324B65" w:rsidP="00324B65">
      <w:pPr>
        <w:ind w:left="360" w:hanging="360"/>
        <w:rPr>
          <w:rFonts w:cs="Arial"/>
        </w:rPr>
      </w:pPr>
    </w:p>
    <w:p w14:paraId="2304DBF0" w14:textId="77777777" w:rsidR="00324B65" w:rsidRPr="006A1DEC" w:rsidRDefault="00324B65" w:rsidP="00324B65">
      <w:pPr>
        <w:autoSpaceDE/>
        <w:autoSpaceDN/>
        <w:adjustRightInd/>
        <w:spacing w:after="0"/>
        <w:outlineLvl w:val="0"/>
        <w:rPr>
          <w:rFonts w:cs="Arial"/>
          <w:b/>
        </w:rPr>
      </w:pPr>
      <w:r w:rsidRPr="006A1DEC">
        <w:rPr>
          <w:rFonts w:cs="Arial"/>
          <w:b/>
        </w:rPr>
        <w:lastRenderedPageBreak/>
        <w:t xml:space="preserve">The purpose of the Governance Framework </w:t>
      </w:r>
    </w:p>
    <w:p w14:paraId="0C764A73" w14:textId="77777777" w:rsidR="00324B65" w:rsidRPr="008C6B90" w:rsidRDefault="00324B65" w:rsidP="00324B65">
      <w:pPr>
        <w:pStyle w:val="ListParagraph"/>
        <w:spacing w:after="0"/>
        <w:ind w:left="709"/>
        <w:rPr>
          <w:rFonts w:cs="Arial"/>
        </w:rPr>
      </w:pPr>
    </w:p>
    <w:p w14:paraId="3112E376" w14:textId="414EA062" w:rsidR="00324B65" w:rsidRPr="00324B65" w:rsidRDefault="00D219D3" w:rsidP="00324B65">
      <w:pPr>
        <w:autoSpaceDE/>
        <w:autoSpaceDN/>
        <w:adjustRightInd/>
        <w:spacing w:after="0"/>
        <w:outlineLvl w:val="0"/>
        <w:rPr>
          <w:rFonts w:cs="Arial"/>
          <w:b/>
        </w:rPr>
      </w:pPr>
      <w:r>
        <w:rPr>
          <w:rFonts w:cs="Arial"/>
        </w:rPr>
        <w:t>The Governance F</w:t>
      </w:r>
      <w:r w:rsidR="00324B65" w:rsidRPr="00324B65">
        <w:rPr>
          <w:rFonts w:cs="Arial"/>
        </w:rPr>
        <w:t>ramework comprises the systems and processes, c</w:t>
      </w:r>
      <w:r w:rsidR="00D02CFE">
        <w:rPr>
          <w:rFonts w:cs="Arial"/>
        </w:rPr>
        <w:t>ulture and values by which the c</w:t>
      </w:r>
      <w:r w:rsidR="00324B65" w:rsidRPr="00324B65">
        <w:rPr>
          <w:rFonts w:cs="Arial"/>
        </w:rPr>
        <w:t xml:space="preserve">ouncil is directed and controlled and its activities through which it accounts to, engages with and leads its </w:t>
      </w:r>
      <w:r w:rsidR="00D02CFE">
        <w:rPr>
          <w:rFonts w:cs="Arial"/>
        </w:rPr>
        <w:t>communities. It enables the c</w:t>
      </w:r>
      <w:r w:rsidR="00324B65" w:rsidRPr="00324B65">
        <w:rPr>
          <w:rFonts w:cs="Arial"/>
        </w:rPr>
        <w:t xml:space="preserve">ouncil to monitor the achievement of its strategic objectives and to consider whether those objectives have led to the delivery of appropriate, cost-effective services. </w:t>
      </w:r>
    </w:p>
    <w:p w14:paraId="3CACFCDC" w14:textId="77777777" w:rsidR="00324B65" w:rsidRPr="008C6B90" w:rsidRDefault="00324B65" w:rsidP="00324B65">
      <w:pPr>
        <w:pStyle w:val="ListParagraph"/>
        <w:spacing w:after="0"/>
        <w:ind w:left="709"/>
        <w:rPr>
          <w:rFonts w:cs="Arial"/>
          <w:b/>
        </w:rPr>
      </w:pPr>
    </w:p>
    <w:p w14:paraId="536D5957" w14:textId="43B490F3" w:rsidR="00324B65" w:rsidRPr="00324B65" w:rsidRDefault="00324B65" w:rsidP="00324B65">
      <w:pPr>
        <w:autoSpaceDE/>
        <w:autoSpaceDN/>
        <w:adjustRightInd/>
        <w:spacing w:after="0"/>
        <w:outlineLvl w:val="0"/>
        <w:rPr>
          <w:rFonts w:cs="Arial"/>
          <w:b/>
        </w:rPr>
      </w:pPr>
      <w:r w:rsidRPr="00324B65">
        <w:rPr>
          <w:rFonts w:cs="Arial"/>
        </w:rPr>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w:t>
      </w:r>
      <w:r w:rsidR="00D02CFE">
        <w:rPr>
          <w:rFonts w:cs="Arial"/>
        </w:rPr>
        <w:t>isks to the achievement of the c</w:t>
      </w:r>
      <w:r w:rsidRPr="00324B65">
        <w:rPr>
          <w:rFonts w:cs="Arial"/>
        </w:rPr>
        <w:t xml:space="preserve">ouncil’s policies, aims and objectives, to evaluate the likelihood of those risks being realised and the impact should they be realised, and to manage them efficiently, effectively and economically.  </w:t>
      </w:r>
    </w:p>
    <w:p w14:paraId="25093B25" w14:textId="77777777" w:rsidR="00324B65" w:rsidRPr="008C6B90" w:rsidRDefault="00324B65" w:rsidP="00324B65">
      <w:pPr>
        <w:ind w:left="360" w:hanging="360"/>
        <w:rPr>
          <w:rFonts w:cs="Arial"/>
        </w:rPr>
      </w:pPr>
    </w:p>
    <w:p w14:paraId="6E2EBA6D" w14:textId="7BF48794" w:rsidR="00324B65" w:rsidRPr="00324B65" w:rsidRDefault="00D219D3" w:rsidP="00324B65">
      <w:pPr>
        <w:autoSpaceDE/>
        <w:autoSpaceDN/>
        <w:adjustRightInd/>
        <w:spacing w:after="0"/>
        <w:outlineLvl w:val="0"/>
        <w:rPr>
          <w:rFonts w:cs="Arial"/>
          <w:b/>
        </w:rPr>
      </w:pPr>
      <w:r>
        <w:rPr>
          <w:rFonts w:cs="Arial"/>
        </w:rPr>
        <w:t>The Governance F</w:t>
      </w:r>
      <w:r w:rsidR="00324B65" w:rsidRPr="00324B65">
        <w:rPr>
          <w:rFonts w:cs="Arial"/>
        </w:rPr>
        <w:t>ramework has been in place at Lancashire County Council for the year ended 31 March 2015 and up to the date of approval of the statement of accounts.</w:t>
      </w:r>
    </w:p>
    <w:p w14:paraId="4D828AE7" w14:textId="77777777" w:rsidR="00110ABE" w:rsidRDefault="00110ABE" w:rsidP="00324B65">
      <w:pPr>
        <w:rPr>
          <w:rFonts w:cs="Arial"/>
          <w:b/>
        </w:rPr>
      </w:pPr>
    </w:p>
    <w:p w14:paraId="1825AD34" w14:textId="6C5E6C6A" w:rsidR="00324B65" w:rsidRPr="006A1DEC" w:rsidRDefault="00BF4E6A" w:rsidP="00324B65">
      <w:pPr>
        <w:rPr>
          <w:rFonts w:cs="Arial"/>
          <w:b/>
        </w:rPr>
      </w:pPr>
      <w:r>
        <w:rPr>
          <w:rFonts w:cs="Arial"/>
          <w:b/>
        </w:rPr>
        <w:lastRenderedPageBreak/>
        <w:t>Governance i</w:t>
      </w:r>
      <w:r w:rsidR="00324B65" w:rsidRPr="006A1DEC">
        <w:rPr>
          <w:rFonts w:cs="Arial"/>
          <w:b/>
        </w:rPr>
        <w:t>ssues in 2013/14</w:t>
      </w:r>
    </w:p>
    <w:p w14:paraId="587CC111" w14:textId="5CA28919" w:rsidR="00324B65" w:rsidRDefault="00324B65" w:rsidP="00324B65">
      <w:pPr>
        <w:rPr>
          <w:rFonts w:cs="Arial"/>
        </w:rPr>
      </w:pPr>
      <w:r w:rsidRPr="008C6B90">
        <w:rPr>
          <w:rFonts w:cs="Arial"/>
        </w:rPr>
        <w:t>The Annual Governance Statement fo</w:t>
      </w:r>
      <w:r w:rsidR="00D02CFE">
        <w:rPr>
          <w:rFonts w:cs="Arial"/>
        </w:rPr>
        <w:t>r 2013/14 highlighted that the county c</w:t>
      </w:r>
      <w:r w:rsidRPr="008C6B90">
        <w:rPr>
          <w:rFonts w:cs="Arial"/>
        </w:rPr>
        <w:t>ouncil had experienced exceptional challenges during 2013/14 which had absorbed and diverted a considerable amount of senior leadership time.  These circumstances had impacted upon a number of the issues relevant to the ade</w:t>
      </w:r>
      <w:r w:rsidR="00D02CFE">
        <w:rPr>
          <w:rFonts w:cs="Arial"/>
        </w:rPr>
        <w:t>quacy and effectiveness of the c</w:t>
      </w:r>
      <w:r w:rsidRPr="008C6B90">
        <w:rPr>
          <w:rFonts w:cs="Arial"/>
        </w:rPr>
        <w:t xml:space="preserve">ouncil's control environment highlighted by the Chief Internal Auditor's Annual Report which resulted in an overall limited assurance of </w:t>
      </w:r>
      <w:r>
        <w:rPr>
          <w:rFonts w:cs="Arial"/>
        </w:rPr>
        <w:t xml:space="preserve">the </w:t>
      </w:r>
      <w:r w:rsidR="00D02CFE">
        <w:rPr>
          <w:rFonts w:cs="Arial"/>
        </w:rPr>
        <w:t>c</w:t>
      </w:r>
      <w:r w:rsidRPr="008C6B90">
        <w:rPr>
          <w:rFonts w:cs="Arial"/>
        </w:rPr>
        <w:t xml:space="preserve">ouncil's control environment. </w:t>
      </w:r>
    </w:p>
    <w:p w14:paraId="45078137" w14:textId="77777777" w:rsidR="00324B65" w:rsidRDefault="00324B65" w:rsidP="00324B65">
      <w:pPr>
        <w:ind w:left="709"/>
        <w:rPr>
          <w:rFonts w:cs="Arial"/>
        </w:rPr>
      </w:pPr>
    </w:p>
    <w:p w14:paraId="4BF5053A" w14:textId="16318DC4" w:rsidR="00324B65" w:rsidRPr="006A1DEC" w:rsidRDefault="00324B65" w:rsidP="00324B65">
      <w:pPr>
        <w:rPr>
          <w:rFonts w:cs="Arial"/>
          <w:b/>
        </w:rPr>
      </w:pPr>
      <w:r w:rsidRPr="006A1DEC">
        <w:rPr>
          <w:rFonts w:cs="Arial"/>
          <w:b/>
        </w:rPr>
        <w:t xml:space="preserve">The </w:t>
      </w:r>
      <w:r w:rsidR="00D02CFE">
        <w:rPr>
          <w:rFonts w:cs="Arial"/>
          <w:b/>
        </w:rPr>
        <w:t>c</w:t>
      </w:r>
      <w:r w:rsidRPr="006A1DEC">
        <w:rPr>
          <w:rFonts w:cs="Arial"/>
          <w:b/>
        </w:rPr>
        <w:t xml:space="preserve">ouncil's </w:t>
      </w:r>
      <w:r w:rsidR="00BF4E6A">
        <w:rPr>
          <w:rFonts w:cs="Arial"/>
          <w:b/>
        </w:rPr>
        <w:t>r</w:t>
      </w:r>
      <w:r w:rsidRPr="006A1DEC">
        <w:rPr>
          <w:rFonts w:cs="Arial"/>
          <w:b/>
        </w:rPr>
        <w:t>esponse to the Chief Internal Auditor</w:t>
      </w:r>
      <w:r w:rsidR="00BF4E6A">
        <w:rPr>
          <w:rFonts w:cs="Arial"/>
          <w:b/>
        </w:rPr>
        <w:t>'s r</w:t>
      </w:r>
      <w:r w:rsidRPr="006A1DEC">
        <w:rPr>
          <w:rFonts w:cs="Arial"/>
          <w:b/>
        </w:rPr>
        <w:t>eport 2013/14</w:t>
      </w:r>
    </w:p>
    <w:p w14:paraId="6AD265CF" w14:textId="5B4ED767" w:rsidR="00324B65" w:rsidRPr="008C6B90" w:rsidRDefault="00D02CFE" w:rsidP="004709A4">
      <w:pPr>
        <w:rPr>
          <w:rFonts w:cs="Arial"/>
        </w:rPr>
      </w:pPr>
      <w:r>
        <w:rPr>
          <w:rFonts w:cs="Arial"/>
        </w:rPr>
        <w:t>The c</w:t>
      </w:r>
      <w:r w:rsidR="00D219D3">
        <w:rPr>
          <w:rFonts w:cs="Arial"/>
        </w:rPr>
        <w:t>ouncil's leadership and management t</w:t>
      </w:r>
      <w:r w:rsidR="00324B65" w:rsidRPr="008C6B90">
        <w:rPr>
          <w:rFonts w:cs="Arial"/>
        </w:rPr>
        <w:t>eam acknowledged that the exceptional events of 2013/14 had been a diversion having a direct impact on the assessment in the Chief Internal Auditor's report.  It was recognised that a number of key aspects of the report for 2013/14 which related to high risk areas of operation could be attributed to failures in the delivery of services by O</w:t>
      </w:r>
      <w:r w:rsidR="00324B65">
        <w:rPr>
          <w:rFonts w:cs="Arial"/>
        </w:rPr>
        <w:t xml:space="preserve">ne </w:t>
      </w:r>
      <w:r w:rsidR="00324B65" w:rsidRPr="008C6B90">
        <w:rPr>
          <w:rFonts w:cs="Arial"/>
        </w:rPr>
        <w:t>C</w:t>
      </w:r>
      <w:r w:rsidR="00324B65">
        <w:rPr>
          <w:rFonts w:cs="Arial"/>
        </w:rPr>
        <w:t xml:space="preserve">onnect </w:t>
      </w:r>
      <w:r w:rsidR="00324B65" w:rsidRPr="008C6B90">
        <w:rPr>
          <w:rFonts w:cs="Arial"/>
        </w:rPr>
        <w:t>L</w:t>
      </w:r>
      <w:r w:rsidR="00324B65">
        <w:rPr>
          <w:rFonts w:cs="Arial"/>
        </w:rPr>
        <w:t>imited (OCL)</w:t>
      </w:r>
      <w:r w:rsidR="00324B65" w:rsidRPr="008C6B90">
        <w:rPr>
          <w:rFonts w:cs="Arial"/>
        </w:rPr>
        <w:t xml:space="preserve">.  These had been addressed by the renegotiation of the Strategic Partnership arrangements and the return of key services to the </w:t>
      </w:r>
      <w:r>
        <w:rPr>
          <w:rFonts w:cs="Arial"/>
        </w:rPr>
        <w:t>c</w:t>
      </w:r>
      <w:r w:rsidR="00324B65" w:rsidRPr="008C6B90">
        <w:rPr>
          <w:rFonts w:cs="Arial"/>
        </w:rPr>
        <w:t xml:space="preserve">ouncil. </w:t>
      </w:r>
    </w:p>
    <w:p w14:paraId="2498B01C" w14:textId="77777777" w:rsidR="00324B65" w:rsidRPr="008C6B90" w:rsidRDefault="00324B65" w:rsidP="00324B65">
      <w:pPr>
        <w:ind w:left="709"/>
        <w:rPr>
          <w:rFonts w:cs="Arial"/>
        </w:rPr>
      </w:pPr>
    </w:p>
    <w:p w14:paraId="10A8EA08" w14:textId="47E87358" w:rsidR="00324B65" w:rsidRPr="008C6B90" w:rsidRDefault="00324B65" w:rsidP="004709A4">
      <w:pPr>
        <w:rPr>
          <w:rFonts w:cs="Arial"/>
        </w:rPr>
      </w:pPr>
      <w:r w:rsidRPr="008C6B90">
        <w:rPr>
          <w:rFonts w:cs="Arial"/>
        </w:rPr>
        <w:lastRenderedPageBreak/>
        <w:t>The Management Team gave serious and careful consideration to the Chief Int</w:t>
      </w:r>
      <w:r w:rsidR="00D02CFE">
        <w:rPr>
          <w:rFonts w:cs="Arial"/>
        </w:rPr>
        <w:t>ernal Auditor's opinion on the c</w:t>
      </w:r>
      <w:r w:rsidRPr="008C6B90">
        <w:rPr>
          <w:rFonts w:cs="Arial"/>
        </w:rPr>
        <w:t>ouncil's control environment and confirmed its very strong commitment to ensure that basic controls were maintained and, particularly in those cases highlighted by the Annual Report</w:t>
      </w:r>
      <w:r>
        <w:rPr>
          <w:rFonts w:cs="Arial"/>
        </w:rPr>
        <w:t>,</w:t>
      </w:r>
      <w:r w:rsidR="00BF4E6A">
        <w:rPr>
          <w:rFonts w:cs="Arial"/>
        </w:rPr>
        <w:t xml:space="preserve"> significantly improved. </w:t>
      </w:r>
      <w:r w:rsidRPr="008C6B90">
        <w:rPr>
          <w:rFonts w:cs="Arial"/>
        </w:rPr>
        <w:t>They expressed their commitment to ensuring that robust governanc</w:t>
      </w:r>
      <w:r w:rsidR="00D02CFE">
        <w:rPr>
          <w:rFonts w:cs="Arial"/>
        </w:rPr>
        <w:t>e remained at the heart of the c</w:t>
      </w:r>
      <w:r w:rsidRPr="008C6B90">
        <w:rPr>
          <w:rFonts w:cs="Arial"/>
        </w:rPr>
        <w:t>ouncil's business and to ensure that areas of concern highlighted by the Annual Report would be rectified.</w:t>
      </w:r>
    </w:p>
    <w:p w14:paraId="3B26EFCD" w14:textId="77777777" w:rsidR="00324B65" w:rsidRPr="008C6B90" w:rsidRDefault="00324B65" w:rsidP="00324B65">
      <w:pPr>
        <w:ind w:left="709"/>
        <w:rPr>
          <w:rFonts w:cs="Arial"/>
        </w:rPr>
      </w:pPr>
    </w:p>
    <w:p w14:paraId="5FCA5C78" w14:textId="0F454DED" w:rsidR="00324B65" w:rsidRPr="008C6B90" w:rsidRDefault="00324B65" w:rsidP="004709A4">
      <w:pPr>
        <w:rPr>
          <w:rFonts w:cs="Arial"/>
        </w:rPr>
      </w:pPr>
      <w:r w:rsidRPr="008C6B90">
        <w:rPr>
          <w:rFonts w:cs="Arial"/>
        </w:rPr>
        <w:t>Some areas identified in the Chief Internal Auditor's Annual Report for 2013/14 had already been addressed through remedial actions reported to the Audit and Governance Committee. However</w:t>
      </w:r>
      <w:r>
        <w:rPr>
          <w:rFonts w:cs="Arial"/>
        </w:rPr>
        <w:t>,</w:t>
      </w:r>
      <w:r w:rsidRPr="008C6B90">
        <w:rPr>
          <w:rFonts w:cs="Arial"/>
        </w:rPr>
        <w:t xml:space="preserve"> those remedial actions did not form part of the 201</w:t>
      </w:r>
      <w:r>
        <w:rPr>
          <w:rFonts w:cs="Arial"/>
        </w:rPr>
        <w:t>3</w:t>
      </w:r>
      <w:r w:rsidRPr="008C6B90">
        <w:rPr>
          <w:rFonts w:cs="Arial"/>
        </w:rPr>
        <w:t>/1</w:t>
      </w:r>
      <w:r>
        <w:rPr>
          <w:rFonts w:cs="Arial"/>
        </w:rPr>
        <w:t>4</w:t>
      </w:r>
      <w:r w:rsidRPr="008C6B90">
        <w:rPr>
          <w:rFonts w:cs="Arial"/>
        </w:rPr>
        <w:t xml:space="preserve"> assurance judgement as the implementation of agreed action plans had yet to be audited.  </w:t>
      </w:r>
    </w:p>
    <w:p w14:paraId="714A4EFE" w14:textId="77777777" w:rsidR="00324B65" w:rsidRPr="008C6B90" w:rsidRDefault="00324B65" w:rsidP="00324B65">
      <w:pPr>
        <w:ind w:left="709"/>
        <w:rPr>
          <w:rFonts w:cs="Arial"/>
        </w:rPr>
      </w:pPr>
    </w:p>
    <w:p w14:paraId="4AC55996" w14:textId="626E7C77" w:rsidR="00324B65" w:rsidRDefault="00324B65" w:rsidP="004709A4">
      <w:pPr>
        <w:rPr>
          <w:rFonts w:cs="Arial"/>
        </w:rPr>
      </w:pPr>
      <w:r w:rsidRPr="008C6B90">
        <w:rPr>
          <w:rFonts w:cs="Arial"/>
        </w:rPr>
        <w:t>All outstanding actions formed part of the Chief Internal Auditor's Audit Plan for 2014/15 with the intention that all areas of high and moderate risk assessed as limited or nil assurance would achieve a</w:t>
      </w:r>
      <w:r>
        <w:rPr>
          <w:rFonts w:cs="Arial"/>
        </w:rPr>
        <w:t>t least a substantial assuranc</w:t>
      </w:r>
      <w:r w:rsidR="00D219D3">
        <w:rPr>
          <w:rFonts w:cs="Arial"/>
        </w:rPr>
        <w:t>e. To achieve that objective a senior a</w:t>
      </w:r>
      <w:r>
        <w:rPr>
          <w:rFonts w:cs="Arial"/>
        </w:rPr>
        <w:t xml:space="preserve">uditor, working to a member of Management Team, was tasked with the specific responsibility of working with services within these categories to ensure that remedial actions were fully </w:t>
      </w:r>
      <w:r>
        <w:rPr>
          <w:rFonts w:cs="Arial"/>
        </w:rPr>
        <w:lastRenderedPageBreak/>
        <w:t>implemented. Regular progress reports were provided to Management Team and once this pre-audit work was judged to be complete these areas of work were referred back to Internal Audit for them to review and give a formal opinion.</w:t>
      </w:r>
    </w:p>
    <w:p w14:paraId="100ABE50" w14:textId="77777777" w:rsidR="00324B65" w:rsidRDefault="00324B65" w:rsidP="00324B65">
      <w:pPr>
        <w:ind w:left="709" w:hanging="709"/>
        <w:rPr>
          <w:rFonts w:cs="Arial"/>
        </w:rPr>
      </w:pPr>
    </w:p>
    <w:p w14:paraId="0733CF58" w14:textId="43A9CCFA" w:rsidR="00324B65" w:rsidRDefault="00324B65" w:rsidP="004709A4">
      <w:pPr>
        <w:rPr>
          <w:rFonts w:cs="Arial"/>
        </w:rPr>
      </w:pPr>
      <w:r>
        <w:rPr>
          <w:rFonts w:cs="Arial"/>
        </w:rPr>
        <w:t xml:space="preserve">The areas reviewed now form part of the Internal Audit Report for 2014/15. With only two exceptions all the areas of high or medium risk previously assessed as limited or nil assurance are now assessed as attracting substantial assurance. The opinions provided demonstrate significant improvements in services, particularly in relation to information governance where a new Information Governance Team has been established. An update report to the Audit and Governance Committee on 13 April 2015 set out the actions that have been completed including the creation of an Information Governance </w:t>
      </w:r>
      <w:r w:rsidR="00D219D3">
        <w:rPr>
          <w:rFonts w:cs="Arial"/>
        </w:rPr>
        <w:t xml:space="preserve">(IG) </w:t>
      </w:r>
      <w:r>
        <w:rPr>
          <w:rFonts w:cs="Arial"/>
        </w:rPr>
        <w:t xml:space="preserve">Framework; revised IG policies; the creation of a suite of mandatory IG training courses including an online course completed by over 12,000 staff; the establishment of new governance groups and new information sharing templates. </w:t>
      </w:r>
    </w:p>
    <w:p w14:paraId="69A612FF" w14:textId="77777777" w:rsidR="00324B65" w:rsidRDefault="00324B65" w:rsidP="00324B65">
      <w:pPr>
        <w:ind w:left="709"/>
        <w:rPr>
          <w:rFonts w:cs="Arial"/>
        </w:rPr>
      </w:pPr>
    </w:p>
    <w:p w14:paraId="2333AB09" w14:textId="1E5188F0" w:rsidR="00324B65" w:rsidRDefault="00324B65" w:rsidP="004709A4">
      <w:pPr>
        <w:rPr>
          <w:rFonts w:cs="Arial"/>
        </w:rPr>
      </w:pPr>
      <w:r>
        <w:rPr>
          <w:rFonts w:cs="Arial"/>
        </w:rPr>
        <w:t>As a consequence</w:t>
      </w:r>
      <w:r w:rsidR="00D02CFE">
        <w:rPr>
          <w:rFonts w:cs="Arial"/>
        </w:rPr>
        <w:t xml:space="preserve"> of the improvements in IG the c</w:t>
      </w:r>
      <w:r>
        <w:rPr>
          <w:rFonts w:cs="Arial"/>
        </w:rPr>
        <w:t xml:space="preserve">ouncil has now achieved 94% compliance with the NHS Toolkit which is required for the NHS to provide </w:t>
      </w:r>
      <w:r w:rsidR="002029B8">
        <w:rPr>
          <w:rFonts w:cs="Arial"/>
        </w:rPr>
        <w:t>sensitive patient data and the c</w:t>
      </w:r>
      <w:r>
        <w:rPr>
          <w:rFonts w:cs="Arial"/>
        </w:rPr>
        <w:t xml:space="preserve">ouncil is also now able to connect to the Public Services Network which </w:t>
      </w:r>
      <w:r>
        <w:rPr>
          <w:rFonts w:cs="Arial"/>
        </w:rPr>
        <w:lastRenderedPageBreak/>
        <w:t xml:space="preserve">offers secure access to government information. In view of the high number of serious security breaches that had occurred within 2013/14 and reported to the Information Commissioner's Office (ICO) it was also agreed that the ICO would undertake a voluntary audit. As </w:t>
      </w:r>
      <w:r w:rsidR="00D02CFE">
        <w:rPr>
          <w:rFonts w:cs="Arial"/>
        </w:rPr>
        <w:t>a consequence of the audit the c</w:t>
      </w:r>
      <w:r>
        <w:rPr>
          <w:rFonts w:cs="Arial"/>
        </w:rPr>
        <w:t xml:space="preserve">ouncil will not now be subject to any more formal action in relation to the breaches reported. Whilst the outcome of the audit has resulted in limited assurance, the recommendations for improvement have been addressed and the ICO has commented that </w:t>
      </w:r>
      <w:r w:rsidRPr="00425523">
        <w:rPr>
          <w:rFonts w:cs="Arial"/>
          <w:i/>
        </w:rPr>
        <w:t>"the council is in a great position to put the necessary controls in place before our follow-up in 6-9 months"</w:t>
      </w:r>
      <w:r>
        <w:rPr>
          <w:rFonts w:cs="Arial"/>
        </w:rPr>
        <w:t>, a proces</w:t>
      </w:r>
      <w:r w:rsidR="002029B8">
        <w:rPr>
          <w:rFonts w:cs="Arial"/>
        </w:rPr>
        <w:t>s that will be reported to the c</w:t>
      </w:r>
      <w:r>
        <w:rPr>
          <w:rFonts w:cs="Arial"/>
        </w:rPr>
        <w:t>ommittee in due course.</w:t>
      </w:r>
    </w:p>
    <w:p w14:paraId="10354F6A" w14:textId="77777777" w:rsidR="00324B65" w:rsidRDefault="00324B65" w:rsidP="00324B65">
      <w:pPr>
        <w:ind w:left="709"/>
        <w:rPr>
          <w:rFonts w:cs="Arial"/>
        </w:rPr>
      </w:pPr>
    </w:p>
    <w:p w14:paraId="28516419" w14:textId="77777777" w:rsidR="00B9298C" w:rsidRDefault="00B9298C" w:rsidP="00324B65">
      <w:pPr>
        <w:ind w:left="709"/>
        <w:rPr>
          <w:rFonts w:cs="Arial"/>
        </w:rPr>
      </w:pPr>
    </w:p>
    <w:p w14:paraId="739ECAA0" w14:textId="77777777" w:rsidR="006A1DEC" w:rsidRDefault="006A1DEC" w:rsidP="00324B65">
      <w:pPr>
        <w:pStyle w:val="ListParagraph"/>
        <w:spacing w:after="0"/>
        <w:ind w:left="709" w:hanging="709"/>
        <w:rPr>
          <w:rFonts w:cs="Arial"/>
          <w:b/>
        </w:rPr>
      </w:pPr>
    </w:p>
    <w:p w14:paraId="6834527F" w14:textId="4734C3AF" w:rsidR="00324B65" w:rsidRPr="006A1DEC" w:rsidRDefault="002029B8" w:rsidP="00324B65">
      <w:pPr>
        <w:pStyle w:val="ListParagraph"/>
        <w:spacing w:after="0"/>
        <w:ind w:left="709" w:hanging="709"/>
        <w:rPr>
          <w:rFonts w:cs="Arial"/>
          <w:b/>
        </w:rPr>
      </w:pPr>
      <w:r>
        <w:rPr>
          <w:rFonts w:cs="Arial"/>
          <w:b/>
        </w:rPr>
        <w:t>Emerging governance i</w:t>
      </w:r>
      <w:r w:rsidR="00324B65" w:rsidRPr="006A1DEC">
        <w:rPr>
          <w:rFonts w:cs="Arial"/>
          <w:b/>
        </w:rPr>
        <w:t>ssues in 2014/15</w:t>
      </w:r>
    </w:p>
    <w:p w14:paraId="14AB64B9" w14:textId="77777777" w:rsidR="00831101" w:rsidRDefault="00831101" w:rsidP="00324B65">
      <w:pPr>
        <w:ind w:left="709" w:hanging="709"/>
        <w:rPr>
          <w:rFonts w:cs="Arial"/>
        </w:rPr>
      </w:pPr>
    </w:p>
    <w:p w14:paraId="52C75246" w14:textId="6B2E54CB" w:rsidR="00324B65" w:rsidRDefault="00324B65" w:rsidP="006A1DEC">
      <w:pPr>
        <w:ind w:left="709" w:hanging="709"/>
        <w:rPr>
          <w:rFonts w:cs="Arial"/>
        </w:rPr>
      </w:pPr>
      <w:r>
        <w:rPr>
          <w:rFonts w:cs="Arial"/>
        </w:rPr>
        <w:t xml:space="preserve">A number of </w:t>
      </w:r>
      <w:r w:rsidRPr="008C6B90">
        <w:rPr>
          <w:rFonts w:cs="Arial"/>
        </w:rPr>
        <w:t xml:space="preserve">risk areas </w:t>
      </w:r>
      <w:r>
        <w:rPr>
          <w:rFonts w:cs="Arial"/>
        </w:rPr>
        <w:t>emerged or came to prominence during 2014/15 including:</w:t>
      </w:r>
    </w:p>
    <w:p w14:paraId="6B77F27E" w14:textId="77777777" w:rsidR="006A1DEC" w:rsidRDefault="006A1DEC" w:rsidP="006A1DEC">
      <w:pPr>
        <w:ind w:left="709" w:hanging="709"/>
        <w:rPr>
          <w:rFonts w:cs="Arial"/>
        </w:rPr>
      </w:pPr>
    </w:p>
    <w:p w14:paraId="43AC204B" w14:textId="77777777" w:rsidR="00324B65" w:rsidRDefault="00324B65" w:rsidP="00717919">
      <w:pPr>
        <w:pStyle w:val="ListParagraph"/>
        <w:numPr>
          <w:ilvl w:val="0"/>
          <w:numId w:val="63"/>
        </w:numPr>
        <w:autoSpaceDE/>
        <w:autoSpaceDN/>
        <w:adjustRightInd/>
        <w:spacing w:after="0"/>
        <w:ind w:left="1134" w:hanging="425"/>
        <w:contextualSpacing w:val="0"/>
        <w:outlineLvl w:val="0"/>
        <w:rPr>
          <w:rFonts w:cs="Arial"/>
          <w:b/>
        </w:rPr>
      </w:pPr>
      <w:r w:rsidRPr="00F36CA6">
        <w:rPr>
          <w:rFonts w:cs="Arial"/>
        </w:rPr>
        <w:t xml:space="preserve">The </w:t>
      </w:r>
      <w:r>
        <w:rPr>
          <w:rFonts w:cs="Arial"/>
        </w:rPr>
        <w:t>impact of the t</w:t>
      </w:r>
      <w:r w:rsidRPr="00F36CA6">
        <w:rPr>
          <w:rFonts w:cs="Arial"/>
        </w:rPr>
        <w:t xml:space="preserve">ransformation process agreed by Cabinet and Full Council </w:t>
      </w:r>
      <w:r>
        <w:rPr>
          <w:rFonts w:cs="Arial"/>
        </w:rPr>
        <w:t xml:space="preserve">approving the senior </w:t>
      </w:r>
      <w:r>
        <w:rPr>
          <w:rFonts w:cs="Arial"/>
        </w:rPr>
        <w:lastRenderedPageBreak/>
        <w:t>management structure at grade 11 and above and the principles for recruitment for the whole workforce;</w:t>
      </w:r>
    </w:p>
    <w:p w14:paraId="3D5FC76C" w14:textId="77777777" w:rsidR="00324B65" w:rsidRDefault="00324B65" w:rsidP="00717919">
      <w:pPr>
        <w:pStyle w:val="ListParagraph"/>
        <w:numPr>
          <w:ilvl w:val="0"/>
          <w:numId w:val="63"/>
        </w:numPr>
        <w:autoSpaceDE/>
        <w:autoSpaceDN/>
        <w:adjustRightInd/>
        <w:spacing w:after="0"/>
        <w:ind w:left="1134" w:hanging="425"/>
        <w:contextualSpacing w:val="0"/>
        <w:outlineLvl w:val="0"/>
        <w:rPr>
          <w:rFonts w:cs="Arial"/>
          <w:b/>
        </w:rPr>
      </w:pPr>
      <w:r>
        <w:rPr>
          <w:rFonts w:cs="Arial"/>
        </w:rPr>
        <w:t>The need to embed a systemic approach to identifying and managing strategic risks and opportunities;</w:t>
      </w:r>
    </w:p>
    <w:p w14:paraId="1E723C79" w14:textId="77777777" w:rsidR="00324B65" w:rsidRDefault="00324B65" w:rsidP="00717919">
      <w:pPr>
        <w:pStyle w:val="ListParagraph"/>
        <w:numPr>
          <w:ilvl w:val="0"/>
          <w:numId w:val="63"/>
        </w:numPr>
        <w:autoSpaceDE/>
        <w:autoSpaceDN/>
        <w:adjustRightInd/>
        <w:spacing w:after="0"/>
        <w:ind w:left="1134" w:hanging="425"/>
        <w:contextualSpacing w:val="0"/>
        <w:outlineLvl w:val="0"/>
        <w:rPr>
          <w:rFonts w:cs="Arial"/>
          <w:b/>
        </w:rPr>
      </w:pPr>
      <w:r>
        <w:rPr>
          <w:rFonts w:cs="Arial"/>
        </w:rPr>
        <w:t>The introduction of the Care Act 2014 and pressures arising from new responsibilities in relation to Deprivation of Liberty Safeguards;</w:t>
      </w:r>
    </w:p>
    <w:p w14:paraId="1F86B750" w14:textId="3F2551A2" w:rsidR="00324B65" w:rsidRDefault="00324B65" w:rsidP="00717919">
      <w:pPr>
        <w:pStyle w:val="ListParagraph"/>
        <w:numPr>
          <w:ilvl w:val="0"/>
          <w:numId w:val="63"/>
        </w:numPr>
        <w:autoSpaceDE/>
        <w:autoSpaceDN/>
        <w:adjustRightInd/>
        <w:spacing w:after="0"/>
        <w:ind w:left="1134" w:hanging="425"/>
        <w:contextualSpacing w:val="0"/>
        <w:outlineLvl w:val="0"/>
        <w:rPr>
          <w:rFonts w:cs="Arial"/>
          <w:b/>
        </w:rPr>
      </w:pPr>
      <w:r>
        <w:rPr>
          <w:rFonts w:cs="Arial"/>
        </w:rPr>
        <w:t xml:space="preserve">The establishment of the Better Care Fund </w:t>
      </w:r>
      <w:r w:rsidR="002029B8">
        <w:rPr>
          <w:rFonts w:cs="Arial"/>
        </w:rPr>
        <w:t>with partners in Health with a c</w:t>
      </w:r>
      <w:r>
        <w:rPr>
          <w:rFonts w:cs="Arial"/>
        </w:rPr>
        <w:t>ouncil contribution of £9.4m into the pooled fund;</w:t>
      </w:r>
    </w:p>
    <w:p w14:paraId="0E334B3C" w14:textId="6631C994" w:rsidR="00324B65" w:rsidRDefault="00D02CFE" w:rsidP="00717919">
      <w:pPr>
        <w:pStyle w:val="ListParagraph"/>
        <w:numPr>
          <w:ilvl w:val="0"/>
          <w:numId w:val="63"/>
        </w:numPr>
        <w:autoSpaceDE/>
        <w:autoSpaceDN/>
        <w:adjustRightInd/>
        <w:spacing w:after="0"/>
        <w:ind w:left="1134" w:hanging="425"/>
        <w:contextualSpacing w:val="0"/>
        <w:outlineLvl w:val="0"/>
        <w:rPr>
          <w:rFonts w:cs="Arial"/>
          <w:b/>
        </w:rPr>
      </w:pPr>
      <w:r>
        <w:rPr>
          <w:rFonts w:cs="Arial"/>
        </w:rPr>
        <w:t>The c</w:t>
      </w:r>
      <w:r w:rsidR="00324B65">
        <w:rPr>
          <w:rFonts w:cs="Arial"/>
        </w:rPr>
        <w:t xml:space="preserve">ouncil's decision to terminate the waste PFI contract with Global Renewables Ltd in July 2014 as a result of which the </w:t>
      </w:r>
      <w:r>
        <w:rPr>
          <w:rFonts w:cs="Arial"/>
        </w:rPr>
        <w:t>c</w:t>
      </w:r>
      <w:r w:rsidR="00324B65">
        <w:rPr>
          <w:rFonts w:cs="Arial"/>
        </w:rPr>
        <w:t>ouncil took ownership of the waste recovery parks and operating company;</w:t>
      </w:r>
    </w:p>
    <w:p w14:paraId="277595FA" w14:textId="20ADF91C" w:rsidR="00324B65" w:rsidRDefault="00324B65" w:rsidP="00717919">
      <w:pPr>
        <w:pStyle w:val="ListParagraph"/>
        <w:numPr>
          <w:ilvl w:val="0"/>
          <w:numId w:val="63"/>
        </w:numPr>
        <w:autoSpaceDE/>
        <w:autoSpaceDN/>
        <w:adjustRightInd/>
        <w:spacing w:after="0"/>
        <w:ind w:left="1134" w:hanging="425"/>
        <w:contextualSpacing w:val="0"/>
        <w:outlineLvl w:val="0"/>
        <w:rPr>
          <w:rFonts w:cs="Arial"/>
          <w:b/>
        </w:rPr>
      </w:pPr>
      <w:r>
        <w:rPr>
          <w:rFonts w:cs="Arial"/>
        </w:rPr>
        <w:t xml:space="preserve">The issue of legal proceedings concerning the catastrophic fire at Lancashire Business Park in 2011 which was resolved on terms benefitting both the </w:t>
      </w:r>
      <w:r w:rsidR="00D02CFE">
        <w:rPr>
          <w:rFonts w:cs="Arial"/>
        </w:rPr>
        <w:t>c</w:t>
      </w:r>
      <w:r>
        <w:rPr>
          <w:rFonts w:cs="Arial"/>
        </w:rPr>
        <w:t>ouncil and LCDL;</w:t>
      </w:r>
    </w:p>
    <w:p w14:paraId="65076B10" w14:textId="77777777" w:rsidR="00324B65" w:rsidRPr="0059366F" w:rsidRDefault="00324B65" w:rsidP="00717919">
      <w:pPr>
        <w:pStyle w:val="ListParagraph"/>
        <w:numPr>
          <w:ilvl w:val="0"/>
          <w:numId w:val="63"/>
        </w:numPr>
        <w:autoSpaceDE/>
        <w:autoSpaceDN/>
        <w:adjustRightInd/>
        <w:spacing w:after="0"/>
        <w:ind w:left="1134" w:hanging="425"/>
        <w:contextualSpacing w:val="0"/>
        <w:outlineLvl w:val="0"/>
        <w:rPr>
          <w:rFonts w:cs="Arial"/>
          <w:b/>
        </w:rPr>
      </w:pPr>
      <w:r w:rsidRPr="0059366F">
        <w:rPr>
          <w:rFonts w:cs="Arial"/>
        </w:rPr>
        <w:t>Procurement issues relating to a number of contracts for which Procurement Rules had to be waived as it would not have been possible to complete tender exercises b</w:t>
      </w:r>
      <w:r>
        <w:rPr>
          <w:rFonts w:cs="Arial"/>
        </w:rPr>
        <w:t>efore current contracts expired;</w:t>
      </w:r>
    </w:p>
    <w:p w14:paraId="68A33D72" w14:textId="77777777" w:rsidR="00324B65" w:rsidRPr="0059366F" w:rsidRDefault="00324B65" w:rsidP="00717919">
      <w:pPr>
        <w:pStyle w:val="ListParagraph"/>
        <w:numPr>
          <w:ilvl w:val="0"/>
          <w:numId w:val="63"/>
        </w:numPr>
        <w:autoSpaceDE/>
        <w:autoSpaceDN/>
        <w:adjustRightInd/>
        <w:spacing w:after="0"/>
        <w:ind w:left="1134" w:hanging="425"/>
        <w:contextualSpacing w:val="0"/>
        <w:outlineLvl w:val="0"/>
        <w:rPr>
          <w:rFonts w:cs="Arial"/>
          <w:b/>
        </w:rPr>
      </w:pPr>
      <w:r w:rsidRPr="0059366F">
        <w:rPr>
          <w:rFonts w:cs="Arial"/>
        </w:rPr>
        <w:t>Issues relating to th</w:t>
      </w:r>
      <w:r>
        <w:rPr>
          <w:rFonts w:cs="Arial"/>
        </w:rPr>
        <w:t>e implementation of the Liquidl</w:t>
      </w:r>
      <w:r w:rsidRPr="0059366F">
        <w:rPr>
          <w:rFonts w:cs="Arial"/>
        </w:rPr>
        <w:t>ogic systems for adult and children's social care.</w:t>
      </w:r>
    </w:p>
    <w:p w14:paraId="59792930" w14:textId="77777777" w:rsidR="00324B65" w:rsidRPr="00CC6B82" w:rsidRDefault="00324B65" w:rsidP="00324B65">
      <w:pPr>
        <w:ind w:left="709"/>
        <w:rPr>
          <w:rFonts w:cs="Arial"/>
        </w:rPr>
      </w:pPr>
    </w:p>
    <w:p w14:paraId="182DEA0F" w14:textId="77777777" w:rsidR="00324B65" w:rsidRDefault="00324B65" w:rsidP="00324B65">
      <w:pPr>
        <w:rPr>
          <w:rFonts w:cs="Arial"/>
        </w:rPr>
      </w:pPr>
      <w:r>
        <w:rPr>
          <w:rFonts w:cs="Arial"/>
        </w:rPr>
        <w:lastRenderedPageBreak/>
        <w:t>With the exception of risk management (see later), all of these risk areas have been the subject of detailed reports to Cabinet and other committees/ Lancashire County Developments Limited.</w:t>
      </w:r>
    </w:p>
    <w:p w14:paraId="34791033" w14:textId="77777777" w:rsidR="00324B65" w:rsidRDefault="00324B65" w:rsidP="00324B65">
      <w:pPr>
        <w:ind w:left="709"/>
        <w:rPr>
          <w:rFonts w:cs="Arial"/>
        </w:rPr>
      </w:pPr>
    </w:p>
    <w:p w14:paraId="236F4AB2" w14:textId="77777777" w:rsidR="00324B65" w:rsidRPr="006A1DEC" w:rsidRDefault="00324B65" w:rsidP="00324B65">
      <w:pPr>
        <w:rPr>
          <w:rFonts w:cs="Arial"/>
          <w:b/>
        </w:rPr>
      </w:pPr>
      <w:r w:rsidRPr="006A1DEC">
        <w:rPr>
          <w:rFonts w:cs="Arial"/>
          <w:b/>
        </w:rPr>
        <w:t>Chief Internal Auditor's Annual Report 2014/15</w:t>
      </w:r>
    </w:p>
    <w:p w14:paraId="7F916427" w14:textId="77777777" w:rsidR="00324B65" w:rsidRPr="008C6B90" w:rsidRDefault="00324B65" w:rsidP="00324B65">
      <w:pPr>
        <w:ind w:left="709"/>
        <w:rPr>
          <w:rFonts w:cs="Arial"/>
          <w:b/>
        </w:rPr>
      </w:pPr>
    </w:p>
    <w:p w14:paraId="07BC360A" w14:textId="565A99F2" w:rsidR="00324B65" w:rsidRDefault="00324B65" w:rsidP="004709A4">
      <w:pPr>
        <w:rPr>
          <w:rFonts w:cs="Arial"/>
        </w:rPr>
      </w:pPr>
      <w:r>
        <w:rPr>
          <w:rFonts w:cs="Arial"/>
        </w:rPr>
        <w:t>The Annual Report provides substa</w:t>
      </w:r>
      <w:r w:rsidR="00D02CFE">
        <w:rPr>
          <w:rFonts w:cs="Arial"/>
        </w:rPr>
        <w:t>ntial assurance as regards the c</w:t>
      </w:r>
      <w:r>
        <w:rPr>
          <w:rFonts w:cs="Arial"/>
        </w:rPr>
        <w:t xml:space="preserve">ouncil's key financial controls. However, due to the approach taken to remedy areas of high/medium risk assessed in 2013/14 as attracting nil or limited assurance, it was not possible to complete the Audit Plan for the remainder of 2014/15. The Chief Internal Auditor's Annual Report does not therefore provide an overall opinion for 2014/15 and the assurances provided within the Annual Report for individual services must be seen in that context. </w:t>
      </w:r>
    </w:p>
    <w:p w14:paraId="5A71D980" w14:textId="77777777" w:rsidR="00324B65" w:rsidRDefault="00324B65" w:rsidP="00324B65">
      <w:pPr>
        <w:ind w:left="709"/>
        <w:rPr>
          <w:rFonts w:cs="Arial"/>
        </w:rPr>
      </w:pPr>
    </w:p>
    <w:p w14:paraId="5CB1E25C" w14:textId="281F92CE" w:rsidR="00324B65" w:rsidRDefault="00324B65" w:rsidP="004709A4">
      <w:pPr>
        <w:rPr>
          <w:rFonts w:cs="Arial"/>
        </w:rPr>
      </w:pPr>
      <w:r>
        <w:rPr>
          <w:rFonts w:cs="Arial"/>
        </w:rPr>
        <w:t xml:space="preserve">The Annual Report also identifies a number of key issues and themes (paragraphs 4.2 and 4.3). The following sections comment on those themes and other issues which have started to emerge during 2014/15 and which will continue to feature in 2015/16. </w:t>
      </w:r>
    </w:p>
    <w:p w14:paraId="2F45BB9D" w14:textId="77777777" w:rsidR="00324B65" w:rsidRPr="008C6B90" w:rsidRDefault="00324B65" w:rsidP="00324B65">
      <w:pPr>
        <w:ind w:left="709" w:hanging="709"/>
        <w:rPr>
          <w:rFonts w:cs="Arial"/>
          <w:b/>
        </w:rPr>
      </w:pPr>
    </w:p>
    <w:p w14:paraId="213B47DC" w14:textId="77777777" w:rsidR="00324B65" w:rsidRPr="006A1DEC" w:rsidRDefault="00324B65" w:rsidP="00324B65">
      <w:pPr>
        <w:rPr>
          <w:rFonts w:cs="Arial"/>
        </w:rPr>
      </w:pPr>
      <w:r w:rsidRPr="006A1DEC">
        <w:rPr>
          <w:rFonts w:cs="Arial"/>
          <w:b/>
        </w:rPr>
        <w:t>Risk Management</w:t>
      </w:r>
      <w:r w:rsidRPr="006A1DEC">
        <w:rPr>
          <w:rFonts w:cs="Arial"/>
        </w:rPr>
        <w:t xml:space="preserve"> </w:t>
      </w:r>
    </w:p>
    <w:p w14:paraId="7A4083E2" w14:textId="77777777" w:rsidR="00324B65" w:rsidRDefault="00324B65" w:rsidP="00324B65">
      <w:pPr>
        <w:rPr>
          <w:rFonts w:cs="Arial"/>
        </w:rPr>
      </w:pPr>
    </w:p>
    <w:p w14:paraId="18106173" w14:textId="1DD682BE" w:rsidR="00324B65" w:rsidRDefault="00324B65" w:rsidP="004709A4">
      <w:pPr>
        <w:rPr>
          <w:rFonts w:cs="Arial"/>
        </w:rPr>
      </w:pPr>
      <w:r>
        <w:rPr>
          <w:rFonts w:cs="Arial"/>
        </w:rPr>
        <w:t xml:space="preserve">In relation to the need to embed a systematic approach to identifying strategic risks and opportunities, Management Team engaged Grant Thornton to facilitate a workshop for the purposes of identifying strengths and weaknesses in current practice; consider the trend and current pitfalls across the sector; identify the </w:t>
      </w:r>
      <w:r w:rsidR="00D02CFE">
        <w:rPr>
          <w:rFonts w:cs="Arial"/>
        </w:rPr>
        <w:t>key strategic risks facing the c</w:t>
      </w:r>
      <w:r>
        <w:rPr>
          <w:rFonts w:cs="Arial"/>
        </w:rPr>
        <w:t>ouncil and consider the mitigation measures already in place or which should be introduced; and consider the practical next steps to formalise arrangements.</w:t>
      </w:r>
    </w:p>
    <w:p w14:paraId="4777456E" w14:textId="77777777" w:rsidR="00324B65" w:rsidRDefault="00324B65" w:rsidP="00324B65">
      <w:pPr>
        <w:ind w:left="709"/>
        <w:rPr>
          <w:rFonts w:cs="Arial"/>
        </w:rPr>
      </w:pPr>
    </w:p>
    <w:p w14:paraId="45AF5FD5" w14:textId="388AEDB8" w:rsidR="00324B65" w:rsidRDefault="00324B65" w:rsidP="004709A4">
      <w:pPr>
        <w:rPr>
          <w:rFonts w:cs="Arial"/>
        </w:rPr>
      </w:pPr>
      <w:r>
        <w:rPr>
          <w:rFonts w:cs="Arial"/>
        </w:rPr>
        <w:t xml:space="preserve">The workshop identified that whilst risk management happens "in practice" and that all major decisions are based on an appropriate analysis of risks and opportunities, effectively protecting the public, the lack of a clear and systematic corporate approach is a weakness.  It also identified that </w:t>
      </w:r>
      <w:r w:rsidR="00913AFB">
        <w:rPr>
          <w:rFonts w:cs="Arial"/>
        </w:rPr>
        <w:t>e</w:t>
      </w:r>
      <w:r>
        <w:rPr>
          <w:rFonts w:cs="Arial"/>
        </w:rPr>
        <w:t xml:space="preserve">lected </w:t>
      </w:r>
      <w:r w:rsidR="00913AFB">
        <w:rPr>
          <w:rFonts w:cs="Arial"/>
        </w:rPr>
        <w:t>m</w:t>
      </w:r>
      <w:r>
        <w:rPr>
          <w:rFonts w:cs="Arial"/>
        </w:rPr>
        <w:t>embers do not receive appropriate risk management information and training, that risks relating to key partnerships are not fully understood or managed, and that a risk register should be regularly reviewed and communicated to all relevant parties.</w:t>
      </w:r>
    </w:p>
    <w:p w14:paraId="73FC442B" w14:textId="77777777" w:rsidR="00324B65" w:rsidRDefault="00324B65" w:rsidP="00324B65">
      <w:pPr>
        <w:ind w:left="709" w:hanging="709"/>
        <w:rPr>
          <w:rFonts w:cs="Arial"/>
        </w:rPr>
      </w:pPr>
    </w:p>
    <w:p w14:paraId="2FD02500" w14:textId="757795CA" w:rsidR="00324B65" w:rsidRDefault="00324B65" w:rsidP="004709A4">
      <w:pPr>
        <w:rPr>
          <w:rFonts w:cs="Arial"/>
        </w:rPr>
      </w:pPr>
      <w:r>
        <w:rPr>
          <w:rFonts w:cs="Arial"/>
        </w:rPr>
        <w:t xml:space="preserve">A Risk and Opportunity map is now in draft and work is in hand to set the right governance structures, assign clear responsibilities and roles, agree the corporate approach and provide appropriate </w:t>
      </w:r>
      <w:r>
        <w:rPr>
          <w:rFonts w:cs="Arial"/>
        </w:rPr>
        <w:lastRenderedPageBreak/>
        <w:t>training. It is proposed to classify risks and opportunities on a "PESTLEDO" basis:</w:t>
      </w:r>
    </w:p>
    <w:p w14:paraId="5F2842BF" w14:textId="77777777" w:rsidR="00324B65" w:rsidRDefault="00324B65" w:rsidP="00324B65">
      <w:pPr>
        <w:ind w:left="709"/>
        <w:rPr>
          <w:rFonts w:cs="Arial"/>
        </w:rPr>
      </w:pPr>
    </w:p>
    <w:p w14:paraId="269579BF" w14:textId="77777777" w:rsidR="00324B65" w:rsidRDefault="00324B65" w:rsidP="00717919">
      <w:pPr>
        <w:pStyle w:val="ListParagraph"/>
        <w:numPr>
          <w:ilvl w:val="0"/>
          <w:numId w:val="64"/>
        </w:numPr>
        <w:autoSpaceDE/>
        <w:autoSpaceDN/>
        <w:adjustRightInd/>
        <w:spacing w:after="0"/>
        <w:ind w:left="1134" w:hanging="425"/>
        <w:contextualSpacing w:val="0"/>
        <w:outlineLvl w:val="0"/>
        <w:rPr>
          <w:rFonts w:cs="Arial"/>
          <w:b/>
        </w:rPr>
      </w:pPr>
      <w:r w:rsidRPr="009B5836">
        <w:rPr>
          <w:rFonts w:cs="Arial"/>
        </w:rPr>
        <w:t>P</w:t>
      </w:r>
      <w:r w:rsidRPr="0099723F">
        <w:rPr>
          <w:rFonts w:cs="Arial"/>
        </w:rPr>
        <w:t>olitical</w:t>
      </w:r>
      <w:r>
        <w:rPr>
          <w:rFonts w:cs="Arial"/>
        </w:rPr>
        <w:t xml:space="preserve"> – government or local policy commitments</w:t>
      </w:r>
    </w:p>
    <w:p w14:paraId="4F6C5E7D" w14:textId="77777777" w:rsidR="00324B65" w:rsidRDefault="00324B65" w:rsidP="00717919">
      <w:pPr>
        <w:pStyle w:val="ListParagraph"/>
        <w:numPr>
          <w:ilvl w:val="0"/>
          <w:numId w:val="64"/>
        </w:numPr>
        <w:autoSpaceDE/>
        <w:autoSpaceDN/>
        <w:adjustRightInd/>
        <w:spacing w:after="0"/>
        <w:ind w:left="1134" w:hanging="425"/>
        <w:contextualSpacing w:val="0"/>
        <w:outlineLvl w:val="0"/>
        <w:rPr>
          <w:rFonts w:cs="Arial"/>
          <w:b/>
        </w:rPr>
      </w:pPr>
      <w:r w:rsidRPr="009B5836">
        <w:rPr>
          <w:rFonts w:cs="Arial"/>
        </w:rPr>
        <w:t>E</w:t>
      </w:r>
      <w:r>
        <w:rPr>
          <w:rFonts w:cs="Arial"/>
        </w:rPr>
        <w:t>conomic – meeting financial commitments, budgetary pressures etc</w:t>
      </w:r>
    </w:p>
    <w:p w14:paraId="0B71D3E7" w14:textId="77777777" w:rsidR="00324B65" w:rsidRDefault="00324B65" w:rsidP="00717919">
      <w:pPr>
        <w:pStyle w:val="ListParagraph"/>
        <w:numPr>
          <w:ilvl w:val="0"/>
          <w:numId w:val="64"/>
        </w:numPr>
        <w:autoSpaceDE/>
        <w:autoSpaceDN/>
        <w:adjustRightInd/>
        <w:spacing w:after="0"/>
        <w:ind w:left="1134" w:hanging="425"/>
        <w:contextualSpacing w:val="0"/>
        <w:outlineLvl w:val="0"/>
        <w:rPr>
          <w:rFonts w:cs="Arial"/>
          <w:b/>
        </w:rPr>
      </w:pPr>
      <w:r w:rsidRPr="009B5836">
        <w:rPr>
          <w:rFonts w:cs="Arial"/>
        </w:rPr>
        <w:t>S</w:t>
      </w:r>
      <w:r>
        <w:rPr>
          <w:rFonts w:cs="Arial"/>
        </w:rPr>
        <w:t>ocial – Changes in socio-economic trends</w:t>
      </w:r>
    </w:p>
    <w:p w14:paraId="28DB0D60" w14:textId="77777777" w:rsidR="00324B65" w:rsidRDefault="00324B65" w:rsidP="00717919">
      <w:pPr>
        <w:pStyle w:val="ListParagraph"/>
        <w:numPr>
          <w:ilvl w:val="0"/>
          <w:numId w:val="64"/>
        </w:numPr>
        <w:autoSpaceDE/>
        <w:autoSpaceDN/>
        <w:adjustRightInd/>
        <w:spacing w:after="0"/>
        <w:ind w:left="1134" w:hanging="425"/>
        <w:contextualSpacing w:val="0"/>
        <w:outlineLvl w:val="0"/>
        <w:rPr>
          <w:rFonts w:cs="Arial"/>
          <w:b/>
        </w:rPr>
      </w:pPr>
      <w:r w:rsidRPr="009B5836">
        <w:rPr>
          <w:rFonts w:cs="Arial"/>
        </w:rPr>
        <w:t>T</w:t>
      </w:r>
      <w:r>
        <w:rPr>
          <w:rFonts w:cs="Arial"/>
        </w:rPr>
        <w:t>echnological – the capacity to deal with the pace of technological change, the use of technology to manage demand</w:t>
      </w:r>
    </w:p>
    <w:p w14:paraId="769CE826" w14:textId="77777777" w:rsidR="00324B65" w:rsidRDefault="00324B65" w:rsidP="00717919">
      <w:pPr>
        <w:pStyle w:val="ListParagraph"/>
        <w:numPr>
          <w:ilvl w:val="0"/>
          <w:numId w:val="64"/>
        </w:numPr>
        <w:autoSpaceDE/>
        <w:autoSpaceDN/>
        <w:adjustRightInd/>
        <w:spacing w:after="0"/>
        <w:ind w:left="1134" w:hanging="425"/>
        <w:contextualSpacing w:val="0"/>
        <w:outlineLvl w:val="0"/>
        <w:rPr>
          <w:rFonts w:cs="Arial"/>
          <w:b/>
        </w:rPr>
      </w:pPr>
      <w:r w:rsidRPr="009B5836">
        <w:rPr>
          <w:rFonts w:cs="Arial"/>
        </w:rPr>
        <w:t>L</w:t>
      </w:r>
      <w:r>
        <w:rPr>
          <w:rFonts w:cs="Arial"/>
        </w:rPr>
        <w:t>egislative – changes in the law</w:t>
      </w:r>
    </w:p>
    <w:p w14:paraId="7C82F68F" w14:textId="639D9925" w:rsidR="00324B65" w:rsidRDefault="00324B65" w:rsidP="00717919">
      <w:pPr>
        <w:pStyle w:val="ListParagraph"/>
        <w:numPr>
          <w:ilvl w:val="0"/>
          <w:numId w:val="64"/>
        </w:numPr>
        <w:autoSpaceDE/>
        <w:autoSpaceDN/>
        <w:adjustRightInd/>
        <w:spacing w:after="0"/>
        <w:ind w:left="1134" w:hanging="425"/>
        <w:contextualSpacing w:val="0"/>
        <w:outlineLvl w:val="0"/>
        <w:rPr>
          <w:rFonts w:cs="Arial"/>
          <w:b/>
        </w:rPr>
      </w:pPr>
      <w:r w:rsidRPr="009B5836">
        <w:rPr>
          <w:rFonts w:cs="Arial"/>
        </w:rPr>
        <w:t>E</w:t>
      </w:r>
      <w:r>
        <w:rPr>
          <w:rFonts w:cs="Arial"/>
        </w:rPr>
        <w:t>nvironmental – Environmental c</w:t>
      </w:r>
      <w:r w:rsidR="00D02CFE">
        <w:rPr>
          <w:rFonts w:cs="Arial"/>
        </w:rPr>
        <w:t>onsequences of progressing the c</w:t>
      </w:r>
      <w:r>
        <w:rPr>
          <w:rFonts w:cs="Arial"/>
        </w:rPr>
        <w:t>ouncil's objectives</w:t>
      </w:r>
    </w:p>
    <w:p w14:paraId="4739B66C" w14:textId="77777777" w:rsidR="00324B65" w:rsidRDefault="00324B65" w:rsidP="00717919">
      <w:pPr>
        <w:pStyle w:val="ListParagraph"/>
        <w:numPr>
          <w:ilvl w:val="0"/>
          <w:numId w:val="64"/>
        </w:numPr>
        <w:autoSpaceDE/>
        <w:autoSpaceDN/>
        <w:adjustRightInd/>
        <w:spacing w:after="0"/>
        <w:ind w:left="1134" w:hanging="425"/>
        <w:contextualSpacing w:val="0"/>
        <w:outlineLvl w:val="0"/>
        <w:rPr>
          <w:rFonts w:cs="Arial"/>
          <w:b/>
        </w:rPr>
      </w:pPr>
      <w:r w:rsidRPr="009B5836">
        <w:rPr>
          <w:rFonts w:cs="Arial"/>
        </w:rPr>
        <w:t>D</w:t>
      </w:r>
      <w:r>
        <w:rPr>
          <w:rFonts w:cs="Arial"/>
        </w:rPr>
        <w:t>emographic – demographic changes in the locality</w:t>
      </w:r>
    </w:p>
    <w:p w14:paraId="0C182B6C" w14:textId="77777777" w:rsidR="00324B65" w:rsidRDefault="00324B65" w:rsidP="00717919">
      <w:pPr>
        <w:pStyle w:val="ListParagraph"/>
        <w:numPr>
          <w:ilvl w:val="0"/>
          <w:numId w:val="64"/>
        </w:numPr>
        <w:autoSpaceDE/>
        <w:autoSpaceDN/>
        <w:adjustRightInd/>
        <w:spacing w:after="0"/>
        <w:ind w:left="1134" w:hanging="425"/>
        <w:contextualSpacing w:val="0"/>
        <w:outlineLvl w:val="0"/>
        <w:rPr>
          <w:rFonts w:cs="Arial"/>
          <w:b/>
        </w:rPr>
      </w:pPr>
      <w:r w:rsidRPr="009B5836">
        <w:rPr>
          <w:rFonts w:cs="Arial"/>
        </w:rPr>
        <w:t>O</w:t>
      </w:r>
      <w:r>
        <w:rPr>
          <w:rFonts w:cs="Arial"/>
        </w:rPr>
        <w:t>rganisational – internal risks not imposed by the external environment</w:t>
      </w:r>
    </w:p>
    <w:p w14:paraId="16468E13" w14:textId="77777777" w:rsidR="00324B65" w:rsidRPr="00CC6B82" w:rsidRDefault="00324B65" w:rsidP="00324B65">
      <w:pPr>
        <w:ind w:left="1134" w:hanging="425"/>
        <w:rPr>
          <w:rFonts w:cs="Arial"/>
        </w:rPr>
      </w:pPr>
    </w:p>
    <w:p w14:paraId="2BC53F74" w14:textId="30BD056B" w:rsidR="00324B65" w:rsidRPr="009B5836" w:rsidRDefault="00324B65" w:rsidP="00324B65">
      <w:pPr>
        <w:rPr>
          <w:rFonts w:cs="Arial"/>
        </w:rPr>
      </w:pPr>
      <w:r>
        <w:rPr>
          <w:rFonts w:cs="Arial"/>
        </w:rPr>
        <w:t xml:space="preserve">Once a proposal for a corporate approach is finalised a report will be brought to the Audit and Governance Committee for consultation purposes after training for </w:t>
      </w:r>
      <w:r w:rsidR="00913AFB">
        <w:rPr>
          <w:rFonts w:cs="Arial"/>
        </w:rPr>
        <w:t>c</w:t>
      </w:r>
      <w:r>
        <w:rPr>
          <w:rFonts w:cs="Arial"/>
        </w:rPr>
        <w:t xml:space="preserve">ommittee </w:t>
      </w:r>
      <w:r w:rsidR="00913AFB">
        <w:rPr>
          <w:rFonts w:cs="Arial"/>
        </w:rPr>
        <w:t>m</w:t>
      </w:r>
      <w:r>
        <w:rPr>
          <w:rFonts w:cs="Arial"/>
        </w:rPr>
        <w:t>embers has been delivered.</w:t>
      </w:r>
    </w:p>
    <w:p w14:paraId="492002BB" w14:textId="77777777" w:rsidR="00324B65" w:rsidRDefault="00324B65" w:rsidP="00324B65">
      <w:pPr>
        <w:ind w:left="709" w:hanging="709"/>
        <w:rPr>
          <w:rFonts w:cs="Arial"/>
        </w:rPr>
      </w:pPr>
    </w:p>
    <w:p w14:paraId="6C15A59C" w14:textId="4B3D93ED" w:rsidR="00324B65" w:rsidRPr="006A1DEC" w:rsidRDefault="00913AFB" w:rsidP="00324B65">
      <w:pPr>
        <w:rPr>
          <w:rFonts w:cs="Arial"/>
          <w:b/>
        </w:rPr>
      </w:pPr>
      <w:r>
        <w:rPr>
          <w:rFonts w:cs="Arial"/>
          <w:b/>
        </w:rPr>
        <w:t>The c</w:t>
      </w:r>
      <w:r w:rsidR="00324B65" w:rsidRPr="006A1DEC">
        <w:rPr>
          <w:rFonts w:cs="Arial"/>
          <w:b/>
        </w:rPr>
        <w:t>ouncil's Transformation Programme</w:t>
      </w:r>
    </w:p>
    <w:p w14:paraId="157F3E2C" w14:textId="77777777" w:rsidR="00324B65" w:rsidRPr="008C6B90" w:rsidRDefault="00324B65" w:rsidP="00324B65">
      <w:pPr>
        <w:rPr>
          <w:rFonts w:cs="Arial"/>
          <w:lang w:val="en"/>
        </w:rPr>
      </w:pPr>
    </w:p>
    <w:p w14:paraId="4D80D20F" w14:textId="2F820126" w:rsidR="00324B65" w:rsidRPr="008C6B90" w:rsidRDefault="00324B65" w:rsidP="004709A4">
      <w:pPr>
        <w:rPr>
          <w:rFonts w:cs="Arial"/>
          <w:lang w:val="en"/>
        </w:rPr>
      </w:pPr>
      <w:r w:rsidRPr="008C6B90">
        <w:rPr>
          <w:rFonts w:cs="Arial"/>
          <w:lang w:val="en"/>
        </w:rPr>
        <w:t xml:space="preserve">With effect from 1 April </w:t>
      </w:r>
      <w:r w:rsidR="00D02CFE">
        <w:rPr>
          <w:rFonts w:cs="Arial"/>
          <w:lang w:val="en"/>
        </w:rPr>
        <w:t>2015 the transformation of the c</w:t>
      </w:r>
      <w:r w:rsidRPr="008C6B90">
        <w:rPr>
          <w:rFonts w:cs="Arial"/>
          <w:lang w:val="en"/>
        </w:rPr>
        <w:t>ouncil's senior management structure at grade 11</w:t>
      </w:r>
      <w:r w:rsidR="00D02CFE">
        <w:rPr>
          <w:rFonts w:cs="Arial"/>
          <w:lang w:val="en"/>
        </w:rPr>
        <w:t xml:space="preserve"> and above is complete and the c</w:t>
      </w:r>
      <w:r w:rsidRPr="008C6B90">
        <w:rPr>
          <w:rFonts w:cs="Arial"/>
          <w:lang w:val="en"/>
        </w:rPr>
        <w:t>ouncil now moves into the second phase that will see a new look organisation</w:t>
      </w:r>
      <w:r w:rsidR="00831101">
        <w:rPr>
          <w:rFonts w:cs="Arial"/>
          <w:lang w:val="en"/>
        </w:rPr>
        <w:t xml:space="preserve"> </w:t>
      </w:r>
      <w:r w:rsidRPr="008C6B90">
        <w:rPr>
          <w:rFonts w:cs="Arial"/>
          <w:lang w:val="en"/>
        </w:rPr>
        <w:t xml:space="preserve">in place by April 2016. </w:t>
      </w:r>
    </w:p>
    <w:p w14:paraId="62076C81" w14:textId="77777777" w:rsidR="00324B65" w:rsidRPr="008C6B90" w:rsidRDefault="00324B65" w:rsidP="00324B65">
      <w:pPr>
        <w:ind w:left="709"/>
        <w:rPr>
          <w:rFonts w:cs="Arial"/>
          <w:lang w:val="en"/>
        </w:rPr>
      </w:pPr>
    </w:p>
    <w:p w14:paraId="51DA6FA6" w14:textId="06C7FF2E" w:rsidR="00324B65" w:rsidRPr="008C6B90" w:rsidRDefault="00324B65" w:rsidP="004709A4">
      <w:pPr>
        <w:rPr>
          <w:rFonts w:cs="Arial"/>
          <w:lang w:val="en"/>
        </w:rPr>
      </w:pPr>
      <w:r w:rsidRPr="008C6B90">
        <w:rPr>
          <w:rFonts w:cs="Arial"/>
          <w:lang w:val="en"/>
        </w:rPr>
        <w:t>The principles underpinning the second phase for staff at grade 10 and below remain the same as in the first phase but the task is quite different because of the scale of the change with around 12,000 staff in scope. Consultation on the proposed approach has now commenced, the intention being that as many staff as possible will be "slotted into roles</w:t>
      </w:r>
      <w:r>
        <w:rPr>
          <w:rFonts w:cs="Arial"/>
          <w:lang w:val="en"/>
        </w:rPr>
        <w:t>"</w:t>
      </w:r>
      <w:r w:rsidRPr="008C6B90">
        <w:rPr>
          <w:rFonts w:cs="Arial"/>
          <w:lang w:val="en"/>
        </w:rPr>
        <w:t xml:space="preserve"> rather than having to go through a competitive recruitment exercise or, where that is not possible, with a greater use of closed ring fences. </w:t>
      </w:r>
    </w:p>
    <w:p w14:paraId="43FA0487" w14:textId="77777777" w:rsidR="00324B65" w:rsidRPr="008C6B90" w:rsidRDefault="00324B65" w:rsidP="00324B65">
      <w:pPr>
        <w:ind w:left="709"/>
        <w:rPr>
          <w:rFonts w:cs="Arial"/>
          <w:lang w:val="en"/>
        </w:rPr>
      </w:pPr>
    </w:p>
    <w:p w14:paraId="698C84FC" w14:textId="145FF9DF" w:rsidR="00324B65" w:rsidRPr="008C6B90" w:rsidRDefault="00324B65" w:rsidP="004709A4">
      <w:pPr>
        <w:rPr>
          <w:rFonts w:cs="Arial"/>
          <w:lang w:val="en"/>
        </w:rPr>
      </w:pPr>
      <w:r w:rsidRPr="008C6B90">
        <w:rPr>
          <w:rFonts w:cs="Arial"/>
          <w:lang w:val="en"/>
        </w:rPr>
        <w:t xml:space="preserve">There will be a far smaller </w:t>
      </w:r>
      <w:r>
        <w:rPr>
          <w:rFonts w:cs="Arial"/>
          <w:lang w:val="en"/>
        </w:rPr>
        <w:t xml:space="preserve">proportionate </w:t>
      </w:r>
      <w:r w:rsidRPr="008C6B90">
        <w:rPr>
          <w:rFonts w:cs="Arial"/>
          <w:lang w:val="en"/>
        </w:rPr>
        <w:t xml:space="preserve">reduction in staff numbers in the second phase relative to the first phase and there continues to be a commitment that no member of staff will be made compulsorily redundant before 1 April 2016. </w:t>
      </w:r>
    </w:p>
    <w:p w14:paraId="4ED69E7F" w14:textId="77777777" w:rsidR="00324B65" w:rsidRPr="008C6B90" w:rsidRDefault="00324B65" w:rsidP="00324B65">
      <w:pPr>
        <w:ind w:left="709"/>
        <w:rPr>
          <w:rFonts w:cs="Arial"/>
          <w:lang w:val="en"/>
        </w:rPr>
      </w:pPr>
    </w:p>
    <w:p w14:paraId="1A8B5E02" w14:textId="33BF0861" w:rsidR="00324B65" w:rsidRDefault="00324B65" w:rsidP="004709A4">
      <w:pPr>
        <w:rPr>
          <w:rFonts w:cs="Arial"/>
          <w:b/>
          <w:lang w:val="en"/>
        </w:rPr>
      </w:pPr>
      <w:r w:rsidRPr="008C6B90">
        <w:rPr>
          <w:rFonts w:cs="Arial"/>
          <w:lang w:val="en"/>
        </w:rPr>
        <w:t>Management Team accepts that 2015/16 will pre</w:t>
      </w:r>
      <w:r w:rsidR="00D02CFE">
        <w:rPr>
          <w:rFonts w:cs="Arial"/>
          <w:lang w:val="en"/>
        </w:rPr>
        <w:t>sent challenges as the c</w:t>
      </w:r>
      <w:r w:rsidRPr="008C6B90">
        <w:rPr>
          <w:rFonts w:cs="Arial"/>
          <w:lang w:val="en"/>
        </w:rPr>
        <w:t>ouncil transitions from the "old" to the "new", particularly given the need for services, some of them quite ne</w:t>
      </w:r>
      <w:r>
        <w:rPr>
          <w:rFonts w:cs="Arial"/>
          <w:lang w:val="en"/>
        </w:rPr>
        <w:t xml:space="preserve">w, to deliver </w:t>
      </w:r>
      <w:r>
        <w:rPr>
          <w:rFonts w:cs="Arial"/>
          <w:lang w:val="en"/>
        </w:rPr>
        <w:lastRenderedPageBreak/>
        <w:t>budget savings and regular risk review reports are provided to Management Team which assess the risks associated with the achievement of service offer savings.</w:t>
      </w:r>
    </w:p>
    <w:p w14:paraId="53690F46" w14:textId="77777777" w:rsidR="00A66014" w:rsidRDefault="00A66014" w:rsidP="00324B65">
      <w:pPr>
        <w:rPr>
          <w:rFonts w:cs="Arial"/>
          <w:b/>
          <w:lang w:val="en"/>
        </w:rPr>
      </w:pPr>
    </w:p>
    <w:p w14:paraId="3BB73E05" w14:textId="77777777" w:rsidR="00324B65" w:rsidRPr="006A1DEC" w:rsidRDefault="00324B65" w:rsidP="00324B65">
      <w:pPr>
        <w:rPr>
          <w:rFonts w:cs="Arial"/>
          <w:b/>
        </w:rPr>
      </w:pPr>
      <w:r w:rsidRPr="006A1DEC">
        <w:rPr>
          <w:rFonts w:cs="Arial"/>
          <w:b/>
          <w:lang w:val="en"/>
        </w:rPr>
        <w:t>Financial Management</w:t>
      </w:r>
    </w:p>
    <w:p w14:paraId="2A944F9C" w14:textId="77777777" w:rsidR="00831101" w:rsidRDefault="00831101" w:rsidP="004709A4">
      <w:pPr>
        <w:rPr>
          <w:rFonts w:cs="Arial"/>
        </w:rPr>
      </w:pPr>
    </w:p>
    <w:p w14:paraId="5EF9DE27" w14:textId="54ACA0C7" w:rsidR="00324B65" w:rsidRPr="008C6B90" w:rsidRDefault="00324B65" w:rsidP="004709A4">
      <w:pPr>
        <w:rPr>
          <w:rFonts w:cs="Arial"/>
        </w:rPr>
      </w:pPr>
      <w:r w:rsidRPr="007465B3">
        <w:rPr>
          <w:rFonts w:cs="Arial"/>
        </w:rPr>
        <w:t xml:space="preserve">The </w:t>
      </w:r>
      <w:r>
        <w:rPr>
          <w:rFonts w:cs="Arial"/>
        </w:rPr>
        <w:t xml:space="preserve">financial </w:t>
      </w:r>
      <w:r w:rsidR="00D02CFE">
        <w:rPr>
          <w:rFonts w:cs="Arial"/>
        </w:rPr>
        <w:t>challenge facing the county c</w:t>
      </w:r>
      <w:r w:rsidRPr="007465B3">
        <w:rPr>
          <w:rFonts w:cs="Arial"/>
        </w:rPr>
        <w:t>ouncil is unprecedented. Central Government funding is forecast to fall 24.7% over the period 2015/16 to</w:t>
      </w:r>
      <w:r>
        <w:rPr>
          <w:rFonts w:cs="Arial"/>
        </w:rPr>
        <w:t xml:space="preserve"> </w:t>
      </w:r>
      <w:r w:rsidRPr="007465B3">
        <w:rPr>
          <w:rFonts w:cs="Arial"/>
        </w:rPr>
        <w:t>2017/18. The 2015/16 budget has been set within a framework that will deliver a financial strategy for 2015/16 to 2017/18. A balanced budget has been set for 2015/16 and indicative budgets set for 2016/17 and 2017/18 as</w:t>
      </w:r>
      <w:r>
        <w:rPr>
          <w:rFonts w:cs="Arial"/>
        </w:rPr>
        <w:t xml:space="preserve"> </w:t>
      </w:r>
      <w:r w:rsidRPr="007465B3">
        <w:rPr>
          <w:rFonts w:cs="Arial"/>
        </w:rPr>
        <w:t>part of the financial plan that wil</w:t>
      </w:r>
      <w:r w:rsidR="00D02CFE">
        <w:rPr>
          <w:rFonts w:cs="Arial"/>
        </w:rPr>
        <w:t>l deliver the reshaping of the c</w:t>
      </w:r>
      <w:r w:rsidRPr="007465B3">
        <w:rPr>
          <w:rFonts w:cs="Arial"/>
        </w:rPr>
        <w:t>ouncil and its operations. The service offers and resources approved will continue to be reviewed this year a</w:t>
      </w:r>
      <w:r>
        <w:rPr>
          <w:rFonts w:cs="Arial"/>
        </w:rPr>
        <w:t xml:space="preserve">nd the financial </w:t>
      </w:r>
      <w:r w:rsidRPr="007465B3">
        <w:rPr>
          <w:rFonts w:cs="Arial"/>
        </w:rPr>
        <w:t xml:space="preserve">planning horizon </w:t>
      </w:r>
      <w:r>
        <w:rPr>
          <w:rFonts w:cs="Arial"/>
        </w:rPr>
        <w:t xml:space="preserve">widened </w:t>
      </w:r>
      <w:r w:rsidRPr="007465B3">
        <w:rPr>
          <w:rFonts w:cs="Arial"/>
        </w:rPr>
        <w:t>to take into account the period up to 2020/2021.</w:t>
      </w:r>
      <w:r w:rsidRPr="008C6B90">
        <w:rPr>
          <w:rFonts w:cs="Arial"/>
          <w:lang w:val="en"/>
        </w:rPr>
        <w:t xml:space="preserve">  </w:t>
      </w:r>
    </w:p>
    <w:p w14:paraId="32CC6FFC" w14:textId="77777777" w:rsidR="00324B65" w:rsidRPr="008C6B90" w:rsidRDefault="00324B65" w:rsidP="00324B65">
      <w:pPr>
        <w:ind w:left="709"/>
        <w:rPr>
          <w:rFonts w:cs="Arial"/>
        </w:rPr>
      </w:pPr>
    </w:p>
    <w:p w14:paraId="67F0ED03" w14:textId="4B8E6014" w:rsidR="00324B65" w:rsidRPr="008C6B90" w:rsidRDefault="00324B65" w:rsidP="004709A4">
      <w:pPr>
        <w:rPr>
          <w:rFonts w:cs="Arial"/>
        </w:rPr>
      </w:pPr>
      <w:r w:rsidRPr="008C6B90">
        <w:rPr>
          <w:rFonts w:cs="Arial"/>
        </w:rPr>
        <w:t>Th</w:t>
      </w:r>
      <w:r w:rsidR="00D02CFE">
        <w:rPr>
          <w:rFonts w:cs="Arial"/>
        </w:rPr>
        <w:t>e Service Offers agreed at the c</w:t>
      </w:r>
      <w:r w:rsidRPr="008C6B90">
        <w:rPr>
          <w:rFonts w:cs="Arial"/>
        </w:rPr>
        <w:t>ouncil's budget meeting in February recognise the need to manage demand more effectively, particularly in relation to social care, offering earlier help for those who need it and ensuring that preventative services are effective. Central to this service offer is the recognitio</w:t>
      </w:r>
      <w:r w:rsidR="00D02CFE">
        <w:rPr>
          <w:rFonts w:cs="Arial"/>
        </w:rPr>
        <w:t>n for the c</w:t>
      </w:r>
      <w:r w:rsidRPr="008C6B90">
        <w:rPr>
          <w:rFonts w:cs="Arial"/>
        </w:rPr>
        <w:t xml:space="preserve">ouncil to work more closely with communities and partners to develop new </w:t>
      </w:r>
      <w:r w:rsidRPr="008C6B90">
        <w:rPr>
          <w:rFonts w:cs="Arial"/>
        </w:rPr>
        <w:lastRenderedPageBreak/>
        <w:t>ways of delivering services, targeting and combining public services where they can be the most effective.</w:t>
      </w:r>
    </w:p>
    <w:p w14:paraId="20C17D75" w14:textId="77777777" w:rsidR="00324B65" w:rsidRPr="008C6B90" w:rsidRDefault="00324B65" w:rsidP="00324B65">
      <w:pPr>
        <w:ind w:left="709"/>
        <w:rPr>
          <w:rFonts w:cs="Arial"/>
        </w:rPr>
      </w:pPr>
    </w:p>
    <w:p w14:paraId="39F6C486" w14:textId="26BBBA64" w:rsidR="00324B65" w:rsidRPr="008C6B90" w:rsidRDefault="00D02CFE" w:rsidP="004709A4">
      <w:pPr>
        <w:rPr>
          <w:rFonts w:cs="Arial"/>
        </w:rPr>
      </w:pPr>
      <w:r>
        <w:rPr>
          <w:rFonts w:cs="Arial"/>
        </w:rPr>
        <w:t>The c</w:t>
      </w:r>
      <w:r w:rsidR="00324B65" w:rsidRPr="008C6B90">
        <w:rPr>
          <w:rFonts w:cs="Arial"/>
        </w:rPr>
        <w:t xml:space="preserve">ouncil has the availability of significant one-off resources to enable the effective downsizing of the staffing structure over 2015/16 to 2017/18 and beyond, including resources to </w:t>
      </w:r>
      <w:r>
        <w:rPr>
          <w:rFonts w:cs="Arial"/>
        </w:rPr>
        <w:t>fund voluntary severance.  The county c</w:t>
      </w:r>
      <w:r w:rsidR="00324B65" w:rsidRPr="008C6B90">
        <w:rPr>
          <w:rFonts w:cs="Arial"/>
        </w:rPr>
        <w:t>ouncil will also invest in ICT and other service deve</w:t>
      </w:r>
      <w:r>
        <w:rPr>
          <w:rFonts w:cs="Arial"/>
        </w:rPr>
        <w:t>lopments which will enable the c</w:t>
      </w:r>
      <w:r w:rsidR="00324B65" w:rsidRPr="008C6B90">
        <w:rPr>
          <w:rFonts w:cs="Arial"/>
        </w:rPr>
        <w:t>ouncil to deliver its savings programme and to provide risk management resources to ensure financial and service sustainability.</w:t>
      </w:r>
    </w:p>
    <w:p w14:paraId="4ADE2C69" w14:textId="77777777" w:rsidR="00324B65" w:rsidRPr="008C6B90" w:rsidRDefault="00324B65" w:rsidP="00324B65">
      <w:pPr>
        <w:ind w:left="709"/>
        <w:rPr>
          <w:rFonts w:cs="Arial"/>
        </w:rPr>
      </w:pPr>
    </w:p>
    <w:p w14:paraId="485A88EB" w14:textId="3F460D2C" w:rsidR="00324B65" w:rsidRPr="008C6B90" w:rsidRDefault="00324B65" w:rsidP="004709A4">
      <w:pPr>
        <w:rPr>
          <w:rFonts w:cs="Arial"/>
        </w:rPr>
      </w:pPr>
      <w:r w:rsidRPr="008C6B90">
        <w:rPr>
          <w:rFonts w:cs="Arial"/>
        </w:rPr>
        <w:t>However</w:t>
      </w:r>
      <w:r>
        <w:rPr>
          <w:rFonts w:cs="Arial"/>
        </w:rPr>
        <w:t>,</w:t>
      </w:r>
      <w:r w:rsidR="00D02CFE">
        <w:rPr>
          <w:rFonts w:cs="Arial"/>
        </w:rPr>
        <w:t xml:space="preserve"> the c</w:t>
      </w:r>
      <w:r w:rsidRPr="008C6B90">
        <w:rPr>
          <w:rFonts w:cs="Arial"/>
        </w:rPr>
        <w:t xml:space="preserve">ouncil continues to face significant financial challenges in the period 2015/16 to 2017/18 and beyond.  </w:t>
      </w:r>
      <w:r w:rsidR="00D02CFE">
        <w:rPr>
          <w:rFonts w:cs="Arial"/>
        </w:rPr>
        <w:t>The c</w:t>
      </w:r>
      <w:r>
        <w:rPr>
          <w:rFonts w:cs="Arial"/>
        </w:rPr>
        <w:t>ouncil has delivered the 2014/15 Financial Plan through strong financial governance arrangements but t</w:t>
      </w:r>
      <w:r w:rsidRPr="008C6B90">
        <w:rPr>
          <w:rFonts w:cs="Arial"/>
        </w:rPr>
        <w:t xml:space="preserve">here is considerable legislative, operational and delivery </w:t>
      </w:r>
      <w:r w:rsidR="00D02CFE">
        <w:rPr>
          <w:rFonts w:cs="Arial"/>
        </w:rPr>
        <w:t>risk, and it is vital that the c</w:t>
      </w:r>
      <w:r w:rsidRPr="008C6B90">
        <w:rPr>
          <w:rFonts w:cs="Arial"/>
        </w:rPr>
        <w:t>ouncil maintains robust financial and operational monitoring to oversee the delivery of savings, and is able to take action to respond to the cha</w:t>
      </w:r>
      <w:r w:rsidR="00913AFB">
        <w:rPr>
          <w:rFonts w:cs="Arial"/>
        </w:rPr>
        <w:t xml:space="preserve">nging environment. The </w:t>
      </w:r>
      <w:r w:rsidR="00094A51">
        <w:rPr>
          <w:rFonts w:cs="Arial"/>
        </w:rPr>
        <w:t>Director of Financial Resources</w:t>
      </w:r>
      <w:r w:rsidRPr="008C6B90">
        <w:rPr>
          <w:rFonts w:cs="Arial"/>
        </w:rPr>
        <w:t xml:space="preserve"> </w:t>
      </w:r>
      <w:r>
        <w:rPr>
          <w:rFonts w:cs="Arial"/>
        </w:rPr>
        <w:t>p</w:t>
      </w:r>
      <w:r w:rsidRPr="008C6B90">
        <w:rPr>
          <w:rFonts w:cs="Arial"/>
        </w:rPr>
        <w:t>rovide</w:t>
      </w:r>
      <w:r>
        <w:rPr>
          <w:rFonts w:cs="Arial"/>
        </w:rPr>
        <w:t>s</w:t>
      </w:r>
      <w:r w:rsidRPr="008C6B90">
        <w:rPr>
          <w:rFonts w:cs="Arial"/>
        </w:rPr>
        <w:t xml:space="preserve"> regular reports on budget and performance to Management Team including an assessment of the delivery of savings identified in the 2015/16 budget.</w:t>
      </w:r>
    </w:p>
    <w:p w14:paraId="544371DE" w14:textId="77777777" w:rsidR="00324B65" w:rsidRPr="008C6B90" w:rsidRDefault="00324B65" w:rsidP="00324B65">
      <w:pPr>
        <w:ind w:left="709" w:hanging="709"/>
        <w:rPr>
          <w:rFonts w:cs="Arial"/>
        </w:rPr>
      </w:pPr>
    </w:p>
    <w:p w14:paraId="3A742AF7" w14:textId="77777777" w:rsidR="00324B65" w:rsidRPr="006A1DEC" w:rsidRDefault="00324B65" w:rsidP="00324B65">
      <w:pPr>
        <w:rPr>
          <w:rFonts w:cs="Arial"/>
          <w:b/>
        </w:rPr>
      </w:pPr>
      <w:r w:rsidRPr="006A1DEC">
        <w:rPr>
          <w:rFonts w:cs="Arial"/>
          <w:b/>
        </w:rPr>
        <w:t>The Better Care Fund</w:t>
      </w:r>
    </w:p>
    <w:p w14:paraId="15A10CFD" w14:textId="77777777" w:rsidR="00324B65" w:rsidRPr="008C6B90" w:rsidRDefault="00324B65" w:rsidP="00324B65">
      <w:pPr>
        <w:ind w:left="709" w:hanging="709"/>
        <w:rPr>
          <w:rFonts w:cs="Arial"/>
        </w:rPr>
      </w:pPr>
    </w:p>
    <w:p w14:paraId="5E7C15C8" w14:textId="038C3C8E" w:rsidR="00324B65" w:rsidRPr="008C6B90" w:rsidRDefault="00D02CFE" w:rsidP="004709A4">
      <w:pPr>
        <w:rPr>
          <w:rFonts w:cs="Arial"/>
        </w:rPr>
      </w:pPr>
      <w:r>
        <w:rPr>
          <w:rFonts w:cs="Arial"/>
        </w:rPr>
        <w:t>The c</w:t>
      </w:r>
      <w:r w:rsidR="00324B65" w:rsidRPr="008C6B90">
        <w:rPr>
          <w:rFonts w:cs="Arial"/>
        </w:rPr>
        <w:t>ouncil has recently entered into a planning and pooled budget arrangement with the Clinical Commissioning Groups (CCGs) known as the Better Care Fund (BCF). This plan sets out the Council's and CCGs</w:t>
      </w:r>
      <w:r w:rsidR="00913AFB">
        <w:rPr>
          <w:rFonts w:cs="Arial"/>
        </w:rPr>
        <w:t>'</w:t>
      </w:r>
      <w:r w:rsidR="00324B65" w:rsidRPr="008C6B90">
        <w:rPr>
          <w:rFonts w:cs="Arial"/>
        </w:rPr>
        <w:t xml:space="preserve"> vision to deliver integrated health and social care systems to reduce demand on acute hospital and care home provision in favour of a sustainable integrated neighbourhood health and social care system. Lancashire'</w:t>
      </w:r>
      <w:r w:rsidR="00324B65">
        <w:rPr>
          <w:rFonts w:cs="Arial"/>
        </w:rPr>
        <w:t>s</w:t>
      </w:r>
      <w:r w:rsidR="00324B65" w:rsidRPr="008C6B90">
        <w:rPr>
          <w:rFonts w:cs="Arial"/>
        </w:rPr>
        <w:t xml:space="preserve"> BCF plan has now been approved by Government without conditions.</w:t>
      </w:r>
    </w:p>
    <w:p w14:paraId="595C8B9F" w14:textId="77777777" w:rsidR="00324B65" w:rsidRPr="008C6B90" w:rsidRDefault="00324B65" w:rsidP="00324B65">
      <w:pPr>
        <w:rPr>
          <w:rFonts w:cs="Arial"/>
        </w:rPr>
      </w:pPr>
    </w:p>
    <w:p w14:paraId="4E65372A" w14:textId="31B6700B" w:rsidR="00324B65" w:rsidRPr="008C6B90" w:rsidRDefault="00324B65" w:rsidP="004709A4">
      <w:pPr>
        <w:rPr>
          <w:rFonts w:cs="Arial"/>
        </w:rPr>
      </w:pPr>
      <w:r w:rsidRPr="008C6B90">
        <w:rPr>
          <w:rFonts w:cs="Arial"/>
        </w:rPr>
        <w:t>The pooled budget for the BCF is</w:t>
      </w:r>
      <w:r w:rsidR="00D02CFE">
        <w:rPr>
          <w:rFonts w:cs="Arial"/>
        </w:rPr>
        <w:t xml:space="preserve"> £90 million, with a current c</w:t>
      </w:r>
      <w:r w:rsidRPr="008C6B90">
        <w:rPr>
          <w:rFonts w:cs="Arial"/>
        </w:rPr>
        <w:t xml:space="preserve">ouncil contribution of £9.4m, the pooled fund to be used for the purpose of commissioning services for citizens. The </w:t>
      </w:r>
      <w:r w:rsidR="00D02CFE">
        <w:rPr>
          <w:rFonts w:cs="Arial"/>
        </w:rPr>
        <w:t>c</w:t>
      </w:r>
      <w:r w:rsidRPr="008C6B90">
        <w:rPr>
          <w:rFonts w:cs="Arial"/>
        </w:rPr>
        <w:t xml:space="preserve">ouncil will host and manage the pooled fund on behalf of itself and partners and will be responsible for its internal audit. </w:t>
      </w:r>
    </w:p>
    <w:p w14:paraId="1AE09660" w14:textId="77777777" w:rsidR="00324B65" w:rsidRPr="006A1DEC" w:rsidRDefault="00324B65" w:rsidP="00324B65">
      <w:pPr>
        <w:rPr>
          <w:rFonts w:cs="Arial"/>
          <w:b/>
        </w:rPr>
      </w:pPr>
      <w:r w:rsidRPr="006A1DEC">
        <w:rPr>
          <w:rFonts w:cs="Arial"/>
          <w:b/>
        </w:rPr>
        <w:t>Peer Review</w:t>
      </w:r>
    </w:p>
    <w:p w14:paraId="34F59733" w14:textId="77777777" w:rsidR="00324B65" w:rsidRPr="008C6B90" w:rsidRDefault="00324B65" w:rsidP="00324B65">
      <w:pPr>
        <w:ind w:left="709"/>
        <w:rPr>
          <w:rFonts w:cs="Arial"/>
          <w:b/>
        </w:rPr>
      </w:pPr>
    </w:p>
    <w:p w14:paraId="4CB64D74" w14:textId="6FB43C6F" w:rsidR="00324B65" w:rsidRDefault="00324B65" w:rsidP="004709A4">
      <w:pPr>
        <w:spacing w:after="0"/>
        <w:rPr>
          <w:rFonts w:cs="Arial"/>
          <w:lang w:val="en"/>
        </w:rPr>
      </w:pPr>
      <w:r w:rsidRPr="008C6B90">
        <w:rPr>
          <w:rFonts w:cs="Arial"/>
          <w:lang w:val="en"/>
        </w:rPr>
        <w:t>Last autumn, at the invitat</w:t>
      </w:r>
      <w:r w:rsidR="00D02CFE">
        <w:rPr>
          <w:rFonts w:cs="Arial"/>
          <w:lang w:val="en"/>
        </w:rPr>
        <w:t>ion of the Administration, the c</w:t>
      </w:r>
      <w:r w:rsidRPr="008C6B90">
        <w:rPr>
          <w:rFonts w:cs="Arial"/>
          <w:lang w:val="en"/>
        </w:rPr>
        <w:t>ouncil underwent a Local Government Association Corporate Peer Review Challenge. The challenge process is primarily an improvement tool for councils and focuses on five core components that will help to provide an indication of a local authority's ability and capacity to deliver on its plans, proposals and ambitions. With this in mind, the par</w:t>
      </w:r>
      <w:r w:rsidR="00F00A79">
        <w:rPr>
          <w:rFonts w:cs="Arial"/>
          <w:lang w:val="en"/>
        </w:rPr>
        <w:t>ticular areas of focus for the c</w:t>
      </w:r>
      <w:r w:rsidRPr="008C6B90">
        <w:rPr>
          <w:rFonts w:cs="Arial"/>
          <w:lang w:val="en"/>
        </w:rPr>
        <w:t xml:space="preserve">ouncil's Peer Review </w:t>
      </w:r>
      <w:r w:rsidRPr="008C6B90">
        <w:rPr>
          <w:rFonts w:cs="Arial"/>
          <w:lang w:val="en"/>
        </w:rPr>
        <w:lastRenderedPageBreak/>
        <w:t>Challenge covered the ongoing transformation process along with a general" health-check".</w:t>
      </w:r>
    </w:p>
    <w:p w14:paraId="08C63163" w14:textId="77777777" w:rsidR="00324B65" w:rsidRPr="008C6B90" w:rsidRDefault="00324B65" w:rsidP="00324B65">
      <w:pPr>
        <w:spacing w:after="0"/>
        <w:ind w:left="709"/>
        <w:rPr>
          <w:rFonts w:cs="Arial"/>
          <w:lang w:val="en"/>
        </w:rPr>
      </w:pPr>
    </w:p>
    <w:p w14:paraId="36615910" w14:textId="4881BC61" w:rsidR="00324B65" w:rsidRPr="008C6B90" w:rsidRDefault="00324B65" w:rsidP="004709A4">
      <w:pPr>
        <w:rPr>
          <w:rFonts w:cs="Arial"/>
        </w:rPr>
      </w:pPr>
      <w:r w:rsidRPr="008C6B90">
        <w:rPr>
          <w:rFonts w:cs="Arial"/>
        </w:rPr>
        <w:t>The Peer Review Challenge r</w:t>
      </w:r>
      <w:r w:rsidR="00D02CFE">
        <w:rPr>
          <w:rFonts w:cs="Arial"/>
        </w:rPr>
        <w:t>eport has been accepted by the c</w:t>
      </w:r>
      <w:r w:rsidRPr="008C6B90">
        <w:rPr>
          <w:rFonts w:cs="Arial"/>
        </w:rPr>
        <w:t xml:space="preserve">ouncil as fair and balanced, picking out a lot of strengths within the </w:t>
      </w:r>
      <w:r w:rsidR="00D02CFE">
        <w:rPr>
          <w:rFonts w:cs="Arial"/>
        </w:rPr>
        <w:t>c</w:t>
      </w:r>
      <w:r w:rsidRPr="008C6B90">
        <w:rPr>
          <w:rFonts w:cs="Arial"/>
        </w:rPr>
        <w:t>ouncil such as economic development and our work with other public sector partners. The report also however noted a number areas for improvement/key challenges including:</w:t>
      </w:r>
    </w:p>
    <w:p w14:paraId="4FA29A32" w14:textId="77777777" w:rsidR="00324B65" w:rsidRPr="008C6B90" w:rsidRDefault="00324B65" w:rsidP="00324B65">
      <w:pPr>
        <w:ind w:left="709"/>
        <w:rPr>
          <w:rFonts w:cs="Arial"/>
        </w:rPr>
      </w:pPr>
    </w:p>
    <w:p w14:paraId="2C0252C5" w14:textId="77777777" w:rsidR="00324B65" w:rsidRPr="008C6B90" w:rsidRDefault="00324B65" w:rsidP="00717919">
      <w:pPr>
        <w:numPr>
          <w:ilvl w:val="0"/>
          <w:numId w:val="60"/>
        </w:numPr>
        <w:spacing w:after="0"/>
        <w:ind w:left="1134" w:hanging="425"/>
        <w:rPr>
          <w:rFonts w:cs="Arial"/>
        </w:rPr>
      </w:pPr>
      <w:r w:rsidRPr="008C6B90">
        <w:rPr>
          <w:rFonts w:cs="Arial"/>
        </w:rPr>
        <w:t>relationships with the health system</w:t>
      </w:r>
    </w:p>
    <w:p w14:paraId="702E2AE7" w14:textId="77777777" w:rsidR="00324B65" w:rsidRPr="008C6B90" w:rsidRDefault="00324B65" w:rsidP="00717919">
      <w:pPr>
        <w:numPr>
          <w:ilvl w:val="0"/>
          <w:numId w:val="60"/>
        </w:numPr>
        <w:spacing w:after="0"/>
        <w:ind w:left="1134" w:hanging="425"/>
        <w:rPr>
          <w:rFonts w:cs="Arial"/>
        </w:rPr>
      </w:pPr>
      <w:r w:rsidRPr="008C6B90">
        <w:rPr>
          <w:rFonts w:cs="Arial"/>
        </w:rPr>
        <w:t>our role as a strategic leader for the county and opportunities for more collaborative working</w:t>
      </w:r>
    </w:p>
    <w:p w14:paraId="3630C9DE" w14:textId="77777777" w:rsidR="00324B65" w:rsidRPr="008C6B90" w:rsidRDefault="00324B65" w:rsidP="00717919">
      <w:pPr>
        <w:numPr>
          <w:ilvl w:val="0"/>
          <w:numId w:val="60"/>
        </w:numPr>
        <w:spacing w:after="0"/>
        <w:ind w:left="1134" w:hanging="425"/>
        <w:rPr>
          <w:rFonts w:cs="Arial"/>
        </w:rPr>
      </w:pPr>
      <w:r w:rsidRPr="008C6B90">
        <w:rPr>
          <w:rFonts w:cs="Arial"/>
        </w:rPr>
        <w:t>financial leadership</w:t>
      </w:r>
    </w:p>
    <w:p w14:paraId="08BD1D7F" w14:textId="77777777" w:rsidR="00324B65" w:rsidRPr="008C6B90" w:rsidRDefault="00324B65" w:rsidP="00717919">
      <w:pPr>
        <w:numPr>
          <w:ilvl w:val="0"/>
          <w:numId w:val="60"/>
        </w:numPr>
        <w:spacing w:after="0"/>
        <w:ind w:left="1134" w:hanging="425"/>
        <w:rPr>
          <w:rFonts w:cs="Arial"/>
        </w:rPr>
      </w:pPr>
      <w:r w:rsidRPr="008C6B90">
        <w:rPr>
          <w:rFonts w:cs="Arial"/>
        </w:rPr>
        <w:t>a clear, set out programme for the transformation</w:t>
      </w:r>
    </w:p>
    <w:p w14:paraId="5A214E6D" w14:textId="77777777" w:rsidR="00324B65" w:rsidRPr="008C6B90" w:rsidRDefault="00324B65" w:rsidP="00717919">
      <w:pPr>
        <w:numPr>
          <w:ilvl w:val="0"/>
          <w:numId w:val="60"/>
        </w:numPr>
        <w:spacing w:after="0"/>
        <w:ind w:left="1134" w:hanging="425"/>
        <w:rPr>
          <w:rFonts w:cs="Arial"/>
        </w:rPr>
      </w:pPr>
      <w:r w:rsidRPr="008C6B90">
        <w:rPr>
          <w:rFonts w:cs="Arial"/>
        </w:rPr>
        <w:t xml:space="preserve">internal control and risks  </w:t>
      </w:r>
    </w:p>
    <w:p w14:paraId="4ACA9BC4" w14:textId="77777777" w:rsidR="00324B65" w:rsidRPr="008C6B90" w:rsidRDefault="00324B65" w:rsidP="00324B65">
      <w:pPr>
        <w:rPr>
          <w:rFonts w:cs="Arial"/>
        </w:rPr>
      </w:pPr>
    </w:p>
    <w:p w14:paraId="59C684D2" w14:textId="7DE1C97F" w:rsidR="00324B65" w:rsidRDefault="00324B65" w:rsidP="004709A4">
      <w:pPr>
        <w:rPr>
          <w:rFonts w:cs="Arial"/>
        </w:rPr>
      </w:pPr>
      <w:r w:rsidRPr="008C6B90">
        <w:rPr>
          <w:rFonts w:cs="Arial"/>
        </w:rPr>
        <w:t xml:space="preserve">These areas for improvement highlighted in the report have been included within the </w:t>
      </w:r>
      <w:r w:rsidR="00D02CFE">
        <w:rPr>
          <w:rFonts w:cs="Arial"/>
        </w:rPr>
        <w:t>c</w:t>
      </w:r>
      <w:r w:rsidRPr="008C6B90">
        <w:rPr>
          <w:rFonts w:cs="Arial"/>
        </w:rPr>
        <w:t>ouncil's improvement plan for the new corporate strategy.</w:t>
      </w:r>
    </w:p>
    <w:p w14:paraId="2FE2453B" w14:textId="77777777" w:rsidR="00324B65" w:rsidRDefault="00324B65" w:rsidP="00324B65">
      <w:pPr>
        <w:ind w:left="709"/>
        <w:rPr>
          <w:rFonts w:cs="Arial"/>
        </w:rPr>
      </w:pPr>
    </w:p>
    <w:p w14:paraId="1686B337" w14:textId="77777777" w:rsidR="00324B65" w:rsidRPr="006A1DEC" w:rsidRDefault="00324B65" w:rsidP="00324B65">
      <w:pPr>
        <w:rPr>
          <w:rFonts w:cs="Arial"/>
          <w:b/>
        </w:rPr>
      </w:pPr>
      <w:r w:rsidRPr="006A1DEC">
        <w:rPr>
          <w:rFonts w:cs="Arial"/>
          <w:b/>
        </w:rPr>
        <w:t>Procurement</w:t>
      </w:r>
    </w:p>
    <w:p w14:paraId="48960319" w14:textId="77777777" w:rsidR="00324B65" w:rsidRPr="00D35AF0" w:rsidRDefault="00324B65" w:rsidP="00324B65">
      <w:pPr>
        <w:ind w:left="709"/>
        <w:rPr>
          <w:rFonts w:cs="Arial"/>
        </w:rPr>
      </w:pPr>
    </w:p>
    <w:p w14:paraId="3E019FD0" w14:textId="3356CE6C" w:rsidR="00324B65" w:rsidRDefault="00324B65" w:rsidP="004709A4">
      <w:pPr>
        <w:rPr>
          <w:rFonts w:cs="Arial"/>
        </w:rPr>
      </w:pPr>
      <w:r w:rsidRPr="00D35AF0">
        <w:rPr>
          <w:rFonts w:cs="Arial"/>
        </w:rPr>
        <w:lastRenderedPageBreak/>
        <w:t xml:space="preserve">The return of </w:t>
      </w:r>
      <w:r w:rsidR="00D02CFE">
        <w:rPr>
          <w:rFonts w:cs="Arial"/>
        </w:rPr>
        <w:t>the Procurement Service to the c</w:t>
      </w:r>
      <w:r w:rsidRPr="00D35AF0">
        <w:rPr>
          <w:rFonts w:cs="Arial"/>
        </w:rPr>
        <w:t xml:space="preserve">ouncil provided an opportunity for a high level review of contracts which initially identified that a significant number of contracts had either expired or were due to expire without any tendering process in place to award new contracts. </w:t>
      </w:r>
    </w:p>
    <w:p w14:paraId="32A2F19B" w14:textId="77777777" w:rsidR="00324B65" w:rsidRPr="00D35AF0" w:rsidRDefault="00324B65" w:rsidP="00324B65">
      <w:pPr>
        <w:ind w:left="709"/>
        <w:rPr>
          <w:rFonts w:cs="Arial"/>
        </w:rPr>
      </w:pPr>
    </w:p>
    <w:p w14:paraId="301B9529" w14:textId="5ADC5153" w:rsidR="00324B65" w:rsidRPr="00D35AF0" w:rsidRDefault="00324B65" w:rsidP="004709A4">
      <w:pPr>
        <w:rPr>
          <w:rFonts w:cs="Arial"/>
        </w:rPr>
      </w:pPr>
      <w:r w:rsidRPr="00D35AF0">
        <w:rPr>
          <w:rFonts w:cs="Arial"/>
        </w:rPr>
        <w:t>It was r</w:t>
      </w:r>
      <w:r w:rsidR="00D02CFE">
        <w:rPr>
          <w:rFonts w:cs="Arial"/>
        </w:rPr>
        <w:t>ecognised that this placed the c</w:t>
      </w:r>
      <w:r w:rsidRPr="00D35AF0">
        <w:rPr>
          <w:rFonts w:cs="Arial"/>
        </w:rPr>
        <w:t>ouncil at risk, both in terms of service delivery and the potential for legal challenge, and it was therefore agreed to waive Procurement Rules to extend existing contracts to allow time for full tendering processes to be carried out to put new contractual arrangements in place.</w:t>
      </w:r>
    </w:p>
    <w:p w14:paraId="2D36152C" w14:textId="77777777" w:rsidR="00324B65" w:rsidRPr="00D35AF0" w:rsidRDefault="00324B65" w:rsidP="00324B65">
      <w:pPr>
        <w:ind w:left="709"/>
        <w:rPr>
          <w:rFonts w:cs="Arial"/>
        </w:rPr>
      </w:pPr>
    </w:p>
    <w:p w14:paraId="0ED6F335" w14:textId="2515D94F" w:rsidR="00324B65" w:rsidRPr="00D35AF0" w:rsidRDefault="00324B65" w:rsidP="004709A4">
      <w:pPr>
        <w:rPr>
          <w:rFonts w:cs="Arial"/>
        </w:rPr>
      </w:pPr>
      <w:r w:rsidRPr="00D35AF0">
        <w:rPr>
          <w:rFonts w:cs="Arial"/>
        </w:rPr>
        <w:t xml:space="preserve">At the same time a Procurement Strategy was developed and, following a consultation exercise, approved by Cabinet in October 2014, recognising the need for </w:t>
      </w:r>
      <w:r w:rsidRPr="00D35AF0">
        <w:rPr>
          <w:rFonts w:ascii="TT4FF7o00" w:hAnsi="TT4FF7o00" w:cs="TT4FF7o00"/>
        </w:rPr>
        <w:t>effective and efficient procurement practices to op</w:t>
      </w:r>
      <w:r w:rsidR="00D02CFE">
        <w:rPr>
          <w:rFonts w:ascii="TT4FF7o00" w:hAnsi="TT4FF7o00" w:cs="TT4FF7o00"/>
        </w:rPr>
        <w:t>erate at all levels within the c</w:t>
      </w:r>
      <w:r w:rsidRPr="00D35AF0">
        <w:rPr>
          <w:rFonts w:ascii="TT4FF7o00" w:hAnsi="TT4FF7o00" w:cs="TT4FF7o00"/>
        </w:rPr>
        <w:t>ouncil underpinned by an overarching Procurement Strategy. The Strategy was supported by a draft Procurement Improvement Action Plan which set out a number</w:t>
      </w:r>
      <w:r>
        <w:rPr>
          <w:rFonts w:ascii="TT4FF7o00" w:hAnsi="TT4FF7o00" w:cs="TT4FF7o00"/>
        </w:rPr>
        <w:t xml:space="preserve"> </w:t>
      </w:r>
      <w:r w:rsidRPr="00D35AF0">
        <w:rPr>
          <w:rFonts w:ascii="TT4FF7o00" w:hAnsi="TT4FF7o00" w:cs="TT4FF7o00"/>
        </w:rPr>
        <w:t>of specific changes that need</w:t>
      </w:r>
      <w:r w:rsidR="00D02CFE">
        <w:rPr>
          <w:rFonts w:ascii="TT4FF7o00" w:hAnsi="TT4FF7o00" w:cs="TT4FF7o00"/>
        </w:rPr>
        <w:t>ed to be made in order for the c</w:t>
      </w:r>
      <w:r w:rsidRPr="00D35AF0">
        <w:rPr>
          <w:rFonts w:ascii="TT4FF7o00" w:hAnsi="TT4FF7o00" w:cs="TT4FF7o00"/>
        </w:rPr>
        <w:t>ouncil's</w:t>
      </w:r>
      <w:r>
        <w:rPr>
          <w:rFonts w:ascii="TT4FF7o00" w:hAnsi="TT4FF7o00" w:cs="TT4FF7o00"/>
        </w:rPr>
        <w:t xml:space="preserve"> </w:t>
      </w:r>
      <w:r w:rsidRPr="00D35AF0">
        <w:rPr>
          <w:rFonts w:ascii="TT4FF7o00" w:hAnsi="TT4FF7o00" w:cs="TT4FF7o00"/>
        </w:rPr>
        <w:t>procurement function to effectively deliver the strategy.</w:t>
      </w:r>
    </w:p>
    <w:p w14:paraId="2CAD1952" w14:textId="77777777" w:rsidR="008A54CC" w:rsidRDefault="008A54CC" w:rsidP="00324B65">
      <w:pPr>
        <w:ind w:left="709" w:hanging="709"/>
        <w:rPr>
          <w:rFonts w:cs="Arial"/>
          <w:b/>
        </w:rPr>
      </w:pPr>
    </w:p>
    <w:p w14:paraId="27F28DAF" w14:textId="6364D4E0" w:rsidR="00324B65" w:rsidRPr="006A1DEC" w:rsidRDefault="00324B65" w:rsidP="00324B65">
      <w:pPr>
        <w:ind w:left="709" w:hanging="709"/>
        <w:rPr>
          <w:rFonts w:cs="Arial"/>
          <w:b/>
        </w:rPr>
      </w:pPr>
      <w:r w:rsidRPr="006A1DEC">
        <w:rPr>
          <w:rFonts w:cs="Arial"/>
          <w:b/>
        </w:rPr>
        <w:t>Proposals for a Combined Authority for Lancashire</w:t>
      </w:r>
    </w:p>
    <w:p w14:paraId="1F323C28" w14:textId="77777777" w:rsidR="00324B65" w:rsidRPr="008C6B90" w:rsidRDefault="00324B65" w:rsidP="00324B65">
      <w:pPr>
        <w:rPr>
          <w:rFonts w:cs="Arial"/>
          <w:b/>
        </w:rPr>
      </w:pPr>
    </w:p>
    <w:p w14:paraId="653A8C3E" w14:textId="7B47B1D1" w:rsidR="00324B65" w:rsidRPr="008C6B90" w:rsidRDefault="00324B65" w:rsidP="004709A4">
      <w:pPr>
        <w:rPr>
          <w:rFonts w:cs="Arial"/>
        </w:rPr>
      </w:pPr>
      <w:r w:rsidRPr="008C6B90">
        <w:rPr>
          <w:rFonts w:cs="Arial"/>
        </w:rPr>
        <w:t xml:space="preserve">An important recent development has been the exploration of alternative decision-making arrangements for Lancashire, including moves toward a Combined Authority model. To this end, local authorities in Lancashire have been actively working together to consider and define new governance and collaboration arrangements. </w:t>
      </w:r>
    </w:p>
    <w:p w14:paraId="12230BD4" w14:textId="77777777" w:rsidR="00324B65" w:rsidRPr="008C6B90" w:rsidRDefault="00324B65" w:rsidP="00324B65">
      <w:pPr>
        <w:ind w:left="709"/>
        <w:rPr>
          <w:rFonts w:cs="Arial"/>
        </w:rPr>
      </w:pPr>
    </w:p>
    <w:p w14:paraId="65898DAB" w14:textId="087DAA4C" w:rsidR="00324B65" w:rsidRDefault="00324B65" w:rsidP="004709A4">
      <w:pPr>
        <w:rPr>
          <w:rFonts w:cs="Arial"/>
        </w:rPr>
      </w:pPr>
      <w:r w:rsidRPr="008C6B90">
        <w:rPr>
          <w:rFonts w:cs="Arial"/>
        </w:rPr>
        <w:t>At this stage, a preferred governance model has yet to be identified. However, local councils recognise the need to explore enhanced arrangements capable of making robust and binding shared decisions.  Leaders and Chief Executives are therefore exploring a fully-integrated approach to shaping, delivering and monitoring local growth and regeneration strategies. Agreement has been secured to undertake a governance review of all possible options</w:t>
      </w:r>
      <w:r>
        <w:rPr>
          <w:rFonts w:cs="Arial"/>
        </w:rPr>
        <w:t>.</w:t>
      </w:r>
      <w:r w:rsidRPr="008C6B90">
        <w:rPr>
          <w:rFonts w:cs="Arial"/>
        </w:rPr>
        <w:t xml:space="preserve"> </w:t>
      </w:r>
    </w:p>
    <w:p w14:paraId="690CC82A" w14:textId="77777777" w:rsidR="00324B65" w:rsidRDefault="00324B65" w:rsidP="00324B65">
      <w:pPr>
        <w:ind w:left="709"/>
        <w:rPr>
          <w:rFonts w:cs="Arial"/>
        </w:rPr>
      </w:pPr>
    </w:p>
    <w:p w14:paraId="2A67D471" w14:textId="77777777" w:rsidR="00324B65" w:rsidRPr="006A1DEC" w:rsidRDefault="00324B65" w:rsidP="004709A4">
      <w:pPr>
        <w:rPr>
          <w:rFonts w:cs="Arial"/>
          <w:b/>
        </w:rPr>
      </w:pPr>
      <w:r w:rsidRPr="006A1DEC">
        <w:rPr>
          <w:rFonts w:cs="Arial"/>
          <w:b/>
        </w:rPr>
        <w:t>Implementation of Liquidlogic</w:t>
      </w:r>
    </w:p>
    <w:p w14:paraId="6C4DBD14" w14:textId="77777777" w:rsidR="00324B65" w:rsidRDefault="00324B65" w:rsidP="00324B65">
      <w:pPr>
        <w:ind w:left="709"/>
        <w:rPr>
          <w:rFonts w:cs="Arial"/>
          <w:b/>
        </w:rPr>
      </w:pPr>
    </w:p>
    <w:p w14:paraId="7D5B93C9" w14:textId="59F926A8" w:rsidR="00324B65" w:rsidRDefault="00324B65" w:rsidP="004709A4">
      <w:r>
        <w:t xml:space="preserve">Liquidlogic has been implemented within both Adult's (LAS) and Children's (LCS) services. These projects have been a significant </w:t>
      </w:r>
      <w:r>
        <w:lastRenderedPageBreak/>
        <w:t xml:space="preserve">undertaking and have introduced significant changes to processes both for the frontline service but also throughout Finance and Procurement. </w:t>
      </w:r>
    </w:p>
    <w:p w14:paraId="3D417909" w14:textId="77777777" w:rsidR="00324B65" w:rsidRDefault="00324B65" w:rsidP="00324B65">
      <w:pPr>
        <w:ind w:left="709"/>
      </w:pPr>
    </w:p>
    <w:p w14:paraId="13CD2138" w14:textId="464CE85A" w:rsidR="00324B65" w:rsidRDefault="00324B65" w:rsidP="004709A4">
      <w:r>
        <w:t xml:space="preserve">The systems have been generally well received within the frontline services but have been less successful within the back office services where the newly designed processes have not been as effective as anticipated. A post implementation review was therefore undertaken with BTLS assistance to establish what the processes should look like and to make best use of the core system modules. </w:t>
      </w:r>
    </w:p>
    <w:p w14:paraId="3F8017BE" w14:textId="77777777" w:rsidR="00324B65" w:rsidRDefault="00324B65" w:rsidP="00324B65">
      <w:pPr>
        <w:ind w:left="709"/>
      </w:pPr>
    </w:p>
    <w:p w14:paraId="301BA8EB" w14:textId="0F7A9F10" w:rsidR="00324B65" w:rsidRDefault="00324B65" w:rsidP="004709A4">
      <w:r>
        <w:t xml:space="preserve">As regards LCS, whilst information had been migrated into LCS from ISSIS, problems existed in relation to information flow through the system as effectively as it should. Problems also arose as a result of a decision to transfer care plans for historical cases across to LCS. This decision caused a backlog of work for staff and with hindsight it would have been better for LCS to have simply referred to these care plans being held on ISSIS as reviewed care plans were required within a six month period. </w:t>
      </w:r>
    </w:p>
    <w:p w14:paraId="302C117E" w14:textId="77777777" w:rsidR="00324B65" w:rsidRDefault="00324B65" w:rsidP="00324B65">
      <w:pPr>
        <w:ind w:left="709"/>
      </w:pPr>
    </w:p>
    <w:p w14:paraId="25A7EB9D" w14:textId="6E34DE89" w:rsidR="00324B65" w:rsidRDefault="00324B65" w:rsidP="004709A4">
      <w:r>
        <w:t xml:space="preserve">A risk log has been established to catalogue ongoing issues with LCS and resources set aside to address them with the intention </w:t>
      </w:r>
      <w:r>
        <w:lastRenderedPageBreak/>
        <w:t xml:space="preserve">of a new version of Liquidlogic being implemented in September 2015 that will improve functionality. </w:t>
      </w:r>
    </w:p>
    <w:p w14:paraId="36069B89" w14:textId="77777777" w:rsidR="00324B65" w:rsidRDefault="00324B65" w:rsidP="00324B65">
      <w:pPr>
        <w:ind w:left="709"/>
      </w:pPr>
    </w:p>
    <w:p w14:paraId="3689A4C5" w14:textId="7D4A10AC" w:rsidR="00324B65" w:rsidRDefault="00324B65" w:rsidP="004709A4">
      <w:r>
        <w:t>In relation to LAS, this went live in July 2014, introducing better financial governance between commissioned services and invoices. However, these changes resulted in significant issues with some payments to providers. This issue has now been addressed and an annual workplan has been agreed prioritising matters for business delivery in 2015/16 including a review of safeguarding processes and a post-implementation review for Adult Mental Health Services as well as introducing processes required by the Care Act.</w:t>
      </w:r>
    </w:p>
    <w:p w14:paraId="327D8531" w14:textId="77777777" w:rsidR="008A54CC" w:rsidRDefault="008A54CC" w:rsidP="00324B65">
      <w:pPr>
        <w:ind w:left="709" w:hanging="709"/>
        <w:rPr>
          <w:rFonts w:cs="Arial"/>
          <w:b/>
        </w:rPr>
      </w:pPr>
    </w:p>
    <w:p w14:paraId="104208A3" w14:textId="433A0A0D" w:rsidR="00324B65" w:rsidRPr="006A1DEC" w:rsidRDefault="00324B65" w:rsidP="00324B65">
      <w:pPr>
        <w:ind w:left="709" w:hanging="709"/>
        <w:rPr>
          <w:rFonts w:cs="Arial"/>
          <w:b/>
        </w:rPr>
      </w:pPr>
      <w:r w:rsidRPr="006A1DEC">
        <w:rPr>
          <w:rFonts w:cs="Arial"/>
          <w:b/>
        </w:rPr>
        <w:t>Other Sources of Assurance</w:t>
      </w:r>
    </w:p>
    <w:p w14:paraId="50520E9C" w14:textId="77777777" w:rsidR="00324B65" w:rsidRDefault="00324B65" w:rsidP="00324B65">
      <w:pPr>
        <w:ind w:left="709" w:hanging="709"/>
        <w:rPr>
          <w:rFonts w:cs="Arial"/>
        </w:rPr>
      </w:pPr>
    </w:p>
    <w:p w14:paraId="770755C1" w14:textId="4242A011" w:rsidR="00324B65" w:rsidRPr="00FE6D3F" w:rsidRDefault="00324B65" w:rsidP="004709A4">
      <w:pPr>
        <w:rPr>
          <w:rFonts w:cs="Arial"/>
        </w:rPr>
      </w:pPr>
      <w:r w:rsidRPr="00FE6D3F">
        <w:rPr>
          <w:rFonts w:cs="Arial"/>
        </w:rPr>
        <w:t xml:space="preserve">In addition to the opinion provided through the work of the </w:t>
      </w:r>
      <w:r w:rsidR="00D02CFE">
        <w:rPr>
          <w:rFonts w:cs="Arial"/>
        </w:rPr>
        <w:t>Internal Audit Service, the c</w:t>
      </w:r>
      <w:r w:rsidRPr="00FE6D3F">
        <w:rPr>
          <w:rFonts w:cs="Arial"/>
        </w:rPr>
        <w:t>ouncil can also draw upon external sources of assurance such as the outcomes of the LGA Peer Review Challenge and assessments provided by organisations such as Ofsted and the Care Quality Commission.</w:t>
      </w:r>
    </w:p>
    <w:p w14:paraId="79016F13" w14:textId="05B8308B" w:rsidR="00324B65" w:rsidRDefault="00324B65" w:rsidP="004709A4">
      <w:pPr>
        <w:rPr>
          <w:rFonts w:cs="Arial"/>
        </w:rPr>
      </w:pPr>
      <w:r w:rsidRPr="00FE6D3F">
        <w:rPr>
          <w:rFonts w:cs="Arial"/>
        </w:rPr>
        <w:t>In preparation for a forthcoming Ofsted inspection a rigorous self-assessment has been undertaken benchmarked against the Of</w:t>
      </w:r>
      <w:r w:rsidRPr="00FE6D3F">
        <w:rPr>
          <w:rFonts w:cs="Arial"/>
        </w:rPr>
        <w:lastRenderedPageBreak/>
        <w:t>sted Inspection Framework</w:t>
      </w:r>
      <w:r>
        <w:rPr>
          <w:rFonts w:cs="Arial"/>
        </w:rPr>
        <w:t xml:space="preserve"> and there have been detailed inspections of children's social care in the two busiest offices, Preston and Burnley</w:t>
      </w:r>
      <w:r w:rsidRPr="00FE6D3F">
        <w:rPr>
          <w:rFonts w:cs="Arial"/>
        </w:rPr>
        <w:t xml:space="preserve">. Children's Centre performance </w:t>
      </w:r>
      <w:r>
        <w:rPr>
          <w:rFonts w:cs="Arial"/>
        </w:rPr>
        <w:t xml:space="preserve">is judged independently </w:t>
      </w:r>
      <w:r w:rsidRPr="00FE6D3F">
        <w:rPr>
          <w:rFonts w:cs="Arial"/>
        </w:rPr>
        <w:t xml:space="preserve">by Ofsted with currently 92% </w:t>
      </w:r>
      <w:r>
        <w:rPr>
          <w:rFonts w:cs="Arial"/>
        </w:rPr>
        <w:t xml:space="preserve">rated </w:t>
      </w:r>
      <w:r w:rsidRPr="00FE6D3F">
        <w:rPr>
          <w:rFonts w:cs="Arial"/>
        </w:rPr>
        <w:t>as good or outstanding and none judged as inadequate</w:t>
      </w:r>
      <w:r>
        <w:rPr>
          <w:rFonts w:cs="Arial"/>
        </w:rPr>
        <w:t xml:space="preserve"> and 89% of children's homes judged as good or outstanding</w:t>
      </w:r>
      <w:r w:rsidRPr="00FE6D3F">
        <w:rPr>
          <w:rFonts w:cs="Arial"/>
        </w:rPr>
        <w:t xml:space="preserve">.  </w:t>
      </w:r>
      <w:r>
        <w:rPr>
          <w:rFonts w:cs="Arial"/>
        </w:rPr>
        <w:t>Data published by Ofsted in April 2015 relating to school inspections show 87% of primary schools being rated as good or outstanding with only 2% judged as inadequate and 77% of secondary schools judged as good or outstanding and 10% judged as inadequate.</w:t>
      </w:r>
    </w:p>
    <w:p w14:paraId="470F146D" w14:textId="77777777" w:rsidR="00324B65" w:rsidRDefault="00324B65" w:rsidP="00324B65">
      <w:pPr>
        <w:ind w:left="709"/>
        <w:rPr>
          <w:rFonts w:cs="Arial"/>
        </w:rPr>
      </w:pPr>
    </w:p>
    <w:p w14:paraId="288F826D" w14:textId="183E5D06" w:rsidR="00324B65" w:rsidRDefault="00324B65" w:rsidP="004709A4">
      <w:pPr>
        <w:rPr>
          <w:rFonts w:cs="Arial"/>
        </w:rPr>
      </w:pPr>
      <w:r w:rsidRPr="00FE6D3F">
        <w:rPr>
          <w:rFonts w:cs="Arial"/>
        </w:rPr>
        <w:t xml:space="preserve">The Lancashire Safeguarding Children Board (LSCB) also plays a critical role in ensuring that vulnerable children are protected and as well as routinely </w:t>
      </w:r>
      <w:r>
        <w:rPr>
          <w:rFonts w:cs="Arial"/>
        </w:rPr>
        <w:t>monit</w:t>
      </w:r>
      <w:r w:rsidRPr="00FE6D3F">
        <w:rPr>
          <w:rFonts w:cs="Arial"/>
        </w:rPr>
        <w:t>oring performance data it participates in multi-agency safeguarding practice inspections and peer reviews.</w:t>
      </w:r>
      <w:r>
        <w:rPr>
          <w:rFonts w:cs="Arial"/>
        </w:rPr>
        <w:t xml:space="preserve"> Multi-agency audits of early help services have been undertaken which included L</w:t>
      </w:r>
      <w:r w:rsidR="00CE0E4F">
        <w:rPr>
          <w:rFonts w:cs="Arial"/>
        </w:rPr>
        <w:t xml:space="preserve">ancashire </w:t>
      </w:r>
      <w:r>
        <w:rPr>
          <w:rFonts w:cs="Arial"/>
        </w:rPr>
        <w:t>C</w:t>
      </w:r>
      <w:r w:rsidR="00CE0E4F">
        <w:rPr>
          <w:rFonts w:cs="Arial"/>
        </w:rPr>
        <w:t xml:space="preserve">ounty </w:t>
      </w:r>
      <w:r>
        <w:rPr>
          <w:rFonts w:cs="Arial"/>
        </w:rPr>
        <w:t>C</w:t>
      </w:r>
      <w:r w:rsidR="00CE0E4F">
        <w:rPr>
          <w:rFonts w:cs="Arial"/>
        </w:rPr>
        <w:t>ouncil</w:t>
      </w:r>
      <w:r>
        <w:rPr>
          <w:rFonts w:cs="Arial"/>
        </w:rPr>
        <w:t xml:space="preserve"> Children's Centres and the LSCB has been supported in relation to their diagnostic regarding child sexual exploitation.</w:t>
      </w:r>
    </w:p>
    <w:p w14:paraId="248B477F" w14:textId="77777777" w:rsidR="00324B65" w:rsidRDefault="00324B65" w:rsidP="00324B65">
      <w:pPr>
        <w:ind w:left="709" w:hanging="709"/>
        <w:rPr>
          <w:rFonts w:cs="Arial"/>
        </w:rPr>
      </w:pPr>
    </w:p>
    <w:p w14:paraId="0E4299F3" w14:textId="3EF51B9B" w:rsidR="00324B65" w:rsidRDefault="00324B65" w:rsidP="004709A4">
      <w:pPr>
        <w:rPr>
          <w:rFonts w:cs="Arial"/>
        </w:rPr>
      </w:pPr>
      <w:r>
        <w:rPr>
          <w:rFonts w:cs="Arial"/>
        </w:rPr>
        <w:t xml:space="preserve">As an independent regulator the Care Quality Commission (CQC) visit hospitals, care home and home care services at least once a year as part of their programme to inspect health and social </w:t>
      </w:r>
      <w:r>
        <w:rPr>
          <w:rFonts w:cs="Arial"/>
        </w:rPr>
        <w:lastRenderedPageBreak/>
        <w:t>care systems in England and performance against national standards with a new CQC inspection regime coming into force from October 2014. Since the introduction new regime two short breaks services and two domiciliary services have been inspected and rated as "good". The picture is however more mi</w:t>
      </w:r>
      <w:r w:rsidR="00EF3FF5">
        <w:rPr>
          <w:rFonts w:cs="Arial"/>
        </w:rPr>
        <w:t>x</w:t>
      </w:r>
      <w:r>
        <w:rPr>
          <w:rFonts w:cs="Arial"/>
        </w:rPr>
        <w:t>ed in relation to residential care homes for older people, with four of the seven homes inspected being rated overall as "good" but three rated as "requiring improvement".</w:t>
      </w:r>
    </w:p>
    <w:p w14:paraId="2C18A558" w14:textId="77777777" w:rsidR="00324B65" w:rsidRDefault="00324B65" w:rsidP="00324B65">
      <w:pPr>
        <w:ind w:left="709" w:hanging="709"/>
        <w:rPr>
          <w:rFonts w:cs="Arial"/>
        </w:rPr>
      </w:pPr>
    </w:p>
    <w:p w14:paraId="488BDEEF" w14:textId="462CB966" w:rsidR="00324B65" w:rsidRDefault="00324B65" w:rsidP="004709A4">
      <w:pPr>
        <w:rPr>
          <w:rFonts w:cs="Arial"/>
        </w:rPr>
      </w:pPr>
      <w:r>
        <w:rPr>
          <w:rFonts w:cs="Arial"/>
        </w:rPr>
        <w:t>In relation to other internal sources of assurance, strategic performance is monitored and reported to Management Team and the Cabinet Committee on Performance Improvement (CCPI). Quarterly reports are produced for each service and form the basis on which corporate performance is reported, first by Management Team and then CCPI. Directors and cabinet members are held to account regarding performance against the quali</w:t>
      </w:r>
      <w:r w:rsidR="00CE0E4F">
        <w:rPr>
          <w:rFonts w:cs="Arial"/>
        </w:rPr>
        <w:t>ty of service reports with the leader, deputy leader and chief e</w:t>
      </w:r>
      <w:r>
        <w:rPr>
          <w:rFonts w:cs="Arial"/>
        </w:rPr>
        <w:t>xecutive.</w:t>
      </w:r>
    </w:p>
    <w:p w14:paraId="38F458FB" w14:textId="77777777" w:rsidR="00324B65" w:rsidRDefault="00324B65" w:rsidP="00324B65">
      <w:pPr>
        <w:ind w:left="709" w:hanging="709"/>
        <w:rPr>
          <w:rFonts w:cs="Arial"/>
        </w:rPr>
      </w:pPr>
    </w:p>
    <w:p w14:paraId="11066D14" w14:textId="11F1E5BA" w:rsidR="00324B65" w:rsidRPr="00350911" w:rsidRDefault="00324B65" w:rsidP="004709A4">
      <w:pPr>
        <w:rPr>
          <w:rFonts w:cs="Arial"/>
        </w:rPr>
      </w:pPr>
      <w:r>
        <w:rPr>
          <w:rFonts w:cs="Arial"/>
        </w:rPr>
        <w:t xml:space="preserve">A quarterly performance report is presented to CCPI along with recovery plans for any under-performing measures along with other performance/progress reports relating to particular services or projects. Current performance across quarterly KPIs monitored in the quality of service reports has regularly been over 75% meeting target or improving. Risks and issues are flagged and </w:t>
      </w:r>
      <w:r>
        <w:rPr>
          <w:rFonts w:cs="Arial"/>
        </w:rPr>
        <w:lastRenderedPageBreak/>
        <w:t>detailed in the quality of service reports and associated risk management arrangements reviewed and monitored.</w:t>
      </w:r>
    </w:p>
    <w:p w14:paraId="7846A45D" w14:textId="3811AC9D" w:rsidR="008A54CC" w:rsidRDefault="008A54CC" w:rsidP="00324B65">
      <w:pPr>
        <w:rPr>
          <w:rFonts w:cs="Arial"/>
          <w:b/>
        </w:rPr>
      </w:pPr>
    </w:p>
    <w:p w14:paraId="342C656E" w14:textId="456246A8" w:rsidR="00324B65" w:rsidRPr="006A1DEC" w:rsidRDefault="00CE0E4F" w:rsidP="00324B65">
      <w:pPr>
        <w:rPr>
          <w:rFonts w:cs="Arial"/>
          <w:b/>
        </w:rPr>
      </w:pPr>
      <w:r>
        <w:rPr>
          <w:rFonts w:cs="Arial"/>
          <w:b/>
        </w:rPr>
        <w:t>The c</w:t>
      </w:r>
      <w:r w:rsidR="00324B65" w:rsidRPr="006A1DEC">
        <w:rPr>
          <w:rFonts w:cs="Arial"/>
          <w:b/>
        </w:rPr>
        <w:t>ouncil’s Governance Framework</w:t>
      </w:r>
    </w:p>
    <w:p w14:paraId="263BF173" w14:textId="77777777" w:rsidR="00324B65" w:rsidRPr="008C6B90" w:rsidRDefault="00324B65" w:rsidP="00324B65">
      <w:pPr>
        <w:pStyle w:val="ListParagraph"/>
        <w:spacing w:after="0"/>
        <w:ind w:left="709"/>
        <w:rPr>
          <w:rFonts w:cs="Arial"/>
        </w:rPr>
      </w:pPr>
    </w:p>
    <w:p w14:paraId="64AA7D00" w14:textId="55BAE72A" w:rsidR="00324B65" w:rsidRDefault="00324B65" w:rsidP="004709A4">
      <w:pPr>
        <w:rPr>
          <w:rFonts w:cs="Arial"/>
        </w:rPr>
      </w:pPr>
      <w:r w:rsidRPr="008C6B90">
        <w:rPr>
          <w:rFonts w:cs="Arial"/>
        </w:rPr>
        <w:t xml:space="preserve">The </w:t>
      </w:r>
      <w:r w:rsidR="00D02CFE">
        <w:rPr>
          <w:rFonts w:cs="Arial"/>
        </w:rPr>
        <w:t>c</w:t>
      </w:r>
      <w:r w:rsidR="00CE0E4F">
        <w:rPr>
          <w:rFonts w:cs="Arial"/>
        </w:rPr>
        <w:t>ouncil's Governance F</w:t>
      </w:r>
      <w:r w:rsidRPr="008C6B90">
        <w:rPr>
          <w:rFonts w:cs="Arial"/>
        </w:rPr>
        <w:t>ramework comprises many systems and processes.  The following identifies key elements of th</w:t>
      </w:r>
      <w:r w:rsidR="00CE0E4F">
        <w:rPr>
          <w:rFonts w:cs="Arial"/>
        </w:rPr>
        <w:t>e Governance F</w:t>
      </w:r>
      <w:r w:rsidR="00D02CFE">
        <w:rPr>
          <w:rFonts w:cs="Arial"/>
        </w:rPr>
        <w:t>ramework and the c</w:t>
      </w:r>
      <w:r w:rsidRPr="008C6B90">
        <w:rPr>
          <w:rFonts w:cs="Arial"/>
        </w:rPr>
        <w:t xml:space="preserve">ouncil's arrangements for fulfilling them: </w:t>
      </w:r>
    </w:p>
    <w:p w14:paraId="256550C6" w14:textId="77777777" w:rsidR="00A66014" w:rsidRDefault="00A66014" w:rsidP="004709A4">
      <w:pPr>
        <w:rPr>
          <w:rFonts w:cs="Arial"/>
        </w:rPr>
      </w:pPr>
    </w:p>
    <w:p w14:paraId="7B8A59FD" w14:textId="77777777" w:rsidR="00324B65" w:rsidRDefault="00324B65" w:rsidP="00324B65">
      <w:pPr>
        <w:pStyle w:val="ListParagraph"/>
        <w:spacing w:after="0"/>
        <w:ind w:left="709" w:hanging="709"/>
        <w:rPr>
          <w:rFonts w:cs="Arial"/>
        </w:rPr>
      </w:pPr>
    </w:p>
    <w:p w14:paraId="0F3BFFDD" w14:textId="77777777" w:rsidR="00B3248D" w:rsidRDefault="00B3248D" w:rsidP="00324B65">
      <w:pPr>
        <w:pStyle w:val="ListParagraph"/>
        <w:spacing w:after="0"/>
        <w:ind w:left="709" w:hanging="709"/>
        <w:rPr>
          <w:rFonts w:cs="Arial"/>
        </w:rPr>
      </w:pPr>
    </w:p>
    <w:p w14:paraId="0BD38121" w14:textId="77777777" w:rsidR="00B3248D" w:rsidRDefault="00B3248D" w:rsidP="00324B65">
      <w:pPr>
        <w:pStyle w:val="ListParagraph"/>
        <w:spacing w:after="0"/>
        <w:ind w:left="709" w:hanging="709"/>
        <w:rPr>
          <w:rFonts w:cs="Arial"/>
        </w:rPr>
      </w:pPr>
    </w:p>
    <w:p w14:paraId="4C0D792C" w14:textId="77777777" w:rsidR="00B3248D" w:rsidRPr="008C6B90" w:rsidRDefault="00B3248D" w:rsidP="00324B65">
      <w:pPr>
        <w:pStyle w:val="ListParagraph"/>
        <w:spacing w:after="0"/>
        <w:ind w:left="709" w:hanging="709"/>
        <w:rPr>
          <w:rFonts w:cs="Arial"/>
        </w:rPr>
      </w:pPr>
    </w:p>
    <w:p w14:paraId="05AB3BD2" w14:textId="0D0D38F7" w:rsidR="00324B65" w:rsidRPr="006A1DEC" w:rsidRDefault="00324B65" w:rsidP="004709A4">
      <w:pPr>
        <w:outlineLvl w:val="0"/>
        <w:rPr>
          <w:rFonts w:cs="Arial"/>
          <w:b/>
        </w:rPr>
      </w:pPr>
      <w:r w:rsidRPr="006A1DEC">
        <w:rPr>
          <w:rFonts w:cs="Arial"/>
          <w:b/>
        </w:rPr>
        <w:t>Ide</w:t>
      </w:r>
      <w:r w:rsidR="008F2A0C">
        <w:rPr>
          <w:rFonts w:cs="Arial"/>
          <w:b/>
        </w:rPr>
        <w:t>ntifying and communicating the c</w:t>
      </w:r>
      <w:r w:rsidRPr="006A1DEC">
        <w:rPr>
          <w:rFonts w:cs="Arial"/>
          <w:b/>
        </w:rPr>
        <w:t>ouncil's vision of its purpose and intended outcomes</w:t>
      </w:r>
      <w:r w:rsidR="006A1DEC">
        <w:rPr>
          <w:rFonts w:cs="Arial"/>
          <w:b/>
        </w:rPr>
        <w:t xml:space="preserve"> for citizens and service users</w:t>
      </w:r>
    </w:p>
    <w:p w14:paraId="152292FA" w14:textId="77777777" w:rsidR="00324B65" w:rsidRPr="008C6B90" w:rsidRDefault="00324B65" w:rsidP="00324B65">
      <w:pPr>
        <w:ind w:left="709" w:hanging="709"/>
        <w:outlineLvl w:val="0"/>
        <w:rPr>
          <w:rFonts w:cs="Arial"/>
          <w:b/>
        </w:rPr>
      </w:pPr>
    </w:p>
    <w:p w14:paraId="6A6D3053" w14:textId="6B25B7A2" w:rsidR="00324B65" w:rsidRPr="00BE399D" w:rsidRDefault="00324B65" w:rsidP="004709A4">
      <w:pPr>
        <w:pStyle w:val="Default"/>
        <w:jc w:val="both"/>
        <w:rPr>
          <w:rFonts w:ascii="Arial" w:hAnsi="Arial" w:cs="Arial"/>
          <w:color w:val="auto"/>
        </w:rPr>
      </w:pPr>
      <w:r w:rsidRPr="00BE399D">
        <w:rPr>
          <w:rFonts w:ascii="Arial" w:hAnsi="Arial" w:cs="Arial"/>
          <w:color w:val="auto"/>
        </w:rPr>
        <w:t xml:space="preserve">Following on from the elections in 2013, a minority Labour </w:t>
      </w:r>
      <w:r>
        <w:rPr>
          <w:rFonts w:ascii="Arial" w:hAnsi="Arial" w:cs="Arial"/>
          <w:color w:val="auto"/>
        </w:rPr>
        <w:t>A</w:t>
      </w:r>
      <w:r w:rsidRPr="00BE399D">
        <w:rPr>
          <w:rFonts w:ascii="Arial" w:hAnsi="Arial" w:cs="Arial"/>
          <w:color w:val="auto"/>
        </w:rPr>
        <w:t xml:space="preserve">dministration was formed with support from the Liberal Democrat group through an informal agreement between the two parties. Given that the new </w:t>
      </w:r>
      <w:r>
        <w:rPr>
          <w:rFonts w:ascii="Arial" w:hAnsi="Arial" w:cs="Arial"/>
          <w:color w:val="auto"/>
        </w:rPr>
        <w:t>A</w:t>
      </w:r>
      <w:r w:rsidRPr="00BE399D">
        <w:rPr>
          <w:rFonts w:ascii="Arial" w:hAnsi="Arial" w:cs="Arial"/>
          <w:color w:val="auto"/>
        </w:rPr>
        <w:t xml:space="preserve">dministration was formed part way through a 3-year financial cycle, the </w:t>
      </w:r>
      <w:r>
        <w:rPr>
          <w:rFonts w:ascii="Arial" w:hAnsi="Arial" w:cs="Arial"/>
          <w:color w:val="auto"/>
        </w:rPr>
        <w:t>C</w:t>
      </w:r>
      <w:r w:rsidRPr="00BE399D">
        <w:rPr>
          <w:rFonts w:ascii="Arial" w:hAnsi="Arial" w:cs="Arial"/>
          <w:color w:val="auto"/>
        </w:rPr>
        <w:t xml:space="preserve">abinet wanted to take stock and fully </w:t>
      </w:r>
      <w:r w:rsidRPr="00BE399D">
        <w:rPr>
          <w:rFonts w:ascii="Arial" w:hAnsi="Arial" w:cs="Arial"/>
          <w:color w:val="auto"/>
        </w:rPr>
        <w:lastRenderedPageBreak/>
        <w:t>understand the challenges they faced. Therefore, rather than develop a new corporate strategy at that time,</w:t>
      </w:r>
      <w:r>
        <w:rPr>
          <w:rFonts w:ascii="Arial" w:hAnsi="Arial" w:cs="Arial"/>
          <w:color w:val="auto"/>
        </w:rPr>
        <w:t xml:space="preserve"> C</w:t>
      </w:r>
      <w:r w:rsidRPr="00BE399D">
        <w:rPr>
          <w:rFonts w:ascii="Arial" w:hAnsi="Arial" w:cs="Arial"/>
          <w:color w:val="auto"/>
        </w:rPr>
        <w:t xml:space="preserve">abinet agreed a new strategic document that set out the direction of travel they wanted to take. The document outlined the initial priorities for the coming year with a view to developing a future corporate strategy that articulates a new service offer to be delivered by a new-look organisation. </w:t>
      </w:r>
    </w:p>
    <w:p w14:paraId="79E3C022" w14:textId="77777777" w:rsidR="00324B65" w:rsidRPr="00BE399D" w:rsidRDefault="00324B65" w:rsidP="00324B65">
      <w:pPr>
        <w:pStyle w:val="Default"/>
        <w:ind w:left="709" w:hanging="709"/>
        <w:jc w:val="both"/>
        <w:rPr>
          <w:rFonts w:ascii="Arial" w:hAnsi="Arial" w:cs="Arial"/>
          <w:color w:val="auto"/>
        </w:rPr>
      </w:pPr>
    </w:p>
    <w:p w14:paraId="314ECC57" w14:textId="25E7C2DC" w:rsidR="00324B65" w:rsidRDefault="00324B65" w:rsidP="004709A4">
      <w:pPr>
        <w:rPr>
          <w:rFonts w:cs="Arial"/>
        </w:rPr>
      </w:pPr>
      <w:r w:rsidRPr="00BE399D">
        <w:rPr>
          <w:rFonts w:cs="Arial"/>
        </w:rPr>
        <w:t xml:space="preserve">The direction of travel agreed acknowledged the challenging financial environment in which the </w:t>
      </w:r>
      <w:r w:rsidR="008F2A0C">
        <w:rPr>
          <w:rFonts w:cs="Arial"/>
        </w:rPr>
        <w:t>c</w:t>
      </w:r>
      <w:r w:rsidRPr="00BE399D">
        <w:rPr>
          <w:rFonts w:cs="Arial"/>
        </w:rPr>
        <w:t>ouncil was operating and highlighted the importance of partnership working to support Lancashire communities, reduce duplication and secure value for money. The</w:t>
      </w:r>
      <w:r>
        <w:rPr>
          <w:rFonts w:cs="Arial"/>
        </w:rPr>
        <w:t xml:space="preserve"> A</w:t>
      </w:r>
      <w:r w:rsidRPr="00BE399D">
        <w:rPr>
          <w:rFonts w:cs="Arial"/>
        </w:rPr>
        <w:t>dministration signalled their intent to adopt a can-do approach and the need for doing things differently for less.</w:t>
      </w:r>
    </w:p>
    <w:p w14:paraId="37020657" w14:textId="77777777" w:rsidR="00324B65" w:rsidRPr="00BE399D" w:rsidRDefault="00324B65" w:rsidP="00324B65">
      <w:pPr>
        <w:ind w:left="567" w:hanging="567"/>
        <w:rPr>
          <w:rFonts w:cs="Arial"/>
        </w:rPr>
      </w:pPr>
    </w:p>
    <w:p w14:paraId="63B9FE30" w14:textId="61799B5B" w:rsidR="00324B65" w:rsidRPr="00BE399D" w:rsidRDefault="00324B65" w:rsidP="00324B65">
      <w:pPr>
        <w:pStyle w:val="Default"/>
        <w:ind w:left="709" w:hanging="709"/>
        <w:jc w:val="both"/>
        <w:rPr>
          <w:rFonts w:ascii="Arial" w:hAnsi="Arial" w:cs="Arial"/>
          <w:color w:val="auto"/>
        </w:rPr>
      </w:pPr>
      <w:r w:rsidRPr="00BE399D">
        <w:rPr>
          <w:rFonts w:ascii="Arial" w:hAnsi="Arial" w:cs="Arial"/>
          <w:color w:val="auto"/>
        </w:rPr>
        <w:t xml:space="preserve">The </w:t>
      </w:r>
      <w:r w:rsidR="008F2A0C">
        <w:rPr>
          <w:rFonts w:ascii="Arial" w:hAnsi="Arial" w:cs="Arial"/>
          <w:color w:val="auto"/>
        </w:rPr>
        <w:t>c</w:t>
      </w:r>
      <w:r>
        <w:rPr>
          <w:rFonts w:ascii="Arial" w:hAnsi="Arial" w:cs="Arial"/>
          <w:color w:val="auto"/>
        </w:rPr>
        <w:t>o</w:t>
      </w:r>
      <w:r w:rsidRPr="00BE399D">
        <w:rPr>
          <w:rFonts w:ascii="Arial" w:hAnsi="Arial" w:cs="Arial"/>
          <w:color w:val="auto"/>
        </w:rPr>
        <w:t xml:space="preserve">uncil agreed three cross-cutting priorities: </w:t>
      </w:r>
    </w:p>
    <w:p w14:paraId="71595552" w14:textId="77777777" w:rsidR="00324B65" w:rsidRPr="00BE399D" w:rsidRDefault="00324B65" w:rsidP="00324B65">
      <w:pPr>
        <w:pStyle w:val="Default"/>
        <w:ind w:left="709" w:hanging="709"/>
        <w:jc w:val="both"/>
        <w:rPr>
          <w:rFonts w:ascii="Arial" w:hAnsi="Arial" w:cs="Arial"/>
          <w:color w:val="auto"/>
        </w:rPr>
      </w:pPr>
    </w:p>
    <w:p w14:paraId="0B2B1B7C" w14:textId="77777777" w:rsidR="00324B65" w:rsidRPr="00BE399D" w:rsidRDefault="00324B65" w:rsidP="00717919">
      <w:pPr>
        <w:pStyle w:val="Default"/>
        <w:numPr>
          <w:ilvl w:val="0"/>
          <w:numId w:val="65"/>
        </w:numPr>
        <w:spacing w:after="37"/>
        <w:ind w:left="1134" w:hanging="425"/>
        <w:jc w:val="both"/>
        <w:rPr>
          <w:rFonts w:ascii="Arial" w:hAnsi="Arial" w:cs="Arial"/>
          <w:color w:val="auto"/>
        </w:rPr>
      </w:pPr>
      <w:r w:rsidRPr="00BE399D">
        <w:rPr>
          <w:rFonts w:ascii="Arial" w:hAnsi="Arial" w:cs="Arial"/>
          <w:color w:val="auto"/>
        </w:rPr>
        <w:t xml:space="preserve">to prepare for the future; </w:t>
      </w:r>
    </w:p>
    <w:p w14:paraId="0FCA1EB8" w14:textId="77777777" w:rsidR="00324B65" w:rsidRPr="003401FB" w:rsidRDefault="00324B65" w:rsidP="00717919">
      <w:pPr>
        <w:pStyle w:val="Default"/>
        <w:numPr>
          <w:ilvl w:val="0"/>
          <w:numId w:val="65"/>
        </w:numPr>
        <w:spacing w:after="37"/>
        <w:ind w:left="1134" w:hanging="425"/>
        <w:jc w:val="both"/>
        <w:rPr>
          <w:rFonts w:ascii="Arial" w:hAnsi="Arial" w:cs="Arial"/>
          <w:color w:val="auto"/>
        </w:rPr>
      </w:pPr>
      <w:r w:rsidRPr="003401FB">
        <w:rPr>
          <w:rFonts w:ascii="Arial" w:hAnsi="Arial" w:cs="Arial"/>
          <w:color w:val="auto"/>
        </w:rPr>
        <w:t xml:space="preserve">to support the most vulnerable; and </w:t>
      </w:r>
    </w:p>
    <w:p w14:paraId="580934EF" w14:textId="77777777" w:rsidR="00324B65" w:rsidRPr="003401FB" w:rsidRDefault="00324B65" w:rsidP="00717919">
      <w:pPr>
        <w:pStyle w:val="Default"/>
        <w:numPr>
          <w:ilvl w:val="0"/>
          <w:numId w:val="65"/>
        </w:numPr>
        <w:ind w:left="1134" w:hanging="425"/>
        <w:jc w:val="both"/>
        <w:rPr>
          <w:rFonts w:ascii="Arial" w:hAnsi="Arial" w:cs="Arial"/>
          <w:color w:val="auto"/>
        </w:rPr>
      </w:pPr>
      <w:r w:rsidRPr="003401FB">
        <w:rPr>
          <w:rFonts w:ascii="Arial" w:hAnsi="Arial" w:cs="Arial"/>
          <w:color w:val="auto"/>
        </w:rPr>
        <w:t xml:space="preserve">to boost the Lancashire economy, both creating and protecting jobs. </w:t>
      </w:r>
    </w:p>
    <w:p w14:paraId="7440A896" w14:textId="77777777" w:rsidR="00324B65" w:rsidRPr="003401FB" w:rsidRDefault="00324B65" w:rsidP="00324B65">
      <w:pPr>
        <w:pStyle w:val="Default"/>
        <w:ind w:left="709" w:hanging="709"/>
        <w:jc w:val="both"/>
        <w:rPr>
          <w:rFonts w:ascii="Arial" w:hAnsi="Arial" w:cs="Arial"/>
          <w:color w:val="auto"/>
        </w:rPr>
      </w:pPr>
    </w:p>
    <w:p w14:paraId="6F9074AE" w14:textId="5BCBD26D" w:rsidR="00324B65" w:rsidRPr="003401FB" w:rsidRDefault="00324B65" w:rsidP="004709A4">
      <w:pPr>
        <w:pStyle w:val="Default"/>
        <w:jc w:val="both"/>
        <w:rPr>
          <w:rFonts w:ascii="Arial" w:hAnsi="Arial" w:cs="Arial"/>
          <w:color w:val="auto"/>
        </w:rPr>
      </w:pPr>
      <w:r>
        <w:rPr>
          <w:rFonts w:ascii="Arial" w:hAnsi="Arial" w:cs="Arial"/>
          <w:color w:val="auto"/>
        </w:rPr>
        <w:t xml:space="preserve">These </w:t>
      </w:r>
      <w:r w:rsidRPr="003401FB">
        <w:rPr>
          <w:rFonts w:ascii="Arial" w:hAnsi="Arial" w:cs="Arial"/>
          <w:color w:val="auto"/>
        </w:rPr>
        <w:t xml:space="preserve">priorities </w:t>
      </w:r>
      <w:r>
        <w:rPr>
          <w:rFonts w:ascii="Arial" w:hAnsi="Arial" w:cs="Arial"/>
          <w:color w:val="auto"/>
        </w:rPr>
        <w:t xml:space="preserve">have now been </w:t>
      </w:r>
      <w:r w:rsidRPr="003401FB">
        <w:rPr>
          <w:rFonts w:ascii="Arial" w:hAnsi="Arial" w:cs="Arial"/>
          <w:color w:val="auto"/>
        </w:rPr>
        <w:t xml:space="preserve">published on the </w:t>
      </w:r>
      <w:r w:rsidR="008F2A0C">
        <w:rPr>
          <w:rFonts w:ascii="Arial" w:hAnsi="Arial" w:cs="Arial"/>
          <w:color w:val="auto"/>
        </w:rPr>
        <w:t>c</w:t>
      </w:r>
      <w:r>
        <w:rPr>
          <w:rFonts w:ascii="Arial" w:hAnsi="Arial" w:cs="Arial"/>
          <w:color w:val="auto"/>
        </w:rPr>
        <w:t>o</w:t>
      </w:r>
      <w:r w:rsidRPr="003401FB">
        <w:rPr>
          <w:rFonts w:ascii="Arial" w:hAnsi="Arial" w:cs="Arial"/>
          <w:color w:val="auto"/>
        </w:rPr>
        <w:t>uncil</w:t>
      </w:r>
      <w:r>
        <w:rPr>
          <w:rFonts w:ascii="Arial" w:hAnsi="Arial" w:cs="Arial"/>
          <w:color w:val="auto"/>
        </w:rPr>
        <w:t>'</w:t>
      </w:r>
      <w:r w:rsidRPr="003401FB">
        <w:rPr>
          <w:rFonts w:ascii="Arial" w:hAnsi="Arial" w:cs="Arial"/>
          <w:color w:val="auto"/>
        </w:rPr>
        <w:t>s website.</w:t>
      </w:r>
      <w:r>
        <w:rPr>
          <w:rFonts w:ascii="Arial" w:hAnsi="Arial" w:cs="Arial"/>
          <w:color w:val="auto"/>
        </w:rPr>
        <w:t xml:space="preserve"> </w:t>
      </w:r>
      <w:r w:rsidRPr="003401FB">
        <w:rPr>
          <w:rFonts w:ascii="Arial" w:hAnsi="Arial" w:cs="Arial"/>
          <w:color w:val="auto"/>
        </w:rPr>
        <w:t xml:space="preserve">Since then work to develop </w:t>
      </w:r>
      <w:r>
        <w:rPr>
          <w:rFonts w:ascii="Arial" w:hAnsi="Arial" w:cs="Arial"/>
          <w:color w:val="auto"/>
        </w:rPr>
        <w:t xml:space="preserve">the </w:t>
      </w:r>
      <w:r w:rsidRPr="003401FB">
        <w:rPr>
          <w:rFonts w:ascii="Arial" w:hAnsi="Arial" w:cs="Arial"/>
          <w:color w:val="auto"/>
        </w:rPr>
        <w:t xml:space="preserve">corporate </w:t>
      </w:r>
      <w:r>
        <w:rPr>
          <w:rFonts w:ascii="Arial" w:hAnsi="Arial" w:cs="Arial"/>
          <w:color w:val="auto"/>
        </w:rPr>
        <w:t>strategy</w:t>
      </w:r>
      <w:r w:rsidRPr="003401FB">
        <w:rPr>
          <w:rFonts w:ascii="Arial" w:hAnsi="Arial" w:cs="Arial"/>
          <w:color w:val="auto"/>
        </w:rPr>
        <w:t xml:space="preserve"> has been </w:t>
      </w:r>
      <w:r w:rsidRPr="003401FB">
        <w:rPr>
          <w:rFonts w:ascii="Arial" w:hAnsi="Arial" w:cs="Arial"/>
          <w:color w:val="auto"/>
        </w:rPr>
        <w:lastRenderedPageBreak/>
        <w:t xml:space="preserve">on-going </w:t>
      </w:r>
      <w:r>
        <w:rPr>
          <w:rFonts w:ascii="Arial" w:hAnsi="Arial" w:cs="Arial"/>
          <w:color w:val="auto"/>
        </w:rPr>
        <w:t>which will r</w:t>
      </w:r>
      <w:r w:rsidRPr="003401FB">
        <w:rPr>
          <w:rFonts w:ascii="Arial" w:hAnsi="Arial" w:cs="Arial"/>
          <w:color w:val="auto"/>
        </w:rPr>
        <w:t xml:space="preserve">eflect both the changing external environment and the priorities set by the </w:t>
      </w:r>
      <w:r>
        <w:rPr>
          <w:rFonts w:ascii="Arial" w:hAnsi="Arial" w:cs="Arial"/>
          <w:color w:val="auto"/>
        </w:rPr>
        <w:t>A</w:t>
      </w:r>
      <w:r w:rsidRPr="003401FB">
        <w:rPr>
          <w:rFonts w:ascii="Arial" w:hAnsi="Arial" w:cs="Arial"/>
          <w:color w:val="auto"/>
        </w:rPr>
        <w:t xml:space="preserve">dministration. </w:t>
      </w:r>
    </w:p>
    <w:p w14:paraId="13D93086" w14:textId="77777777" w:rsidR="00324B65" w:rsidRDefault="00324B65" w:rsidP="00324B65">
      <w:pPr>
        <w:pStyle w:val="Default"/>
        <w:ind w:left="709" w:hanging="709"/>
        <w:jc w:val="both"/>
        <w:rPr>
          <w:color w:val="auto"/>
          <w:sz w:val="23"/>
          <w:szCs w:val="23"/>
        </w:rPr>
      </w:pPr>
    </w:p>
    <w:p w14:paraId="0E273B28" w14:textId="46FBA9C2" w:rsidR="00324B65" w:rsidRDefault="00324B65" w:rsidP="00324B65">
      <w:pPr>
        <w:ind w:left="709" w:hanging="709"/>
      </w:pPr>
      <w:r w:rsidRPr="002E43A2">
        <w:t xml:space="preserve">Underpinned by the Marmot </w:t>
      </w:r>
      <w:r>
        <w:t>principles</w:t>
      </w:r>
      <w:r w:rsidRPr="002E43A2">
        <w:t xml:space="preserve">, the </w:t>
      </w:r>
      <w:r>
        <w:t>C</w:t>
      </w:r>
      <w:r w:rsidRPr="002E43A2">
        <w:t xml:space="preserve">orporate </w:t>
      </w:r>
      <w:r>
        <w:t>S</w:t>
      </w:r>
      <w:r w:rsidRPr="002E43A2">
        <w:t xml:space="preserve">trategy will </w:t>
      </w:r>
      <w:r>
        <w:t>set out:</w:t>
      </w:r>
    </w:p>
    <w:p w14:paraId="12152308" w14:textId="77777777" w:rsidR="00324B65" w:rsidRDefault="00324B65" w:rsidP="00324B65">
      <w:pPr>
        <w:ind w:left="709" w:hanging="709"/>
      </w:pPr>
    </w:p>
    <w:p w14:paraId="4FEDB7E8" w14:textId="067E3B72" w:rsidR="00324B65" w:rsidRPr="00566317" w:rsidRDefault="008F2A0C" w:rsidP="00717919">
      <w:pPr>
        <w:pStyle w:val="ListParagraph"/>
        <w:numPr>
          <w:ilvl w:val="0"/>
          <w:numId w:val="66"/>
        </w:numPr>
        <w:autoSpaceDE/>
        <w:autoSpaceDN/>
        <w:adjustRightInd/>
        <w:spacing w:after="0"/>
        <w:contextualSpacing w:val="0"/>
        <w:outlineLvl w:val="0"/>
        <w:rPr>
          <w:b/>
        </w:rPr>
      </w:pPr>
      <w:r>
        <w:t>the c</w:t>
      </w:r>
      <w:r w:rsidR="00324B65" w:rsidRPr="00566317">
        <w:t>ouncil's core purpose and vision;</w:t>
      </w:r>
    </w:p>
    <w:p w14:paraId="6DB51C7D" w14:textId="77777777" w:rsidR="00324B65" w:rsidRPr="00566317" w:rsidRDefault="00324B65" w:rsidP="00717919">
      <w:pPr>
        <w:pStyle w:val="ListParagraph"/>
        <w:numPr>
          <w:ilvl w:val="0"/>
          <w:numId w:val="66"/>
        </w:numPr>
        <w:autoSpaceDE/>
        <w:autoSpaceDN/>
        <w:adjustRightInd/>
        <w:spacing w:after="0"/>
        <w:contextualSpacing w:val="0"/>
        <w:outlineLvl w:val="0"/>
        <w:rPr>
          <w:b/>
        </w:rPr>
      </w:pPr>
      <w:r w:rsidRPr="00566317">
        <w:t>the political priorities of the Administration;</w:t>
      </w:r>
    </w:p>
    <w:p w14:paraId="5812E61D" w14:textId="32EB5A04" w:rsidR="00324B65" w:rsidRPr="00566317" w:rsidRDefault="008F2A0C" w:rsidP="00717919">
      <w:pPr>
        <w:pStyle w:val="ListParagraph"/>
        <w:numPr>
          <w:ilvl w:val="0"/>
          <w:numId w:val="66"/>
        </w:numPr>
        <w:autoSpaceDE/>
        <w:autoSpaceDN/>
        <w:adjustRightInd/>
        <w:spacing w:after="0"/>
        <w:contextualSpacing w:val="0"/>
        <w:outlineLvl w:val="0"/>
        <w:rPr>
          <w:b/>
        </w:rPr>
      </w:pPr>
      <w:r>
        <w:t>the c</w:t>
      </w:r>
      <w:r w:rsidR="00324B65" w:rsidRPr="00566317">
        <w:t>ouncil's strategic priorities and the allocation of resources to them;</w:t>
      </w:r>
    </w:p>
    <w:p w14:paraId="6812C65E" w14:textId="4D62E149" w:rsidR="00324B65" w:rsidRPr="00566317" w:rsidRDefault="008F2A0C" w:rsidP="00717919">
      <w:pPr>
        <w:pStyle w:val="ListParagraph"/>
        <w:numPr>
          <w:ilvl w:val="0"/>
          <w:numId w:val="66"/>
        </w:numPr>
        <w:autoSpaceDE/>
        <w:autoSpaceDN/>
        <w:adjustRightInd/>
        <w:spacing w:after="0"/>
        <w:contextualSpacing w:val="0"/>
        <w:outlineLvl w:val="0"/>
        <w:rPr>
          <w:b/>
        </w:rPr>
      </w:pPr>
      <w:r>
        <w:t>services that the c</w:t>
      </w:r>
      <w:r w:rsidR="00324B65" w:rsidRPr="00566317">
        <w:t>ouncil is committed to and service standards</w:t>
      </w:r>
    </w:p>
    <w:p w14:paraId="3350EA34" w14:textId="77777777" w:rsidR="00324B65" w:rsidRPr="00566317" w:rsidRDefault="00324B65" w:rsidP="00717919">
      <w:pPr>
        <w:pStyle w:val="ListParagraph"/>
        <w:numPr>
          <w:ilvl w:val="0"/>
          <w:numId w:val="66"/>
        </w:numPr>
        <w:autoSpaceDE/>
        <w:autoSpaceDN/>
        <w:adjustRightInd/>
        <w:spacing w:after="0"/>
        <w:contextualSpacing w:val="0"/>
        <w:outlineLvl w:val="0"/>
        <w:rPr>
          <w:b/>
        </w:rPr>
      </w:pPr>
      <w:r w:rsidRPr="00566317">
        <w:t>the plans for how services will be delivered</w:t>
      </w:r>
    </w:p>
    <w:p w14:paraId="42358F81" w14:textId="77777777" w:rsidR="00324B65" w:rsidRPr="00566317" w:rsidRDefault="00324B65" w:rsidP="00717919">
      <w:pPr>
        <w:pStyle w:val="ListParagraph"/>
        <w:numPr>
          <w:ilvl w:val="0"/>
          <w:numId w:val="66"/>
        </w:numPr>
        <w:autoSpaceDE/>
        <w:autoSpaceDN/>
        <w:adjustRightInd/>
        <w:spacing w:after="0"/>
        <w:contextualSpacing w:val="0"/>
        <w:outlineLvl w:val="0"/>
        <w:rPr>
          <w:b/>
        </w:rPr>
      </w:pPr>
      <w:r w:rsidRPr="00566317">
        <w:t xml:space="preserve">how the strategy will be </w:t>
      </w:r>
      <w:r>
        <w:t>financed</w:t>
      </w:r>
    </w:p>
    <w:p w14:paraId="717CF398" w14:textId="77777777" w:rsidR="00184C22" w:rsidRDefault="00184C22" w:rsidP="004709A4"/>
    <w:p w14:paraId="1BCF0DB3" w14:textId="059C7A40" w:rsidR="00324B65" w:rsidRDefault="00324B65" w:rsidP="004709A4">
      <w:r w:rsidRPr="00566317">
        <w:t>Responsibility for developing the new Co</w:t>
      </w:r>
      <w:r w:rsidR="00CE0E4F">
        <w:t>rporate Strategy sits with the director of c</w:t>
      </w:r>
      <w:r w:rsidRPr="00566317">
        <w:t xml:space="preserve">ommissioning and a revised timetable has been agreed that will see the new </w:t>
      </w:r>
      <w:r>
        <w:t>C</w:t>
      </w:r>
      <w:r w:rsidRPr="00566317">
        <w:t xml:space="preserve">orporate </w:t>
      </w:r>
      <w:r>
        <w:t>S</w:t>
      </w:r>
      <w:r w:rsidRPr="00566317">
        <w:t>trategy agreed in October.</w:t>
      </w:r>
    </w:p>
    <w:p w14:paraId="491C7D05" w14:textId="77777777" w:rsidR="008A54CC" w:rsidRDefault="008A54CC" w:rsidP="004709A4">
      <w:pPr>
        <w:rPr>
          <w:rFonts w:cs="Arial"/>
          <w:b/>
        </w:rPr>
      </w:pPr>
    </w:p>
    <w:p w14:paraId="3D337665" w14:textId="3584793C" w:rsidR="00324B65" w:rsidRPr="006A1DEC" w:rsidRDefault="008F2A0C" w:rsidP="004709A4">
      <w:pPr>
        <w:rPr>
          <w:rFonts w:cs="Arial"/>
          <w:b/>
        </w:rPr>
      </w:pPr>
      <w:r>
        <w:rPr>
          <w:rFonts w:cs="Arial"/>
          <w:b/>
        </w:rPr>
        <w:t>Reviewing the c</w:t>
      </w:r>
      <w:r w:rsidR="00324B65" w:rsidRPr="006A1DEC">
        <w:rPr>
          <w:rFonts w:cs="Arial"/>
          <w:b/>
        </w:rPr>
        <w:t>ouncil's visio</w:t>
      </w:r>
      <w:r>
        <w:rPr>
          <w:rFonts w:cs="Arial"/>
          <w:b/>
        </w:rPr>
        <w:t>n and its implications for the c</w:t>
      </w:r>
      <w:r w:rsidR="00CE0E4F">
        <w:rPr>
          <w:rFonts w:cs="Arial"/>
          <w:b/>
        </w:rPr>
        <w:t>ouncil's g</w:t>
      </w:r>
      <w:r w:rsidR="00324B65" w:rsidRPr="006A1DEC">
        <w:rPr>
          <w:rFonts w:cs="Arial"/>
          <w:b/>
        </w:rPr>
        <w:t>overnance arrangements</w:t>
      </w:r>
    </w:p>
    <w:p w14:paraId="7A51DE20" w14:textId="77777777" w:rsidR="00324B65" w:rsidRPr="008C6B90" w:rsidRDefault="00324B65" w:rsidP="00324B65">
      <w:pPr>
        <w:ind w:left="709"/>
        <w:rPr>
          <w:rFonts w:cs="Arial"/>
          <w:b/>
        </w:rPr>
      </w:pPr>
    </w:p>
    <w:p w14:paraId="31C35EDF" w14:textId="2A15BF4D" w:rsidR="00324B65" w:rsidRPr="008C6B90" w:rsidRDefault="00324B65" w:rsidP="004709A4">
      <w:pPr>
        <w:ind w:left="-15"/>
        <w:rPr>
          <w:rFonts w:cs="Arial"/>
        </w:rPr>
      </w:pPr>
      <w:r w:rsidRPr="008C6B90">
        <w:rPr>
          <w:rFonts w:cs="Arial"/>
        </w:rPr>
        <w:lastRenderedPageBreak/>
        <w:t>To measure the eff</w:t>
      </w:r>
      <w:r w:rsidR="008F2A0C">
        <w:rPr>
          <w:rFonts w:cs="Arial"/>
        </w:rPr>
        <w:t>ectiveness and delivery of the council's ambitions, the c</w:t>
      </w:r>
      <w:r w:rsidRPr="008C6B90">
        <w:rPr>
          <w:rFonts w:cs="Arial"/>
        </w:rPr>
        <w:t>ouncil's Cabinet Committee on Performance Improvement regularly receives Quality of Service reports which review the performance of services against local and national indicators and are consider</w:t>
      </w:r>
      <w:r w:rsidR="00CE0E4F">
        <w:rPr>
          <w:rFonts w:cs="Arial"/>
        </w:rPr>
        <w:t>ed at meetings of Cabinet, the c</w:t>
      </w:r>
      <w:r w:rsidRPr="008C6B90">
        <w:rPr>
          <w:rFonts w:cs="Arial"/>
        </w:rPr>
        <w:t>hie</w:t>
      </w:r>
      <w:r w:rsidR="00CE0E4F">
        <w:rPr>
          <w:rFonts w:cs="Arial"/>
        </w:rPr>
        <w:t>f Executive and d</w:t>
      </w:r>
      <w:r w:rsidR="008F2A0C">
        <w:rPr>
          <w:rFonts w:cs="Arial"/>
        </w:rPr>
        <w:t>irectors. The c</w:t>
      </w:r>
      <w:r w:rsidRPr="008C6B90">
        <w:rPr>
          <w:rFonts w:cs="Arial"/>
        </w:rPr>
        <w:t>ouncil's Management Team is currently working to embed more effective performance measures across a wide range of its services.</w:t>
      </w:r>
    </w:p>
    <w:p w14:paraId="3BEE70F0" w14:textId="77777777" w:rsidR="00B3248D" w:rsidRPr="008C6B90" w:rsidRDefault="00B3248D" w:rsidP="00324B65">
      <w:pPr>
        <w:ind w:left="709" w:hanging="724"/>
        <w:rPr>
          <w:rFonts w:cs="Arial"/>
        </w:rPr>
      </w:pPr>
    </w:p>
    <w:p w14:paraId="48ED89BB" w14:textId="06C0EF2B" w:rsidR="00324B65" w:rsidRPr="008C6B90" w:rsidRDefault="008F2A0C" w:rsidP="00324B65">
      <w:pPr>
        <w:pStyle w:val="ListParagraph"/>
        <w:spacing w:after="0"/>
        <w:ind w:left="709" w:hanging="709"/>
        <w:rPr>
          <w:rFonts w:cs="Arial"/>
          <w:b/>
        </w:rPr>
      </w:pPr>
      <w:r>
        <w:rPr>
          <w:rFonts w:cs="Arial"/>
        </w:rPr>
        <w:t>The c</w:t>
      </w:r>
      <w:r w:rsidR="00324B65" w:rsidRPr="008C6B90">
        <w:rPr>
          <w:rFonts w:cs="Arial"/>
        </w:rPr>
        <w:t>ouncil engages with the communities of Lancashire in a number of ways:</w:t>
      </w:r>
    </w:p>
    <w:p w14:paraId="5BC9A539" w14:textId="77777777" w:rsidR="00324B65" w:rsidRPr="008C6B90" w:rsidRDefault="00324B65" w:rsidP="00324B65">
      <w:pPr>
        <w:ind w:left="1134" w:hanging="425"/>
        <w:rPr>
          <w:rFonts w:cs="Arial"/>
        </w:rPr>
      </w:pPr>
    </w:p>
    <w:p w14:paraId="61D450D3" w14:textId="77777777" w:rsidR="00324B65" w:rsidRPr="008C6B90" w:rsidRDefault="00324B65" w:rsidP="00717919">
      <w:pPr>
        <w:pStyle w:val="ListParagraph"/>
        <w:numPr>
          <w:ilvl w:val="0"/>
          <w:numId w:val="58"/>
        </w:numPr>
        <w:autoSpaceDE/>
        <w:autoSpaceDN/>
        <w:adjustRightInd/>
        <w:spacing w:after="0"/>
        <w:ind w:left="1134" w:hanging="425"/>
        <w:contextualSpacing w:val="0"/>
        <w:outlineLvl w:val="0"/>
        <w:rPr>
          <w:rFonts w:cs="Arial"/>
          <w:b/>
        </w:rPr>
      </w:pPr>
      <w:r w:rsidRPr="008C6B90">
        <w:rPr>
          <w:rFonts w:cs="Arial"/>
        </w:rPr>
        <w:t>High profile communication campaigns to encourage communities to take up our services or help change behaviours;</w:t>
      </w:r>
    </w:p>
    <w:p w14:paraId="292D95AE" w14:textId="77777777" w:rsidR="00324B65" w:rsidRPr="008C6B90" w:rsidRDefault="00324B65" w:rsidP="00717919">
      <w:pPr>
        <w:pStyle w:val="ListParagraph"/>
        <w:numPr>
          <w:ilvl w:val="0"/>
          <w:numId w:val="58"/>
        </w:numPr>
        <w:autoSpaceDE/>
        <w:autoSpaceDN/>
        <w:adjustRightInd/>
        <w:spacing w:after="0"/>
        <w:ind w:left="1134" w:hanging="425"/>
        <w:contextualSpacing w:val="0"/>
        <w:outlineLvl w:val="0"/>
        <w:rPr>
          <w:rFonts w:cs="Arial"/>
          <w:b/>
        </w:rPr>
      </w:pPr>
      <w:r w:rsidRPr="008C6B90">
        <w:rPr>
          <w:rFonts w:cs="Arial"/>
        </w:rPr>
        <w:t>Use of traditional and new media channels to keep residents informed of our activities;</w:t>
      </w:r>
    </w:p>
    <w:p w14:paraId="54D404AF" w14:textId="77777777" w:rsidR="00324B65" w:rsidRPr="008C6B90" w:rsidRDefault="00324B65" w:rsidP="00717919">
      <w:pPr>
        <w:pStyle w:val="ListParagraph"/>
        <w:numPr>
          <w:ilvl w:val="0"/>
          <w:numId w:val="58"/>
        </w:numPr>
        <w:autoSpaceDE/>
        <w:autoSpaceDN/>
        <w:adjustRightInd/>
        <w:spacing w:after="0"/>
        <w:ind w:left="1134" w:hanging="425"/>
        <w:contextualSpacing w:val="0"/>
        <w:outlineLvl w:val="0"/>
        <w:rPr>
          <w:rFonts w:cs="Arial"/>
          <w:b/>
        </w:rPr>
      </w:pPr>
      <w:r w:rsidRPr="008C6B90">
        <w:rPr>
          <w:rFonts w:cs="Arial"/>
        </w:rPr>
        <w:t>Encouraging elected members to use social media;</w:t>
      </w:r>
    </w:p>
    <w:p w14:paraId="64C48A8F" w14:textId="2A125F48" w:rsidR="00324B65" w:rsidRPr="008C6B90" w:rsidRDefault="008F2A0C" w:rsidP="00717919">
      <w:pPr>
        <w:pStyle w:val="ListParagraph"/>
        <w:numPr>
          <w:ilvl w:val="0"/>
          <w:numId w:val="58"/>
        </w:numPr>
        <w:autoSpaceDE/>
        <w:autoSpaceDN/>
        <w:adjustRightInd/>
        <w:spacing w:after="0"/>
        <w:ind w:left="1134" w:hanging="425"/>
        <w:contextualSpacing w:val="0"/>
        <w:outlineLvl w:val="0"/>
        <w:rPr>
          <w:rFonts w:cs="Arial"/>
          <w:b/>
        </w:rPr>
      </w:pPr>
      <w:r>
        <w:rPr>
          <w:rFonts w:cs="Arial"/>
        </w:rPr>
        <w:t>Webcasting of c</w:t>
      </w:r>
      <w:r w:rsidR="00324B65" w:rsidRPr="008C6B90">
        <w:rPr>
          <w:rFonts w:cs="Arial"/>
        </w:rPr>
        <w:t xml:space="preserve">ouncil and </w:t>
      </w:r>
      <w:r w:rsidR="00CE0E4F">
        <w:rPr>
          <w:rFonts w:cs="Arial"/>
        </w:rPr>
        <w:t>c</w:t>
      </w:r>
      <w:r w:rsidR="00324B65" w:rsidRPr="008C6B90">
        <w:rPr>
          <w:rFonts w:cs="Arial"/>
        </w:rPr>
        <w:t xml:space="preserve">ommittee meetings; </w:t>
      </w:r>
    </w:p>
    <w:p w14:paraId="630479BF" w14:textId="77777777" w:rsidR="00324B65" w:rsidRPr="008C6B90" w:rsidRDefault="00324B65" w:rsidP="00717919">
      <w:pPr>
        <w:pStyle w:val="ListParagraph"/>
        <w:numPr>
          <w:ilvl w:val="0"/>
          <w:numId w:val="58"/>
        </w:numPr>
        <w:autoSpaceDE/>
        <w:autoSpaceDN/>
        <w:adjustRightInd/>
        <w:spacing w:after="0"/>
        <w:ind w:left="1134" w:hanging="425"/>
        <w:contextualSpacing w:val="0"/>
        <w:outlineLvl w:val="0"/>
        <w:rPr>
          <w:rFonts w:cs="Arial"/>
          <w:b/>
        </w:rPr>
      </w:pPr>
      <w:r w:rsidRPr="008C6B90">
        <w:rPr>
          <w:rFonts w:cs="Arial"/>
        </w:rPr>
        <w:t>Member representation on neighbourhood management boards across Lancashire;</w:t>
      </w:r>
    </w:p>
    <w:p w14:paraId="3DBF8082" w14:textId="77777777" w:rsidR="00324B65" w:rsidRPr="008C6B90" w:rsidRDefault="00324B65" w:rsidP="00717919">
      <w:pPr>
        <w:pStyle w:val="ListParagraph"/>
        <w:numPr>
          <w:ilvl w:val="0"/>
          <w:numId w:val="58"/>
        </w:numPr>
        <w:autoSpaceDE/>
        <w:autoSpaceDN/>
        <w:adjustRightInd/>
        <w:spacing w:after="0"/>
        <w:ind w:left="1134" w:hanging="425"/>
        <w:contextualSpacing w:val="0"/>
        <w:rPr>
          <w:rFonts w:cs="Arial"/>
          <w:b/>
        </w:rPr>
      </w:pPr>
      <w:r w:rsidRPr="008C6B90">
        <w:rPr>
          <w:rFonts w:cs="Arial"/>
        </w:rPr>
        <w:t>Using our residents' panel Living in Lancashire to inform priorities and measure service experience;</w:t>
      </w:r>
    </w:p>
    <w:p w14:paraId="76B1D92F" w14:textId="77777777" w:rsidR="00324B65" w:rsidRPr="008C6B90" w:rsidRDefault="00324B65" w:rsidP="00717919">
      <w:pPr>
        <w:pStyle w:val="ListParagraph"/>
        <w:numPr>
          <w:ilvl w:val="0"/>
          <w:numId w:val="58"/>
        </w:numPr>
        <w:autoSpaceDE/>
        <w:autoSpaceDN/>
        <w:adjustRightInd/>
        <w:spacing w:after="0"/>
        <w:ind w:left="1134" w:hanging="425"/>
        <w:contextualSpacing w:val="0"/>
        <w:rPr>
          <w:rFonts w:cs="Arial"/>
          <w:b/>
        </w:rPr>
      </w:pPr>
      <w:r w:rsidRPr="008C6B90">
        <w:rPr>
          <w:rFonts w:cs="Arial"/>
        </w:rPr>
        <w:lastRenderedPageBreak/>
        <w:t xml:space="preserve">Talking regularly with service users and communities to understand their service needs; and </w:t>
      </w:r>
    </w:p>
    <w:p w14:paraId="1FE5D7BD" w14:textId="77777777" w:rsidR="00324B65" w:rsidRPr="008C6B90" w:rsidRDefault="00324B65" w:rsidP="00717919">
      <w:pPr>
        <w:pStyle w:val="ListParagraph"/>
        <w:numPr>
          <w:ilvl w:val="0"/>
          <w:numId w:val="58"/>
        </w:numPr>
        <w:autoSpaceDE/>
        <w:autoSpaceDN/>
        <w:adjustRightInd/>
        <w:spacing w:after="0"/>
        <w:ind w:left="1134" w:hanging="425"/>
        <w:contextualSpacing w:val="0"/>
        <w:rPr>
          <w:rFonts w:cs="Arial"/>
          <w:b/>
        </w:rPr>
      </w:pPr>
      <w:r w:rsidRPr="008C6B90">
        <w:rPr>
          <w:rFonts w:cs="Arial"/>
        </w:rPr>
        <w:t>Consulting on changes we are planning to make.</w:t>
      </w:r>
    </w:p>
    <w:p w14:paraId="4F922448" w14:textId="77777777" w:rsidR="00324B65" w:rsidRPr="008C6B90" w:rsidRDefault="00324B65" w:rsidP="00324B65">
      <w:pPr>
        <w:ind w:left="1134" w:hanging="425"/>
        <w:rPr>
          <w:rFonts w:cs="Arial"/>
          <w:b/>
        </w:rPr>
      </w:pPr>
    </w:p>
    <w:p w14:paraId="3486C7F5" w14:textId="6C770E3B" w:rsidR="00324B65" w:rsidRPr="006A1DEC" w:rsidRDefault="00324B65" w:rsidP="004709A4">
      <w:pPr>
        <w:rPr>
          <w:rFonts w:cs="Arial"/>
          <w:b/>
        </w:rPr>
      </w:pPr>
      <w:r w:rsidRPr="006A1DEC">
        <w:rPr>
          <w:rFonts w:cs="Arial"/>
          <w:b/>
        </w:rPr>
        <w:t>Translating the vi</w:t>
      </w:r>
      <w:r w:rsidR="008F2A0C">
        <w:rPr>
          <w:rFonts w:cs="Arial"/>
          <w:b/>
        </w:rPr>
        <w:t>sion into objectives for the c</w:t>
      </w:r>
      <w:r w:rsidR="00CE0E4F">
        <w:rPr>
          <w:rFonts w:cs="Arial"/>
          <w:b/>
        </w:rPr>
        <w:t>ouncil and its p</w:t>
      </w:r>
      <w:r w:rsidRPr="006A1DEC">
        <w:rPr>
          <w:rFonts w:cs="Arial"/>
          <w:b/>
        </w:rPr>
        <w:t>artnerships</w:t>
      </w:r>
    </w:p>
    <w:p w14:paraId="31B1C7C3" w14:textId="77777777" w:rsidR="00324B65" w:rsidRPr="008C6B90" w:rsidRDefault="00324B65" w:rsidP="00324B65">
      <w:pPr>
        <w:ind w:left="709"/>
        <w:rPr>
          <w:rFonts w:cs="Arial"/>
          <w:b/>
        </w:rPr>
      </w:pPr>
    </w:p>
    <w:p w14:paraId="0C4961CE" w14:textId="668B1766" w:rsidR="00324B65" w:rsidRDefault="00324B65" w:rsidP="004709A4">
      <w:pPr>
        <w:outlineLvl w:val="0"/>
        <w:rPr>
          <w:rFonts w:cs="Arial"/>
        </w:rPr>
      </w:pPr>
      <w:r w:rsidRPr="008C6B90">
        <w:rPr>
          <w:rFonts w:cs="Arial"/>
        </w:rPr>
        <w:t xml:space="preserve">As part of developing the new </w:t>
      </w:r>
      <w:r>
        <w:rPr>
          <w:rFonts w:cs="Arial"/>
        </w:rPr>
        <w:t>C</w:t>
      </w:r>
      <w:r w:rsidRPr="008C6B90">
        <w:rPr>
          <w:rFonts w:cs="Arial"/>
        </w:rPr>
        <w:t xml:space="preserve">orporate </w:t>
      </w:r>
      <w:r>
        <w:rPr>
          <w:rFonts w:cs="Arial"/>
        </w:rPr>
        <w:t>S</w:t>
      </w:r>
      <w:r w:rsidR="008F2A0C">
        <w:rPr>
          <w:rFonts w:cs="Arial"/>
        </w:rPr>
        <w:t>trategy the c</w:t>
      </w:r>
      <w:r w:rsidRPr="008C6B90">
        <w:rPr>
          <w:rFonts w:cs="Arial"/>
        </w:rPr>
        <w:t xml:space="preserve">ouncil's vision will be underpinned by a set of objectives that will be clearly articulated to both partners and the Lancashire public. A new set of performance measures will also be adopted so that progress against the objectives can be monitored and appropriately </w:t>
      </w:r>
      <w:r w:rsidRPr="00C75D32">
        <w:rPr>
          <w:rFonts w:cs="Arial"/>
        </w:rPr>
        <w:t>managed.</w:t>
      </w:r>
    </w:p>
    <w:p w14:paraId="7639C6C4" w14:textId="77777777" w:rsidR="00324B65" w:rsidRDefault="00324B65" w:rsidP="00324B65">
      <w:pPr>
        <w:ind w:left="709" w:hanging="709"/>
        <w:outlineLvl w:val="0"/>
        <w:rPr>
          <w:rFonts w:cs="Arial"/>
        </w:rPr>
      </w:pPr>
    </w:p>
    <w:p w14:paraId="218B507B" w14:textId="372A8A6C" w:rsidR="00324B65" w:rsidRDefault="008F2A0C" w:rsidP="004709A4">
      <w:pPr>
        <w:outlineLvl w:val="0"/>
        <w:rPr>
          <w:rFonts w:cs="Arial"/>
        </w:rPr>
      </w:pPr>
      <w:r>
        <w:rPr>
          <w:rFonts w:cs="Arial"/>
        </w:rPr>
        <w:t>During 2014/15 the c</w:t>
      </w:r>
      <w:r w:rsidR="00324B65">
        <w:rPr>
          <w:rFonts w:cs="Arial"/>
        </w:rPr>
        <w:t>ouncil's current priorit</w:t>
      </w:r>
      <w:r>
        <w:rPr>
          <w:rFonts w:cs="Arial"/>
        </w:rPr>
        <w:t>ies have been published on the c</w:t>
      </w:r>
      <w:r w:rsidR="00324B65">
        <w:rPr>
          <w:rFonts w:cs="Arial"/>
        </w:rPr>
        <w:t xml:space="preserve">ouncil's website pending the development of a new Corporate Strategy. To that end Management Team has been working throughout the latter </w:t>
      </w:r>
      <w:r>
        <w:rPr>
          <w:rFonts w:cs="Arial"/>
        </w:rPr>
        <w:t>part of 2014/15 to develop the c</w:t>
      </w:r>
      <w:r w:rsidR="00324B65">
        <w:rPr>
          <w:rFonts w:cs="Arial"/>
        </w:rPr>
        <w:t xml:space="preserve">ouncil's vision and values. </w:t>
      </w:r>
    </w:p>
    <w:p w14:paraId="789B3B26" w14:textId="77777777" w:rsidR="00324B65" w:rsidRPr="008C6B90" w:rsidRDefault="00324B65" w:rsidP="00324B65">
      <w:pPr>
        <w:ind w:firstLine="709"/>
        <w:outlineLvl w:val="0"/>
        <w:rPr>
          <w:rFonts w:cs="Arial"/>
          <w:b/>
        </w:rPr>
      </w:pPr>
    </w:p>
    <w:p w14:paraId="064FD719" w14:textId="0A54235F" w:rsidR="00324B65" w:rsidRDefault="00324B65" w:rsidP="003931E0">
      <w:pPr>
        <w:outlineLvl w:val="0"/>
        <w:rPr>
          <w:rFonts w:cs="Arial"/>
          <w:b/>
        </w:rPr>
      </w:pPr>
      <w:r w:rsidRPr="006A1DEC">
        <w:rPr>
          <w:rFonts w:cs="Arial"/>
          <w:b/>
        </w:rPr>
        <w:t>Measuring the quality of services for users, ensuring that they are de</w:t>
      </w:r>
      <w:r w:rsidR="008F2A0C">
        <w:rPr>
          <w:rFonts w:cs="Arial"/>
          <w:b/>
        </w:rPr>
        <w:t>livered in accordance with the c</w:t>
      </w:r>
      <w:r w:rsidRPr="006A1DEC">
        <w:rPr>
          <w:rFonts w:cs="Arial"/>
          <w:b/>
        </w:rPr>
        <w:t xml:space="preserve">ouncil's </w:t>
      </w:r>
      <w:r w:rsidRPr="006A1DEC">
        <w:rPr>
          <w:rFonts w:cs="Arial"/>
          <w:b/>
        </w:rPr>
        <w:lastRenderedPageBreak/>
        <w:t xml:space="preserve">objectives and for ensuring that they represent the best use of resources and value for money </w:t>
      </w:r>
    </w:p>
    <w:p w14:paraId="58DD9E25" w14:textId="77777777" w:rsidR="003931E0" w:rsidRDefault="003931E0" w:rsidP="003931E0">
      <w:pPr>
        <w:outlineLvl w:val="0"/>
        <w:rPr>
          <w:rFonts w:cs="Arial"/>
        </w:rPr>
      </w:pPr>
    </w:p>
    <w:p w14:paraId="3FFB968D" w14:textId="328D5372" w:rsidR="00324B65" w:rsidRPr="00975F31" w:rsidRDefault="00324B65" w:rsidP="00324B65">
      <w:pPr>
        <w:tabs>
          <w:tab w:val="left" w:pos="709"/>
        </w:tabs>
        <w:ind w:left="1134" w:hanging="1134"/>
        <w:outlineLvl w:val="0"/>
        <w:rPr>
          <w:rFonts w:cs="Arial"/>
        </w:rPr>
      </w:pPr>
      <w:r>
        <w:rPr>
          <w:rFonts w:cs="Arial"/>
        </w:rPr>
        <w:tab/>
      </w:r>
      <w:r w:rsidRPr="00B45057">
        <w:rPr>
          <w:rFonts w:cs="Arial"/>
          <w:sz w:val="36"/>
          <w:szCs w:val="36"/>
        </w:rPr>
        <w:t>•</w:t>
      </w:r>
      <w:r w:rsidRPr="008C6B90">
        <w:rPr>
          <w:rFonts w:cs="Arial"/>
        </w:rPr>
        <w:tab/>
      </w:r>
      <w:r w:rsidRPr="00975F31">
        <w:rPr>
          <w:rFonts w:cs="Arial"/>
        </w:rPr>
        <w:t xml:space="preserve">Using our residents' panel </w:t>
      </w:r>
      <w:r w:rsidRPr="00566317">
        <w:rPr>
          <w:rFonts w:cs="Arial"/>
          <w:i/>
        </w:rPr>
        <w:t>"Living in Lancashire"</w:t>
      </w:r>
      <w:r w:rsidRPr="00975F31">
        <w:rPr>
          <w:rFonts w:cs="Arial"/>
        </w:rPr>
        <w:t xml:space="preserve"> to inform priorities and measure service experience;</w:t>
      </w:r>
    </w:p>
    <w:p w14:paraId="31CB691A" w14:textId="77777777" w:rsidR="00324B65" w:rsidRPr="00975F31" w:rsidRDefault="00324B65" w:rsidP="00717919">
      <w:pPr>
        <w:pStyle w:val="ListParagraph"/>
        <w:numPr>
          <w:ilvl w:val="0"/>
          <w:numId w:val="61"/>
        </w:numPr>
        <w:autoSpaceDE/>
        <w:autoSpaceDN/>
        <w:adjustRightInd/>
        <w:spacing w:after="0"/>
        <w:ind w:left="1134" w:hanging="425"/>
        <w:contextualSpacing w:val="0"/>
        <w:outlineLvl w:val="0"/>
        <w:rPr>
          <w:rFonts w:cs="Arial"/>
          <w:b/>
        </w:rPr>
      </w:pPr>
      <w:r w:rsidRPr="00975F31">
        <w:rPr>
          <w:rFonts w:cs="Arial"/>
        </w:rPr>
        <w:t xml:space="preserve">Talking regularly with service users and communities to understand their service needs; and </w:t>
      </w:r>
    </w:p>
    <w:p w14:paraId="638BE807" w14:textId="77777777" w:rsidR="00324B65" w:rsidRPr="00975F31" w:rsidRDefault="00324B65" w:rsidP="00717919">
      <w:pPr>
        <w:pStyle w:val="ListParagraph"/>
        <w:numPr>
          <w:ilvl w:val="0"/>
          <w:numId w:val="61"/>
        </w:numPr>
        <w:autoSpaceDE/>
        <w:autoSpaceDN/>
        <w:adjustRightInd/>
        <w:spacing w:after="0"/>
        <w:ind w:left="1134" w:hanging="425"/>
        <w:contextualSpacing w:val="0"/>
        <w:outlineLvl w:val="0"/>
        <w:rPr>
          <w:rFonts w:cs="Arial"/>
          <w:b/>
        </w:rPr>
      </w:pPr>
      <w:r w:rsidRPr="00975F31">
        <w:rPr>
          <w:rFonts w:cs="Arial"/>
        </w:rPr>
        <w:t>Consulting on changes we are planning to make</w:t>
      </w:r>
    </w:p>
    <w:p w14:paraId="09514FBB" w14:textId="77777777" w:rsidR="00324B65" w:rsidRPr="008C6B90" w:rsidRDefault="00324B65" w:rsidP="00324B65">
      <w:pPr>
        <w:ind w:left="709"/>
        <w:outlineLvl w:val="0"/>
        <w:rPr>
          <w:rFonts w:cs="Arial"/>
          <w:b/>
        </w:rPr>
      </w:pPr>
    </w:p>
    <w:p w14:paraId="0F6C5DBA" w14:textId="30024112" w:rsidR="00324B65" w:rsidRPr="006A1DEC" w:rsidRDefault="00324B65" w:rsidP="004709A4">
      <w:pPr>
        <w:outlineLvl w:val="0"/>
        <w:rPr>
          <w:rFonts w:cs="Arial"/>
          <w:i/>
        </w:rPr>
      </w:pPr>
      <w:r w:rsidRPr="006A1DEC">
        <w:rPr>
          <w:rFonts w:cs="Arial"/>
          <w:b/>
        </w:rPr>
        <w:t>Defining and documenting the roles and responsibilities of the Executive, Non-Executive, Scrutiny and officer functions, with clear delegation arrangements and protocols for effective c</w:t>
      </w:r>
      <w:r w:rsidR="008F2A0C">
        <w:rPr>
          <w:rFonts w:cs="Arial"/>
          <w:b/>
        </w:rPr>
        <w:t>ommunication in respect of the c</w:t>
      </w:r>
      <w:r w:rsidRPr="006A1DEC">
        <w:rPr>
          <w:rFonts w:cs="Arial"/>
          <w:b/>
        </w:rPr>
        <w:t>ounc</w:t>
      </w:r>
      <w:r w:rsidR="00CE0E4F">
        <w:rPr>
          <w:rFonts w:cs="Arial"/>
          <w:b/>
        </w:rPr>
        <w:t>il and p</w:t>
      </w:r>
      <w:r w:rsidR="006A1DEC">
        <w:rPr>
          <w:rFonts w:cs="Arial"/>
          <w:b/>
        </w:rPr>
        <w:t>artnership arrangements</w:t>
      </w:r>
      <w:r w:rsidRPr="006A1DEC">
        <w:rPr>
          <w:rFonts w:cs="Arial"/>
          <w:i/>
        </w:rPr>
        <w:t xml:space="preserve"> </w:t>
      </w:r>
    </w:p>
    <w:p w14:paraId="4B54632A" w14:textId="77777777" w:rsidR="00324B65" w:rsidRPr="008C6B90" w:rsidRDefault="00324B65" w:rsidP="00324B65">
      <w:pPr>
        <w:ind w:left="709"/>
        <w:outlineLvl w:val="0"/>
        <w:rPr>
          <w:rFonts w:cs="Arial"/>
          <w:i/>
        </w:rPr>
      </w:pPr>
    </w:p>
    <w:p w14:paraId="7F6D1DBE" w14:textId="77777777" w:rsidR="00324B65" w:rsidRPr="006A1DEC" w:rsidRDefault="00324B65" w:rsidP="004709A4">
      <w:pPr>
        <w:outlineLvl w:val="0"/>
        <w:rPr>
          <w:rFonts w:cs="Arial"/>
          <w:b/>
        </w:rPr>
      </w:pPr>
      <w:r w:rsidRPr="006A1DEC">
        <w:rPr>
          <w:rFonts w:cs="Arial"/>
          <w:b/>
        </w:rPr>
        <w:t>Decision-making and conduct</w:t>
      </w:r>
    </w:p>
    <w:p w14:paraId="181AF9E9" w14:textId="77777777" w:rsidR="00324B65" w:rsidRPr="008C6B90" w:rsidRDefault="00324B65" w:rsidP="00324B65">
      <w:pPr>
        <w:ind w:left="709"/>
        <w:outlineLvl w:val="0"/>
        <w:rPr>
          <w:rFonts w:cs="Arial"/>
          <w:b/>
        </w:rPr>
      </w:pPr>
    </w:p>
    <w:p w14:paraId="5DF22B19" w14:textId="67A1B873" w:rsidR="00324B65" w:rsidRPr="008C6B90" w:rsidRDefault="008F2A0C" w:rsidP="004709A4">
      <w:pPr>
        <w:rPr>
          <w:rFonts w:cs="Arial"/>
        </w:rPr>
      </w:pPr>
      <w:r>
        <w:rPr>
          <w:rFonts w:cs="Arial"/>
        </w:rPr>
        <w:t>The c</w:t>
      </w:r>
      <w:r w:rsidR="00324B65" w:rsidRPr="008C6B90">
        <w:rPr>
          <w:rFonts w:cs="Arial"/>
        </w:rPr>
        <w:t xml:space="preserve">ouncil operates a leader and cabinet model of executive government with a Cabinet </w:t>
      </w:r>
      <w:r w:rsidR="00CE0E4F">
        <w:rPr>
          <w:rFonts w:cs="Arial"/>
        </w:rPr>
        <w:t>of eight members including the leader and deputy leader of the c</w:t>
      </w:r>
      <w:r w:rsidR="00324B65" w:rsidRPr="008C6B90">
        <w:rPr>
          <w:rFonts w:cs="Arial"/>
        </w:rPr>
        <w:t>ouncil. The resp</w:t>
      </w:r>
      <w:r w:rsidR="00CE0E4F">
        <w:rPr>
          <w:rFonts w:cs="Arial"/>
        </w:rPr>
        <w:t>onsibilities of the individual c</w:t>
      </w:r>
      <w:r w:rsidR="00324B65" w:rsidRPr="008C6B90">
        <w:rPr>
          <w:rFonts w:cs="Arial"/>
        </w:rPr>
        <w:t>abin</w:t>
      </w:r>
      <w:r w:rsidR="00CE0E4F">
        <w:rPr>
          <w:rFonts w:cs="Arial"/>
        </w:rPr>
        <w:t>et m</w:t>
      </w:r>
      <w:r>
        <w:rPr>
          <w:rFonts w:cs="Arial"/>
        </w:rPr>
        <w:t>embers are outlined in the c</w:t>
      </w:r>
      <w:r w:rsidR="00324B65" w:rsidRPr="008C6B90">
        <w:rPr>
          <w:rFonts w:cs="Arial"/>
        </w:rPr>
        <w:t xml:space="preserve">ouncil's constitution. </w:t>
      </w:r>
      <w:r w:rsidR="00324B65" w:rsidRPr="008C6B90">
        <w:rPr>
          <w:rFonts w:cs="Arial"/>
        </w:rPr>
        <w:lastRenderedPageBreak/>
        <w:t>In 2014/15, a full review of the council's decision making arrangements was undertaken via a member</w:t>
      </w:r>
      <w:r w:rsidR="00324B65">
        <w:rPr>
          <w:rFonts w:cs="Arial"/>
        </w:rPr>
        <w:t>/</w:t>
      </w:r>
      <w:r w:rsidR="00324B65" w:rsidRPr="008C6B90">
        <w:rPr>
          <w:rFonts w:cs="Arial"/>
        </w:rPr>
        <w:t xml:space="preserve">officer working group, reporting to </w:t>
      </w:r>
      <w:r w:rsidR="00324B65">
        <w:rPr>
          <w:rFonts w:cs="Arial"/>
        </w:rPr>
        <w:t>F</w:t>
      </w:r>
      <w:r w:rsidR="00324B65" w:rsidRPr="008C6B90">
        <w:rPr>
          <w:rFonts w:cs="Arial"/>
        </w:rPr>
        <w:t xml:space="preserve">ull </w:t>
      </w:r>
      <w:r w:rsidR="00324B65">
        <w:rPr>
          <w:rFonts w:cs="Arial"/>
        </w:rPr>
        <w:t>C</w:t>
      </w:r>
      <w:r w:rsidR="00324B65" w:rsidRPr="008C6B90">
        <w:rPr>
          <w:rFonts w:cs="Arial"/>
        </w:rPr>
        <w:t xml:space="preserve">ouncil. Detailed alternative options for a committee system and a "hybrid" system were drafted, and the outcome of the review was to maintain the current </w:t>
      </w:r>
      <w:r w:rsidR="00324B65">
        <w:rPr>
          <w:rFonts w:cs="Arial"/>
        </w:rPr>
        <w:t>C</w:t>
      </w:r>
      <w:r w:rsidR="00324B65" w:rsidRPr="008C6B90">
        <w:rPr>
          <w:rFonts w:cs="Arial"/>
        </w:rPr>
        <w:t>abinet model. The working group continues to meet at the request of Full Council to consider some aspects of the decision making arrangements, such as Full Council procedures and the roles of some committees</w:t>
      </w:r>
      <w:r w:rsidR="00324B65">
        <w:rPr>
          <w:rFonts w:cs="Arial"/>
        </w:rPr>
        <w:t>.</w:t>
      </w:r>
      <w:r w:rsidR="00324B65" w:rsidRPr="008C6B90">
        <w:rPr>
          <w:rFonts w:cs="Arial"/>
        </w:rPr>
        <w:t xml:space="preserve"> </w:t>
      </w:r>
    </w:p>
    <w:p w14:paraId="2E6C348D" w14:textId="77777777" w:rsidR="00324B65" w:rsidRPr="008C6B90" w:rsidRDefault="00324B65" w:rsidP="00324B65">
      <w:pPr>
        <w:ind w:left="724" w:hanging="724"/>
        <w:rPr>
          <w:rFonts w:cs="Arial"/>
        </w:rPr>
      </w:pPr>
    </w:p>
    <w:p w14:paraId="0828D03B" w14:textId="0AAE92E2" w:rsidR="00324B65" w:rsidRPr="008C6B90" w:rsidRDefault="00324B65" w:rsidP="004709A4">
      <w:r w:rsidRPr="008C6B90">
        <w:t>The Scheme of Delegation to officers is intended to enable decisions to be taken at the most appropriate and effective level. The Scheme of Delegation has been reviewed, and a new scheme introduced from 1 April</w:t>
      </w:r>
      <w:r w:rsidR="00CE0E4F">
        <w:t xml:space="preserve"> 2015. The new scheme empowers heads of s</w:t>
      </w:r>
      <w:r w:rsidRPr="008C6B90">
        <w:t xml:space="preserve">ervice in the new organisational structure to take all decisions within their area of responsibility, except for those reserved to </w:t>
      </w:r>
      <w:r>
        <w:t>C</w:t>
      </w:r>
      <w:r w:rsidRPr="008C6B90">
        <w:t xml:space="preserve">abinet or </w:t>
      </w:r>
      <w:r w:rsidR="00CE0E4F">
        <w:t>c</w:t>
      </w:r>
      <w:r w:rsidRPr="008C6B90">
        <w:t>abinet members</w:t>
      </w:r>
      <w:r>
        <w:t xml:space="preserve"> or committees</w:t>
      </w:r>
      <w:r w:rsidRPr="008C6B90">
        <w:t xml:space="preserve">. </w:t>
      </w:r>
    </w:p>
    <w:p w14:paraId="20C91418" w14:textId="77777777" w:rsidR="00324B65" w:rsidRPr="008C6B90" w:rsidRDefault="00324B65" w:rsidP="00324B65">
      <w:pPr>
        <w:pStyle w:val="ListParagraph"/>
        <w:spacing w:after="0"/>
        <w:ind w:left="709"/>
        <w:rPr>
          <w:rFonts w:cs="Arial"/>
          <w:b/>
        </w:rPr>
      </w:pPr>
    </w:p>
    <w:p w14:paraId="5D149A15" w14:textId="1A680C2B" w:rsidR="00324B65" w:rsidRDefault="008F2A0C" w:rsidP="004709A4">
      <w:pPr>
        <w:rPr>
          <w:rFonts w:cs="Arial"/>
        </w:rPr>
      </w:pPr>
      <w:r>
        <w:rPr>
          <w:rFonts w:cs="Arial"/>
        </w:rPr>
        <w:t>The c</w:t>
      </w:r>
      <w:r w:rsidR="00324B65" w:rsidRPr="008C6B90">
        <w:rPr>
          <w:rFonts w:cs="Arial"/>
        </w:rPr>
        <w:t>ouncil operates a decision making protocol, which is regularly reviewed to ensure the legal and financi</w:t>
      </w:r>
      <w:r>
        <w:rPr>
          <w:rFonts w:cs="Arial"/>
        </w:rPr>
        <w:t>al probity of decisions of the c</w:t>
      </w:r>
      <w:r w:rsidR="00324B65" w:rsidRPr="008C6B90">
        <w:rPr>
          <w:rFonts w:cs="Arial"/>
        </w:rPr>
        <w:t xml:space="preserve">ouncil, the executive and </w:t>
      </w:r>
      <w:r w:rsidR="00CE0E4F">
        <w:rPr>
          <w:rFonts w:cs="Arial"/>
        </w:rPr>
        <w:t>c</w:t>
      </w:r>
      <w:r w:rsidR="00324B65" w:rsidRPr="008C6B90">
        <w:rPr>
          <w:rFonts w:cs="Arial"/>
        </w:rPr>
        <w:t>ommittees.  New software has been embedded to support consistency and good governance in decision making</w:t>
      </w:r>
      <w:r w:rsidR="00324B65">
        <w:rPr>
          <w:rFonts w:cs="Arial"/>
        </w:rPr>
        <w:t xml:space="preserve">.  </w:t>
      </w:r>
      <w:r w:rsidR="00324B65" w:rsidRPr="008C6B90">
        <w:rPr>
          <w:rFonts w:cs="Arial"/>
        </w:rPr>
        <w:t>Decision making rules a</w:t>
      </w:r>
      <w:r>
        <w:rPr>
          <w:rFonts w:cs="Arial"/>
        </w:rPr>
        <w:t>re clearly outlined within the c</w:t>
      </w:r>
      <w:r w:rsidR="00324B65" w:rsidRPr="008C6B90">
        <w:rPr>
          <w:rFonts w:cs="Arial"/>
        </w:rPr>
        <w:t>ouncil's constitution.</w:t>
      </w:r>
    </w:p>
    <w:p w14:paraId="7A680EC3" w14:textId="77777777" w:rsidR="00324B65" w:rsidRDefault="00324B65" w:rsidP="00324B65">
      <w:pPr>
        <w:ind w:left="709" w:hanging="709"/>
        <w:rPr>
          <w:rFonts w:cs="Arial"/>
        </w:rPr>
      </w:pPr>
    </w:p>
    <w:p w14:paraId="050B47B4" w14:textId="77777777" w:rsidR="00324B65" w:rsidRPr="006A1DEC" w:rsidRDefault="00324B65" w:rsidP="004709A4">
      <w:pPr>
        <w:outlineLvl w:val="0"/>
        <w:rPr>
          <w:rFonts w:cs="Arial"/>
          <w:b/>
        </w:rPr>
      </w:pPr>
      <w:r w:rsidRPr="006A1DEC">
        <w:rPr>
          <w:rFonts w:cs="Arial"/>
          <w:b/>
        </w:rPr>
        <w:t xml:space="preserve">Scrutiny </w:t>
      </w:r>
    </w:p>
    <w:p w14:paraId="1E541219" w14:textId="4978802D" w:rsidR="00324B65" w:rsidRDefault="008F2A0C" w:rsidP="00324B65">
      <w:pPr>
        <w:ind w:left="709" w:hanging="709"/>
        <w:rPr>
          <w:rFonts w:cs="Arial"/>
        </w:rPr>
      </w:pPr>
      <w:r>
        <w:rPr>
          <w:rFonts w:cs="Arial"/>
        </w:rPr>
        <w:t>The c</w:t>
      </w:r>
      <w:r w:rsidR="00324B65" w:rsidRPr="008C6B90">
        <w:rPr>
          <w:rFonts w:cs="Arial"/>
        </w:rPr>
        <w:t xml:space="preserve">ouncil has four scrutiny committees. </w:t>
      </w:r>
    </w:p>
    <w:p w14:paraId="1A4714D6" w14:textId="77777777" w:rsidR="00324B65" w:rsidRPr="008C6B90" w:rsidRDefault="00324B65" w:rsidP="00324B65">
      <w:pPr>
        <w:ind w:left="709" w:hanging="709"/>
        <w:rPr>
          <w:rFonts w:cs="Arial"/>
        </w:rPr>
      </w:pPr>
    </w:p>
    <w:p w14:paraId="33F721B8" w14:textId="022640DC" w:rsidR="00324B65" w:rsidRPr="004251FC" w:rsidRDefault="00324B65" w:rsidP="00717919">
      <w:pPr>
        <w:pStyle w:val="ListParagraph"/>
        <w:numPr>
          <w:ilvl w:val="0"/>
          <w:numId w:val="59"/>
        </w:numPr>
        <w:autoSpaceDE/>
        <w:autoSpaceDN/>
        <w:adjustRightInd/>
        <w:spacing w:after="0"/>
        <w:ind w:left="1134" w:hanging="425"/>
        <w:contextualSpacing w:val="0"/>
        <w:outlineLvl w:val="0"/>
        <w:rPr>
          <w:rFonts w:cs="Arial"/>
          <w:b/>
        </w:rPr>
      </w:pPr>
      <w:r w:rsidRPr="004251FC">
        <w:rPr>
          <w:rFonts w:cs="Arial"/>
        </w:rPr>
        <w:t>The Scrutiny Committee, whos</w:t>
      </w:r>
      <w:r w:rsidR="008F2A0C">
        <w:rPr>
          <w:rFonts w:cs="Arial"/>
        </w:rPr>
        <w:t>e responsibilities include the c</w:t>
      </w:r>
      <w:r w:rsidRPr="004251FC">
        <w:rPr>
          <w:rFonts w:cs="Arial"/>
        </w:rPr>
        <w:t>ouncil's crime and disorder and flood risk management scrutiny responsibilities.</w:t>
      </w:r>
    </w:p>
    <w:p w14:paraId="2AD570BA" w14:textId="77777777" w:rsidR="00324B65" w:rsidRPr="004251FC" w:rsidRDefault="00324B65" w:rsidP="00717919">
      <w:pPr>
        <w:pStyle w:val="ListParagraph"/>
        <w:numPr>
          <w:ilvl w:val="0"/>
          <w:numId w:val="59"/>
        </w:numPr>
        <w:autoSpaceDE/>
        <w:autoSpaceDN/>
        <w:adjustRightInd/>
        <w:spacing w:after="0"/>
        <w:ind w:left="1134" w:hanging="425"/>
        <w:contextualSpacing w:val="0"/>
        <w:outlineLvl w:val="0"/>
        <w:rPr>
          <w:rFonts w:cs="Arial"/>
          <w:b/>
        </w:rPr>
      </w:pPr>
      <w:r w:rsidRPr="004251FC">
        <w:rPr>
          <w:rFonts w:cs="Arial"/>
        </w:rPr>
        <w:t xml:space="preserve">The Health Scrutiny Committee has the statutory role of scrutinising proposed substantial changes in health service delivery and scrutinising the work of the NHS more generally. </w:t>
      </w:r>
    </w:p>
    <w:p w14:paraId="59526417" w14:textId="77777777" w:rsidR="00324B65" w:rsidRPr="004251FC" w:rsidRDefault="00324B65" w:rsidP="00717919">
      <w:pPr>
        <w:pStyle w:val="ListParagraph"/>
        <w:numPr>
          <w:ilvl w:val="0"/>
          <w:numId w:val="59"/>
        </w:numPr>
        <w:autoSpaceDE/>
        <w:autoSpaceDN/>
        <w:adjustRightInd/>
        <w:spacing w:after="0"/>
        <w:ind w:left="1134" w:hanging="425"/>
        <w:contextualSpacing w:val="0"/>
        <w:outlineLvl w:val="0"/>
        <w:rPr>
          <w:rFonts w:cs="Arial"/>
          <w:b/>
        </w:rPr>
      </w:pPr>
      <w:r w:rsidRPr="004251FC">
        <w:rPr>
          <w:rFonts w:cs="Arial"/>
        </w:rPr>
        <w:t xml:space="preserve">The Education Scrutiny Committee scrutinises any issues around education. </w:t>
      </w:r>
    </w:p>
    <w:p w14:paraId="48D69C00" w14:textId="69E29D51" w:rsidR="00324B65" w:rsidRPr="004251FC" w:rsidRDefault="008F2A0C" w:rsidP="00717919">
      <w:pPr>
        <w:pStyle w:val="ListParagraph"/>
        <w:numPr>
          <w:ilvl w:val="0"/>
          <w:numId w:val="59"/>
        </w:numPr>
        <w:autoSpaceDE/>
        <w:autoSpaceDN/>
        <w:adjustRightInd/>
        <w:spacing w:after="0"/>
        <w:ind w:left="1134" w:hanging="425"/>
        <w:contextualSpacing w:val="0"/>
        <w:outlineLvl w:val="0"/>
        <w:rPr>
          <w:rFonts w:cs="Arial"/>
        </w:rPr>
      </w:pPr>
      <w:r>
        <w:rPr>
          <w:rFonts w:cs="Arial"/>
        </w:rPr>
        <w:t>Since May 2013 the c</w:t>
      </w:r>
      <w:r w:rsidR="00324B65" w:rsidRPr="004251FC">
        <w:rPr>
          <w:rFonts w:cs="Arial"/>
        </w:rPr>
        <w:t>ouncil has also operated an Executive Scrutiny Committee which considers in advance any key decisions to be taken by Ca</w:t>
      </w:r>
      <w:r w:rsidR="00CE0E4F">
        <w:rPr>
          <w:rFonts w:cs="Arial"/>
        </w:rPr>
        <w:t>binet and cabinet m</w:t>
      </w:r>
      <w:r w:rsidR="00324B65" w:rsidRPr="004251FC">
        <w:rPr>
          <w:rFonts w:cs="Arial"/>
        </w:rPr>
        <w:t xml:space="preserve">embers, and all other reports (non-key decisions) to be considered by Cabinet.  As part of the arrangements for this latter </w:t>
      </w:r>
      <w:r w:rsidR="00CE0E4F">
        <w:rPr>
          <w:rFonts w:cs="Arial"/>
        </w:rPr>
        <w:t>c</w:t>
      </w:r>
      <w:r w:rsidR="00324B65" w:rsidRPr="004251FC">
        <w:rPr>
          <w:rFonts w:cs="Arial"/>
        </w:rPr>
        <w:t xml:space="preserve">ommittee a Budget Scrutiny Working Group has also been established to have oversight of the budget setting process. </w:t>
      </w:r>
    </w:p>
    <w:p w14:paraId="6C2B7713" w14:textId="77777777" w:rsidR="00324B65" w:rsidRPr="008C6B90" w:rsidRDefault="00324B65" w:rsidP="00324B65">
      <w:pPr>
        <w:pStyle w:val="ListParagraph"/>
        <w:spacing w:after="0"/>
        <w:ind w:left="709"/>
        <w:rPr>
          <w:rFonts w:cs="Arial"/>
          <w:b/>
        </w:rPr>
      </w:pPr>
    </w:p>
    <w:p w14:paraId="5A841441" w14:textId="77777777" w:rsidR="00324B65" w:rsidRPr="006A1DEC" w:rsidRDefault="00324B65" w:rsidP="004709A4">
      <w:pPr>
        <w:spacing w:after="0"/>
        <w:rPr>
          <w:rFonts w:cs="Arial"/>
          <w:b/>
        </w:rPr>
      </w:pPr>
      <w:r w:rsidRPr="006A1DEC">
        <w:rPr>
          <w:rFonts w:cs="Arial"/>
          <w:b/>
        </w:rPr>
        <w:t xml:space="preserve">Partnership arrangements </w:t>
      </w:r>
    </w:p>
    <w:p w14:paraId="1809E14D" w14:textId="77777777" w:rsidR="00324B65" w:rsidRPr="008C6B90" w:rsidRDefault="00324B65" w:rsidP="00324B65">
      <w:pPr>
        <w:pStyle w:val="ListParagraph"/>
        <w:spacing w:after="0"/>
        <w:ind w:left="709"/>
        <w:rPr>
          <w:rFonts w:cs="Arial"/>
          <w:b/>
          <w:i/>
        </w:rPr>
      </w:pPr>
    </w:p>
    <w:p w14:paraId="4E14F8B9" w14:textId="57F957C8" w:rsidR="00324B65" w:rsidRDefault="008F2A0C" w:rsidP="004709A4">
      <w:pPr>
        <w:rPr>
          <w:rFonts w:cs="Arial"/>
        </w:rPr>
      </w:pPr>
      <w:r>
        <w:rPr>
          <w:rFonts w:cs="Arial"/>
        </w:rPr>
        <w:lastRenderedPageBreak/>
        <w:t>The c</w:t>
      </w:r>
      <w:r w:rsidR="00324B65" w:rsidRPr="008C6B90">
        <w:rPr>
          <w:rFonts w:cs="Arial"/>
        </w:rPr>
        <w:t>ouncil recognises the substantial benefits of developing and delivering services in collaboration with other organisations</w:t>
      </w:r>
      <w:r w:rsidR="00324B65">
        <w:rPr>
          <w:rFonts w:cs="Arial"/>
        </w:rPr>
        <w:t>, p</w:t>
      </w:r>
      <w:r w:rsidR="00324B65" w:rsidRPr="008C6B90">
        <w:rPr>
          <w:rFonts w:cs="Arial"/>
        </w:rPr>
        <w:t>roviding an integrated approach to service provision that is cost effect</w:t>
      </w:r>
      <w:r w:rsidR="00324B65">
        <w:rPr>
          <w:rFonts w:cs="Arial"/>
        </w:rPr>
        <w:t>ive</w:t>
      </w:r>
      <w:r w:rsidR="00324B65" w:rsidRPr="008C6B90">
        <w:rPr>
          <w:rFonts w:cs="Arial"/>
        </w:rPr>
        <w:t xml:space="preserve"> and maximises impact for pe</w:t>
      </w:r>
      <w:r>
        <w:rPr>
          <w:rFonts w:cs="Arial"/>
        </w:rPr>
        <w:t>ople living in Lancashire. The c</w:t>
      </w:r>
      <w:r w:rsidR="00324B65" w:rsidRPr="008C6B90">
        <w:rPr>
          <w:rFonts w:cs="Arial"/>
        </w:rPr>
        <w:t xml:space="preserve">ouncil plays a key role, either as a statutory lead, or significant partner, in facilitating wider engagement in decisions and developments to align budgets, capacity and expertise and agree shared priorities. </w:t>
      </w:r>
    </w:p>
    <w:p w14:paraId="07A5B21A" w14:textId="47F9DF53" w:rsidR="00324B65" w:rsidRDefault="00324B65" w:rsidP="00324B65">
      <w:pPr>
        <w:ind w:left="720" w:hanging="720"/>
        <w:rPr>
          <w:rFonts w:cs="Arial"/>
        </w:rPr>
      </w:pPr>
    </w:p>
    <w:p w14:paraId="7AAE429E" w14:textId="5130FD3D" w:rsidR="00324B65" w:rsidRDefault="00324B65" w:rsidP="004709A4">
      <w:pPr>
        <w:rPr>
          <w:rFonts w:cs="Arial"/>
        </w:rPr>
      </w:pPr>
      <w:r w:rsidRPr="008C6B90">
        <w:rPr>
          <w:rFonts w:cs="Arial"/>
        </w:rPr>
        <w:t>This approach is embedded in a range of formal partnership structures that drive and support ambitious priorities whilst recognising existing and future key challenges</w:t>
      </w:r>
      <w:r>
        <w:rPr>
          <w:rFonts w:cs="Arial"/>
        </w:rPr>
        <w:t>, b</w:t>
      </w:r>
      <w:r w:rsidRPr="008C6B90">
        <w:rPr>
          <w:rFonts w:cs="Arial"/>
        </w:rPr>
        <w:t xml:space="preserve">uilding upon a strong track record in Lancashire that has been recognised by numerous inspectorates, for collaboration and partnership working. </w:t>
      </w:r>
    </w:p>
    <w:p w14:paraId="0A3EA9ED" w14:textId="77777777" w:rsidR="00324B65" w:rsidRDefault="00324B65" w:rsidP="00324B65">
      <w:pPr>
        <w:ind w:left="720" w:hanging="11"/>
        <w:rPr>
          <w:rFonts w:cs="Arial"/>
        </w:rPr>
      </w:pPr>
    </w:p>
    <w:p w14:paraId="2109ACC3" w14:textId="2529965D" w:rsidR="00324B65" w:rsidRPr="008C6B90" w:rsidRDefault="00324B65" w:rsidP="004709A4">
      <w:pPr>
        <w:rPr>
          <w:rFonts w:cs="Arial"/>
        </w:rPr>
      </w:pPr>
      <w:r w:rsidRPr="008C6B90">
        <w:rPr>
          <w:rFonts w:cs="Arial"/>
        </w:rPr>
        <w:t xml:space="preserve">The review, development and implementation of </w:t>
      </w:r>
      <w:r>
        <w:rPr>
          <w:rFonts w:cs="Arial"/>
        </w:rPr>
        <w:t xml:space="preserve">a </w:t>
      </w:r>
      <w:r w:rsidRPr="008C6B90">
        <w:rPr>
          <w:rFonts w:cs="Arial"/>
        </w:rPr>
        <w:t xml:space="preserve">single commissioning framework for Domestic </w:t>
      </w:r>
      <w:r w:rsidR="008F2A0C">
        <w:rPr>
          <w:rFonts w:cs="Arial"/>
        </w:rPr>
        <w:t>Abuse is an example of how the c</w:t>
      </w:r>
      <w:r w:rsidRPr="008C6B90">
        <w:rPr>
          <w:rFonts w:cs="Arial"/>
        </w:rPr>
        <w:t xml:space="preserve">ouncil has led partners in delivering a model of provision, consistent across Lancashire and using pooled resources, to provide support for victims and perpetrators of domestic abuse.   </w:t>
      </w:r>
    </w:p>
    <w:p w14:paraId="0B356925" w14:textId="77777777" w:rsidR="00324B65" w:rsidRPr="008C6B90" w:rsidRDefault="00324B65" w:rsidP="00324B65">
      <w:pPr>
        <w:ind w:left="360" w:hanging="360"/>
        <w:rPr>
          <w:rFonts w:cs="Arial"/>
        </w:rPr>
      </w:pPr>
    </w:p>
    <w:p w14:paraId="1B0F5BAD" w14:textId="77777777" w:rsidR="00324B65" w:rsidRPr="004709A4" w:rsidRDefault="00324B65" w:rsidP="004709A4">
      <w:pPr>
        <w:spacing w:after="0"/>
        <w:rPr>
          <w:rFonts w:cs="Arial"/>
        </w:rPr>
      </w:pPr>
      <w:r w:rsidRPr="004709A4">
        <w:rPr>
          <w:rFonts w:cs="Arial"/>
        </w:rPr>
        <w:t>Developing, communicating and embedding codes of conduct, defining the standards of behaviour for members and staff.</w:t>
      </w:r>
    </w:p>
    <w:p w14:paraId="373CCE45" w14:textId="77777777" w:rsidR="00324B65" w:rsidRPr="008C6B90" w:rsidRDefault="00324B65" w:rsidP="00324B65">
      <w:pPr>
        <w:pStyle w:val="ListParagraph"/>
        <w:spacing w:after="0"/>
        <w:ind w:left="709"/>
        <w:rPr>
          <w:rFonts w:cs="Arial"/>
        </w:rPr>
      </w:pPr>
    </w:p>
    <w:p w14:paraId="32C1FF6A" w14:textId="36435784" w:rsidR="00324B65" w:rsidRDefault="00324B65" w:rsidP="004709A4">
      <w:pPr>
        <w:rPr>
          <w:rFonts w:cs="Arial"/>
        </w:rPr>
      </w:pPr>
      <w:r w:rsidRPr="008C6B90">
        <w:rPr>
          <w:rFonts w:cs="Arial"/>
        </w:rPr>
        <w:lastRenderedPageBreak/>
        <w:t xml:space="preserve">The </w:t>
      </w:r>
      <w:r>
        <w:rPr>
          <w:rFonts w:cs="Arial"/>
        </w:rPr>
        <w:t>C</w:t>
      </w:r>
      <w:r w:rsidRPr="008C6B90">
        <w:rPr>
          <w:rFonts w:cs="Arial"/>
        </w:rPr>
        <w:t xml:space="preserve">ode of </w:t>
      </w:r>
      <w:r>
        <w:rPr>
          <w:rFonts w:cs="Arial"/>
        </w:rPr>
        <w:t>C</w:t>
      </w:r>
      <w:r w:rsidRPr="008C6B90">
        <w:rPr>
          <w:rFonts w:cs="Arial"/>
        </w:rPr>
        <w:t xml:space="preserve">onduct for </w:t>
      </w:r>
      <w:r>
        <w:rPr>
          <w:rFonts w:cs="Arial"/>
        </w:rPr>
        <w:t>Elected M</w:t>
      </w:r>
      <w:r w:rsidRPr="008C6B90">
        <w:rPr>
          <w:rFonts w:cs="Arial"/>
        </w:rPr>
        <w:t>embers and the terms of reference of some</w:t>
      </w:r>
      <w:r w:rsidR="008F2A0C">
        <w:rPr>
          <w:rFonts w:cs="Arial"/>
        </w:rPr>
        <w:t xml:space="preserve"> of the c</w:t>
      </w:r>
      <w:r w:rsidRPr="008C6B90">
        <w:rPr>
          <w:rFonts w:cs="Arial"/>
        </w:rPr>
        <w:t xml:space="preserve">ouncil's committees were revised during 2012/13 to reflect changes to the governance arrangements arising from the Localism Act 2011. The former Standards Committee was disestablished and complaints under the Code are now initially considered under delegated powers and, where necessary, referred to a Conduct Committee. </w:t>
      </w:r>
    </w:p>
    <w:p w14:paraId="577050E2" w14:textId="77777777" w:rsidR="00324B65" w:rsidRDefault="00324B65" w:rsidP="00324B65">
      <w:pPr>
        <w:ind w:left="709" w:hanging="709"/>
        <w:rPr>
          <w:rFonts w:cs="Arial"/>
        </w:rPr>
      </w:pPr>
    </w:p>
    <w:p w14:paraId="0ADBE3F8" w14:textId="3FEAA9B5" w:rsidR="00324B65" w:rsidRPr="008C6B90" w:rsidRDefault="008F2A0C" w:rsidP="004709A4">
      <w:pPr>
        <w:rPr>
          <w:rFonts w:cs="Arial"/>
        </w:rPr>
      </w:pPr>
      <w:r>
        <w:t>The c</w:t>
      </w:r>
      <w:r w:rsidR="00324B65">
        <w:t xml:space="preserve">ouncil has a Code of Conduct for employees and a system for recording officer gifts, hospitality and interests, which has recently been reviewed and updated. </w:t>
      </w:r>
      <w:r w:rsidR="00324B65" w:rsidRPr="008C6B90">
        <w:rPr>
          <w:rFonts w:cs="Arial"/>
        </w:rPr>
        <w:t>Councillors and staff are reminded of the</w:t>
      </w:r>
      <w:r w:rsidR="00324B65">
        <w:rPr>
          <w:rFonts w:cs="Arial"/>
        </w:rPr>
        <w:t>ir</w:t>
      </w:r>
      <w:r w:rsidR="00324B65" w:rsidRPr="008C6B90">
        <w:rPr>
          <w:rFonts w:cs="Arial"/>
        </w:rPr>
        <w:t xml:space="preserve"> requir</w:t>
      </w:r>
      <w:r>
        <w:rPr>
          <w:rFonts w:cs="Arial"/>
        </w:rPr>
        <w:t>ements on a regular basis. The c</w:t>
      </w:r>
      <w:r w:rsidR="00CE0E4F">
        <w:rPr>
          <w:rFonts w:cs="Arial"/>
        </w:rPr>
        <w:t>ouncil also has a protocol for c</w:t>
      </w:r>
      <w:r w:rsidR="00324B65" w:rsidRPr="008C6B90">
        <w:rPr>
          <w:rFonts w:cs="Arial"/>
        </w:rPr>
        <w:t>ouncillor/officer relations.</w:t>
      </w:r>
    </w:p>
    <w:p w14:paraId="30C549DB" w14:textId="77777777" w:rsidR="00324B65" w:rsidRPr="008C6B90" w:rsidRDefault="00324B65" w:rsidP="00324B65">
      <w:pPr>
        <w:ind w:left="709"/>
        <w:outlineLvl w:val="0"/>
        <w:rPr>
          <w:rFonts w:cs="Arial"/>
          <w:b/>
        </w:rPr>
      </w:pPr>
    </w:p>
    <w:p w14:paraId="1BAF2935" w14:textId="349487FD" w:rsidR="00324B65" w:rsidRPr="006A1DEC" w:rsidRDefault="00324B65" w:rsidP="004709A4">
      <w:pPr>
        <w:outlineLvl w:val="0"/>
        <w:rPr>
          <w:rFonts w:cs="Arial"/>
          <w:b/>
        </w:rPr>
      </w:pPr>
      <w:r w:rsidRPr="006A1DEC">
        <w:rPr>
          <w:rFonts w:cs="Arial"/>
          <w:b/>
        </w:rPr>
        <w:t>Revi</w:t>
      </w:r>
      <w:r w:rsidR="008F2A0C">
        <w:rPr>
          <w:rFonts w:cs="Arial"/>
          <w:b/>
        </w:rPr>
        <w:t>ewing the effectiveness of the c</w:t>
      </w:r>
      <w:r w:rsidRPr="006A1DEC">
        <w:rPr>
          <w:rFonts w:cs="Arial"/>
          <w:b/>
        </w:rPr>
        <w:t>ouncil's decision making framework including delegation arrangements, decision making in partnerships and robustness of data quality</w:t>
      </w:r>
    </w:p>
    <w:p w14:paraId="29CC9725" w14:textId="77777777" w:rsidR="00324B65" w:rsidRPr="008C6B90" w:rsidRDefault="00324B65" w:rsidP="00324B65">
      <w:pPr>
        <w:ind w:left="709"/>
        <w:outlineLvl w:val="0"/>
        <w:rPr>
          <w:rFonts w:cs="Arial"/>
          <w:b/>
        </w:rPr>
      </w:pPr>
    </w:p>
    <w:p w14:paraId="28CF2575" w14:textId="2B013986" w:rsidR="00324B65" w:rsidRPr="008C6B90" w:rsidRDefault="008F2A0C" w:rsidP="004709A4">
      <w:pPr>
        <w:rPr>
          <w:rFonts w:cs="Arial"/>
        </w:rPr>
      </w:pPr>
      <w:r>
        <w:rPr>
          <w:rFonts w:cs="Arial"/>
        </w:rPr>
        <w:t>The c</w:t>
      </w:r>
      <w:r w:rsidR="00324B65" w:rsidRPr="008C6B90">
        <w:rPr>
          <w:rFonts w:cs="Arial"/>
        </w:rPr>
        <w:t>ouncil agreed to revise its Scheme of Delegation in May 2012</w:t>
      </w:r>
      <w:r w:rsidR="00324B65">
        <w:rPr>
          <w:rFonts w:cs="Arial"/>
        </w:rPr>
        <w:t xml:space="preserve"> </w:t>
      </w:r>
      <w:r w:rsidR="00324B65" w:rsidRPr="008C6B90">
        <w:rPr>
          <w:rFonts w:cs="Arial"/>
        </w:rPr>
        <w:t>bringing in those changes with the new structure from April 2015. The intention behind the changes is to remove bureaucracy and to ensure that decisions are made at the appropriate level in the organisation.</w:t>
      </w:r>
    </w:p>
    <w:p w14:paraId="2DDCCA21" w14:textId="77777777" w:rsidR="00324B65" w:rsidRPr="008C6B90" w:rsidRDefault="00324B65" w:rsidP="00324B65">
      <w:pPr>
        <w:rPr>
          <w:rFonts w:cs="Arial"/>
        </w:rPr>
      </w:pPr>
    </w:p>
    <w:p w14:paraId="0A43188D" w14:textId="09457036" w:rsidR="00324B65" w:rsidRPr="008C6B90" w:rsidRDefault="00324B65" w:rsidP="004709A4">
      <w:pPr>
        <w:rPr>
          <w:rFonts w:cs="Arial"/>
        </w:rPr>
      </w:pPr>
      <w:r w:rsidRPr="008C6B90">
        <w:rPr>
          <w:rFonts w:cs="Arial"/>
        </w:rPr>
        <w:t xml:space="preserve">The </w:t>
      </w:r>
      <w:r w:rsidR="008F2A0C">
        <w:rPr>
          <w:rFonts w:cs="Arial"/>
        </w:rPr>
        <w:t>c</w:t>
      </w:r>
      <w:r w:rsidRPr="008C6B90">
        <w:rPr>
          <w:rFonts w:cs="Arial"/>
        </w:rPr>
        <w:t>ouncil undertook a major review of partnerships in 2013/14, resulting in significantly streamlined arrangements and improved coherence and integration across some of the key strategic partnerships.  For example, local structures around the Children's Trust and the Safeguarding Children Board have been brought together, replacing 12 District Children's Trust Boards and 3 Locality Safeguarding Groups with 5 new Children's Partnership Boards established. A number of other partnership bodies were also disestablished or substantially revised and this has reduced the number of strategic multi agency meetings by approximately 300 a year.</w:t>
      </w:r>
    </w:p>
    <w:p w14:paraId="4B11946A" w14:textId="77777777" w:rsidR="00324B65" w:rsidRPr="008C6B90" w:rsidRDefault="00324B65" w:rsidP="00324B65">
      <w:pPr>
        <w:ind w:left="709"/>
        <w:rPr>
          <w:rFonts w:cs="Arial"/>
        </w:rPr>
      </w:pPr>
    </w:p>
    <w:p w14:paraId="7C779360" w14:textId="63A3944A" w:rsidR="00324B65" w:rsidRPr="008C6B90" w:rsidRDefault="00324B65" w:rsidP="004709A4">
      <w:pPr>
        <w:rPr>
          <w:rFonts w:cs="Arial"/>
        </w:rPr>
      </w:pPr>
      <w:r w:rsidRPr="008C6B90">
        <w:rPr>
          <w:rFonts w:cs="Arial"/>
        </w:rPr>
        <w:t>A key feature of the partnership review is an ongoing commitment to continual evaluation of partnership structures to ensure a model that is fit for purpose, sustainable and allows multi agency decision making that improves outcomes for people.</w:t>
      </w:r>
    </w:p>
    <w:p w14:paraId="125DC729" w14:textId="77777777" w:rsidR="00324B65" w:rsidRPr="008C6B90" w:rsidRDefault="00324B65" w:rsidP="00324B65">
      <w:pPr>
        <w:ind w:left="709"/>
        <w:rPr>
          <w:rFonts w:cs="Arial"/>
        </w:rPr>
      </w:pPr>
    </w:p>
    <w:p w14:paraId="32AE17FB" w14:textId="157CBF24" w:rsidR="00324B65" w:rsidRPr="008C6B90" w:rsidRDefault="00324B65" w:rsidP="004709A4">
      <w:pPr>
        <w:rPr>
          <w:rFonts w:cs="Arial"/>
          <w:color w:val="1F497D"/>
        </w:rPr>
      </w:pPr>
      <w:r w:rsidRPr="008C6B90">
        <w:rPr>
          <w:rFonts w:cs="Arial"/>
        </w:rPr>
        <w:t xml:space="preserve">The recent Peer </w:t>
      </w:r>
      <w:r>
        <w:rPr>
          <w:rFonts w:cs="Arial"/>
        </w:rPr>
        <w:t xml:space="preserve">Review </w:t>
      </w:r>
      <w:r w:rsidRPr="008C6B90">
        <w:rPr>
          <w:rFonts w:cs="Arial"/>
        </w:rPr>
        <w:t xml:space="preserve">Challenge commented that there is positive recognition from a number of partner agencies of the efforts the council's leadership is making in strengthening external relationships.  There are a number of examples where the council is working with partner agencies to make a real impact for local communities.  This includes delivering specific projects/services with </w:t>
      </w:r>
      <w:r w:rsidRPr="008C6B90">
        <w:rPr>
          <w:rFonts w:cs="Arial"/>
        </w:rPr>
        <w:lastRenderedPageBreak/>
        <w:t>the other local authorities in Lancashire and other public, private and voluntary sector partners</w:t>
      </w:r>
      <w:r>
        <w:rPr>
          <w:rFonts w:cs="Arial"/>
        </w:rPr>
        <w:t>.</w:t>
      </w:r>
    </w:p>
    <w:p w14:paraId="5BDAD8D7" w14:textId="77777777" w:rsidR="00324B65" w:rsidRPr="008C6B90" w:rsidRDefault="00324B65" w:rsidP="00324B65">
      <w:pPr>
        <w:ind w:left="709"/>
        <w:outlineLvl w:val="0"/>
        <w:rPr>
          <w:rFonts w:cs="Arial"/>
          <w:b/>
        </w:rPr>
      </w:pPr>
    </w:p>
    <w:p w14:paraId="75BD9614" w14:textId="120F1B26" w:rsidR="00324B65" w:rsidRDefault="008F2A0C" w:rsidP="004709A4">
      <w:pPr>
        <w:ind w:right="84"/>
        <w:rPr>
          <w:rFonts w:cs="Arial"/>
          <w:lang w:val="en"/>
        </w:rPr>
      </w:pPr>
      <w:r>
        <w:rPr>
          <w:rFonts w:cs="Arial"/>
          <w:lang w:val="en"/>
        </w:rPr>
        <w:t>The c</w:t>
      </w:r>
      <w:r w:rsidR="00324B65">
        <w:rPr>
          <w:rFonts w:cs="Arial"/>
          <w:lang w:val="en"/>
        </w:rPr>
        <w:t>ouncil understands that good quality data is important to ensure accurate reporting of performance to the public and is the basis for effective decision making. Maintaining data that is fit for purpose is an integral part of operational, performance management, an</w:t>
      </w:r>
      <w:r>
        <w:rPr>
          <w:rFonts w:cs="Arial"/>
          <w:lang w:val="en"/>
        </w:rPr>
        <w:t>d governance arrangements. The c</w:t>
      </w:r>
      <w:r w:rsidR="00324B65">
        <w:rPr>
          <w:rFonts w:cs="Arial"/>
          <w:lang w:val="en"/>
        </w:rPr>
        <w:t>ouncil follows good practice guidance issued by the Information Commissioners Office and general data quality standards, ensuring that information is accurate, valid, reliable, timely, relevant, complete and secure. Data qua</w:t>
      </w:r>
      <w:r w:rsidR="00CE0E4F">
        <w:rPr>
          <w:rFonts w:cs="Arial"/>
          <w:lang w:val="en"/>
        </w:rPr>
        <w:t>lity advice is included in the c</w:t>
      </w:r>
      <w:r w:rsidR="00324B65">
        <w:rPr>
          <w:rFonts w:cs="Arial"/>
          <w:lang w:val="en"/>
        </w:rPr>
        <w:t>ouncil</w:t>
      </w:r>
      <w:r w:rsidR="00CE0E4F">
        <w:rPr>
          <w:rFonts w:cs="Arial"/>
          <w:lang w:val="en"/>
        </w:rPr>
        <w:t>'</w:t>
      </w:r>
      <w:r w:rsidR="00324B65">
        <w:rPr>
          <w:rFonts w:cs="Arial"/>
          <w:lang w:val="en"/>
        </w:rPr>
        <w:t>s Information Governance mandatory training course for all staff and Information Governance awareness sessions</w:t>
      </w:r>
      <w:r w:rsidR="00324B65" w:rsidRPr="00736CA1">
        <w:rPr>
          <w:rFonts w:cs="Arial"/>
          <w:lang w:val="en"/>
        </w:rPr>
        <w:t xml:space="preserve"> </w:t>
      </w:r>
      <w:r w:rsidR="00CE0E4F">
        <w:rPr>
          <w:rFonts w:cs="Arial"/>
          <w:lang w:val="en"/>
        </w:rPr>
        <w:t>for h</w:t>
      </w:r>
      <w:r w:rsidR="00324B65">
        <w:rPr>
          <w:rFonts w:cs="Arial"/>
          <w:lang w:val="en"/>
        </w:rPr>
        <w:t xml:space="preserve">eads of </w:t>
      </w:r>
      <w:r w:rsidR="00CE0E4F">
        <w:rPr>
          <w:rFonts w:cs="Arial"/>
          <w:lang w:val="en"/>
        </w:rPr>
        <w:t>s</w:t>
      </w:r>
      <w:r w:rsidR="00324B65">
        <w:rPr>
          <w:rFonts w:cs="Arial"/>
          <w:lang w:val="en"/>
        </w:rPr>
        <w:t xml:space="preserve">ervice. </w:t>
      </w:r>
    </w:p>
    <w:p w14:paraId="053385A4" w14:textId="77777777" w:rsidR="00324B65" w:rsidRDefault="00324B65" w:rsidP="00324B65">
      <w:pPr>
        <w:ind w:left="709" w:right="84"/>
        <w:rPr>
          <w:rFonts w:cs="Arial"/>
          <w:lang w:val="en"/>
        </w:rPr>
      </w:pPr>
    </w:p>
    <w:p w14:paraId="249A882C" w14:textId="2DFBA101" w:rsidR="00324B65" w:rsidRPr="006A1DEC" w:rsidRDefault="00324B65" w:rsidP="004709A4">
      <w:pPr>
        <w:outlineLvl w:val="0"/>
        <w:rPr>
          <w:rFonts w:cs="Arial"/>
          <w:b/>
        </w:rPr>
      </w:pPr>
      <w:r w:rsidRPr="006A1DEC">
        <w:rPr>
          <w:rFonts w:cs="Arial"/>
          <w:b/>
        </w:rPr>
        <w:t>Reviewing the effectiveness of the framework for identifying and managing risks and dem</w:t>
      </w:r>
      <w:r w:rsidR="006A1DEC">
        <w:rPr>
          <w:rFonts w:cs="Arial"/>
          <w:b/>
        </w:rPr>
        <w:t>onstrating clear accountability</w:t>
      </w:r>
    </w:p>
    <w:p w14:paraId="5766BE2C" w14:textId="77777777" w:rsidR="00324B65" w:rsidRPr="008C6B90" w:rsidRDefault="00324B65" w:rsidP="00324B65">
      <w:pPr>
        <w:ind w:left="709"/>
        <w:outlineLvl w:val="0"/>
        <w:rPr>
          <w:rFonts w:cs="Arial"/>
          <w:b/>
        </w:rPr>
      </w:pPr>
    </w:p>
    <w:p w14:paraId="1B9A950C" w14:textId="6B782CFD" w:rsidR="00324B65" w:rsidRPr="008C6B90" w:rsidRDefault="00324B65" w:rsidP="004709A4">
      <w:pPr>
        <w:rPr>
          <w:rFonts w:cs="Arial"/>
        </w:rPr>
      </w:pPr>
      <w:r>
        <w:rPr>
          <w:rFonts w:cs="Arial"/>
        </w:rPr>
        <w:t>As noted at paragraph 4.5, whilst risk management happens "in practice", the need to embed a systematic approach to managing risk and opportunities is clear and that process is in hand. The arrangements will include the creation of an</w:t>
      </w:r>
      <w:r w:rsidRPr="008C6B90">
        <w:rPr>
          <w:rFonts w:cs="Arial"/>
        </w:rPr>
        <w:t xml:space="preserve"> effective risk </w:t>
      </w:r>
      <w:r>
        <w:rPr>
          <w:rFonts w:cs="Arial"/>
        </w:rPr>
        <w:t>and op</w:t>
      </w:r>
      <w:r>
        <w:rPr>
          <w:rFonts w:cs="Arial"/>
        </w:rPr>
        <w:lastRenderedPageBreak/>
        <w:t xml:space="preserve">portunity </w:t>
      </w:r>
      <w:r w:rsidRPr="008C6B90">
        <w:rPr>
          <w:rFonts w:cs="Arial"/>
        </w:rPr>
        <w:t xml:space="preserve">register owned by </w:t>
      </w:r>
      <w:r>
        <w:rPr>
          <w:rFonts w:cs="Arial"/>
        </w:rPr>
        <w:t xml:space="preserve">Management Team </w:t>
      </w:r>
      <w:r w:rsidRPr="008C6B90">
        <w:rPr>
          <w:rFonts w:cs="Arial"/>
        </w:rPr>
        <w:t xml:space="preserve">with regular updates provided </w:t>
      </w:r>
      <w:r w:rsidR="00F07CC6">
        <w:rPr>
          <w:rFonts w:cs="Arial"/>
        </w:rPr>
        <w:t>to m</w:t>
      </w:r>
      <w:r w:rsidRPr="008C6B90">
        <w:rPr>
          <w:rFonts w:cs="Arial"/>
        </w:rPr>
        <w:t xml:space="preserve">embers, including the Audit and Governance Committee. </w:t>
      </w:r>
    </w:p>
    <w:p w14:paraId="1145B9E7" w14:textId="273F2BA0" w:rsidR="00324B65" w:rsidRPr="006A1DEC" w:rsidRDefault="00324B65" w:rsidP="004709A4">
      <w:pPr>
        <w:outlineLvl w:val="0"/>
        <w:rPr>
          <w:rFonts w:cs="Arial"/>
          <w:b/>
        </w:rPr>
      </w:pPr>
      <w:r w:rsidRPr="006A1DEC">
        <w:rPr>
          <w:rFonts w:cs="Arial"/>
          <w:b/>
        </w:rPr>
        <w:t xml:space="preserve">Ensuring effective counter-fraud and anti-corruption arrangements are developed and maintained </w:t>
      </w:r>
    </w:p>
    <w:p w14:paraId="3AF999CD" w14:textId="77777777" w:rsidR="00324B65" w:rsidRPr="008C6B90" w:rsidRDefault="00324B65" w:rsidP="00324B65">
      <w:pPr>
        <w:ind w:left="709"/>
        <w:outlineLvl w:val="0"/>
        <w:rPr>
          <w:rFonts w:cs="Arial"/>
          <w:b/>
        </w:rPr>
      </w:pPr>
    </w:p>
    <w:p w14:paraId="148E20DF" w14:textId="64F24D1F" w:rsidR="00324B65" w:rsidRDefault="00324B65" w:rsidP="004709A4">
      <w:pPr>
        <w:rPr>
          <w:rFonts w:cs="Arial"/>
        </w:rPr>
      </w:pPr>
      <w:r w:rsidRPr="008C6B90">
        <w:rPr>
          <w:rFonts w:cs="Arial"/>
        </w:rPr>
        <w:t xml:space="preserve">The Internal Audit Service undertakes data analysis in areas likely to be susceptible to fraud, supports the biennial National Fraud Initiative data matching exercise, and provides support to managers in investigating allegations of fraud, theft or impropriety. </w:t>
      </w:r>
    </w:p>
    <w:p w14:paraId="2B8FC4DC" w14:textId="77777777" w:rsidR="00324B65" w:rsidRDefault="00324B65" w:rsidP="00324B65">
      <w:pPr>
        <w:ind w:left="709" w:hanging="709"/>
        <w:rPr>
          <w:rFonts w:cs="Arial"/>
        </w:rPr>
      </w:pPr>
    </w:p>
    <w:p w14:paraId="457FE817" w14:textId="12C3B41E" w:rsidR="00324B65" w:rsidRDefault="008F2A0C" w:rsidP="004709A4">
      <w:pPr>
        <w:rPr>
          <w:rFonts w:cs="Arial"/>
        </w:rPr>
      </w:pPr>
      <w:r>
        <w:rPr>
          <w:rFonts w:cs="Arial"/>
        </w:rPr>
        <w:t>The c</w:t>
      </w:r>
      <w:r w:rsidR="00324B65">
        <w:rPr>
          <w:rFonts w:cs="Arial"/>
        </w:rPr>
        <w:t>ouncil has adopted a response appropriate to the fraud and corruption risk it faces in line with the CIPFA Code of Practice – Managing the Risk of Fraud and Corruption.</w:t>
      </w:r>
    </w:p>
    <w:p w14:paraId="4FBEBB22" w14:textId="77777777" w:rsidR="00184C22" w:rsidRDefault="00184C22" w:rsidP="004709A4">
      <w:pPr>
        <w:spacing w:after="0"/>
        <w:rPr>
          <w:rFonts w:cs="Arial"/>
        </w:rPr>
      </w:pPr>
    </w:p>
    <w:p w14:paraId="783AAAFE" w14:textId="739BC92C" w:rsidR="00324B65" w:rsidRPr="004709A4" w:rsidRDefault="00324B65" w:rsidP="004709A4">
      <w:pPr>
        <w:spacing w:after="0"/>
        <w:rPr>
          <w:rFonts w:cs="Arial"/>
        </w:rPr>
      </w:pPr>
      <w:r w:rsidRPr="006A1DEC">
        <w:rPr>
          <w:rFonts w:cs="Arial"/>
          <w:b/>
        </w:rPr>
        <w:t>Ensuring effective management of change and transformation</w:t>
      </w:r>
    </w:p>
    <w:p w14:paraId="7DBECB3E" w14:textId="77777777" w:rsidR="00324B65" w:rsidRPr="008C6B90" w:rsidRDefault="00324B65" w:rsidP="00324B65">
      <w:pPr>
        <w:pStyle w:val="ListParagraph"/>
        <w:spacing w:after="0"/>
        <w:ind w:left="709"/>
        <w:rPr>
          <w:rFonts w:cs="Arial"/>
        </w:rPr>
      </w:pPr>
    </w:p>
    <w:p w14:paraId="1B880096" w14:textId="04ADCA2F" w:rsidR="00324B65" w:rsidRPr="008C6B90" w:rsidRDefault="008F2A0C" w:rsidP="004709A4">
      <w:pPr>
        <w:rPr>
          <w:rFonts w:cs="Arial"/>
        </w:rPr>
      </w:pPr>
      <w:r>
        <w:rPr>
          <w:rFonts w:cs="Arial"/>
        </w:rPr>
        <w:t>High level milestones for the c</w:t>
      </w:r>
      <w:r w:rsidR="00324B65" w:rsidRPr="008C6B90">
        <w:rPr>
          <w:rFonts w:cs="Arial"/>
        </w:rPr>
        <w:t xml:space="preserve">ouncil's Transformation Programme were set out by Management Team in November 2013. A project team was established to manage delivery of Phase 1, with Management Team acting as Programme Board, providing leadership and oversight of significant issues and risks. Delivery </w:t>
      </w:r>
      <w:r w:rsidR="00324B65" w:rsidRPr="008C6B90">
        <w:rPr>
          <w:rFonts w:cs="Arial"/>
        </w:rPr>
        <w:lastRenderedPageBreak/>
        <w:t xml:space="preserve">has focussed around five key interrelated themes: Culture, behaviours and leadership; Developing the service offer; Restructure; Systems and processes; Skills development. </w:t>
      </w:r>
    </w:p>
    <w:p w14:paraId="4B8B4618" w14:textId="77777777" w:rsidR="00324B65" w:rsidRPr="008C6B90" w:rsidRDefault="00324B65" w:rsidP="00324B65">
      <w:pPr>
        <w:ind w:left="709" w:hanging="709"/>
        <w:rPr>
          <w:rFonts w:cs="Arial"/>
        </w:rPr>
      </w:pPr>
    </w:p>
    <w:p w14:paraId="390CEB20" w14:textId="29999704" w:rsidR="00324B65" w:rsidRPr="008C6B90" w:rsidRDefault="00324B65" w:rsidP="004709A4">
      <w:pPr>
        <w:rPr>
          <w:rFonts w:cs="Arial"/>
        </w:rPr>
      </w:pPr>
      <w:r w:rsidRPr="008C6B90">
        <w:rPr>
          <w:rFonts w:cs="Arial"/>
        </w:rPr>
        <w:t xml:space="preserve">Employee and Trade Union consultation has helped to shape future structure and the agreed principles for appointment to the structure. Decision making in respect of the new structure for posts </w:t>
      </w:r>
      <w:r w:rsidR="008F2A0C">
        <w:rPr>
          <w:rFonts w:cs="Arial"/>
        </w:rPr>
        <w:t>at Grade 11 and above, and the county c</w:t>
      </w:r>
      <w:r w:rsidRPr="008C6B90">
        <w:rPr>
          <w:rFonts w:cs="Arial"/>
        </w:rPr>
        <w:t xml:space="preserve">ouncil's future service offer, has been supported by Equality Analysis where appropriate. </w:t>
      </w:r>
    </w:p>
    <w:p w14:paraId="3FA4ED63" w14:textId="77777777" w:rsidR="00324B65" w:rsidRDefault="00324B65" w:rsidP="00324B65">
      <w:pPr>
        <w:ind w:left="709"/>
        <w:outlineLvl w:val="0"/>
        <w:rPr>
          <w:rFonts w:cs="Arial"/>
          <w:b/>
        </w:rPr>
      </w:pPr>
    </w:p>
    <w:p w14:paraId="3533C2BC" w14:textId="22C3C014" w:rsidR="00324B65" w:rsidRPr="006A1DEC" w:rsidRDefault="008F2A0C" w:rsidP="004709A4">
      <w:pPr>
        <w:outlineLvl w:val="0"/>
        <w:rPr>
          <w:rFonts w:cs="Arial"/>
          <w:b/>
        </w:rPr>
      </w:pPr>
      <w:r>
        <w:rPr>
          <w:rFonts w:cs="Arial"/>
          <w:b/>
        </w:rPr>
        <w:t>Ensuring the c</w:t>
      </w:r>
      <w:r w:rsidR="00324B65" w:rsidRPr="006A1DEC">
        <w:rPr>
          <w:rFonts w:cs="Arial"/>
          <w:b/>
        </w:rPr>
        <w:t xml:space="preserve">ouncil's financial management arrangements conform with the governance requirements of the CIPFA Statement on the role of the Chief Financial Officer in Local Government (2010)  </w:t>
      </w:r>
      <w:r w:rsidR="00324B65" w:rsidRPr="006A1DEC">
        <w:rPr>
          <w:rFonts w:cs="Arial"/>
        </w:rPr>
        <w:t xml:space="preserve"> </w:t>
      </w:r>
    </w:p>
    <w:p w14:paraId="1DC282FC" w14:textId="77777777" w:rsidR="00324B65" w:rsidRPr="008C6B90" w:rsidRDefault="00324B65" w:rsidP="00324B65">
      <w:pPr>
        <w:ind w:left="709"/>
        <w:outlineLvl w:val="0"/>
        <w:rPr>
          <w:rFonts w:cs="Arial"/>
          <w:b/>
        </w:rPr>
      </w:pPr>
    </w:p>
    <w:p w14:paraId="4A27CB79" w14:textId="542B4890" w:rsidR="00324B65" w:rsidRPr="008C6B90" w:rsidRDefault="008F2A0C" w:rsidP="004709A4">
      <w:pPr>
        <w:rPr>
          <w:rFonts w:cs="Arial"/>
        </w:rPr>
      </w:pPr>
      <w:r>
        <w:rPr>
          <w:rFonts w:cs="Arial"/>
        </w:rPr>
        <w:t>The c</w:t>
      </w:r>
      <w:r w:rsidR="00324B65" w:rsidRPr="008C6B90">
        <w:rPr>
          <w:rFonts w:cs="Arial"/>
        </w:rPr>
        <w:t xml:space="preserve">ouncil's financial management arrangements conform with the governance requirements of CIPFA's 'Statement on the Role of the Chief Financial Officer in </w:t>
      </w:r>
      <w:r>
        <w:rPr>
          <w:rFonts w:cs="Arial"/>
        </w:rPr>
        <w:t>Local Government' (2010).  The c</w:t>
      </w:r>
      <w:r w:rsidR="00324B65" w:rsidRPr="008C6B90">
        <w:rPr>
          <w:rFonts w:cs="Arial"/>
        </w:rPr>
        <w:t>ouncil</w:t>
      </w:r>
      <w:r w:rsidR="00853903">
        <w:rPr>
          <w:rFonts w:cs="Arial"/>
        </w:rPr>
        <w:t>'s Section 151 Officer (the former county t</w:t>
      </w:r>
      <w:r w:rsidR="00324B65">
        <w:rPr>
          <w:rFonts w:cs="Arial"/>
        </w:rPr>
        <w:t>reasurer</w:t>
      </w:r>
      <w:r>
        <w:rPr>
          <w:rFonts w:cs="Arial"/>
        </w:rPr>
        <w:t>) left her employment with the c</w:t>
      </w:r>
      <w:r w:rsidR="00324B65">
        <w:rPr>
          <w:rFonts w:cs="Arial"/>
        </w:rPr>
        <w:t xml:space="preserve">ouncil towards the end of 2014/15 and Full Council </w:t>
      </w:r>
      <w:r w:rsidR="00324B65" w:rsidRPr="008C6B90">
        <w:rPr>
          <w:rFonts w:cs="Arial"/>
        </w:rPr>
        <w:t xml:space="preserve">has appointed an interim Section 151 Officer who operates in accordance with the relevant statutory and professional guidance. </w:t>
      </w:r>
    </w:p>
    <w:p w14:paraId="73B5B732" w14:textId="77777777" w:rsidR="00324B65" w:rsidRPr="008C6B90" w:rsidRDefault="00324B65" w:rsidP="00324B65">
      <w:pPr>
        <w:ind w:left="709" w:hanging="709"/>
        <w:rPr>
          <w:rFonts w:cs="Arial"/>
        </w:rPr>
      </w:pPr>
    </w:p>
    <w:p w14:paraId="1D41FBFE" w14:textId="4391ABCC" w:rsidR="00324B65" w:rsidRPr="008C6B90" w:rsidRDefault="008F2A0C" w:rsidP="004709A4">
      <w:pPr>
        <w:rPr>
          <w:rFonts w:cs="Arial"/>
        </w:rPr>
      </w:pPr>
      <w:r>
        <w:rPr>
          <w:rFonts w:cs="Arial"/>
        </w:rPr>
        <w:t>The c</w:t>
      </w:r>
      <w:r w:rsidR="00324B65" w:rsidRPr="008C6B90">
        <w:rPr>
          <w:rFonts w:cs="Arial"/>
        </w:rPr>
        <w:t xml:space="preserve">ounty </w:t>
      </w:r>
      <w:r>
        <w:rPr>
          <w:rFonts w:cs="Arial"/>
        </w:rPr>
        <w:t>c</w:t>
      </w:r>
      <w:r w:rsidR="00324B65" w:rsidRPr="008C6B90">
        <w:rPr>
          <w:rFonts w:cs="Arial"/>
        </w:rPr>
        <w:t>ouncil's financial arrangements exist within the wider context of UK public sector finance and the local government finance system. The programme of austerity measures instituted by Central Government since 2010 has res</w:t>
      </w:r>
      <w:r>
        <w:rPr>
          <w:rFonts w:cs="Arial"/>
        </w:rPr>
        <w:t>ulted in a requirement for the county c</w:t>
      </w:r>
      <w:r w:rsidR="00324B65" w:rsidRPr="008C6B90">
        <w:rPr>
          <w:rFonts w:cs="Arial"/>
        </w:rPr>
        <w:t>ouncil to significantly reduce the level of its a</w:t>
      </w:r>
      <w:r>
        <w:rPr>
          <w:rFonts w:cs="Arial"/>
        </w:rPr>
        <w:t>nnual revenue expenditure. The c</w:t>
      </w:r>
      <w:r w:rsidR="00324B65" w:rsidRPr="008C6B90">
        <w:rPr>
          <w:rFonts w:cs="Arial"/>
        </w:rPr>
        <w:t xml:space="preserve">ouncil's financial planning and management arrangements have maintained robust control of expenditure and enabled resources to be set aside to support the process of adjustment to a lower level of recurrent expenditure. </w:t>
      </w:r>
    </w:p>
    <w:p w14:paraId="076CF873" w14:textId="77777777" w:rsidR="00324B65" w:rsidRPr="008C6B90" w:rsidRDefault="00324B65" w:rsidP="00324B65">
      <w:pPr>
        <w:ind w:left="709"/>
        <w:outlineLvl w:val="0"/>
        <w:rPr>
          <w:rFonts w:cs="Arial"/>
          <w:b/>
        </w:rPr>
      </w:pPr>
    </w:p>
    <w:p w14:paraId="7A83F797" w14:textId="1BE16226" w:rsidR="00324B65" w:rsidRPr="006A1DEC" w:rsidRDefault="008F2A0C" w:rsidP="004709A4">
      <w:pPr>
        <w:outlineLvl w:val="0"/>
        <w:rPr>
          <w:rFonts w:cs="Arial"/>
          <w:b/>
        </w:rPr>
      </w:pPr>
      <w:r>
        <w:rPr>
          <w:rFonts w:cs="Arial"/>
          <w:b/>
        </w:rPr>
        <w:t>Ensuring the c</w:t>
      </w:r>
      <w:r w:rsidR="00324B65" w:rsidRPr="006A1DEC">
        <w:rPr>
          <w:rFonts w:cs="Arial"/>
          <w:b/>
        </w:rPr>
        <w:t xml:space="preserve">ouncil's assurance arrangements conform with the governance requirements of the CIPFA Statement on the Role of the Head of Internal Audit (2010) </w:t>
      </w:r>
    </w:p>
    <w:p w14:paraId="33BE5551" w14:textId="77777777" w:rsidR="00324B65" w:rsidRPr="008C6B90" w:rsidRDefault="00324B65" w:rsidP="00324B65">
      <w:pPr>
        <w:ind w:left="709"/>
        <w:outlineLvl w:val="0"/>
        <w:rPr>
          <w:rFonts w:cs="Arial"/>
          <w:b/>
        </w:rPr>
      </w:pPr>
    </w:p>
    <w:p w14:paraId="27DBC8D6" w14:textId="130B3CDB" w:rsidR="00324B65" w:rsidRDefault="00324B65" w:rsidP="004709A4">
      <w:pPr>
        <w:rPr>
          <w:rFonts w:cs="Arial"/>
        </w:rPr>
      </w:pPr>
      <w:r w:rsidRPr="008C6B90">
        <w:rPr>
          <w:rFonts w:cs="Arial"/>
        </w:rPr>
        <w:t xml:space="preserve">The </w:t>
      </w:r>
      <w:r w:rsidR="008F2A0C">
        <w:rPr>
          <w:rFonts w:cs="Arial"/>
        </w:rPr>
        <w:t>c</w:t>
      </w:r>
      <w:r w:rsidRPr="008C6B90">
        <w:rPr>
          <w:rFonts w:cs="Arial"/>
        </w:rPr>
        <w:t>ouncil</w:t>
      </w:r>
      <w:r>
        <w:rPr>
          <w:rFonts w:cs="Arial"/>
        </w:rPr>
        <w:t>'s</w:t>
      </w:r>
      <w:r w:rsidRPr="008C6B90">
        <w:rPr>
          <w:rFonts w:cs="Arial"/>
        </w:rPr>
        <w:t xml:space="preserve"> Internal Audit Service operates in accordance with professional standards and is a key element of the corporate governance framework.</w:t>
      </w:r>
      <w:r>
        <w:rPr>
          <w:rFonts w:cs="Arial"/>
        </w:rPr>
        <w:t xml:space="preserve"> However, going forward Management Team have identified that the current Internal Audit Service lacks sufficient capac</w:t>
      </w:r>
      <w:r w:rsidR="008F2A0C">
        <w:rPr>
          <w:rFonts w:cs="Arial"/>
        </w:rPr>
        <w:t>ity for an organisation of the c</w:t>
      </w:r>
      <w:r>
        <w:rPr>
          <w:rFonts w:cs="Arial"/>
        </w:rPr>
        <w:t>ouncil's size and the current arrangements are therefore to be the subject of a fundamental review. See also section 6 below.</w:t>
      </w:r>
    </w:p>
    <w:p w14:paraId="35B48D5D" w14:textId="77777777" w:rsidR="00324B65" w:rsidRDefault="00324B65" w:rsidP="00324B65">
      <w:pPr>
        <w:ind w:left="709" w:hanging="709"/>
        <w:rPr>
          <w:rFonts w:cs="Arial"/>
          <w:b/>
        </w:rPr>
      </w:pPr>
    </w:p>
    <w:p w14:paraId="6A9FF788" w14:textId="2600E159" w:rsidR="00324B65" w:rsidRPr="004709A4" w:rsidRDefault="00853903" w:rsidP="004709A4">
      <w:pPr>
        <w:spacing w:after="0"/>
        <w:rPr>
          <w:rFonts w:cs="Arial"/>
        </w:rPr>
      </w:pPr>
      <w:r>
        <w:rPr>
          <w:rFonts w:cs="Arial"/>
          <w:b/>
        </w:rPr>
        <w:lastRenderedPageBreak/>
        <w:t>Ensuring e</w:t>
      </w:r>
      <w:r w:rsidR="00324B65" w:rsidRPr="006A1DEC">
        <w:rPr>
          <w:rFonts w:cs="Arial"/>
          <w:b/>
        </w:rPr>
        <w:t xml:space="preserve">ffective arrangements are in </w:t>
      </w:r>
      <w:r>
        <w:rPr>
          <w:rFonts w:cs="Arial"/>
          <w:b/>
        </w:rPr>
        <w:t>place for the discharge of the m</w:t>
      </w:r>
      <w:r w:rsidR="00324B65" w:rsidRPr="006A1DEC">
        <w:rPr>
          <w:rFonts w:cs="Arial"/>
          <w:b/>
        </w:rPr>
        <w:t xml:space="preserve">onitoring </w:t>
      </w:r>
      <w:r>
        <w:rPr>
          <w:rFonts w:cs="Arial"/>
          <w:b/>
        </w:rPr>
        <w:t>o</w:t>
      </w:r>
      <w:r w:rsidR="00324B65" w:rsidRPr="006A1DEC">
        <w:rPr>
          <w:rFonts w:cs="Arial"/>
          <w:b/>
        </w:rPr>
        <w:t>fficer function</w:t>
      </w:r>
    </w:p>
    <w:p w14:paraId="15E818F1" w14:textId="77777777" w:rsidR="00324B65" w:rsidRPr="008C6B90" w:rsidRDefault="00324B65" w:rsidP="00324B65">
      <w:pPr>
        <w:pStyle w:val="ListParagraph"/>
        <w:spacing w:after="0"/>
        <w:ind w:left="709"/>
        <w:rPr>
          <w:rFonts w:cs="Arial"/>
        </w:rPr>
      </w:pPr>
    </w:p>
    <w:p w14:paraId="041184AF" w14:textId="49C2A494" w:rsidR="00324B65" w:rsidRDefault="008F2A0C" w:rsidP="004709A4">
      <w:pPr>
        <w:rPr>
          <w:rFonts w:cs="Arial"/>
        </w:rPr>
      </w:pPr>
      <w:r>
        <w:rPr>
          <w:rFonts w:cs="Arial"/>
        </w:rPr>
        <w:t>The c</w:t>
      </w:r>
      <w:r w:rsidR="00853903">
        <w:rPr>
          <w:rFonts w:cs="Arial"/>
        </w:rPr>
        <w:t>ouncil's former county s</w:t>
      </w:r>
      <w:r w:rsidR="00324B65">
        <w:rPr>
          <w:rFonts w:cs="Arial"/>
        </w:rPr>
        <w:t>ecretar</w:t>
      </w:r>
      <w:r w:rsidR="00853903">
        <w:rPr>
          <w:rFonts w:cs="Arial"/>
        </w:rPr>
        <w:t>y and so</w:t>
      </w:r>
      <w:r>
        <w:rPr>
          <w:rFonts w:cs="Arial"/>
        </w:rPr>
        <w:t>licitor, who was also the c</w:t>
      </w:r>
      <w:r w:rsidR="00853903">
        <w:rPr>
          <w:rFonts w:cs="Arial"/>
        </w:rPr>
        <w:t>ouncil's monitoring o</w:t>
      </w:r>
      <w:r w:rsidR="00324B65">
        <w:rPr>
          <w:rFonts w:cs="Arial"/>
        </w:rPr>
        <w:t>fficer</w:t>
      </w:r>
      <w:r>
        <w:rPr>
          <w:rFonts w:cs="Arial"/>
        </w:rPr>
        <w:t>, left his employment with the c</w:t>
      </w:r>
      <w:r w:rsidR="00324B65">
        <w:rPr>
          <w:rFonts w:cs="Arial"/>
        </w:rPr>
        <w:t>ouncil during 2014</w:t>
      </w:r>
      <w:r w:rsidR="00853903">
        <w:rPr>
          <w:rFonts w:cs="Arial"/>
        </w:rPr>
        <w:t>/15 and his d</w:t>
      </w:r>
      <w:r w:rsidR="00324B65">
        <w:rPr>
          <w:rFonts w:cs="Arial"/>
        </w:rPr>
        <w:t>eputy was redeployed into</w:t>
      </w:r>
      <w:r w:rsidR="00853903">
        <w:rPr>
          <w:rFonts w:cs="Arial"/>
        </w:rPr>
        <w:t xml:space="preserve"> the post and appointed to the monitoring o</w:t>
      </w:r>
      <w:r w:rsidR="00324B65">
        <w:rPr>
          <w:rFonts w:cs="Arial"/>
        </w:rPr>
        <w:t>fficer role. The</w:t>
      </w:r>
      <w:r w:rsidR="00853903">
        <w:rPr>
          <w:rFonts w:cs="Arial"/>
        </w:rPr>
        <w:t xml:space="preserve"> monitoring o</w:t>
      </w:r>
      <w:r w:rsidR="00324B65" w:rsidRPr="008C6B90">
        <w:rPr>
          <w:rFonts w:cs="Arial"/>
        </w:rPr>
        <w:t xml:space="preserve">fficer </w:t>
      </w:r>
      <w:r w:rsidR="00853903">
        <w:rPr>
          <w:rFonts w:cs="Arial"/>
        </w:rPr>
        <w:t>(the director of g</w:t>
      </w:r>
      <w:r w:rsidR="00324B65">
        <w:rPr>
          <w:rFonts w:cs="Arial"/>
        </w:rPr>
        <w:t xml:space="preserve">overnance, </w:t>
      </w:r>
      <w:r w:rsidR="00853903">
        <w:rPr>
          <w:rFonts w:cs="Arial"/>
        </w:rPr>
        <w:t>finance and public s</w:t>
      </w:r>
      <w:r w:rsidR="00324B65">
        <w:rPr>
          <w:rFonts w:cs="Arial"/>
        </w:rPr>
        <w:t xml:space="preserve">ervices) has in turn appointed a </w:t>
      </w:r>
      <w:r w:rsidR="00853903">
        <w:rPr>
          <w:rFonts w:cs="Arial"/>
        </w:rPr>
        <w:t>deputy monitoring o</w:t>
      </w:r>
      <w:r w:rsidR="00324B65" w:rsidRPr="008C6B90">
        <w:rPr>
          <w:rFonts w:cs="Arial"/>
        </w:rPr>
        <w:t>fficer</w:t>
      </w:r>
      <w:r w:rsidR="00853903">
        <w:rPr>
          <w:rFonts w:cs="Arial"/>
        </w:rPr>
        <w:t xml:space="preserve"> (the d</w:t>
      </w:r>
      <w:r w:rsidR="00324B65">
        <w:rPr>
          <w:rFonts w:cs="Arial"/>
        </w:rPr>
        <w:t xml:space="preserve">irector of </w:t>
      </w:r>
      <w:r w:rsidR="00853903">
        <w:rPr>
          <w:rFonts w:cs="Arial"/>
        </w:rPr>
        <w:t>l</w:t>
      </w:r>
      <w:r w:rsidR="00324B65">
        <w:rPr>
          <w:rFonts w:cs="Arial"/>
        </w:rPr>
        <w:t xml:space="preserve">egal and </w:t>
      </w:r>
      <w:r w:rsidR="00853903">
        <w:rPr>
          <w:rFonts w:cs="Arial"/>
        </w:rPr>
        <w:t>d</w:t>
      </w:r>
      <w:r w:rsidR="00324B65">
        <w:rPr>
          <w:rFonts w:cs="Arial"/>
        </w:rPr>
        <w:t xml:space="preserve">emocratic </w:t>
      </w:r>
      <w:r w:rsidR="00853903">
        <w:rPr>
          <w:rFonts w:cs="Arial"/>
        </w:rPr>
        <w:t>s</w:t>
      </w:r>
      <w:r w:rsidR="00324B65">
        <w:rPr>
          <w:rFonts w:cs="Arial"/>
        </w:rPr>
        <w:t>ervices)</w:t>
      </w:r>
      <w:r w:rsidR="00324B65" w:rsidRPr="008C6B90">
        <w:rPr>
          <w:rFonts w:cs="Arial"/>
        </w:rPr>
        <w:t xml:space="preserve">.  </w:t>
      </w:r>
    </w:p>
    <w:p w14:paraId="2F1BEAB8" w14:textId="77777777" w:rsidR="00324B65" w:rsidRPr="008C6B90" w:rsidRDefault="00324B65" w:rsidP="00324B65">
      <w:pPr>
        <w:pStyle w:val="ListParagraph"/>
        <w:spacing w:after="0"/>
        <w:ind w:left="709"/>
        <w:rPr>
          <w:rFonts w:cs="Arial"/>
          <w:b/>
        </w:rPr>
      </w:pPr>
    </w:p>
    <w:p w14:paraId="5D0850B6" w14:textId="307729E4" w:rsidR="00324B65" w:rsidRPr="006A1DEC" w:rsidRDefault="00853903" w:rsidP="004709A4">
      <w:pPr>
        <w:spacing w:after="0"/>
        <w:rPr>
          <w:rFonts w:cs="Arial"/>
          <w:b/>
        </w:rPr>
      </w:pPr>
      <w:r>
        <w:rPr>
          <w:rFonts w:cs="Arial"/>
          <w:b/>
        </w:rPr>
        <w:t>Ensuring e</w:t>
      </w:r>
      <w:r w:rsidR="00324B65" w:rsidRPr="006A1DEC">
        <w:rPr>
          <w:rFonts w:cs="Arial"/>
          <w:b/>
        </w:rPr>
        <w:t>ffective arrangements are in place for the discharge of th</w:t>
      </w:r>
      <w:r>
        <w:rPr>
          <w:rFonts w:cs="Arial"/>
          <w:b/>
        </w:rPr>
        <w:t>e h</w:t>
      </w:r>
      <w:r w:rsidR="006A1DEC">
        <w:rPr>
          <w:rFonts w:cs="Arial"/>
          <w:b/>
        </w:rPr>
        <w:t xml:space="preserve">ead of </w:t>
      </w:r>
      <w:r>
        <w:rPr>
          <w:rFonts w:cs="Arial"/>
          <w:b/>
        </w:rPr>
        <w:t>paid s</w:t>
      </w:r>
      <w:r w:rsidR="006A1DEC">
        <w:rPr>
          <w:rFonts w:cs="Arial"/>
          <w:b/>
        </w:rPr>
        <w:t>ervice function</w:t>
      </w:r>
    </w:p>
    <w:p w14:paraId="230D34FA" w14:textId="77777777" w:rsidR="00324B65" w:rsidRPr="008C6B90" w:rsidRDefault="00324B65" w:rsidP="00324B65">
      <w:pPr>
        <w:pStyle w:val="ListParagraph"/>
        <w:spacing w:after="0"/>
        <w:ind w:left="709"/>
        <w:rPr>
          <w:rFonts w:cs="Arial"/>
        </w:rPr>
      </w:pPr>
    </w:p>
    <w:p w14:paraId="4CB63303" w14:textId="408FA678" w:rsidR="00324B65" w:rsidRPr="008C6B90" w:rsidRDefault="008F2A0C" w:rsidP="00324B65">
      <w:pPr>
        <w:ind w:left="709" w:hanging="709"/>
        <w:rPr>
          <w:rFonts w:cs="Arial"/>
        </w:rPr>
      </w:pPr>
      <w:r>
        <w:rPr>
          <w:rFonts w:cs="Arial"/>
        </w:rPr>
        <w:t>The c</w:t>
      </w:r>
      <w:r w:rsidR="00853903">
        <w:rPr>
          <w:rFonts w:cs="Arial"/>
        </w:rPr>
        <w:t>ouncil has appointed the chief executive as head of the paid s</w:t>
      </w:r>
      <w:r w:rsidR="00324B65" w:rsidRPr="008C6B90">
        <w:rPr>
          <w:rFonts w:cs="Arial"/>
        </w:rPr>
        <w:t xml:space="preserve">ervice. </w:t>
      </w:r>
    </w:p>
    <w:p w14:paraId="04CFCBEA" w14:textId="77777777" w:rsidR="00324B65" w:rsidRPr="008C6B90" w:rsidRDefault="00324B65" w:rsidP="00324B65">
      <w:pPr>
        <w:pStyle w:val="ListParagraph"/>
        <w:spacing w:after="0"/>
        <w:ind w:left="709"/>
        <w:rPr>
          <w:rFonts w:cs="Arial"/>
        </w:rPr>
      </w:pPr>
    </w:p>
    <w:p w14:paraId="32CE90F9" w14:textId="61F21187" w:rsidR="00324B65" w:rsidRPr="006A1DEC" w:rsidRDefault="00324B65" w:rsidP="004709A4">
      <w:pPr>
        <w:rPr>
          <w:rFonts w:cs="Arial"/>
          <w:b/>
        </w:rPr>
      </w:pPr>
      <w:r w:rsidRPr="006A1DEC">
        <w:rPr>
          <w:rFonts w:cs="Arial"/>
          <w:b/>
        </w:rPr>
        <w:t>Undertaking the core functions of an Audit Committee, as identified in CIPFA</w:t>
      </w:r>
      <w:r w:rsidR="00853903">
        <w:rPr>
          <w:rFonts w:cs="Arial"/>
          <w:b/>
        </w:rPr>
        <w:t>'</w:t>
      </w:r>
      <w:r w:rsidRPr="006A1DEC">
        <w:rPr>
          <w:rFonts w:cs="Arial"/>
          <w:b/>
        </w:rPr>
        <w:t xml:space="preserve">s Audit Committees: Practical </w:t>
      </w:r>
      <w:r w:rsidR="006A1DEC">
        <w:rPr>
          <w:rFonts w:cs="Arial"/>
          <w:b/>
        </w:rPr>
        <w:t>Guidance for Local Authorities</w:t>
      </w:r>
    </w:p>
    <w:p w14:paraId="399C6671" w14:textId="77777777" w:rsidR="00324B65" w:rsidRPr="008C6B90" w:rsidRDefault="00324B65" w:rsidP="00324B65">
      <w:pPr>
        <w:ind w:left="709"/>
        <w:outlineLvl w:val="0"/>
        <w:rPr>
          <w:rFonts w:cs="Arial"/>
          <w:b/>
        </w:rPr>
      </w:pPr>
    </w:p>
    <w:p w14:paraId="4012C98E" w14:textId="2BA1EE75" w:rsidR="00324B65" w:rsidRDefault="008F2A0C" w:rsidP="004709A4">
      <w:pPr>
        <w:rPr>
          <w:rFonts w:cs="Arial"/>
        </w:rPr>
      </w:pPr>
      <w:r>
        <w:rPr>
          <w:rFonts w:cs="Arial"/>
        </w:rPr>
        <w:t>The c</w:t>
      </w:r>
      <w:r w:rsidR="00324B65" w:rsidRPr="008C6B90">
        <w:rPr>
          <w:rFonts w:cs="Arial"/>
        </w:rPr>
        <w:t xml:space="preserve">ouncil has an Audit and Governance Committee which operates in accordance with the </w:t>
      </w:r>
      <w:r w:rsidR="00853903">
        <w:rPr>
          <w:rFonts w:cs="Arial"/>
        </w:rPr>
        <w:t>CIPFA Statement. The c</w:t>
      </w:r>
      <w:r w:rsidR="00324B65">
        <w:rPr>
          <w:rFonts w:cs="Arial"/>
        </w:rPr>
        <w:t>ommittee's role is to provide</w:t>
      </w:r>
      <w:r w:rsidR="00324B65" w:rsidRPr="008C6B90">
        <w:rPr>
          <w:rFonts w:cs="Arial"/>
        </w:rPr>
        <w:t xml:space="preserve"> independent ov</w:t>
      </w:r>
      <w:r>
        <w:rPr>
          <w:rFonts w:cs="Arial"/>
        </w:rPr>
        <w:t xml:space="preserve">ersight of the adequacy of the </w:t>
      </w:r>
      <w:r>
        <w:rPr>
          <w:rFonts w:cs="Arial"/>
        </w:rPr>
        <w:lastRenderedPageBreak/>
        <w:t>c</w:t>
      </w:r>
      <w:r w:rsidR="00324B65" w:rsidRPr="008C6B90">
        <w:rPr>
          <w:rFonts w:cs="Arial"/>
        </w:rPr>
        <w:t>ouncil's governance and internal control frameworks, and oversee the financial reporting process</w:t>
      </w:r>
      <w:r w:rsidR="00324B65">
        <w:rPr>
          <w:rFonts w:cs="Arial"/>
        </w:rPr>
        <w:t xml:space="preserve">, and it will also have a key role in relation to new arrangements for the oversight of </w:t>
      </w:r>
      <w:r w:rsidR="00324B65" w:rsidRPr="008C6B90">
        <w:rPr>
          <w:rFonts w:cs="Arial"/>
        </w:rPr>
        <w:t>risk management.</w:t>
      </w:r>
    </w:p>
    <w:p w14:paraId="2BCB1186" w14:textId="75E63B15" w:rsidR="00324B65" w:rsidRDefault="00324B65" w:rsidP="00324B65">
      <w:pPr>
        <w:ind w:left="709" w:hanging="709"/>
        <w:rPr>
          <w:rFonts w:cs="Arial"/>
        </w:rPr>
      </w:pPr>
    </w:p>
    <w:p w14:paraId="286BF95A" w14:textId="55000261" w:rsidR="00324B65" w:rsidRDefault="00324B65" w:rsidP="004709A4">
      <w:pPr>
        <w:rPr>
          <w:rFonts w:cs="Arial"/>
        </w:rPr>
      </w:pPr>
      <w:r>
        <w:rPr>
          <w:rFonts w:cs="Arial"/>
        </w:rPr>
        <w:t xml:space="preserve">Whilst training for </w:t>
      </w:r>
      <w:r w:rsidR="00853903">
        <w:rPr>
          <w:rFonts w:cs="Arial"/>
        </w:rPr>
        <w:t>c</w:t>
      </w:r>
      <w:r>
        <w:rPr>
          <w:rFonts w:cs="Arial"/>
        </w:rPr>
        <w:t>ommittee members has taken place in the past, it has been recognised that this should now be refreshed and arrangements for this are in hand preceded by a self-assessment exercise.</w:t>
      </w:r>
    </w:p>
    <w:p w14:paraId="5149C9F6" w14:textId="77777777" w:rsidR="00324B65" w:rsidRPr="008C6B90" w:rsidRDefault="00324B65" w:rsidP="00324B65">
      <w:pPr>
        <w:rPr>
          <w:rFonts w:cs="Arial"/>
        </w:rPr>
      </w:pPr>
    </w:p>
    <w:p w14:paraId="16D5BB29" w14:textId="4DAB4A53" w:rsidR="00324B65" w:rsidRPr="006A1DEC" w:rsidRDefault="00324B65" w:rsidP="004709A4">
      <w:pPr>
        <w:outlineLvl w:val="0"/>
        <w:rPr>
          <w:rFonts w:cs="Arial"/>
          <w:b/>
        </w:rPr>
      </w:pPr>
      <w:r w:rsidRPr="006A1DEC">
        <w:rPr>
          <w:rFonts w:cs="Arial"/>
          <w:b/>
        </w:rPr>
        <w:t>Ensuring compliance with relevant laws and regulations, internal policies and procedures</w:t>
      </w:r>
      <w:r w:rsidR="006A1DEC">
        <w:rPr>
          <w:rFonts w:cs="Arial"/>
          <w:b/>
        </w:rPr>
        <w:t xml:space="preserve"> and that expenditure is lawful</w:t>
      </w:r>
    </w:p>
    <w:p w14:paraId="2079D0BD" w14:textId="77777777" w:rsidR="00324B65" w:rsidRPr="008C6B90" w:rsidRDefault="00324B65" w:rsidP="00324B65">
      <w:pPr>
        <w:ind w:left="709"/>
        <w:outlineLvl w:val="0"/>
        <w:rPr>
          <w:rFonts w:cs="Arial"/>
          <w:b/>
        </w:rPr>
      </w:pPr>
    </w:p>
    <w:p w14:paraId="7C49A904" w14:textId="0A4C220F" w:rsidR="00324B65" w:rsidRDefault="00324B65" w:rsidP="004709A4">
      <w:pPr>
        <w:rPr>
          <w:rFonts w:cs="Arial"/>
        </w:rPr>
      </w:pPr>
      <w:r w:rsidRPr="008C6B90">
        <w:rPr>
          <w:rFonts w:cs="Arial"/>
        </w:rPr>
        <w:t>In an organisation of the</w:t>
      </w:r>
      <w:r w:rsidR="008F2A0C">
        <w:rPr>
          <w:rFonts w:cs="Arial"/>
        </w:rPr>
        <w:t xml:space="preserve"> size and complexity of L</w:t>
      </w:r>
      <w:r w:rsidRPr="008C6B90">
        <w:rPr>
          <w:rFonts w:cs="Arial"/>
        </w:rPr>
        <w:t>ancashire County Council, it will be never be possible to provide absolute assurance that compliance with all applicable laws and regulations is achieved. However, processes are in place within individual service areas that ensure that compliance with applicable laws, regulations, policies and procedures is achieved.</w:t>
      </w:r>
    </w:p>
    <w:p w14:paraId="31CFE3FA" w14:textId="67ED5B69" w:rsidR="00324B65" w:rsidRPr="006A1DEC" w:rsidRDefault="00324B65" w:rsidP="004709A4">
      <w:pPr>
        <w:spacing w:after="0"/>
        <w:rPr>
          <w:rFonts w:cs="Arial"/>
          <w:b/>
        </w:rPr>
      </w:pPr>
      <w:r w:rsidRPr="006A1DEC">
        <w:rPr>
          <w:rFonts w:cs="Arial"/>
          <w:b/>
        </w:rPr>
        <w:t>Whistleblowing and for receiving and investigating complaints from the public</w:t>
      </w:r>
    </w:p>
    <w:p w14:paraId="0F69CB1C" w14:textId="77777777" w:rsidR="00324B65" w:rsidRPr="008C6B90" w:rsidRDefault="00324B65" w:rsidP="00324B65">
      <w:pPr>
        <w:pStyle w:val="ListParagraph"/>
        <w:spacing w:after="0"/>
        <w:ind w:left="709"/>
        <w:rPr>
          <w:rFonts w:cs="Arial"/>
        </w:rPr>
      </w:pPr>
    </w:p>
    <w:p w14:paraId="68A1AA1D" w14:textId="27DDC7A3" w:rsidR="00324B65" w:rsidRPr="008C6B90" w:rsidRDefault="006D1ED6" w:rsidP="004709A4">
      <w:pPr>
        <w:rPr>
          <w:rFonts w:cs="Arial"/>
        </w:rPr>
      </w:pPr>
      <w:r>
        <w:rPr>
          <w:rFonts w:cs="Arial"/>
        </w:rPr>
        <w:lastRenderedPageBreak/>
        <w:t>The c</w:t>
      </w:r>
      <w:r w:rsidR="00324B65" w:rsidRPr="008C6B90">
        <w:rPr>
          <w:rFonts w:cs="Arial"/>
        </w:rPr>
        <w:t>ouncil has a whistle-blowing procedure in place, which has been publicised to staff. Reports on its use and outcomes are presented to the Audit and Governance Committee.</w:t>
      </w:r>
    </w:p>
    <w:p w14:paraId="1D081C8A" w14:textId="77777777" w:rsidR="00324B65" w:rsidRPr="008C6B90" w:rsidRDefault="00324B65" w:rsidP="00324B65">
      <w:pPr>
        <w:pStyle w:val="ListParagraph"/>
        <w:spacing w:after="0"/>
        <w:ind w:left="709"/>
        <w:rPr>
          <w:rFonts w:cs="Arial"/>
          <w:b/>
        </w:rPr>
      </w:pPr>
    </w:p>
    <w:p w14:paraId="5B3B933A" w14:textId="00F3C2FD" w:rsidR="00324B65" w:rsidRDefault="006D1ED6" w:rsidP="004709A4">
      <w:pPr>
        <w:rPr>
          <w:rFonts w:cs="Arial"/>
          <w:iCs/>
        </w:rPr>
      </w:pPr>
      <w:r>
        <w:rPr>
          <w:rFonts w:cs="Arial"/>
          <w:iCs/>
        </w:rPr>
        <w:t>The c</w:t>
      </w:r>
      <w:r w:rsidR="00324B65" w:rsidRPr="008C6B90">
        <w:rPr>
          <w:rFonts w:cs="Arial"/>
          <w:iCs/>
        </w:rPr>
        <w:t xml:space="preserve">ouncil has robust arrangements for processing all complaints, including those made under statutory social care procedures. These arrangements </w:t>
      </w:r>
      <w:r w:rsidR="00324B65">
        <w:rPr>
          <w:rFonts w:cs="Arial"/>
          <w:iCs/>
        </w:rPr>
        <w:t>were revised during 2014/15, bringing together the adults' and children's social care complaints systems under a single management structure. A new customer feedback system was implemented in October 2014 being utilised by the former ASHW and CYP directorates as a single repository to facilitate the strategic overview of complaints.</w:t>
      </w:r>
    </w:p>
    <w:p w14:paraId="178C01A6" w14:textId="77777777" w:rsidR="00324B65" w:rsidRDefault="00324B65" w:rsidP="00324B65">
      <w:pPr>
        <w:ind w:left="709" w:hanging="709"/>
        <w:rPr>
          <w:rFonts w:cs="Arial"/>
          <w:iCs/>
        </w:rPr>
      </w:pPr>
    </w:p>
    <w:p w14:paraId="7127EE28" w14:textId="4BCB840F" w:rsidR="00324B65" w:rsidRPr="008C6B90" w:rsidRDefault="00324B65" w:rsidP="004709A4">
      <w:pPr>
        <w:rPr>
          <w:rFonts w:cs="Arial"/>
          <w:iCs/>
        </w:rPr>
      </w:pPr>
      <w:r>
        <w:rPr>
          <w:rFonts w:cs="Arial"/>
          <w:iCs/>
        </w:rPr>
        <w:t xml:space="preserve">The adequacy and effectiveness of the complaints procedures </w:t>
      </w:r>
      <w:r w:rsidRPr="008C6B90">
        <w:rPr>
          <w:rFonts w:cs="Arial"/>
          <w:iCs/>
        </w:rPr>
        <w:t>have recently been the subject of a detailed internal audit review which resulted in substantial assurance being given.</w:t>
      </w:r>
      <w:r w:rsidR="006D1ED6">
        <w:rPr>
          <w:rFonts w:cs="Arial"/>
          <w:iCs/>
        </w:rPr>
        <w:t xml:space="preserve"> Under the c</w:t>
      </w:r>
      <w:r>
        <w:rPr>
          <w:rFonts w:cs="Arial"/>
          <w:iCs/>
        </w:rPr>
        <w:t xml:space="preserve">ouncil's new operating structure further consolidation means that all complaints procedures, including corporate complaints, will be under a single management structure within Democratic Services. </w:t>
      </w:r>
    </w:p>
    <w:p w14:paraId="23E85EDB" w14:textId="77777777" w:rsidR="00324B65" w:rsidRPr="008C6B90" w:rsidRDefault="00324B65" w:rsidP="00324B65">
      <w:pPr>
        <w:pStyle w:val="ListParagraph"/>
        <w:spacing w:after="0"/>
        <w:ind w:left="709"/>
        <w:rPr>
          <w:rFonts w:cs="Arial"/>
          <w:b/>
        </w:rPr>
      </w:pPr>
    </w:p>
    <w:p w14:paraId="248BC7CF" w14:textId="4A23E626" w:rsidR="00324B65" w:rsidRPr="006A1DEC" w:rsidRDefault="00324B65" w:rsidP="004709A4">
      <w:pPr>
        <w:outlineLvl w:val="0"/>
        <w:rPr>
          <w:rFonts w:cs="Arial"/>
          <w:b/>
        </w:rPr>
      </w:pPr>
      <w:r w:rsidRPr="006A1DEC">
        <w:rPr>
          <w:rFonts w:cs="Arial"/>
          <w:b/>
        </w:rPr>
        <w:t>Identifying the development needs of members and senior officers in relation to their strategic roles su</w:t>
      </w:r>
      <w:r w:rsidR="006A1DEC">
        <w:rPr>
          <w:rFonts w:cs="Arial"/>
          <w:b/>
        </w:rPr>
        <w:t>pported by appropriate training</w:t>
      </w:r>
      <w:r w:rsidRPr="006A1DEC">
        <w:rPr>
          <w:rFonts w:cs="Arial"/>
          <w:b/>
        </w:rPr>
        <w:t xml:space="preserve"> </w:t>
      </w:r>
    </w:p>
    <w:p w14:paraId="217D1848" w14:textId="77777777" w:rsidR="00324B65" w:rsidRPr="008C6B90" w:rsidRDefault="00324B65" w:rsidP="00324B65">
      <w:pPr>
        <w:ind w:left="709"/>
        <w:outlineLvl w:val="0"/>
        <w:rPr>
          <w:rFonts w:cs="Arial"/>
          <w:b/>
        </w:rPr>
      </w:pPr>
    </w:p>
    <w:p w14:paraId="571951F4" w14:textId="01C53B08" w:rsidR="00324B65" w:rsidRDefault="00324B65" w:rsidP="004709A4">
      <w:pPr>
        <w:rPr>
          <w:rFonts w:cs="Arial"/>
        </w:rPr>
      </w:pPr>
      <w:r w:rsidRPr="008C6B90">
        <w:rPr>
          <w:rFonts w:cs="Arial"/>
        </w:rPr>
        <w:t xml:space="preserve">A cross-party member development working group plans and co-ordinates member development activities to meet individual and group needs. </w:t>
      </w:r>
      <w:r>
        <w:rPr>
          <w:rFonts w:cs="Arial"/>
        </w:rPr>
        <w:t>A comprehensive member development programme was undertaken during 2014/15.</w:t>
      </w:r>
    </w:p>
    <w:p w14:paraId="0169E8A4" w14:textId="77777777" w:rsidR="00324B65" w:rsidRDefault="00324B65" w:rsidP="00324B65">
      <w:pPr>
        <w:rPr>
          <w:rFonts w:cs="Arial"/>
        </w:rPr>
      </w:pPr>
    </w:p>
    <w:p w14:paraId="570E9DBD" w14:textId="6F939E81" w:rsidR="00324B65" w:rsidRPr="00A422E8" w:rsidRDefault="00324B65" w:rsidP="004709A4">
      <w:r w:rsidRPr="00A422E8">
        <w:rPr>
          <w:rFonts w:cs="Arial"/>
          <w:lang w:val="en"/>
        </w:rPr>
        <w:t>A comprehensive range of learning and development opportunities have been provided during  including intranet based tools; numerous training courses; and a series of staff briefing sessions  to assist and support staff throu</w:t>
      </w:r>
      <w:r w:rsidR="006D1ED6">
        <w:rPr>
          <w:rFonts w:cs="Arial"/>
          <w:lang w:val="en"/>
        </w:rPr>
        <w:t>gh the c</w:t>
      </w:r>
      <w:r w:rsidRPr="00A422E8">
        <w:rPr>
          <w:rFonts w:cs="Arial"/>
          <w:lang w:val="en"/>
        </w:rPr>
        <w:t xml:space="preserve">ouncil's Transformation process. </w:t>
      </w:r>
    </w:p>
    <w:p w14:paraId="66C64469" w14:textId="77777777" w:rsidR="00324B65" w:rsidRDefault="00324B65" w:rsidP="00324B65">
      <w:pPr>
        <w:ind w:left="709" w:hanging="709"/>
        <w:rPr>
          <w:rFonts w:cs="Arial"/>
        </w:rPr>
      </w:pPr>
    </w:p>
    <w:p w14:paraId="5F3B52E6" w14:textId="3A4434FF" w:rsidR="00324B65" w:rsidRPr="008C6B90" w:rsidRDefault="00324B65" w:rsidP="004709A4">
      <w:pPr>
        <w:rPr>
          <w:rFonts w:cs="Arial"/>
        </w:rPr>
      </w:pPr>
      <w:r w:rsidRPr="008C6B90">
        <w:rPr>
          <w:rFonts w:cs="Arial"/>
        </w:rPr>
        <w:t xml:space="preserve">All senior officers appointed to the new organisation structure will participate in a new Senior Leadership Development Programme designed to create a supportive and respectfully challenging thinking environment that enables leaders in setting a vision, engaging our employees and ensuring the </w:t>
      </w:r>
      <w:r w:rsidR="006D1ED6">
        <w:rPr>
          <w:rFonts w:cs="Arial"/>
        </w:rPr>
        <w:t>c</w:t>
      </w:r>
      <w:r w:rsidRPr="008C6B90">
        <w:rPr>
          <w:rFonts w:cs="Arial"/>
        </w:rPr>
        <w:t>ouncil delivers high quality services for the people of Lancashire. Additional training needs will be identified through a corporate performance and development review process.</w:t>
      </w:r>
    </w:p>
    <w:p w14:paraId="42BFE8B9" w14:textId="184243D8" w:rsidR="00324B65" w:rsidRPr="006A1DEC" w:rsidRDefault="00324B65" w:rsidP="004709A4">
      <w:pPr>
        <w:rPr>
          <w:rFonts w:cs="Arial"/>
          <w:b/>
        </w:rPr>
      </w:pPr>
      <w:r w:rsidRPr="006A1DEC">
        <w:rPr>
          <w:rFonts w:cs="Arial"/>
          <w:b/>
        </w:rPr>
        <w:t>Establishing clear channels of communication with all sections of the community and other stakeholders, ensuring accountability an</w:t>
      </w:r>
      <w:r w:rsidR="006A1DEC">
        <w:rPr>
          <w:rFonts w:cs="Arial"/>
          <w:b/>
        </w:rPr>
        <w:t>d encouraging open consultation</w:t>
      </w:r>
    </w:p>
    <w:p w14:paraId="574FD5A7" w14:textId="77777777" w:rsidR="00324B65" w:rsidRPr="000B5A45" w:rsidRDefault="00324B65" w:rsidP="00324B65">
      <w:pPr>
        <w:ind w:left="709"/>
        <w:rPr>
          <w:rFonts w:cs="Arial"/>
          <w:b/>
        </w:rPr>
      </w:pPr>
    </w:p>
    <w:p w14:paraId="2CC44D59" w14:textId="75956E28" w:rsidR="00324B65" w:rsidRDefault="006D1ED6" w:rsidP="004709A4">
      <w:pPr>
        <w:rPr>
          <w:rFonts w:cs="Arial"/>
        </w:rPr>
      </w:pPr>
      <w:r>
        <w:rPr>
          <w:rFonts w:cs="Arial"/>
        </w:rPr>
        <w:t>The c</w:t>
      </w:r>
      <w:r w:rsidR="00324B65" w:rsidRPr="000B5A45">
        <w:rPr>
          <w:rFonts w:cs="Arial"/>
        </w:rPr>
        <w:t>ouncil uses a number of main channels to communicate with the community and other stakeholders including:</w:t>
      </w:r>
    </w:p>
    <w:p w14:paraId="59BC50AB" w14:textId="77777777" w:rsidR="00324B65" w:rsidRPr="000B5A45" w:rsidRDefault="00324B65" w:rsidP="00717919">
      <w:pPr>
        <w:pStyle w:val="ListParagraph"/>
        <w:numPr>
          <w:ilvl w:val="0"/>
          <w:numId w:val="62"/>
        </w:numPr>
        <w:autoSpaceDE/>
        <w:autoSpaceDN/>
        <w:adjustRightInd/>
        <w:spacing w:after="0"/>
        <w:ind w:left="1134" w:hanging="425"/>
        <w:contextualSpacing w:val="0"/>
        <w:rPr>
          <w:rFonts w:cs="Arial"/>
          <w:b/>
        </w:rPr>
      </w:pPr>
      <w:r w:rsidRPr="000B5A45">
        <w:rPr>
          <w:rFonts w:cs="Arial"/>
          <w:bCs/>
        </w:rPr>
        <w:t xml:space="preserve">The website </w:t>
      </w:r>
      <w:hyperlink r:id="rId12" w:history="1">
        <w:r w:rsidRPr="000B5A45">
          <w:rPr>
            <w:bCs/>
            <w:color w:val="auto"/>
          </w:rPr>
          <w:t>www.lancashire.gov.uk</w:t>
        </w:r>
      </w:hyperlink>
      <w:r w:rsidRPr="000B5A45">
        <w:rPr>
          <w:rFonts w:cs="Arial"/>
          <w:bCs/>
          <w:u w:val="single"/>
        </w:rPr>
        <w:t xml:space="preserve"> </w:t>
      </w:r>
      <w:r w:rsidRPr="000B5A45">
        <w:rPr>
          <w:rFonts w:cs="Arial"/>
          <w:bCs/>
        </w:rPr>
        <w:t>, which is our most used channel and received more than 4.2m unique visitors in 2014/15</w:t>
      </w:r>
    </w:p>
    <w:p w14:paraId="286F932E" w14:textId="77777777" w:rsidR="00324B65" w:rsidRPr="000B5A45" w:rsidRDefault="00324B65" w:rsidP="00717919">
      <w:pPr>
        <w:pStyle w:val="ListParagraph"/>
        <w:numPr>
          <w:ilvl w:val="0"/>
          <w:numId w:val="62"/>
        </w:numPr>
        <w:autoSpaceDE/>
        <w:autoSpaceDN/>
        <w:adjustRightInd/>
        <w:spacing w:after="0"/>
        <w:ind w:left="1134" w:hanging="425"/>
        <w:contextualSpacing w:val="0"/>
        <w:rPr>
          <w:rFonts w:cs="Arial"/>
          <w:b/>
          <w:bCs/>
        </w:rPr>
      </w:pPr>
      <w:r w:rsidRPr="000B5A45">
        <w:rPr>
          <w:rFonts w:cs="Arial"/>
          <w:bCs/>
        </w:rPr>
        <w:t>Local newspapers, magazines and newsletters</w:t>
      </w:r>
    </w:p>
    <w:p w14:paraId="5B6E1B22" w14:textId="77777777" w:rsidR="00324B65" w:rsidRDefault="00324B65" w:rsidP="00717919">
      <w:pPr>
        <w:pStyle w:val="ListParagraph"/>
        <w:numPr>
          <w:ilvl w:val="0"/>
          <w:numId w:val="62"/>
        </w:numPr>
        <w:autoSpaceDE/>
        <w:autoSpaceDN/>
        <w:adjustRightInd/>
        <w:spacing w:after="0"/>
        <w:ind w:left="1134" w:hanging="425"/>
        <w:contextualSpacing w:val="0"/>
        <w:rPr>
          <w:rFonts w:cs="Arial"/>
          <w:b/>
          <w:bCs/>
        </w:rPr>
      </w:pPr>
      <w:r w:rsidRPr="000B5A45">
        <w:rPr>
          <w:rFonts w:cs="Arial"/>
          <w:bCs/>
        </w:rPr>
        <w:t>Local radio and television</w:t>
      </w:r>
    </w:p>
    <w:p w14:paraId="2A13D5DF" w14:textId="77777777" w:rsidR="00324B65" w:rsidRPr="000B5A45" w:rsidRDefault="00324B65" w:rsidP="00717919">
      <w:pPr>
        <w:pStyle w:val="ListParagraph"/>
        <w:numPr>
          <w:ilvl w:val="0"/>
          <w:numId w:val="62"/>
        </w:numPr>
        <w:autoSpaceDE/>
        <w:autoSpaceDN/>
        <w:adjustRightInd/>
        <w:spacing w:after="0"/>
        <w:ind w:left="1134" w:hanging="425"/>
        <w:contextualSpacing w:val="0"/>
        <w:rPr>
          <w:rFonts w:cs="Arial"/>
          <w:b/>
          <w:bCs/>
        </w:rPr>
      </w:pPr>
      <w:r w:rsidRPr="000B5A45">
        <w:rPr>
          <w:rFonts w:cs="Arial"/>
          <w:bCs/>
        </w:rPr>
        <w:t xml:space="preserve">Social media, particularly </w:t>
      </w:r>
      <w:r>
        <w:rPr>
          <w:rFonts w:cs="Arial"/>
          <w:bCs/>
        </w:rPr>
        <w:t>F</w:t>
      </w:r>
      <w:r w:rsidRPr="000B5A45">
        <w:rPr>
          <w:rFonts w:cs="Arial"/>
          <w:bCs/>
        </w:rPr>
        <w:t>acebook and twitter</w:t>
      </w:r>
    </w:p>
    <w:p w14:paraId="5600A2C7" w14:textId="77777777" w:rsidR="00324B65" w:rsidRPr="002A52BA" w:rsidRDefault="00324B65" w:rsidP="00717919">
      <w:pPr>
        <w:pStyle w:val="ListParagraph"/>
        <w:numPr>
          <w:ilvl w:val="0"/>
          <w:numId w:val="62"/>
        </w:numPr>
        <w:autoSpaceDE/>
        <w:autoSpaceDN/>
        <w:adjustRightInd/>
        <w:spacing w:after="0"/>
        <w:ind w:left="1134" w:hanging="425"/>
        <w:contextualSpacing w:val="0"/>
        <w:rPr>
          <w:rFonts w:cs="Arial"/>
          <w:b/>
        </w:rPr>
      </w:pPr>
      <w:r w:rsidRPr="000B5A45">
        <w:rPr>
          <w:rFonts w:cs="Arial"/>
          <w:bCs/>
        </w:rPr>
        <w:t>A variety of public information leaflets and other literature distributed to public places across the county</w:t>
      </w:r>
    </w:p>
    <w:p w14:paraId="7171932B" w14:textId="77777777" w:rsidR="00324B65" w:rsidRDefault="00324B65" w:rsidP="00324B65">
      <w:pPr>
        <w:rPr>
          <w:rFonts w:cs="Arial"/>
        </w:rPr>
      </w:pPr>
    </w:p>
    <w:p w14:paraId="2D27C186" w14:textId="7693A04B" w:rsidR="00324B65" w:rsidRPr="006A1DEC" w:rsidRDefault="00324B65" w:rsidP="004709A4">
      <w:pPr>
        <w:rPr>
          <w:rFonts w:cs="Arial"/>
          <w:b/>
        </w:rPr>
      </w:pPr>
      <w:r w:rsidRPr="006A1DEC">
        <w:rPr>
          <w:rFonts w:cs="Arial"/>
          <w:b/>
        </w:rPr>
        <w:t>Enhancing the accountability for service delivery and effectiveness of</w:t>
      </w:r>
      <w:r w:rsidR="006A1DEC">
        <w:rPr>
          <w:rFonts w:cs="Arial"/>
          <w:b/>
        </w:rPr>
        <w:t xml:space="preserve"> other public service providers</w:t>
      </w:r>
      <w:r w:rsidRPr="006A1DEC">
        <w:rPr>
          <w:rFonts w:cs="Arial"/>
          <w:b/>
        </w:rPr>
        <w:t xml:space="preserve"> </w:t>
      </w:r>
    </w:p>
    <w:p w14:paraId="6937F08B" w14:textId="77777777" w:rsidR="00324B65" w:rsidRPr="008C6B90" w:rsidRDefault="00324B65" w:rsidP="00324B65">
      <w:pPr>
        <w:ind w:left="709"/>
        <w:outlineLvl w:val="0"/>
        <w:rPr>
          <w:rFonts w:cs="Arial"/>
          <w:b/>
        </w:rPr>
      </w:pPr>
    </w:p>
    <w:p w14:paraId="2213ED8C" w14:textId="75F128A2" w:rsidR="00324B65" w:rsidRDefault="00324B65" w:rsidP="004709A4">
      <w:pPr>
        <w:rPr>
          <w:rFonts w:cs="Arial"/>
        </w:rPr>
      </w:pPr>
      <w:r>
        <w:rPr>
          <w:rFonts w:cs="Arial"/>
        </w:rPr>
        <w:t>Overview and Scrutiny has engaged with the NHS, Police and other public sector partners to hold them to account through formal meetings and through informal engagement arrangements. Work was undertaken in the year through Overview and Scrutiny to consider processes for complaints against care pro</w:t>
      </w:r>
      <w:r w:rsidR="006D1ED6">
        <w:rPr>
          <w:rFonts w:cs="Arial"/>
        </w:rPr>
        <w:t>viders across all sectors. The c</w:t>
      </w:r>
      <w:r>
        <w:rPr>
          <w:rFonts w:cs="Arial"/>
        </w:rPr>
        <w:t xml:space="preserve">ouncil also hosts the statutory "Healthwatch" organisation. </w:t>
      </w:r>
    </w:p>
    <w:p w14:paraId="718CE0A8" w14:textId="77777777" w:rsidR="00324B65" w:rsidRDefault="00324B65" w:rsidP="00324B65">
      <w:pPr>
        <w:ind w:left="709" w:hanging="709"/>
        <w:rPr>
          <w:rFonts w:cs="Arial"/>
        </w:rPr>
      </w:pPr>
    </w:p>
    <w:p w14:paraId="44939434" w14:textId="7DA2422E" w:rsidR="00324B65" w:rsidRDefault="006D1ED6" w:rsidP="004709A4">
      <w:pPr>
        <w:rPr>
          <w:rFonts w:cs="Arial"/>
        </w:rPr>
      </w:pPr>
      <w:r>
        <w:rPr>
          <w:rFonts w:cs="Arial"/>
        </w:rPr>
        <w:lastRenderedPageBreak/>
        <w:t>The c</w:t>
      </w:r>
      <w:r w:rsidR="00324B65">
        <w:rPr>
          <w:rFonts w:cs="Arial"/>
        </w:rPr>
        <w:t>ouncil has strong relationships with district and parish councils, and works collaboratively with them.</w:t>
      </w:r>
    </w:p>
    <w:p w14:paraId="6CA95C70" w14:textId="77777777" w:rsidR="00324B65" w:rsidRDefault="00324B65" w:rsidP="00324B65">
      <w:pPr>
        <w:ind w:left="709" w:hanging="709"/>
        <w:rPr>
          <w:rFonts w:cs="Arial"/>
        </w:rPr>
      </w:pPr>
    </w:p>
    <w:p w14:paraId="384C34D1" w14:textId="12AF2557" w:rsidR="00324B65" w:rsidRPr="006A1DEC" w:rsidRDefault="00324B65" w:rsidP="004709A4">
      <w:pPr>
        <w:outlineLvl w:val="0"/>
        <w:rPr>
          <w:rFonts w:cs="Arial"/>
          <w:b/>
        </w:rPr>
      </w:pPr>
      <w:r w:rsidRPr="006A1DEC">
        <w:rPr>
          <w:rFonts w:cs="Arial"/>
          <w:b/>
        </w:rPr>
        <w:t>Incorporating good governance arrangements in respect of partnerships and other joint working as identified in the Audit Commission's report on the governance of partnership</w:t>
      </w:r>
      <w:r w:rsidR="006D1ED6">
        <w:rPr>
          <w:rFonts w:cs="Arial"/>
          <w:b/>
        </w:rPr>
        <w:t>s, and reflecting these in the c</w:t>
      </w:r>
      <w:r w:rsidRPr="006A1DEC">
        <w:rPr>
          <w:rFonts w:cs="Arial"/>
          <w:b/>
        </w:rPr>
        <w:t xml:space="preserve">ouncil's </w:t>
      </w:r>
      <w:r w:rsidR="006A1DEC">
        <w:rPr>
          <w:rFonts w:cs="Arial"/>
          <w:b/>
        </w:rPr>
        <w:t>overall governance arrangements</w:t>
      </w:r>
    </w:p>
    <w:p w14:paraId="5E9300C7" w14:textId="77777777" w:rsidR="00324B65" w:rsidRPr="008C6B90" w:rsidRDefault="00324B65" w:rsidP="00324B65">
      <w:pPr>
        <w:ind w:left="709"/>
        <w:outlineLvl w:val="0"/>
        <w:rPr>
          <w:rFonts w:cs="Arial"/>
          <w:highlight w:val="yellow"/>
        </w:rPr>
      </w:pPr>
    </w:p>
    <w:p w14:paraId="4891BDBD" w14:textId="7ED8EE49" w:rsidR="00324B65" w:rsidRPr="008C6B90" w:rsidRDefault="00324B65" w:rsidP="004709A4">
      <w:pPr>
        <w:outlineLvl w:val="0"/>
        <w:rPr>
          <w:rFonts w:cs="Arial"/>
        </w:rPr>
      </w:pPr>
      <w:r w:rsidRPr="008C6B90">
        <w:rPr>
          <w:rFonts w:cs="Arial"/>
        </w:rPr>
        <w:t>The 2013/14 review of partnerships has ensured a model of strategic partnerships that have a far greater synergy across key corporate priorities and improved the clarity of purpose and accountabilities that exists across partnership structures. The formal working protocols that have been agreed between the Children's Trust, Health and Wellbeing Board and Lancashire Safeguarding Children Board demonstrate this commitment and endorsement of better governance and accountabilities between partnerships.</w:t>
      </w:r>
      <w:r>
        <w:rPr>
          <w:rFonts w:cs="Arial"/>
        </w:rPr>
        <w:t xml:space="preserve"> A LGA Health and Wellbeing Peer Challenge will take place during 2015 as part of an ongoing Improvement Programme.</w:t>
      </w:r>
    </w:p>
    <w:p w14:paraId="1A28E7A2" w14:textId="77777777" w:rsidR="00324B65" w:rsidRPr="008C6B90" w:rsidRDefault="00324B65" w:rsidP="00324B65">
      <w:pPr>
        <w:ind w:left="709"/>
        <w:rPr>
          <w:rFonts w:cs="Arial"/>
        </w:rPr>
      </w:pPr>
    </w:p>
    <w:p w14:paraId="2E4B01E0" w14:textId="60339AE3" w:rsidR="00324B65" w:rsidRDefault="006D1ED6" w:rsidP="004709A4">
      <w:pPr>
        <w:rPr>
          <w:rFonts w:cs="Arial"/>
        </w:rPr>
      </w:pPr>
      <w:r>
        <w:rPr>
          <w:rFonts w:cs="Arial"/>
        </w:rPr>
        <w:t>County c</w:t>
      </w:r>
      <w:r w:rsidR="00853903">
        <w:rPr>
          <w:rFonts w:cs="Arial"/>
        </w:rPr>
        <w:t>ouncil scrutiny c</w:t>
      </w:r>
      <w:r w:rsidR="00324B65" w:rsidRPr="008C6B90">
        <w:rPr>
          <w:rFonts w:cs="Arial"/>
        </w:rPr>
        <w:t xml:space="preserve">ommittees have continued to conduct scrutiny of external bodies and partners, including the Health services and the Police service. </w:t>
      </w:r>
    </w:p>
    <w:p w14:paraId="0E93C7EB" w14:textId="77777777" w:rsidR="00324B65" w:rsidRPr="00FB50BF" w:rsidRDefault="00324B65" w:rsidP="00324B65">
      <w:pPr>
        <w:ind w:left="709" w:hanging="709"/>
        <w:rPr>
          <w:rFonts w:cs="Arial"/>
          <w:color w:val="1F497D"/>
        </w:rPr>
      </w:pPr>
    </w:p>
    <w:p w14:paraId="5669382B" w14:textId="4B1A861E" w:rsidR="00324B65" w:rsidRDefault="00984A45" w:rsidP="00324B65">
      <w:pPr>
        <w:outlineLvl w:val="0"/>
        <w:rPr>
          <w:rFonts w:cs="Arial"/>
          <w:b/>
        </w:rPr>
      </w:pPr>
      <w:r>
        <w:rPr>
          <w:rFonts w:cs="Arial"/>
          <w:b/>
        </w:rPr>
        <w:t>Internal c</w:t>
      </w:r>
      <w:r w:rsidR="00324B65" w:rsidRPr="006A1DEC">
        <w:rPr>
          <w:rFonts w:cs="Arial"/>
          <w:b/>
        </w:rPr>
        <w:t>ontrol</w:t>
      </w:r>
    </w:p>
    <w:p w14:paraId="637BE6C8" w14:textId="77777777" w:rsidR="00B3248D" w:rsidRPr="006A1DEC" w:rsidRDefault="00B3248D" w:rsidP="00324B65">
      <w:pPr>
        <w:outlineLvl w:val="0"/>
        <w:rPr>
          <w:rFonts w:cs="Arial"/>
          <w:b/>
        </w:rPr>
      </w:pPr>
    </w:p>
    <w:p w14:paraId="1F9EDBDE" w14:textId="3F18D27E" w:rsidR="00324B65" w:rsidRDefault="00324B65" w:rsidP="004709A4">
      <w:pPr>
        <w:rPr>
          <w:rFonts w:ascii="TT9CAo00" w:hAnsi="TT9CAo00" w:cs="TT9CAo00"/>
        </w:rPr>
      </w:pPr>
      <w:r>
        <w:rPr>
          <w:rFonts w:ascii="TT9CAo00" w:hAnsi="TT9CAo00" w:cs="TT9CAo00"/>
        </w:rPr>
        <w:t>Having given a strong commitment to ensure that basic controls are maintained, particularly those highlighted by the Chief Internal Auditor's report for 2013/14, it is pleasing that virtually all the outstanding actions which formed part of the Audit Plan for 2014/15 which were areas of high and moderate risk have now achieved a substantial assurance assessment in the current Chief Internal Auditor's report for the year ending 31 March 2015.</w:t>
      </w:r>
    </w:p>
    <w:p w14:paraId="4DFDA84C" w14:textId="7159BB49" w:rsidR="00324B65" w:rsidRDefault="00324B65" w:rsidP="004709A4">
      <w:pPr>
        <w:rPr>
          <w:rFonts w:ascii="TT9CAo00" w:hAnsi="TT9CAo00" w:cs="TT9CAo00"/>
        </w:rPr>
      </w:pPr>
      <w:r>
        <w:rPr>
          <w:rFonts w:ascii="TT9CAo00" w:hAnsi="TT9CAo00" w:cs="TT9CAo00"/>
        </w:rPr>
        <w:t xml:space="preserve">However, it is clear that 2015/16 will be a year of </w:t>
      </w:r>
      <w:r w:rsidR="006D1ED6">
        <w:rPr>
          <w:rFonts w:ascii="TT9CAo00" w:hAnsi="TT9CAo00" w:cs="TT9CAo00"/>
        </w:rPr>
        <w:t>significant challenges for the c</w:t>
      </w:r>
      <w:r>
        <w:rPr>
          <w:rFonts w:ascii="TT9CAo00" w:hAnsi="TT9CAo00" w:cs="TT9CAo00"/>
        </w:rPr>
        <w:t>ouncil with the need to embed a new opera</w:t>
      </w:r>
      <w:r w:rsidR="00984A45">
        <w:rPr>
          <w:rFonts w:ascii="TT9CAo00" w:hAnsi="TT9CAo00" w:cs="TT9CAo00"/>
        </w:rPr>
        <w:t>ting structure, often with new heads of s</w:t>
      </w:r>
      <w:r>
        <w:rPr>
          <w:rFonts w:ascii="TT9CAo00" w:hAnsi="TT9CAo00" w:cs="TT9CAo00"/>
        </w:rPr>
        <w:t xml:space="preserve">ervice in post, some of whom may be unfamiliar with either their new role or the "new" service. Clearly the risks around transformation will form part of a new corporate risk and opportunity register and appropriate mitigation measures will be in place. </w:t>
      </w:r>
    </w:p>
    <w:p w14:paraId="172E4500" w14:textId="77777777" w:rsidR="00324B65" w:rsidRDefault="00324B65" w:rsidP="00324B65">
      <w:pPr>
        <w:ind w:left="709" w:firstLine="11"/>
        <w:rPr>
          <w:rFonts w:ascii="TT9CAo00" w:hAnsi="TT9CAo00" w:cs="TT9CAo00"/>
        </w:rPr>
      </w:pPr>
    </w:p>
    <w:p w14:paraId="6519DF39" w14:textId="5C5778A3" w:rsidR="00324B65" w:rsidRDefault="00324B65" w:rsidP="004709A4">
      <w:pPr>
        <w:rPr>
          <w:rFonts w:ascii="TT9CAo00" w:hAnsi="TT9CAo00" w:cs="TT9CAo00"/>
        </w:rPr>
      </w:pPr>
      <w:r>
        <w:rPr>
          <w:rFonts w:ascii="TT9CAo00" w:hAnsi="TT9CAo00" w:cs="TT9CAo00"/>
        </w:rPr>
        <w:t>One of the mitigation measures proposed, which also reflects the fact that the current capacity for Internal Audit is currently limited pending a review of the Internal Audit Service, is to agree that for 2015/16 the focus of Internal Audit will be limited to consideration of the key financial systems and that the focus will be to provide consultancy (without any c</w:t>
      </w:r>
      <w:r w:rsidR="00984A45">
        <w:rPr>
          <w:rFonts w:ascii="TT9CAo00" w:hAnsi="TT9CAo00" w:cs="TT9CAo00"/>
        </w:rPr>
        <w:t xml:space="preserve">orresponding audit opinion) to heads </w:t>
      </w:r>
      <w:r w:rsidR="00984A45">
        <w:rPr>
          <w:rFonts w:ascii="TT9CAo00" w:hAnsi="TT9CAo00" w:cs="TT9CAo00"/>
        </w:rPr>
        <w:lastRenderedPageBreak/>
        <w:t>of s</w:t>
      </w:r>
      <w:r>
        <w:rPr>
          <w:rFonts w:ascii="TT9CAo00" w:hAnsi="TT9CAo00" w:cs="TT9CAo00"/>
        </w:rPr>
        <w:t>ervice to identify key controls - either those which currently exist or new controls to be proposed – around new services/structures.</w:t>
      </w:r>
      <w:r w:rsidRPr="00AA51DD">
        <w:rPr>
          <w:rFonts w:ascii="TT9CAo00" w:hAnsi="TT9CAo00" w:cs="TT9CAo00"/>
        </w:rPr>
        <w:t xml:space="preserve"> </w:t>
      </w:r>
      <w:r>
        <w:rPr>
          <w:rFonts w:ascii="TT9CAo00" w:hAnsi="TT9CAo00" w:cs="TT9CAo00"/>
        </w:rPr>
        <w:t>As a consequence it is not proposed that Internal Audit will provide an overall assurance opinion over internal controls for 2015/16.</w:t>
      </w:r>
    </w:p>
    <w:p w14:paraId="2C957FD3" w14:textId="77777777" w:rsidR="00324B65" w:rsidRDefault="00324B65" w:rsidP="00324B65">
      <w:pPr>
        <w:ind w:left="709" w:firstLine="11"/>
        <w:rPr>
          <w:rFonts w:ascii="TT9CAo00" w:hAnsi="TT9CAo00" w:cs="TT9CAo00"/>
        </w:rPr>
      </w:pPr>
    </w:p>
    <w:p w14:paraId="7E558DA0" w14:textId="623D1B07" w:rsidR="00324B65" w:rsidRDefault="00324B65" w:rsidP="004709A4">
      <w:pPr>
        <w:rPr>
          <w:rFonts w:ascii="TT9CAo00" w:hAnsi="TT9CAo00" w:cs="TT9CAo00"/>
        </w:rPr>
      </w:pPr>
      <w:r>
        <w:rPr>
          <w:rFonts w:ascii="TT9CAo00" w:hAnsi="TT9CAo00" w:cs="TT9CAo00"/>
        </w:rPr>
        <w:t xml:space="preserve">Once this piece of work is complete the results will be used to inform an action plan for implementation and, once implemented, the controls can be the subject of internal audit and an assurance opinion. </w:t>
      </w:r>
    </w:p>
    <w:p w14:paraId="33273A5F" w14:textId="77777777" w:rsidR="00324B65" w:rsidRDefault="00324B65" w:rsidP="00324B65">
      <w:pPr>
        <w:rPr>
          <w:rFonts w:cs="Arial"/>
        </w:rPr>
      </w:pPr>
    </w:p>
    <w:p w14:paraId="02F7231C" w14:textId="1F06AFA1" w:rsidR="00324B65" w:rsidRPr="006A1DEC" w:rsidRDefault="00984A45" w:rsidP="00324B65">
      <w:pPr>
        <w:rPr>
          <w:rFonts w:cs="Arial"/>
          <w:b/>
        </w:rPr>
      </w:pPr>
      <w:r>
        <w:rPr>
          <w:rFonts w:cs="Arial"/>
          <w:b/>
        </w:rPr>
        <w:t>Key i</w:t>
      </w:r>
      <w:r w:rsidR="00324B65" w:rsidRPr="006A1DEC">
        <w:rPr>
          <w:rFonts w:cs="Arial"/>
          <w:b/>
        </w:rPr>
        <w:t xml:space="preserve">ssues </w:t>
      </w:r>
    </w:p>
    <w:p w14:paraId="5E0A9F6B" w14:textId="77777777" w:rsidR="00324B65" w:rsidRPr="008C6B90" w:rsidRDefault="00324B65" w:rsidP="00324B65">
      <w:pPr>
        <w:ind w:left="709"/>
        <w:rPr>
          <w:rFonts w:cs="Arial"/>
          <w:b/>
        </w:rPr>
      </w:pPr>
    </w:p>
    <w:p w14:paraId="5892B931" w14:textId="314D2455" w:rsidR="00324B65" w:rsidRDefault="00324B65" w:rsidP="004709A4">
      <w:pPr>
        <w:pStyle w:val="ListParagraph"/>
        <w:spacing w:after="0"/>
        <w:ind w:left="0"/>
        <w:rPr>
          <w:rFonts w:cs="Arial"/>
          <w:b/>
        </w:rPr>
      </w:pPr>
      <w:r>
        <w:rPr>
          <w:rFonts w:cs="Arial"/>
        </w:rPr>
        <w:t>Going for</w:t>
      </w:r>
      <w:r w:rsidR="006D1ED6">
        <w:rPr>
          <w:rFonts w:cs="Arial"/>
        </w:rPr>
        <w:t>ward, along with the c</w:t>
      </w:r>
      <w:r>
        <w:rPr>
          <w:rFonts w:cs="Arial"/>
        </w:rPr>
        <w:t>ouncil's main financial controls, the key strategic risks and opportunities will be identified through the process described above. Even at this stage some of those risks are apparent, including the ongoing Transformation Programme and the embedding of systems around debt management as well as the risk management process itself. The proposed consultancy role for Internal Audit will also assist in that process.</w:t>
      </w:r>
    </w:p>
    <w:p w14:paraId="0FD77E2C" w14:textId="77777777" w:rsidR="00324B65" w:rsidRDefault="00324B65" w:rsidP="00324B65">
      <w:pPr>
        <w:pStyle w:val="ListParagraph"/>
        <w:spacing w:after="0"/>
        <w:ind w:left="709" w:hanging="709"/>
        <w:rPr>
          <w:rFonts w:cs="Arial"/>
          <w:b/>
        </w:rPr>
      </w:pPr>
    </w:p>
    <w:p w14:paraId="59100AA4" w14:textId="6B93888E" w:rsidR="00324B65" w:rsidRPr="006A1DEC" w:rsidRDefault="00324B65" w:rsidP="00324B65">
      <w:pPr>
        <w:ind w:left="709" w:hanging="709"/>
        <w:rPr>
          <w:rFonts w:cs="Arial"/>
          <w:b/>
        </w:rPr>
      </w:pPr>
      <w:r w:rsidRPr="006A1DEC">
        <w:rPr>
          <w:rFonts w:cs="Arial"/>
          <w:b/>
        </w:rPr>
        <w:t>Review of</w:t>
      </w:r>
      <w:r w:rsidR="00984A45">
        <w:rPr>
          <w:rFonts w:cs="Arial"/>
          <w:b/>
        </w:rPr>
        <w:t xml:space="preserve"> e</w:t>
      </w:r>
      <w:r w:rsidRPr="006A1DEC">
        <w:rPr>
          <w:rFonts w:cs="Arial"/>
          <w:b/>
        </w:rPr>
        <w:t xml:space="preserve">ffectiveness and a </w:t>
      </w:r>
      <w:r w:rsidR="00984A45">
        <w:rPr>
          <w:rFonts w:cs="Arial"/>
          <w:b/>
        </w:rPr>
        <w:t>p</w:t>
      </w:r>
      <w:r w:rsidRPr="006A1DEC">
        <w:rPr>
          <w:rFonts w:cs="Arial"/>
          <w:b/>
        </w:rPr>
        <w:t>rogramme of improvement</w:t>
      </w:r>
    </w:p>
    <w:p w14:paraId="5775194E" w14:textId="77777777" w:rsidR="00324B65" w:rsidRPr="008C6B90" w:rsidRDefault="00324B65" w:rsidP="00324B65">
      <w:pPr>
        <w:ind w:left="360" w:hanging="360"/>
        <w:rPr>
          <w:rFonts w:cs="Arial"/>
        </w:rPr>
      </w:pPr>
    </w:p>
    <w:p w14:paraId="4258BC79" w14:textId="667534FE" w:rsidR="00324B65" w:rsidRDefault="00324B65" w:rsidP="004709A4">
      <w:pPr>
        <w:pStyle w:val="ListParagraph"/>
        <w:spacing w:after="0"/>
        <w:ind w:left="0"/>
        <w:rPr>
          <w:rFonts w:cs="Arial"/>
          <w:b/>
        </w:rPr>
      </w:pPr>
      <w:r>
        <w:rPr>
          <w:rFonts w:cs="Arial"/>
        </w:rPr>
        <w:lastRenderedPageBreak/>
        <w:t>The LGA Peer Review Challenge</w:t>
      </w:r>
      <w:r w:rsidR="006D1ED6">
        <w:rPr>
          <w:rFonts w:cs="Arial"/>
        </w:rPr>
        <w:t xml:space="preserve"> has provided the c</w:t>
      </w:r>
      <w:r>
        <w:rPr>
          <w:rFonts w:cs="Arial"/>
        </w:rPr>
        <w:t xml:space="preserve">ouncil with a useful, independent view on its governance framework, identifying what works well and where there are areas for improvement. </w:t>
      </w:r>
    </w:p>
    <w:p w14:paraId="61434074" w14:textId="77777777" w:rsidR="00324B65" w:rsidRDefault="00324B65" w:rsidP="00324B65">
      <w:pPr>
        <w:pStyle w:val="ListParagraph"/>
        <w:spacing w:after="0"/>
        <w:ind w:left="709" w:hanging="709"/>
        <w:rPr>
          <w:rFonts w:cs="Arial"/>
          <w:b/>
        </w:rPr>
      </w:pPr>
    </w:p>
    <w:p w14:paraId="6C0C7B74" w14:textId="51D29367" w:rsidR="00324B65" w:rsidRDefault="00324B65" w:rsidP="004709A4">
      <w:pPr>
        <w:pStyle w:val="ListParagraph"/>
        <w:spacing w:after="0"/>
        <w:ind w:left="0"/>
        <w:rPr>
          <w:rFonts w:cs="Arial"/>
          <w:b/>
        </w:rPr>
      </w:pPr>
      <w:r>
        <w:rPr>
          <w:rFonts w:cs="Arial"/>
        </w:rPr>
        <w:t xml:space="preserve">To ensure that continuous improvement takes place Management Team will continue to work with both the Administration and the </w:t>
      </w:r>
      <w:r w:rsidR="00984A45">
        <w:rPr>
          <w:rFonts w:cs="Arial"/>
        </w:rPr>
        <w:t>c</w:t>
      </w:r>
      <w:r>
        <w:rPr>
          <w:rFonts w:cs="Arial"/>
        </w:rPr>
        <w:t xml:space="preserve">ommittee to ensure that both the governance issues identified and set out above and those which emerge from the process of embedding a risk management culture, supported by a risk and opportunity register, are identified and mitigated. </w:t>
      </w:r>
    </w:p>
    <w:p w14:paraId="35E8FEC3" w14:textId="77777777" w:rsidR="00324B65" w:rsidRDefault="00324B65" w:rsidP="00324B65">
      <w:pPr>
        <w:pStyle w:val="ListParagraph"/>
        <w:spacing w:after="0"/>
        <w:ind w:left="709" w:hanging="709"/>
        <w:rPr>
          <w:rFonts w:cs="Arial"/>
          <w:b/>
        </w:rPr>
      </w:pPr>
    </w:p>
    <w:p w14:paraId="10156DF5" w14:textId="77777777" w:rsidR="00324B65" w:rsidRDefault="00324B65" w:rsidP="00324B65">
      <w:pPr>
        <w:pStyle w:val="ListParagraph"/>
        <w:spacing w:after="0"/>
        <w:ind w:left="709" w:hanging="709"/>
        <w:rPr>
          <w:rFonts w:cs="Arial"/>
          <w:b/>
        </w:rPr>
      </w:pPr>
    </w:p>
    <w:p w14:paraId="212809ED" w14:textId="58ABDBAC" w:rsidR="00324B65" w:rsidRDefault="00324B65" w:rsidP="004709A4">
      <w:pPr>
        <w:pStyle w:val="ListParagraph"/>
        <w:spacing w:after="0"/>
        <w:ind w:left="0"/>
        <w:rPr>
          <w:rFonts w:cs="Arial"/>
          <w:b/>
        </w:rPr>
      </w:pPr>
      <w:r>
        <w:rPr>
          <w:rFonts w:cs="Arial"/>
        </w:rPr>
        <w:t>The production of a Local Code of Corporate Governan</w:t>
      </w:r>
      <w:r w:rsidR="006D1ED6">
        <w:rPr>
          <w:rFonts w:cs="Arial"/>
        </w:rPr>
        <w:t>ce is intended to underpin the c</w:t>
      </w:r>
      <w:r>
        <w:rPr>
          <w:rFonts w:cs="Arial"/>
        </w:rPr>
        <w:t>ouncil's vision with mechanisms for control a</w:t>
      </w:r>
      <w:r w:rsidR="006D1ED6">
        <w:rPr>
          <w:rFonts w:cs="Arial"/>
        </w:rPr>
        <w:t>nd the management of risk. The c</w:t>
      </w:r>
      <w:r>
        <w:rPr>
          <w:rFonts w:cs="Arial"/>
        </w:rPr>
        <w:t>ouncil's new Corporate Strategy is of course central to that and it is intended that this will be in place by October 2015.</w:t>
      </w:r>
    </w:p>
    <w:p w14:paraId="254ECC98" w14:textId="5C30D955" w:rsidR="00987099" w:rsidRDefault="00987099">
      <w:pPr>
        <w:autoSpaceDE/>
        <w:autoSpaceDN/>
        <w:adjustRightInd/>
        <w:spacing w:after="0"/>
        <w:jc w:val="left"/>
        <w:rPr>
          <w:color w:val="auto"/>
        </w:rPr>
      </w:pPr>
    </w:p>
    <w:p w14:paraId="19BDE9D2" w14:textId="77777777" w:rsidR="00B3248D" w:rsidRDefault="00B3248D" w:rsidP="00CB332F">
      <w:pPr>
        <w:rPr>
          <w:color w:val="auto"/>
        </w:rPr>
      </w:pPr>
    </w:p>
    <w:p w14:paraId="25BFE513" w14:textId="18537CC7" w:rsidR="00B3248D" w:rsidRDefault="00B3248D" w:rsidP="00CB332F">
      <w:pPr>
        <w:rPr>
          <w:color w:val="auto"/>
        </w:rPr>
      </w:pPr>
    </w:p>
    <w:p w14:paraId="4DC3BDD4" w14:textId="77777777" w:rsidR="00B3248D" w:rsidRDefault="00B3248D" w:rsidP="00CB332F">
      <w:pPr>
        <w:rPr>
          <w:color w:val="auto"/>
        </w:rPr>
      </w:pPr>
    </w:p>
    <w:p w14:paraId="69564322" w14:textId="77777777" w:rsidR="00B3248D" w:rsidRDefault="00B3248D" w:rsidP="00CB332F">
      <w:pPr>
        <w:rPr>
          <w:color w:val="auto"/>
        </w:rPr>
      </w:pPr>
    </w:p>
    <w:p w14:paraId="2D5A5661" w14:textId="77777777" w:rsidR="00B3248D" w:rsidRDefault="00B3248D" w:rsidP="00CB332F">
      <w:pPr>
        <w:rPr>
          <w:color w:val="auto"/>
        </w:rPr>
      </w:pPr>
    </w:p>
    <w:p w14:paraId="7DB097B5" w14:textId="77777777" w:rsidR="00B3248D" w:rsidRDefault="00B3248D" w:rsidP="00CB332F">
      <w:pPr>
        <w:rPr>
          <w:color w:val="auto"/>
        </w:rPr>
      </w:pPr>
    </w:p>
    <w:p w14:paraId="7AB8FE1A" w14:textId="77777777" w:rsidR="00B3248D" w:rsidRDefault="00B3248D" w:rsidP="00CB332F">
      <w:pPr>
        <w:rPr>
          <w:color w:val="auto"/>
        </w:rPr>
      </w:pPr>
    </w:p>
    <w:p w14:paraId="25F91552" w14:textId="77777777" w:rsidR="00B3248D" w:rsidRDefault="00B3248D" w:rsidP="00CB332F">
      <w:pPr>
        <w:rPr>
          <w:color w:val="auto"/>
        </w:rPr>
      </w:pPr>
    </w:p>
    <w:p w14:paraId="5FB3B797" w14:textId="77777777" w:rsidR="00B3248D" w:rsidRDefault="00B3248D" w:rsidP="00CB332F">
      <w:pPr>
        <w:rPr>
          <w:color w:val="auto"/>
        </w:rPr>
      </w:pPr>
    </w:p>
    <w:p w14:paraId="0C96FCAB" w14:textId="77777777" w:rsidR="00B3248D" w:rsidRDefault="00B3248D" w:rsidP="00CB332F">
      <w:pPr>
        <w:rPr>
          <w:color w:val="auto"/>
        </w:rPr>
      </w:pPr>
    </w:p>
    <w:p w14:paraId="1767D350" w14:textId="77777777" w:rsidR="00B3248D" w:rsidRDefault="00B3248D" w:rsidP="00CB332F">
      <w:pPr>
        <w:rPr>
          <w:color w:val="auto"/>
        </w:rPr>
      </w:pPr>
    </w:p>
    <w:p w14:paraId="05225778" w14:textId="77777777" w:rsidR="00B3248D" w:rsidRDefault="00B3248D" w:rsidP="00CB332F">
      <w:pPr>
        <w:rPr>
          <w:color w:val="auto"/>
        </w:rPr>
      </w:pPr>
    </w:p>
    <w:p w14:paraId="11823AF0" w14:textId="77777777" w:rsidR="00B3248D" w:rsidRDefault="00B3248D" w:rsidP="00CB332F">
      <w:pPr>
        <w:rPr>
          <w:color w:val="auto"/>
        </w:rPr>
      </w:pPr>
    </w:p>
    <w:p w14:paraId="4C1BC056" w14:textId="77777777" w:rsidR="00B3248D" w:rsidRDefault="00B3248D" w:rsidP="00CB332F">
      <w:pPr>
        <w:rPr>
          <w:color w:val="auto"/>
        </w:rPr>
      </w:pPr>
    </w:p>
    <w:p w14:paraId="1540FE25" w14:textId="05613EA2" w:rsidR="00987099" w:rsidRDefault="000701C6" w:rsidP="00CB332F">
      <w:pPr>
        <w:rPr>
          <w:color w:val="auto"/>
        </w:rPr>
      </w:pPr>
      <w:r>
        <w:rPr>
          <w:color w:val="auto"/>
        </w:rPr>
        <w:t>Signed:</w:t>
      </w:r>
    </w:p>
    <w:p w14:paraId="3533200C" w14:textId="77777777" w:rsidR="000701C6" w:rsidRDefault="000701C6" w:rsidP="00CB332F">
      <w:pPr>
        <w:rPr>
          <w:color w:val="auto"/>
        </w:rPr>
      </w:pPr>
    </w:p>
    <w:p w14:paraId="7EAC9142" w14:textId="77777777" w:rsidR="000701C6" w:rsidRDefault="000701C6" w:rsidP="00CB332F">
      <w:pPr>
        <w:rPr>
          <w:color w:val="auto"/>
        </w:rPr>
      </w:pPr>
    </w:p>
    <w:p w14:paraId="653ABEFD" w14:textId="77777777" w:rsidR="00B3248D" w:rsidRDefault="00B3248D" w:rsidP="00CB332F">
      <w:pPr>
        <w:rPr>
          <w:color w:val="auto"/>
        </w:rPr>
      </w:pPr>
    </w:p>
    <w:p w14:paraId="05EB94F8" w14:textId="77777777" w:rsidR="00DB3EE2" w:rsidRDefault="00DB3EE2" w:rsidP="00CB332F">
      <w:pPr>
        <w:rPr>
          <w:color w:val="auto"/>
        </w:rPr>
      </w:pPr>
    </w:p>
    <w:p w14:paraId="3D4D8AF6" w14:textId="77777777" w:rsidR="000701C6" w:rsidRDefault="000701C6" w:rsidP="00CB332F">
      <w:pPr>
        <w:rPr>
          <w:color w:val="auto"/>
        </w:rPr>
      </w:pPr>
    </w:p>
    <w:p w14:paraId="62D8CE1D" w14:textId="77777777" w:rsidR="000701C6" w:rsidRDefault="000701C6" w:rsidP="00CB332F">
      <w:pPr>
        <w:rPr>
          <w:color w:val="auto"/>
        </w:rPr>
      </w:pPr>
    </w:p>
    <w:p w14:paraId="32682B11" w14:textId="329D8A2D" w:rsidR="000701C6" w:rsidRDefault="00DB3EE2" w:rsidP="00CB332F">
      <w:pPr>
        <w:rPr>
          <w:color w:val="auto"/>
        </w:rPr>
      </w:pPr>
      <w:r>
        <w:rPr>
          <w:color w:val="auto"/>
        </w:rPr>
        <w:t>Jennifer Mein</w:t>
      </w:r>
      <w:r>
        <w:rPr>
          <w:color w:val="auto"/>
        </w:rPr>
        <w:tab/>
      </w:r>
      <w:r>
        <w:rPr>
          <w:color w:val="auto"/>
        </w:rPr>
        <w:tab/>
      </w:r>
      <w:r>
        <w:rPr>
          <w:color w:val="auto"/>
        </w:rPr>
        <w:tab/>
      </w:r>
      <w:r>
        <w:rPr>
          <w:color w:val="auto"/>
        </w:rPr>
        <w:tab/>
      </w:r>
      <w:r>
        <w:rPr>
          <w:color w:val="auto"/>
        </w:rPr>
        <w:tab/>
        <w:t>Jo Turton</w:t>
      </w:r>
    </w:p>
    <w:p w14:paraId="4AEFEEF1" w14:textId="77777777" w:rsidR="00DB3EE2" w:rsidRDefault="00DB3EE2" w:rsidP="00CB332F">
      <w:pPr>
        <w:rPr>
          <w:color w:val="auto"/>
        </w:rPr>
      </w:pPr>
    </w:p>
    <w:p w14:paraId="71AE8151" w14:textId="05514B4F" w:rsidR="00DB3EE2" w:rsidRDefault="00DB3EE2" w:rsidP="00CB332F">
      <w:pPr>
        <w:rPr>
          <w:color w:val="auto"/>
        </w:rPr>
      </w:pPr>
      <w:r>
        <w:rPr>
          <w:color w:val="auto"/>
        </w:rPr>
        <w:t>Leader of Lancashire County Council</w:t>
      </w:r>
      <w:r>
        <w:rPr>
          <w:color w:val="auto"/>
        </w:rPr>
        <w:tab/>
      </w:r>
      <w:r>
        <w:rPr>
          <w:color w:val="auto"/>
        </w:rPr>
        <w:tab/>
        <w:t>Chief Executive of Lancashire County Council</w:t>
      </w:r>
    </w:p>
    <w:p w14:paraId="4EA40499" w14:textId="77777777" w:rsidR="00DB3EE2" w:rsidRDefault="00DB3EE2" w:rsidP="00CB332F">
      <w:pPr>
        <w:rPr>
          <w:color w:val="auto"/>
        </w:rPr>
      </w:pPr>
    </w:p>
    <w:p w14:paraId="1AC2D47E" w14:textId="77777777" w:rsidR="00DB3EE2" w:rsidRDefault="00DB3EE2" w:rsidP="00CB332F">
      <w:pPr>
        <w:rPr>
          <w:color w:val="auto"/>
        </w:rPr>
      </w:pPr>
    </w:p>
    <w:p w14:paraId="3F5EA17E" w14:textId="77777777" w:rsidR="00DB3EE2" w:rsidRDefault="00DB3EE2" w:rsidP="00CB332F">
      <w:pPr>
        <w:rPr>
          <w:color w:val="auto"/>
        </w:rPr>
      </w:pPr>
    </w:p>
    <w:p w14:paraId="2C662FB3" w14:textId="0D54B68A" w:rsidR="00DB3EE2" w:rsidRDefault="00DB3EE2" w:rsidP="00CB332F">
      <w:pPr>
        <w:rPr>
          <w:color w:val="auto"/>
        </w:rPr>
      </w:pPr>
      <w:r>
        <w:rPr>
          <w:color w:val="auto"/>
        </w:rPr>
        <w:t>Date   28</w:t>
      </w:r>
      <w:r w:rsidRPr="008D0533">
        <w:rPr>
          <w:color w:val="auto"/>
          <w:vertAlign w:val="superscript"/>
        </w:rPr>
        <w:t>th</w:t>
      </w:r>
      <w:r>
        <w:rPr>
          <w:color w:val="auto"/>
        </w:rPr>
        <w:t xml:space="preserve"> September 2015</w:t>
      </w:r>
      <w:r>
        <w:rPr>
          <w:color w:val="auto"/>
        </w:rPr>
        <w:tab/>
      </w:r>
      <w:r>
        <w:rPr>
          <w:color w:val="auto"/>
        </w:rPr>
        <w:tab/>
      </w:r>
      <w:r>
        <w:rPr>
          <w:color w:val="auto"/>
        </w:rPr>
        <w:tab/>
        <w:t>Date   28</w:t>
      </w:r>
      <w:r w:rsidRPr="008D0533">
        <w:rPr>
          <w:color w:val="auto"/>
          <w:vertAlign w:val="superscript"/>
        </w:rPr>
        <w:t>th</w:t>
      </w:r>
      <w:r>
        <w:rPr>
          <w:color w:val="auto"/>
        </w:rPr>
        <w:t xml:space="preserve"> September 2015</w:t>
      </w:r>
    </w:p>
    <w:p w14:paraId="7962A103" w14:textId="77777777" w:rsidR="00987099" w:rsidRDefault="00987099" w:rsidP="00CB332F">
      <w:pPr>
        <w:rPr>
          <w:color w:val="auto"/>
        </w:rPr>
      </w:pPr>
    </w:p>
    <w:p w14:paraId="57C7EC8B" w14:textId="77777777" w:rsidR="00987099" w:rsidRDefault="00987099" w:rsidP="00CB332F">
      <w:pPr>
        <w:rPr>
          <w:color w:val="auto"/>
        </w:rPr>
      </w:pPr>
    </w:p>
    <w:p w14:paraId="5B0BB471" w14:textId="74AA5ACB" w:rsidR="00987099" w:rsidRDefault="00987099" w:rsidP="00CB332F">
      <w:pPr>
        <w:rPr>
          <w:color w:val="auto"/>
        </w:rPr>
        <w:sectPr w:rsidR="00987099" w:rsidSect="00A14003">
          <w:headerReference w:type="default" r:id="rId13"/>
          <w:footerReference w:type="default" r:id="rId14"/>
          <w:pgSz w:w="11900" w:h="16840" w:code="9"/>
          <w:pgMar w:top="720" w:right="720" w:bottom="720" w:left="720" w:header="284" w:footer="284" w:gutter="0"/>
          <w:pgNumType w:start="1"/>
          <w:cols w:space="292"/>
          <w:docGrid w:linePitch="326"/>
        </w:sectPr>
      </w:pPr>
    </w:p>
    <w:p w14:paraId="3F5A30E5" w14:textId="77777777" w:rsidR="00CB332F" w:rsidRPr="00A06955" w:rsidRDefault="00CB4610" w:rsidP="009F0317">
      <w:pPr>
        <w:pStyle w:val="Heading1"/>
      </w:pPr>
      <w:bookmarkStart w:id="5" w:name="Financial_Statements"/>
      <w:bookmarkEnd w:id="5"/>
      <w:r w:rsidRPr="00A06955">
        <w:lastRenderedPageBreak/>
        <w:t xml:space="preserve">Financial </w:t>
      </w:r>
      <w:r w:rsidR="00C53D94" w:rsidRPr="00A06955">
        <w:t>S</w:t>
      </w:r>
      <w:r w:rsidRPr="00A06955">
        <w:t>tatements</w:t>
      </w:r>
    </w:p>
    <w:p w14:paraId="02129EB5" w14:textId="77777777" w:rsidR="008F510B" w:rsidRPr="00A06955" w:rsidRDefault="008F510B" w:rsidP="009F0317">
      <w:pPr>
        <w:pStyle w:val="Heading2"/>
      </w:pPr>
      <w:r w:rsidRPr="00A06955">
        <w:t>Movement in Reserves Statement</w:t>
      </w:r>
    </w:p>
    <w:p w14:paraId="1F5F2D3E" w14:textId="77777777" w:rsidR="008F510B" w:rsidRPr="00A06955" w:rsidRDefault="008F510B" w:rsidP="008F510B">
      <w:pPr>
        <w:rPr>
          <w:color w:val="auto"/>
        </w:rPr>
      </w:pPr>
      <w:r w:rsidRPr="00A06955">
        <w:rPr>
          <w:color w:val="auto"/>
        </w:rPr>
        <w:t>This statement shows the movement in the year on the different reserves held by the council, analysed into 'usable reserves' (i</w:t>
      </w:r>
      <w:r w:rsidR="00A95E7C">
        <w:rPr>
          <w:color w:val="auto"/>
        </w:rPr>
        <w:t>.</w:t>
      </w:r>
      <w:r w:rsidRPr="00A06955">
        <w:rPr>
          <w:color w:val="auto"/>
        </w:rPr>
        <w:t>e</w:t>
      </w:r>
      <w:r w:rsidR="00A95E7C">
        <w:rPr>
          <w:color w:val="auto"/>
        </w:rPr>
        <w:t>.</w:t>
      </w:r>
      <w:r w:rsidRPr="00A06955">
        <w:rPr>
          <w:color w:val="auto"/>
        </w:rPr>
        <w:t xml:space="preserve"> those that can be applied to fund expenditure or reduce local taxation) and other reserves.  </w:t>
      </w:r>
    </w:p>
    <w:p w14:paraId="215772CD" w14:textId="18BE98AF" w:rsidR="008F510B" w:rsidRPr="00A06955" w:rsidRDefault="008F510B" w:rsidP="008F510B">
      <w:pPr>
        <w:rPr>
          <w:color w:val="auto"/>
        </w:rPr>
      </w:pPr>
      <w:r w:rsidRPr="00A06955">
        <w:rPr>
          <w:color w:val="auto"/>
        </w:rPr>
        <w:t xml:space="preserve">The surplus or deficit on provision of services line shows the true economic cost of providing the council's services, more details of which are shown in the Comprehensive Income and Expenditure Statement.  These are different from the statutory amounts required to be charged to the County Fund balance for council tax setting.  </w:t>
      </w:r>
    </w:p>
    <w:p w14:paraId="32DBF3B2" w14:textId="77777777" w:rsidR="008F510B" w:rsidRPr="00A06955" w:rsidRDefault="008F510B" w:rsidP="008F510B">
      <w:pPr>
        <w:rPr>
          <w:color w:val="auto"/>
        </w:rPr>
      </w:pPr>
      <w:r w:rsidRPr="00A06955">
        <w:rPr>
          <w:color w:val="auto"/>
        </w:rPr>
        <w:t>The Net Increase/Decrease before transfers to earmarked reserves line shows the statutory County Fund balance before any discretionary transfers to or from earmarked reserves undertaken by the council.</w:t>
      </w:r>
    </w:p>
    <w:p w14:paraId="57A988A9" w14:textId="77777777" w:rsidR="00C306B3" w:rsidRDefault="00C306B3" w:rsidP="008F510B">
      <w:pPr>
        <w:rPr>
          <w:color w:val="auto"/>
        </w:rPr>
      </w:pPr>
    </w:p>
    <w:p w14:paraId="1DECB1C9" w14:textId="77777777" w:rsidR="00C306B3" w:rsidRDefault="00C306B3" w:rsidP="008F510B">
      <w:pPr>
        <w:rPr>
          <w:color w:val="auto"/>
        </w:rPr>
      </w:pPr>
    </w:p>
    <w:p w14:paraId="1C6D1F33" w14:textId="77777777" w:rsidR="00C306B3" w:rsidRDefault="00C306B3" w:rsidP="008F510B">
      <w:pPr>
        <w:rPr>
          <w:color w:val="auto"/>
        </w:rPr>
      </w:pPr>
    </w:p>
    <w:p w14:paraId="21529D54" w14:textId="77777777" w:rsidR="00C306B3" w:rsidRDefault="00C306B3" w:rsidP="008F510B">
      <w:pPr>
        <w:rPr>
          <w:color w:val="auto"/>
        </w:rPr>
      </w:pPr>
    </w:p>
    <w:p w14:paraId="796A6306" w14:textId="77777777" w:rsidR="00C306B3" w:rsidRDefault="00C306B3" w:rsidP="008F510B">
      <w:pPr>
        <w:rPr>
          <w:color w:val="auto"/>
        </w:rPr>
      </w:pPr>
    </w:p>
    <w:p w14:paraId="0165D046" w14:textId="77777777" w:rsidR="00C306B3" w:rsidRDefault="00C306B3" w:rsidP="008F510B">
      <w:pPr>
        <w:rPr>
          <w:color w:val="auto"/>
        </w:rPr>
      </w:pPr>
    </w:p>
    <w:p w14:paraId="39F3C0E8" w14:textId="77777777" w:rsidR="00C306B3" w:rsidRDefault="00C306B3" w:rsidP="008F510B">
      <w:pPr>
        <w:rPr>
          <w:color w:val="auto"/>
        </w:rPr>
      </w:pPr>
    </w:p>
    <w:p w14:paraId="573C55F4" w14:textId="77777777" w:rsidR="00C306B3" w:rsidRDefault="00C306B3" w:rsidP="008F510B">
      <w:pPr>
        <w:rPr>
          <w:color w:val="auto"/>
        </w:rPr>
      </w:pPr>
    </w:p>
    <w:p w14:paraId="40BA567F" w14:textId="77777777" w:rsidR="00C306B3" w:rsidRDefault="00C306B3" w:rsidP="008F510B">
      <w:pPr>
        <w:rPr>
          <w:color w:val="auto"/>
        </w:rPr>
      </w:pPr>
    </w:p>
    <w:p w14:paraId="47950C58" w14:textId="77777777" w:rsidR="00C306B3" w:rsidRDefault="00C306B3" w:rsidP="008F510B">
      <w:pPr>
        <w:rPr>
          <w:color w:val="auto"/>
        </w:rPr>
      </w:pPr>
    </w:p>
    <w:p w14:paraId="3C076D60" w14:textId="77777777" w:rsidR="00C306B3" w:rsidRDefault="00C306B3" w:rsidP="008F510B">
      <w:pPr>
        <w:rPr>
          <w:color w:val="auto"/>
        </w:rPr>
      </w:pPr>
    </w:p>
    <w:p w14:paraId="03FBDAD0" w14:textId="77777777" w:rsidR="00C306B3" w:rsidRDefault="00C306B3" w:rsidP="008F510B">
      <w:pPr>
        <w:rPr>
          <w:color w:val="auto"/>
        </w:rPr>
      </w:pPr>
    </w:p>
    <w:p w14:paraId="7006165B" w14:textId="77777777" w:rsidR="00C306B3" w:rsidRDefault="00C306B3" w:rsidP="008F510B">
      <w:pPr>
        <w:rPr>
          <w:color w:val="auto"/>
        </w:rPr>
      </w:pPr>
    </w:p>
    <w:p w14:paraId="34949520" w14:textId="77777777" w:rsidR="00C306B3" w:rsidRDefault="00C306B3" w:rsidP="008F510B">
      <w:pPr>
        <w:rPr>
          <w:color w:val="auto"/>
        </w:rPr>
      </w:pPr>
    </w:p>
    <w:p w14:paraId="4329AE0A" w14:textId="77777777" w:rsidR="00C306B3" w:rsidRDefault="00C306B3" w:rsidP="008F510B">
      <w:pPr>
        <w:rPr>
          <w:color w:val="auto"/>
        </w:rPr>
      </w:pPr>
    </w:p>
    <w:p w14:paraId="31067F10" w14:textId="77777777" w:rsidR="00C306B3" w:rsidRDefault="00C306B3" w:rsidP="008F510B">
      <w:pPr>
        <w:rPr>
          <w:color w:val="auto"/>
        </w:rPr>
      </w:pPr>
    </w:p>
    <w:p w14:paraId="614562F3" w14:textId="77777777" w:rsidR="00C306B3" w:rsidRDefault="00C306B3" w:rsidP="008F510B">
      <w:pPr>
        <w:rPr>
          <w:color w:val="auto"/>
        </w:rPr>
      </w:pPr>
    </w:p>
    <w:p w14:paraId="73E32642" w14:textId="77777777" w:rsidR="008F510B" w:rsidRDefault="008F510B" w:rsidP="008F510B">
      <w:pPr>
        <w:rPr>
          <w:b/>
          <w:color w:val="auto"/>
          <w:u w:val="single"/>
        </w:rPr>
      </w:pPr>
      <w:r w:rsidRPr="00A06955">
        <w:rPr>
          <w:b/>
          <w:color w:val="auto"/>
          <w:u w:val="single"/>
        </w:rPr>
        <w:t>2014/15</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29"/>
        <w:gridCol w:w="1298"/>
        <w:gridCol w:w="1388"/>
        <w:gridCol w:w="1290"/>
        <w:gridCol w:w="1262"/>
        <w:gridCol w:w="1290"/>
        <w:gridCol w:w="1207"/>
        <w:gridCol w:w="1219"/>
        <w:gridCol w:w="1207"/>
      </w:tblGrid>
      <w:tr w:rsidR="009D65B8" w:rsidRPr="00F13104" w14:paraId="2A583743" w14:textId="77777777" w:rsidTr="00A06955">
        <w:trPr>
          <w:trHeight w:val="454"/>
          <w:tblHeader/>
          <w:jc w:val="center"/>
        </w:trPr>
        <w:tc>
          <w:tcPr>
            <w:tcW w:w="1699" w:type="pct"/>
            <w:tcBorders>
              <w:top w:val="single" w:sz="4" w:space="0" w:color="auto"/>
              <w:left w:val="single" w:sz="4" w:space="0" w:color="auto"/>
            </w:tcBorders>
            <w:shd w:val="clear" w:color="auto" w:fill="D0CECE"/>
            <w:vAlign w:val="bottom"/>
          </w:tcPr>
          <w:p w14:paraId="6F6C38E4" w14:textId="77777777" w:rsidR="0049771B" w:rsidRPr="00F13104" w:rsidRDefault="0049771B" w:rsidP="00C306B3">
            <w:pPr>
              <w:jc w:val="left"/>
              <w:rPr>
                <w:b/>
                <w:color w:val="auto"/>
                <w:sz w:val="20"/>
                <w:szCs w:val="20"/>
              </w:rPr>
            </w:pPr>
          </w:p>
        </w:tc>
        <w:tc>
          <w:tcPr>
            <w:tcW w:w="422" w:type="pct"/>
            <w:tcBorders>
              <w:top w:val="single" w:sz="4" w:space="0" w:color="auto"/>
            </w:tcBorders>
            <w:shd w:val="clear" w:color="auto" w:fill="D0CECE"/>
            <w:vAlign w:val="bottom"/>
          </w:tcPr>
          <w:p w14:paraId="25CF6B6E" w14:textId="77777777" w:rsidR="0049771B" w:rsidRPr="00F13104" w:rsidRDefault="0049771B" w:rsidP="00C306B3">
            <w:pPr>
              <w:jc w:val="center"/>
              <w:rPr>
                <w:b/>
                <w:color w:val="auto"/>
                <w:sz w:val="20"/>
                <w:szCs w:val="20"/>
              </w:rPr>
            </w:pPr>
            <w:r w:rsidRPr="00F13104">
              <w:rPr>
                <w:b/>
                <w:color w:val="auto"/>
                <w:sz w:val="20"/>
                <w:szCs w:val="20"/>
              </w:rPr>
              <w:t>County Fund</w:t>
            </w:r>
          </w:p>
        </w:tc>
        <w:tc>
          <w:tcPr>
            <w:tcW w:w="451" w:type="pct"/>
            <w:tcBorders>
              <w:top w:val="single" w:sz="4" w:space="0" w:color="auto"/>
            </w:tcBorders>
            <w:shd w:val="clear" w:color="auto" w:fill="D0CECE"/>
            <w:vAlign w:val="bottom"/>
          </w:tcPr>
          <w:p w14:paraId="21592451" w14:textId="77777777" w:rsidR="0049771B" w:rsidRPr="00F13104" w:rsidRDefault="0049771B" w:rsidP="00C306B3">
            <w:pPr>
              <w:jc w:val="center"/>
              <w:rPr>
                <w:b/>
                <w:color w:val="auto"/>
                <w:sz w:val="20"/>
                <w:szCs w:val="20"/>
              </w:rPr>
            </w:pPr>
            <w:r w:rsidRPr="00F13104">
              <w:rPr>
                <w:b/>
                <w:color w:val="auto"/>
                <w:sz w:val="20"/>
                <w:szCs w:val="20"/>
              </w:rPr>
              <w:t>Earmarked Revenue Reserves</w:t>
            </w:r>
          </w:p>
        </w:tc>
        <w:tc>
          <w:tcPr>
            <w:tcW w:w="419" w:type="pct"/>
            <w:tcBorders>
              <w:top w:val="single" w:sz="4" w:space="0" w:color="auto"/>
            </w:tcBorders>
            <w:shd w:val="clear" w:color="auto" w:fill="D0CECE"/>
            <w:vAlign w:val="bottom"/>
          </w:tcPr>
          <w:p w14:paraId="024A5AE4" w14:textId="0E6F8B3E" w:rsidR="0049771B" w:rsidRPr="00F13104" w:rsidRDefault="0048060C" w:rsidP="00C306B3">
            <w:pPr>
              <w:jc w:val="center"/>
              <w:rPr>
                <w:b/>
                <w:color w:val="auto"/>
                <w:sz w:val="20"/>
                <w:szCs w:val="20"/>
              </w:rPr>
            </w:pPr>
            <w:r>
              <w:rPr>
                <w:b/>
                <w:color w:val="auto"/>
                <w:sz w:val="20"/>
                <w:szCs w:val="20"/>
              </w:rPr>
              <w:t xml:space="preserve">Earmarked </w:t>
            </w:r>
            <w:r w:rsidR="0049771B" w:rsidRPr="00F13104">
              <w:rPr>
                <w:b/>
                <w:color w:val="auto"/>
                <w:sz w:val="20"/>
                <w:szCs w:val="20"/>
              </w:rPr>
              <w:t>Capital Funding Reserves (Revenue)</w:t>
            </w:r>
          </w:p>
        </w:tc>
        <w:tc>
          <w:tcPr>
            <w:tcW w:w="410" w:type="pct"/>
            <w:tcBorders>
              <w:top w:val="single" w:sz="4" w:space="0" w:color="auto"/>
            </w:tcBorders>
            <w:shd w:val="clear" w:color="auto" w:fill="D0CECE"/>
            <w:vAlign w:val="bottom"/>
          </w:tcPr>
          <w:p w14:paraId="798D7F11" w14:textId="77777777" w:rsidR="0049771B" w:rsidRPr="00F13104" w:rsidRDefault="0049771B" w:rsidP="00C306B3">
            <w:pPr>
              <w:jc w:val="center"/>
              <w:rPr>
                <w:b/>
                <w:color w:val="auto"/>
                <w:sz w:val="20"/>
                <w:szCs w:val="20"/>
              </w:rPr>
            </w:pPr>
            <w:r w:rsidRPr="00F13104">
              <w:rPr>
                <w:b/>
                <w:color w:val="auto"/>
                <w:sz w:val="20"/>
                <w:szCs w:val="20"/>
              </w:rPr>
              <w:t>Capital Receipts Reserve</w:t>
            </w:r>
          </w:p>
        </w:tc>
        <w:tc>
          <w:tcPr>
            <w:tcW w:w="419" w:type="pct"/>
            <w:tcBorders>
              <w:top w:val="single" w:sz="4" w:space="0" w:color="auto"/>
            </w:tcBorders>
            <w:shd w:val="clear" w:color="auto" w:fill="D0CECE"/>
            <w:vAlign w:val="bottom"/>
          </w:tcPr>
          <w:p w14:paraId="4450AFC1" w14:textId="77777777" w:rsidR="0049771B" w:rsidRPr="00F13104" w:rsidRDefault="0049771B" w:rsidP="00C306B3">
            <w:pPr>
              <w:jc w:val="center"/>
              <w:rPr>
                <w:b/>
                <w:color w:val="auto"/>
                <w:sz w:val="20"/>
                <w:szCs w:val="20"/>
              </w:rPr>
            </w:pPr>
            <w:r w:rsidRPr="00F13104">
              <w:rPr>
                <w:b/>
                <w:color w:val="auto"/>
                <w:sz w:val="20"/>
                <w:szCs w:val="20"/>
              </w:rPr>
              <w:t>Capital Grants Unapplied</w:t>
            </w:r>
            <w:r>
              <w:rPr>
                <w:b/>
                <w:color w:val="auto"/>
                <w:sz w:val="20"/>
                <w:szCs w:val="20"/>
              </w:rPr>
              <w:t xml:space="preserve"> Account</w:t>
            </w:r>
          </w:p>
        </w:tc>
        <w:tc>
          <w:tcPr>
            <w:tcW w:w="392" w:type="pct"/>
            <w:tcBorders>
              <w:top w:val="single" w:sz="4" w:space="0" w:color="auto"/>
            </w:tcBorders>
            <w:shd w:val="clear" w:color="auto" w:fill="D0CECE"/>
            <w:vAlign w:val="bottom"/>
          </w:tcPr>
          <w:p w14:paraId="66736457" w14:textId="77777777" w:rsidR="0049771B" w:rsidRPr="00F13104" w:rsidRDefault="0049771B" w:rsidP="00C306B3">
            <w:pPr>
              <w:jc w:val="center"/>
              <w:rPr>
                <w:b/>
                <w:color w:val="auto"/>
                <w:sz w:val="20"/>
                <w:szCs w:val="20"/>
              </w:rPr>
            </w:pPr>
            <w:r w:rsidRPr="00F13104">
              <w:rPr>
                <w:b/>
                <w:color w:val="auto"/>
                <w:sz w:val="20"/>
                <w:szCs w:val="20"/>
              </w:rPr>
              <w:t>Total Usable Reserves</w:t>
            </w:r>
          </w:p>
        </w:tc>
        <w:tc>
          <w:tcPr>
            <w:tcW w:w="396" w:type="pct"/>
            <w:tcBorders>
              <w:top w:val="single" w:sz="4" w:space="0" w:color="auto"/>
            </w:tcBorders>
            <w:shd w:val="clear" w:color="auto" w:fill="D0CECE"/>
            <w:vAlign w:val="bottom"/>
          </w:tcPr>
          <w:p w14:paraId="73DD46A7" w14:textId="77777777" w:rsidR="0049771B" w:rsidRPr="00F13104" w:rsidRDefault="0049771B" w:rsidP="00C306B3">
            <w:pPr>
              <w:jc w:val="center"/>
              <w:rPr>
                <w:b/>
                <w:color w:val="auto"/>
                <w:sz w:val="20"/>
                <w:szCs w:val="20"/>
              </w:rPr>
            </w:pPr>
            <w:r w:rsidRPr="00F13104">
              <w:rPr>
                <w:b/>
                <w:color w:val="auto"/>
                <w:sz w:val="20"/>
                <w:szCs w:val="20"/>
              </w:rPr>
              <w:t>Total Unusable Reserves</w:t>
            </w:r>
          </w:p>
        </w:tc>
        <w:tc>
          <w:tcPr>
            <w:tcW w:w="392" w:type="pct"/>
            <w:tcBorders>
              <w:top w:val="single" w:sz="4" w:space="0" w:color="auto"/>
              <w:right w:val="single" w:sz="4" w:space="0" w:color="auto"/>
            </w:tcBorders>
            <w:shd w:val="clear" w:color="auto" w:fill="D0CECE"/>
            <w:vAlign w:val="bottom"/>
          </w:tcPr>
          <w:p w14:paraId="0AEC67D6" w14:textId="77777777" w:rsidR="0049771B" w:rsidRPr="00F13104" w:rsidRDefault="0049771B" w:rsidP="00C306B3">
            <w:pPr>
              <w:jc w:val="center"/>
              <w:rPr>
                <w:b/>
                <w:color w:val="auto"/>
                <w:sz w:val="20"/>
                <w:szCs w:val="20"/>
              </w:rPr>
            </w:pPr>
            <w:r w:rsidRPr="00F13104">
              <w:rPr>
                <w:b/>
                <w:color w:val="auto"/>
                <w:sz w:val="20"/>
                <w:szCs w:val="20"/>
              </w:rPr>
              <w:t>Total Reserves</w:t>
            </w:r>
          </w:p>
        </w:tc>
      </w:tr>
      <w:tr w:rsidR="009D65B8" w:rsidRPr="00F13104" w14:paraId="1715CF45" w14:textId="77777777" w:rsidTr="00A06955">
        <w:trPr>
          <w:trHeight w:val="454"/>
          <w:tblHeader/>
          <w:jc w:val="center"/>
        </w:trPr>
        <w:tc>
          <w:tcPr>
            <w:tcW w:w="1699" w:type="pct"/>
            <w:tcBorders>
              <w:left w:val="single" w:sz="4" w:space="0" w:color="auto"/>
            </w:tcBorders>
            <w:shd w:val="clear" w:color="auto" w:fill="D0CECE"/>
            <w:vAlign w:val="bottom"/>
          </w:tcPr>
          <w:p w14:paraId="154CD9DD" w14:textId="77777777" w:rsidR="0049771B" w:rsidRPr="00F13104" w:rsidRDefault="0049771B" w:rsidP="00C306B3">
            <w:pPr>
              <w:jc w:val="left"/>
              <w:rPr>
                <w:b/>
                <w:color w:val="auto"/>
                <w:sz w:val="20"/>
                <w:szCs w:val="20"/>
              </w:rPr>
            </w:pPr>
          </w:p>
        </w:tc>
        <w:tc>
          <w:tcPr>
            <w:tcW w:w="422" w:type="pct"/>
            <w:tcBorders>
              <w:bottom w:val="nil"/>
            </w:tcBorders>
            <w:shd w:val="clear" w:color="auto" w:fill="D0CECE"/>
            <w:vAlign w:val="bottom"/>
          </w:tcPr>
          <w:p w14:paraId="404EA291" w14:textId="77777777" w:rsidR="0049771B" w:rsidRPr="00F13104" w:rsidRDefault="0049771B" w:rsidP="00C306B3">
            <w:pPr>
              <w:jc w:val="center"/>
              <w:rPr>
                <w:b/>
                <w:color w:val="auto"/>
                <w:sz w:val="20"/>
                <w:szCs w:val="20"/>
              </w:rPr>
            </w:pPr>
            <w:r w:rsidRPr="00F13104">
              <w:rPr>
                <w:b/>
                <w:color w:val="auto"/>
                <w:sz w:val="20"/>
                <w:szCs w:val="20"/>
              </w:rPr>
              <w:t>£m</w:t>
            </w:r>
          </w:p>
        </w:tc>
        <w:tc>
          <w:tcPr>
            <w:tcW w:w="451" w:type="pct"/>
            <w:tcBorders>
              <w:bottom w:val="nil"/>
            </w:tcBorders>
            <w:shd w:val="clear" w:color="auto" w:fill="D0CECE"/>
            <w:vAlign w:val="bottom"/>
          </w:tcPr>
          <w:p w14:paraId="23BF5FC2" w14:textId="77777777" w:rsidR="0049771B" w:rsidRPr="00F13104" w:rsidRDefault="0049771B" w:rsidP="00C306B3">
            <w:pPr>
              <w:jc w:val="center"/>
              <w:rPr>
                <w:b/>
                <w:color w:val="auto"/>
                <w:sz w:val="20"/>
                <w:szCs w:val="20"/>
              </w:rPr>
            </w:pPr>
            <w:r w:rsidRPr="00F13104">
              <w:rPr>
                <w:b/>
                <w:color w:val="auto"/>
                <w:sz w:val="20"/>
                <w:szCs w:val="20"/>
              </w:rPr>
              <w:t>£m</w:t>
            </w:r>
          </w:p>
        </w:tc>
        <w:tc>
          <w:tcPr>
            <w:tcW w:w="419" w:type="pct"/>
            <w:tcBorders>
              <w:bottom w:val="nil"/>
            </w:tcBorders>
            <w:shd w:val="clear" w:color="auto" w:fill="D0CECE"/>
            <w:vAlign w:val="bottom"/>
          </w:tcPr>
          <w:p w14:paraId="68064A0D" w14:textId="77777777" w:rsidR="0049771B" w:rsidRPr="00F13104" w:rsidRDefault="0049771B" w:rsidP="00C306B3">
            <w:pPr>
              <w:jc w:val="center"/>
              <w:rPr>
                <w:b/>
                <w:color w:val="auto"/>
                <w:sz w:val="20"/>
                <w:szCs w:val="20"/>
              </w:rPr>
            </w:pPr>
            <w:r w:rsidRPr="00F13104">
              <w:rPr>
                <w:b/>
                <w:color w:val="auto"/>
                <w:sz w:val="20"/>
                <w:szCs w:val="20"/>
              </w:rPr>
              <w:t>£m</w:t>
            </w:r>
          </w:p>
        </w:tc>
        <w:tc>
          <w:tcPr>
            <w:tcW w:w="410" w:type="pct"/>
            <w:tcBorders>
              <w:bottom w:val="nil"/>
            </w:tcBorders>
            <w:shd w:val="clear" w:color="auto" w:fill="D0CECE"/>
            <w:vAlign w:val="bottom"/>
          </w:tcPr>
          <w:p w14:paraId="5453CC3B" w14:textId="77777777" w:rsidR="0049771B" w:rsidRPr="00F13104" w:rsidRDefault="0049771B" w:rsidP="00C306B3">
            <w:pPr>
              <w:jc w:val="center"/>
              <w:rPr>
                <w:b/>
                <w:color w:val="auto"/>
                <w:sz w:val="20"/>
                <w:szCs w:val="20"/>
              </w:rPr>
            </w:pPr>
            <w:r w:rsidRPr="00F13104">
              <w:rPr>
                <w:b/>
                <w:color w:val="auto"/>
                <w:sz w:val="20"/>
                <w:szCs w:val="20"/>
              </w:rPr>
              <w:t>£m</w:t>
            </w:r>
          </w:p>
        </w:tc>
        <w:tc>
          <w:tcPr>
            <w:tcW w:w="419" w:type="pct"/>
            <w:tcBorders>
              <w:bottom w:val="nil"/>
            </w:tcBorders>
            <w:shd w:val="clear" w:color="auto" w:fill="D0CECE"/>
            <w:vAlign w:val="bottom"/>
          </w:tcPr>
          <w:p w14:paraId="2DCEE8C6" w14:textId="77777777" w:rsidR="0049771B" w:rsidRPr="00F13104" w:rsidRDefault="0049771B" w:rsidP="00C306B3">
            <w:pPr>
              <w:jc w:val="center"/>
              <w:rPr>
                <w:b/>
                <w:color w:val="auto"/>
                <w:sz w:val="20"/>
                <w:szCs w:val="20"/>
              </w:rPr>
            </w:pPr>
            <w:r w:rsidRPr="00F13104">
              <w:rPr>
                <w:b/>
                <w:color w:val="auto"/>
                <w:sz w:val="20"/>
                <w:szCs w:val="20"/>
              </w:rPr>
              <w:t>£m</w:t>
            </w:r>
          </w:p>
        </w:tc>
        <w:tc>
          <w:tcPr>
            <w:tcW w:w="392" w:type="pct"/>
            <w:tcBorders>
              <w:bottom w:val="nil"/>
            </w:tcBorders>
            <w:shd w:val="clear" w:color="auto" w:fill="D0CECE"/>
            <w:vAlign w:val="bottom"/>
          </w:tcPr>
          <w:p w14:paraId="75C4B8A3" w14:textId="77777777" w:rsidR="0049771B" w:rsidRPr="00F13104" w:rsidRDefault="0049771B" w:rsidP="00C306B3">
            <w:pPr>
              <w:jc w:val="center"/>
              <w:rPr>
                <w:b/>
                <w:color w:val="auto"/>
                <w:sz w:val="20"/>
                <w:szCs w:val="20"/>
              </w:rPr>
            </w:pPr>
            <w:r w:rsidRPr="00F13104">
              <w:rPr>
                <w:b/>
                <w:color w:val="auto"/>
                <w:sz w:val="20"/>
                <w:szCs w:val="20"/>
              </w:rPr>
              <w:t>£m</w:t>
            </w:r>
          </w:p>
        </w:tc>
        <w:tc>
          <w:tcPr>
            <w:tcW w:w="396" w:type="pct"/>
            <w:tcBorders>
              <w:bottom w:val="nil"/>
            </w:tcBorders>
            <w:shd w:val="clear" w:color="auto" w:fill="D0CECE"/>
            <w:vAlign w:val="bottom"/>
          </w:tcPr>
          <w:p w14:paraId="16EC34B6" w14:textId="77777777" w:rsidR="0049771B" w:rsidRPr="00F13104" w:rsidRDefault="0049771B" w:rsidP="00C306B3">
            <w:pPr>
              <w:jc w:val="center"/>
              <w:rPr>
                <w:b/>
                <w:color w:val="auto"/>
                <w:sz w:val="20"/>
                <w:szCs w:val="20"/>
              </w:rPr>
            </w:pPr>
            <w:r w:rsidRPr="00F13104">
              <w:rPr>
                <w:b/>
                <w:color w:val="auto"/>
                <w:sz w:val="20"/>
                <w:szCs w:val="20"/>
              </w:rPr>
              <w:t>£m</w:t>
            </w:r>
          </w:p>
        </w:tc>
        <w:tc>
          <w:tcPr>
            <w:tcW w:w="392" w:type="pct"/>
            <w:tcBorders>
              <w:bottom w:val="nil"/>
              <w:right w:val="single" w:sz="4" w:space="0" w:color="auto"/>
            </w:tcBorders>
            <w:shd w:val="clear" w:color="auto" w:fill="D0CECE"/>
            <w:vAlign w:val="bottom"/>
          </w:tcPr>
          <w:p w14:paraId="7EAEE861" w14:textId="77777777" w:rsidR="0049771B" w:rsidRPr="00F13104" w:rsidRDefault="0049771B" w:rsidP="00C306B3">
            <w:pPr>
              <w:jc w:val="center"/>
              <w:rPr>
                <w:b/>
                <w:color w:val="auto"/>
                <w:sz w:val="20"/>
                <w:szCs w:val="20"/>
              </w:rPr>
            </w:pPr>
            <w:r w:rsidRPr="00F13104">
              <w:rPr>
                <w:b/>
                <w:color w:val="auto"/>
                <w:sz w:val="20"/>
                <w:szCs w:val="20"/>
              </w:rPr>
              <w:t>£m</w:t>
            </w:r>
          </w:p>
        </w:tc>
      </w:tr>
      <w:tr w:rsidR="0049771B" w:rsidRPr="00F13104" w14:paraId="06F5A77F" w14:textId="77777777" w:rsidTr="00A06955">
        <w:trPr>
          <w:trHeight w:val="454"/>
          <w:jc w:val="center"/>
        </w:trPr>
        <w:tc>
          <w:tcPr>
            <w:tcW w:w="1699" w:type="pct"/>
            <w:tcBorders>
              <w:left w:val="single" w:sz="4" w:space="0" w:color="auto"/>
            </w:tcBorders>
            <w:shd w:val="clear" w:color="auto" w:fill="auto"/>
            <w:vAlign w:val="bottom"/>
          </w:tcPr>
          <w:p w14:paraId="3ABD51A0" w14:textId="69BE4912" w:rsidR="0049771B" w:rsidRPr="00F13104" w:rsidRDefault="0049771B" w:rsidP="00C306B3">
            <w:pPr>
              <w:jc w:val="left"/>
              <w:rPr>
                <w:b/>
                <w:color w:val="auto"/>
                <w:sz w:val="20"/>
                <w:szCs w:val="20"/>
              </w:rPr>
            </w:pPr>
            <w:r>
              <w:rPr>
                <w:b/>
                <w:color w:val="auto"/>
                <w:sz w:val="20"/>
                <w:szCs w:val="20"/>
              </w:rPr>
              <w:t xml:space="preserve">Balance </w:t>
            </w:r>
            <w:r w:rsidR="00424AFC">
              <w:rPr>
                <w:b/>
                <w:color w:val="auto"/>
                <w:sz w:val="20"/>
                <w:szCs w:val="20"/>
              </w:rPr>
              <w:t xml:space="preserve">as </w:t>
            </w:r>
            <w:r>
              <w:rPr>
                <w:b/>
                <w:color w:val="auto"/>
                <w:sz w:val="20"/>
                <w:szCs w:val="20"/>
              </w:rPr>
              <w:t>at 1st April 2014</w:t>
            </w:r>
          </w:p>
        </w:tc>
        <w:tc>
          <w:tcPr>
            <w:tcW w:w="422" w:type="pct"/>
            <w:tcBorders>
              <w:top w:val="nil"/>
              <w:bottom w:val="single" w:sz="4" w:space="0" w:color="auto"/>
            </w:tcBorders>
            <w:shd w:val="clear" w:color="auto" w:fill="auto"/>
            <w:vAlign w:val="bottom"/>
          </w:tcPr>
          <w:p w14:paraId="0BF12C83" w14:textId="77777777" w:rsidR="0049771B" w:rsidRPr="00F13104" w:rsidRDefault="0049771B" w:rsidP="00C306B3">
            <w:pPr>
              <w:tabs>
                <w:tab w:val="decimal" w:pos="537"/>
              </w:tabs>
              <w:rPr>
                <w:b/>
                <w:color w:val="auto"/>
                <w:sz w:val="20"/>
                <w:szCs w:val="20"/>
              </w:rPr>
            </w:pPr>
            <w:r w:rsidRPr="00F13104">
              <w:rPr>
                <w:b/>
                <w:color w:val="auto"/>
                <w:sz w:val="20"/>
                <w:szCs w:val="20"/>
              </w:rPr>
              <w:t>(36.0)</w:t>
            </w:r>
          </w:p>
        </w:tc>
        <w:tc>
          <w:tcPr>
            <w:tcW w:w="451" w:type="pct"/>
            <w:tcBorders>
              <w:top w:val="nil"/>
              <w:bottom w:val="single" w:sz="4" w:space="0" w:color="auto"/>
            </w:tcBorders>
            <w:shd w:val="clear" w:color="auto" w:fill="auto"/>
            <w:vAlign w:val="bottom"/>
          </w:tcPr>
          <w:p w14:paraId="3E4558B5" w14:textId="27D0E3D5" w:rsidR="0049771B" w:rsidRPr="00F13104" w:rsidRDefault="00DB7B00" w:rsidP="00C306B3">
            <w:pPr>
              <w:tabs>
                <w:tab w:val="decimal" w:pos="591"/>
              </w:tabs>
              <w:rPr>
                <w:b/>
                <w:color w:val="auto"/>
                <w:sz w:val="20"/>
                <w:szCs w:val="20"/>
              </w:rPr>
            </w:pPr>
            <w:r>
              <w:rPr>
                <w:b/>
                <w:color w:val="auto"/>
                <w:sz w:val="20"/>
                <w:szCs w:val="20"/>
              </w:rPr>
              <w:t>(296.6</w:t>
            </w:r>
            <w:r w:rsidR="0049771B" w:rsidRPr="00F13104">
              <w:rPr>
                <w:b/>
                <w:color w:val="auto"/>
                <w:sz w:val="20"/>
                <w:szCs w:val="20"/>
              </w:rPr>
              <w:t>)</w:t>
            </w:r>
          </w:p>
        </w:tc>
        <w:tc>
          <w:tcPr>
            <w:tcW w:w="419" w:type="pct"/>
            <w:tcBorders>
              <w:top w:val="nil"/>
              <w:bottom w:val="single" w:sz="4" w:space="0" w:color="auto"/>
            </w:tcBorders>
            <w:shd w:val="clear" w:color="auto" w:fill="auto"/>
            <w:vAlign w:val="bottom"/>
          </w:tcPr>
          <w:p w14:paraId="27D7F112" w14:textId="7C60543C" w:rsidR="0049771B" w:rsidRPr="00F13104" w:rsidRDefault="0049771B">
            <w:pPr>
              <w:tabs>
                <w:tab w:val="decimal" w:pos="545"/>
              </w:tabs>
              <w:rPr>
                <w:b/>
                <w:color w:val="auto"/>
                <w:sz w:val="20"/>
                <w:szCs w:val="20"/>
              </w:rPr>
            </w:pPr>
            <w:r>
              <w:rPr>
                <w:b/>
                <w:color w:val="auto"/>
                <w:sz w:val="20"/>
                <w:szCs w:val="20"/>
              </w:rPr>
              <w:t>(13.2</w:t>
            </w:r>
            <w:r w:rsidRPr="00F13104">
              <w:rPr>
                <w:b/>
                <w:color w:val="auto"/>
                <w:sz w:val="20"/>
                <w:szCs w:val="20"/>
              </w:rPr>
              <w:t>)</w:t>
            </w:r>
          </w:p>
        </w:tc>
        <w:tc>
          <w:tcPr>
            <w:tcW w:w="410" w:type="pct"/>
            <w:tcBorders>
              <w:top w:val="nil"/>
              <w:bottom w:val="single" w:sz="4" w:space="0" w:color="auto"/>
            </w:tcBorders>
            <w:shd w:val="clear" w:color="auto" w:fill="auto"/>
            <w:vAlign w:val="bottom"/>
          </w:tcPr>
          <w:p w14:paraId="22480D9E" w14:textId="27053017" w:rsidR="0049771B" w:rsidRPr="00F13104" w:rsidRDefault="0049771B" w:rsidP="00C306B3">
            <w:pPr>
              <w:tabs>
                <w:tab w:val="decimal" w:pos="552"/>
              </w:tabs>
              <w:rPr>
                <w:b/>
                <w:color w:val="auto"/>
                <w:sz w:val="20"/>
                <w:szCs w:val="20"/>
              </w:rPr>
            </w:pPr>
            <w:r>
              <w:rPr>
                <w:b/>
                <w:color w:val="auto"/>
                <w:sz w:val="20"/>
                <w:szCs w:val="20"/>
              </w:rPr>
              <w:t>(31.3</w:t>
            </w:r>
            <w:r w:rsidRPr="00F13104">
              <w:rPr>
                <w:b/>
                <w:color w:val="auto"/>
                <w:sz w:val="20"/>
                <w:szCs w:val="20"/>
              </w:rPr>
              <w:t>)</w:t>
            </w:r>
          </w:p>
        </w:tc>
        <w:tc>
          <w:tcPr>
            <w:tcW w:w="419" w:type="pct"/>
            <w:tcBorders>
              <w:top w:val="nil"/>
              <w:bottom w:val="single" w:sz="4" w:space="0" w:color="auto"/>
            </w:tcBorders>
            <w:shd w:val="clear" w:color="auto" w:fill="auto"/>
            <w:vAlign w:val="bottom"/>
          </w:tcPr>
          <w:p w14:paraId="413F2437" w14:textId="6F3149D1" w:rsidR="0049771B" w:rsidRPr="00F13104" w:rsidRDefault="0049771B" w:rsidP="00A65B8D">
            <w:pPr>
              <w:tabs>
                <w:tab w:val="decimal" w:pos="520"/>
              </w:tabs>
              <w:rPr>
                <w:b/>
                <w:color w:val="auto"/>
                <w:sz w:val="20"/>
                <w:szCs w:val="20"/>
              </w:rPr>
            </w:pPr>
            <w:r>
              <w:rPr>
                <w:b/>
                <w:color w:val="auto"/>
                <w:sz w:val="20"/>
                <w:szCs w:val="20"/>
              </w:rPr>
              <w:t>(47.</w:t>
            </w:r>
            <w:r w:rsidR="00DB7B00">
              <w:rPr>
                <w:b/>
                <w:color w:val="auto"/>
                <w:sz w:val="20"/>
                <w:szCs w:val="20"/>
              </w:rPr>
              <w:t>8</w:t>
            </w:r>
            <w:r w:rsidRPr="00F13104">
              <w:rPr>
                <w:b/>
                <w:color w:val="auto"/>
                <w:sz w:val="20"/>
                <w:szCs w:val="20"/>
              </w:rPr>
              <w:t>)</w:t>
            </w:r>
          </w:p>
        </w:tc>
        <w:tc>
          <w:tcPr>
            <w:tcW w:w="392" w:type="pct"/>
            <w:tcBorders>
              <w:top w:val="nil"/>
              <w:bottom w:val="single" w:sz="4" w:space="0" w:color="auto"/>
            </w:tcBorders>
            <w:shd w:val="clear" w:color="auto" w:fill="auto"/>
            <w:vAlign w:val="bottom"/>
          </w:tcPr>
          <w:p w14:paraId="2E5D2634" w14:textId="3DE72883" w:rsidR="0049771B" w:rsidRPr="00F13104" w:rsidRDefault="0049771B" w:rsidP="00C306B3">
            <w:pPr>
              <w:tabs>
                <w:tab w:val="decimal" w:pos="471"/>
              </w:tabs>
              <w:rPr>
                <w:b/>
                <w:color w:val="auto"/>
                <w:sz w:val="20"/>
                <w:szCs w:val="20"/>
              </w:rPr>
            </w:pPr>
            <w:r>
              <w:rPr>
                <w:b/>
                <w:color w:val="auto"/>
                <w:sz w:val="20"/>
                <w:szCs w:val="20"/>
              </w:rPr>
              <w:t>(424.</w:t>
            </w:r>
            <w:r w:rsidR="00A65B8D">
              <w:rPr>
                <w:b/>
                <w:color w:val="auto"/>
                <w:sz w:val="20"/>
                <w:szCs w:val="20"/>
              </w:rPr>
              <w:t>9</w:t>
            </w:r>
            <w:r w:rsidRPr="00F13104">
              <w:rPr>
                <w:b/>
                <w:color w:val="auto"/>
                <w:sz w:val="20"/>
                <w:szCs w:val="20"/>
              </w:rPr>
              <w:t>)</w:t>
            </w:r>
          </w:p>
        </w:tc>
        <w:tc>
          <w:tcPr>
            <w:tcW w:w="396" w:type="pct"/>
            <w:tcBorders>
              <w:top w:val="nil"/>
              <w:bottom w:val="single" w:sz="4" w:space="0" w:color="auto"/>
            </w:tcBorders>
            <w:shd w:val="clear" w:color="auto" w:fill="auto"/>
            <w:vAlign w:val="bottom"/>
          </w:tcPr>
          <w:p w14:paraId="468F52A9" w14:textId="5479DD39" w:rsidR="0049771B" w:rsidRPr="00F13104" w:rsidRDefault="0049771B" w:rsidP="00C306B3">
            <w:pPr>
              <w:tabs>
                <w:tab w:val="decimal" w:pos="499"/>
              </w:tabs>
              <w:rPr>
                <w:b/>
                <w:color w:val="auto"/>
                <w:sz w:val="20"/>
                <w:szCs w:val="20"/>
              </w:rPr>
            </w:pPr>
            <w:r>
              <w:rPr>
                <w:b/>
                <w:color w:val="auto"/>
                <w:sz w:val="20"/>
                <w:szCs w:val="20"/>
              </w:rPr>
              <w:t>(678.3</w:t>
            </w:r>
            <w:r w:rsidRPr="00F13104">
              <w:rPr>
                <w:b/>
                <w:color w:val="auto"/>
                <w:sz w:val="20"/>
                <w:szCs w:val="20"/>
              </w:rPr>
              <w:t>)</w:t>
            </w:r>
          </w:p>
        </w:tc>
        <w:tc>
          <w:tcPr>
            <w:tcW w:w="392" w:type="pct"/>
            <w:tcBorders>
              <w:top w:val="nil"/>
              <w:bottom w:val="single" w:sz="4" w:space="0" w:color="auto"/>
              <w:right w:val="single" w:sz="4" w:space="0" w:color="auto"/>
            </w:tcBorders>
            <w:shd w:val="clear" w:color="auto" w:fill="auto"/>
            <w:vAlign w:val="bottom"/>
          </w:tcPr>
          <w:p w14:paraId="0362F8F6" w14:textId="6809FA5C" w:rsidR="0049771B" w:rsidRPr="00F13104" w:rsidRDefault="0049771B">
            <w:pPr>
              <w:tabs>
                <w:tab w:val="decimal" w:pos="516"/>
              </w:tabs>
              <w:rPr>
                <w:b/>
                <w:color w:val="auto"/>
                <w:sz w:val="20"/>
                <w:szCs w:val="20"/>
              </w:rPr>
            </w:pPr>
            <w:r>
              <w:rPr>
                <w:b/>
                <w:color w:val="auto"/>
                <w:sz w:val="20"/>
                <w:szCs w:val="20"/>
              </w:rPr>
              <w:t>(1,103.</w:t>
            </w:r>
            <w:r w:rsidR="00A65B8D">
              <w:rPr>
                <w:b/>
                <w:color w:val="auto"/>
                <w:sz w:val="20"/>
                <w:szCs w:val="20"/>
              </w:rPr>
              <w:t>2</w:t>
            </w:r>
            <w:r w:rsidRPr="00F13104">
              <w:rPr>
                <w:b/>
                <w:color w:val="auto"/>
                <w:sz w:val="20"/>
                <w:szCs w:val="20"/>
              </w:rPr>
              <w:t>)</w:t>
            </w:r>
          </w:p>
        </w:tc>
      </w:tr>
      <w:tr w:rsidR="0049771B" w:rsidRPr="00F13104" w14:paraId="140D8DFF" w14:textId="77777777" w:rsidTr="00A06955">
        <w:trPr>
          <w:trHeight w:val="454"/>
          <w:jc w:val="center"/>
        </w:trPr>
        <w:tc>
          <w:tcPr>
            <w:tcW w:w="1699" w:type="pct"/>
            <w:tcBorders>
              <w:left w:val="single" w:sz="4" w:space="0" w:color="auto"/>
            </w:tcBorders>
            <w:shd w:val="clear" w:color="auto" w:fill="auto"/>
            <w:vAlign w:val="bottom"/>
          </w:tcPr>
          <w:p w14:paraId="19277A79" w14:textId="61D69448" w:rsidR="0049771B" w:rsidRPr="00F13104" w:rsidRDefault="0049771B" w:rsidP="00C306B3">
            <w:pPr>
              <w:jc w:val="left"/>
              <w:rPr>
                <w:color w:val="auto"/>
                <w:sz w:val="20"/>
                <w:szCs w:val="20"/>
                <w:u w:val="single"/>
              </w:rPr>
            </w:pPr>
            <w:r w:rsidRPr="00F13104">
              <w:rPr>
                <w:color w:val="auto"/>
                <w:sz w:val="20"/>
                <w:szCs w:val="20"/>
                <w:u w:val="single"/>
              </w:rPr>
              <w:t>Movement in Reserves During 201</w:t>
            </w:r>
            <w:r w:rsidR="009D65B8">
              <w:rPr>
                <w:color w:val="auto"/>
                <w:sz w:val="20"/>
                <w:szCs w:val="20"/>
                <w:u w:val="single"/>
              </w:rPr>
              <w:t>4/15</w:t>
            </w:r>
          </w:p>
        </w:tc>
        <w:tc>
          <w:tcPr>
            <w:tcW w:w="422" w:type="pct"/>
            <w:tcBorders>
              <w:top w:val="single" w:sz="4" w:space="0" w:color="auto"/>
            </w:tcBorders>
            <w:shd w:val="clear" w:color="auto" w:fill="auto"/>
            <w:vAlign w:val="bottom"/>
          </w:tcPr>
          <w:p w14:paraId="1A922470" w14:textId="77777777" w:rsidR="0049771B" w:rsidRPr="00F13104" w:rsidRDefault="0049771B" w:rsidP="00C306B3">
            <w:pPr>
              <w:tabs>
                <w:tab w:val="decimal" w:pos="537"/>
              </w:tabs>
              <w:rPr>
                <w:color w:val="auto"/>
                <w:sz w:val="20"/>
                <w:szCs w:val="20"/>
              </w:rPr>
            </w:pPr>
          </w:p>
        </w:tc>
        <w:tc>
          <w:tcPr>
            <w:tcW w:w="451" w:type="pct"/>
            <w:tcBorders>
              <w:top w:val="single" w:sz="4" w:space="0" w:color="auto"/>
            </w:tcBorders>
            <w:shd w:val="clear" w:color="auto" w:fill="auto"/>
            <w:vAlign w:val="bottom"/>
          </w:tcPr>
          <w:p w14:paraId="738CA42B" w14:textId="77777777" w:rsidR="0049771B" w:rsidRPr="00F13104" w:rsidRDefault="0049771B" w:rsidP="00C306B3">
            <w:pPr>
              <w:tabs>
                <w:tab w:val="decimal" w:pos="591"/>
              </w:tabs>
              <w:rPr>
                <w:color w:val="auto"/>
                <w:sz w:val="20"/>
                <w:szCs w:val="20"/>
              </w:rPr>
            </w:pPr>
          </w:p>
        </w:tc>
        <w:tc>
          <w:tcPr>
            <w:tcW w:w="419" w:type="pct"/>
            <w:tcBorders>
              <w:top w:val="single" w:sz="4" w:space="0" w:color="auto"/>
            </w:tcBorders>
            <w:shd w:val="clear" w:color="auto" w:fill="auto"/>
            <w:vAlign w:val="bottom"/>
          </w:tcPr>
          <w:p w14:paraId="3A6730BC" w14:textId="77777777" w:rsidR="0049771B" w:rsidRPr="00F13104" w:rsidRDefault="0049771B" w:rsidP="00C306B3">
            <w:pPr>
              <w:tabs>
                <w:tab w:val="decimal" w:pos="545"/>
              </w:tabs>
              <w:rPr>
                <w:color w:val="auto"/>
                <w:sz w:val="20"/>
                <w:szCs w:val="20"/>
              </w:rPr>
            </w:pPr>
          </w:p>
        </w:tc>
        <w:tc>
          <w:tcPr>
            <w:tcW w:w="410" w:type="pct"/>
            <w:tcBorders>
              <w:top w:val="single" w:sz="4" w:space="0" w:color="auto"/>
            </w:tcBorders>
            <w:shd w:val="clear" w:color="auto" w:fill="auto"/>
            <w:vAlign w:val="bottom"/>
          </w:tcPr>
          <w:p w14:paraId="23C56282" w14:textId="77777777" w:rsidR="0049771B" w:rsidRPr="00F13104" w:rsidRDefault="0049771B" w:rsidP="00C306B3">
            <w:pPr>
              <w:tabs>
                <w:tab w:val="decimal" w:pos="552"/>
              </w:tabs>
              <w:rPr>
                <w:color w:val="auto"/>
                <w:sz w:val="20"/>
                <w:szCs w:val="20"/>
              </w:rPr>
            </w:pPr>
          </w:p>
        </w:tc>
        <w:tc>
          <w:tcPr>
            <w:tcW w:w="419" w:type="pct"/>
            <w:tcBorders>
              <w:top w:val="single" w:sz="4" w:space="0" w:color="auto"/>
            </w:tcBorders>
            <w:shd w:val="clear" w:color="auto" w:fill="auto"/>
            <w:vAlign w:val="bottom"/>
          </w:tcPr>
          <w:p w14:paraId="6660D045" w14:textId="77777777" w:rsidR="0049771B" w:rsidRPr="00F13104" w:rsidRDefault="0049771B" w:rsidP="00C306B3">
            <w:pPr>
              <w:tabs>
                <w:tab w:val="decimal" w:pos="520"/>
              </w:tabs>
              <w:rPr>
                <w:color w:val="auto"/>
                <w:sz w:val="20"/>
                <w:szCs w:val="20"/>
              </w:rPr>
            </w:pPr>
          </w:p>
        </w:tc>
        <w:tc>
          <w:tcPr>
            <w:tcW w:w="392" w:type="pct"/>
            <w:tcBorders>
              <w:top w:val="single" w:sz="4" w:space="0" w:color="auto"/>
            </w:tcBorders>
            <w:shd w:val="clear" w:color="auto" w:fill="auto"/>
            <w:vAlign w:val="bottom"/>
          </w:tcPr>
          <w:p w14:paraId="2B22C601" w14:textId="77777777" w:rsidR="0049771B" w:rsidRPr="00F13104" w:rsidRDefault="0049771B" w:rsidP="00C306B3">
            <w:pPr>
              <w:tabs>
                <w:tab w:val="decimal" w:pos="471"/>
              </w:tabs>
              <w:rPr>
                <w:color w:val="auto"/>
                <w:sz w:val="20"/>
                <w:szCs w:val="20"/>
              </w:rPr>
            </w:pPr>
          </w:p>
        </w:tc>
        <w:tc>
          <w:tcPr>
            <w:tcW w:w="396" w:type="pct"/>
            <w:tcBorders>
              <w:top w:val="single" w:sz="4" w:space="0" w:color="auto"/>
            </w:tcBorders>
            <w:shd w:val="clear" w:color="auto" w:fill="auto"/>
            <w:vAlign w:val="bottom"/>
          </w:tcPr>
          <w:p w14:paraId="7012CD28" w14:textId="77777777" w:rsidR="0049771B" w:rsidRPr="00F13104" w:rsidRDefault="0049771B" w:rsidP="00C306B3">
            <w:pPr>
              <w:tabs>
                <w:tab w:val="decimal" w:pos="499"/>
              </w:tabs>
              <w:rPr>
                <w:color w:val="auto"/>
                <w:sz w:val="20"/>
                <w:szCs w:val="20"/>
              </w:rPr>
            </w:pPr>
          </w:p>
        </w:tc>
        <w:tc>
          <w:tcPr>
            <w:tcW w:w="392" w:type="pct"/>
            <w:tcBorders>
              <w:top w:val="single" w:sz="4" w:space="0" w:color="auto"/>
              <w:right w:val="single" w:sz="4" w:space="0" w:color="auto"/>
            </w:tcBorders>
            <w:shd w:val="clear" w:color="auto" w:fill="auto"/>
            <w:vAlign w:val="bottom"/>
          </w:tcPr>
          <w:p w14:paraId="1C556B99" w14:textId="77777777" w:rsidR="0049771B" w:rsidRPr="00F13104" w:rsidRDefault="0049771B" w:rsidP="00C306B3">
            <w:pPr>
              <w:tabs>
                <w:tab w:val="decimal" w:pos="516"/>
              </w:tabs>
              <w:rPr>
                <w:color w:val="auto"/>
                <w:sz w:val="20"/>
                <w:szCs w:val="20"/>
              </w:rPr>
            </w:pPr>
          </w:p>
        </w:tc>
      </w:tr>
      <w:tr w:rsidR="0049771B" w:rsidRPr="00F13104" w14:paraId="10EB4F6C" w14:textId="77777777" w:rsidTr="00A06955">
        <w:trPr>
          <w:trHeight w:val="454"/>
          <w:jc w:val="center"/>
        </w:trPr>
        <w:tc>
          <w:tcPr>
            <w:tcW w:w="1699" w:type="pct"/>
            <w:tcBorders>
              <w:left w:val="single" w:sz="4" w:space="0" w:color="auto"/>
            </w:tcBorders>
            <w:shd w:val="clear" w:color="auto" w:fill="auto"/>
            <w:vAlign w:val="bottom"/>
          </w:tcPr>
          <w:p w14:paraId="670D3910" w14:textId="77777777" w:rsidR="0049771B" w:rsidRPr="00F13104" w:rsidRDefault="0049771B" w:rsidP="00C306B3">
            <w:pPr>
              <w:jc w:val="left"/>
              <w:rPr>
                <w:color w:val="auto"/>
                <w:sz w:val="20"/>
                <w:szCs w:val="20"/>
              </w:rPr>
            </w:pPr>
            <w:r w:rsidRPr="00F13104">
              <w:rPr>
                <w:color w:val="auto"/>
                <w:sz w:val="20"/>
                <w:szCs w:val="20"/>
              </w:rPr>
              <w:t>(Surplus) or deficit on provision of services</w:t>
            </w:r>
          </w:p>
        </w:tc>
        <w:tc>
          <w:tcPr>
            <w:tcW w:w="422" w:type="pct"/>
            <w:tcBorders>
              <w:bottom w:val="nil"/>
            </w:tcBorders>
            <w:shd w:val="clear" w:color="auto" w:fill="auto"/>
            <w:vAlign w:val="bottom"/>
          </w:tcPr>
          <w:p w14:paraId="01531B52" w14:textId="17F5CD59" w:rsidR="0049771B" w:rsidRPr="00F13104" w:rsidRDefault="0049771B" w:rsidP="00037A7D">
            <w:pPr>
              <w:tabs>
                <w:tab w:val="decimal" w:pos="537"/>
              </w:tabs>
              <w:rPr>
                <w:color w:val="auto"/>
                <w:sz w:val="20"/>
                <w:szCs w:val="20"/>
              </w:rPr>
            </w:pPr>
            <w:r>
              <w:rPr>
                <w:color w:val="auto"/>
                <w:sz w:val="20"/>
                <w:szCs w:val="20"/>
              </w:rPr>
              <w:t>(</w:t>
            </w:r>
            <w:r w:rsidR="00037A7D">
              <w:rPr>
                <w:color w:val="auto"/>
                <w:sz w:val="20"/>
                <w:szCs w:val="20"/>
              </w:rPr>
              <w:t>48.6</w:t>
            </w:r>
            <w:r>
              <w:rPr>
                <w:color w:val="auto"/>
                <w:sz w:val="20"/>
                <w:szCs w:val="20"/>
              </w:rPr>
              <w:t>)</w:t>
            </w:r>
          </w:p>
        </w:tc>
        <w:tc>
          <w:tcPr>
            <w:tcW w:w="451" w:type="pct"/>
            <w:tcBorders>
              <w:bottom w:val="nil"/>
            </w:tcBorders>
            <w:shd w:val="clear" w:color="auto" w:fill="auto"/>
            <w:vAlign w:val="bottom"/>
          </w:tcPr>
          <w:p w14:paraId="6C4BB99B" w14:textId="77777777" w:rsidR="0049771B" w:rsidRPr="00F13104" w:rsidRDefault="0049771B" w:rsidP="00C306B3">
            <w:pPr>
              <w:tabs>
                <w:tab w:val="decimal" w:pos="591"/>
              </w:tabs>
              <w:rPr>
                <w:color w:val="auto"/>
                <w:sz w:val="20"/>
                <w:szCs w:val="20"/>
              </w:rPr>
            </w:pPr>
            <w:r w:rsidRPr="00F13104">
              <w:rPr>
                <w:color w:val="auto"/>
                <w:sz w:val="20"/>
                <w:szCs w:val="20"/>
              </w:rPr>
              <w:t>-</w:t>
            </w:r>
          </w:p>
        </w:tc>
        <w:tc>
          <w:tcPr>
            <w:tcW w:w="419" w:type="pct"/>
            <w:tcBorders>
              <w:bottom w:val="nil"/>
            </w:tcBorders>
            <w:shd w:val="clear" w:color="auto" w:fill="auto"/>
            <w:vAlign w:val="bottom"/>
          </w:tcPr>
          <w:p w14:paraId="4B652F1A" w14:textId="77777777" w:rsidR="0049771B" w:rsidRPr="00F13104" w:rsidRDefault="0049771B" w:rsidP="00C306B3">
            <w:pPr>
              <w:tabs>
                <w:tab w:val="decimal" w:pos="545"/>
              </w:tabs>
              <w:rPr>
                <w:color w:val="auto"/>
                <w:sz w:val="20"/>
                <w:szCs w:val="20"/>
              </w:rPr>
            </w:pPr>
            <w:r w:rsidRPr="00F13104">
              <w:rPr>
                <w:color w:val="auto"/>
                <w:sz w:val="20"/>
                <w:szCs w:val="20"/>
              </w:rPr>
              <w:t>-</w:t>
            </w:r>
          </w:p>
        </w:tc>
        <w:tc>
          <w:tcPr>
            <w:tcW w:w="410" w:type="pct"/>
            <w:tcBorders>
              <w:bottom w:val="nil"/>
            </w:tcBorders>
            <w:shd w:val="clear" w:color="auto" w:fill="auto"/>
            <w:vAlign w:val="bottom"/>
          </w:tcPr>
          <w:p w14:paraId="03CCE266" w14:textId="77777777" w:rsidR="0049771B" w:rsidRPr="00F13104" w:rsidRDefault="0049771B" w:rsidP="00C306B3">
            <w:pPr>
              <w:tabs>
                <w:tab w:val="decimal" w:pos="552"/>
              </w:tabs>
              <w:rPr>
                <w:color w:val="auto"/>
                <w:sz w:val="20"/>
                <w:szCs w:val="20"/>
              </w:rPr>
            </w:pPr>
            <w:r w:rsidRPr="00F13104">
              <w:rPr>
                <w:color w:val="auto"/>
                <w:sz w:val="20"/>
                <w:szCs w:val="20"/>
              </w:rPr>
              <w:t>-</w:t>
            </w:r>
          </w:p>
        </w:tc>
        <w:tc>
          <w:tcPr>
            <w:tcW w:w="419" w:type="pct"/>
            <w:tcBorders>
              <w:bottom w:val="nil"/>
            </w:tcBorders>
            <w:shd w:val="clear" w:color="auto" w:fill="auto"/>
            <w:vAlign w:val="bottom"/>
          </w:tcPr>
          <w:p w14:paraId="66161062" w14:textId="77777777" w:rsidR="0049771B" w:rsidRPr="00F13104" w:rsidRDefault="0049771B" w:rsidP="00C306B3">
            <w:pPr>
              <w:tabs>
                <w:tab w:val="decimal" w:pos="520"/>
              </w:tabs>
              <w:rPr>
                <w:color w:val="auto"/>
                <w:sz w:val="20"/>
                <w:szCs w:val="20"/>
              </w:rPr>
            </w:pPr>
            <w:r w:rsidRPr="00F13104">
              <w:rPr>
                <w:color w:val="auto"/>
                <w:sz w:val="20"/>
                <w:szCs w:val="20"/>
              </w:rPr>
              <w:t>-</w:t>
            </w:r>
          </w:p>
        </w:tc>
        <w:tc>
          <w:tcPr>
            <w:tcW w:w="392" w:type="pct"/>
            <w:tcBorders>
              <w:bottom w:val="nil"/>
            </w:tcBorders>
            <w:shd w:val="clear" w:color="auto" w:fill="auto"/>
            <w:vAlign w:val="bottom"/>
          </w:tcPr>
          <w:p w14:paraId="777F7BAE" w14:textId="0CA44CFF" w:rsidR="0049771B" w:rsidRPr="00F13104" w:rsidRDefault="0049771B" w:rsidP="00C306B3">
            <w:pPr>
              <w:tabs>
                <w:tab w:val="decimal" w:pos="471"/>
              </w:tabs>
              <w:rPr>
                <w:color w:val="auto"/>
                <w:sz w:val="20"/>
                <w:szCs w:val="20"/>
              </w:rPr>
            </w:pPr>
            <w:r>
              <w:rPr>
                <w:color w:val="auto"/>
                <w:sz w:val="20"/>
                <w:szCs w:val="20"/>
              </w:rPr>
              <w:t>(</w:t>
            </w:r>
            <w:r w:rsidR="00037A7D">
              <w:rPr>
                <w:color w:val="auto"/>
                <w:sz w:val="20"/>
                <w:szCs w:val="20"/>
              </w:rPr>
              <w:t>48.6</w:t>
            </w:r>
            <w:r>
              <w:rPr>
                <w:color w:val="auto"/>
                <w:sz w:val="20"/>
                <w:szCs w:val="20"/>
              </w:rPr>
              <w:t>)</w:t>
            </w:r>
          </w:p>
        </w:tc>
        <w:tc>
          <w:tcPr>
            <w:tcW w:w="396" w:type="pct"/>
            <w:tcBorders>
              <w:bottom w:val="nil"/>
            </w:tcBorders>
            <w:shd w:val="clear" w:color="auto" w:fill="auto"/>
            <w:vAlign w:val="bottom"/>
          </w:tcPr>
          <w:p w14:paraId="70B8BA9E" w14:textId="77777777" w:rsidR="0049771B" w:rsidRPr="00F13104" w:rsidRDefault="0049771B" w:rsidP="00C306B3">
            <w:pPr>
              <w:tabs>
                <w:tab w:val="decimal" w:pos="499"/>
              </w:tabs>
              <w:rPr>
                <w:color w:val="auto"/>
                <w:sz w:val="20"/>
                <w:szCs w:val="20"/>
              </w:rPr>
            </w:pPr>
            <w:r w:rsidRPr="00F13104">
              <w:rPr>
                <w:color w:val="auto"/>
                <w:sz w:val="20"/>
                <w:szCs w:val="20"/>
              </w:rPr>
              <w:t>-</w:t>
            </w:r>
          </w:p>
        </w:tc>
        <w:tc>
          <w:tcPr>
            <w:tcW w:w="392" w:type="pct"/>
            <w:tcBorders>
              <w:bottom w:val="nil"/>
              <w:right w:val="single" w:sz="4" w:space="0" w:color="auto"/>
            </w:tcBorders>
            <w:shd w:val="clear" w:color="auto" w:fill="auto"/>
            <w:vAlign w:val="bottom"/>
          </w:tcPr>
          <w:p w14:paraId="79DC3BB4" w14:textId="770EE7B9" w:rsidR="0049771B" w:rsidRPr="00F13104" w:rsidRDefault="0049771B">
            <w:pPr>
              <w:tabs>
                <w:tab w:val="decimal" w:pos="516"/>
              </w:tabs>
              <w:rPr>
                <w:color w:val="auto"/>
                <w:sz w:val="20"/>
                <w:szCs w:val="20"/>
              </w:rPr>
            </w:pPr>
            <w:r>
              <w:rPr>
                <w:color w:val="auto"/>
                <w:sz w:val="20"/>
                <w:szCs w:val="20"/>
              </w:rPr>
              <w:t>(</w:t>
            </w:r>
            <w:r w:rsidR="00037A7D">
              <w:rPr>
                <w:color w:val="auto"/>
                <w:sz w:val="20"/>
                <w:szCs w:val="20"/>
              </w:rPr>
              <w:t>48.6</w:t>
            </w:r>
            <w:r>
              <w:rPr>
                <w:color w:val="auto"/>
                <w:sz w:val="20"/>
                <w:szCs w:val="20"/>
              </w:rPr>
              <w:t>)</w:t>
            </w:r>
          </w:p>
        </w:tc>
      </w:tr>
      <w:tr w:rsidR="0049771B" w:rsidRPr="00F13104" w14:paraId="41CF57B9" w14:textId="77777777" w:rsidTr="00A06955">
        <w:trPr>
          <w:trHeight w:val="454"/>
          <w:jc w:val="center"/>
        </w:trPr>
        <w:tc>
          <w:tcPr>
            <w:tcW w:w="1699" w:type="pct"/>
            <w:tcBorders>
              <w:left w:val="single" w:sz="4" w:space="0" w:color="auto"/>
            </w:tcBorders>
            <w:shd w:val="clear" w:color="auto" w:fill="auto"/>
            <w:vAlign w:val="bottom"/>
          </w:tcPr>
          <w:p w14:paraId="2E528C6C" w14:textId="77777777" w:rsidR="0049771B" w:rsidRPr="00F13104" w:rsidRDefault="0049771B" w:rsidP="00C306B3">
            <w:pPr>
              <w:jc w:val="left"/>
              <w:rPr>
                <w:color w:val="auto"/>
                <w:sz w:val="20"/>
                <w:szCs w:val="20"/>
              </w:rPr>
            </w:pPr>
            <w:r w:rsidRPr="00F13104">
              <w:rPr>
                <w:color w:val="auto"/>
                <w:sz w:val="20"/>
                <w:szCs w:val="20"/>
              </w:rPr>
              <w:t>Other Comprehensive Income and Expenditure</w:t>
            </w:r>
          </w:p>
        </w:tc>
        <w:tc>
          <w:tcPr>
            <w:tcW w:w="422" w:type="pct"/>
            <w:tcBorders>
              <w:top w:val="nil"/>
              <w:bottom w:val="single" w:sz="4" w:space="0" w:color="auto"/>
            </w:tcBorders>
            <w:shd w:val="clear" w:color="auto" w:fill="auto"/>
            <w:vAlign w:val="bottom"/>
          </w:tcPr>
          <w:p w14:paraId="2FE1C8D4" w14:textId="77777777" w:rsidR="0049771B" w:rsidRPr="00F13104" w:rsidRDefault="0049771B" w:rsidP="00C306B3">
            <w:pPr>
              <w:tabs>
                <w:tab w:val="decimal" w:pos="537"/>
              </w:tabs>
              <w:rPr>
                <w:color w:val="auto"/>
                <w:sz w:val="20"/>
                <w:szCs w:val="20"/>
              </w:rPr>
            </w:pPr>
            <w:r w:rsidRPr="00F13104">
              <w:rPr>
                <w:color w:val="auto"/>
                <w:sz w:val="20"/>
                <w:szCs w:val="20"/>
              </w:rPr>
              <w:t>-</w:t>
            </w:r>
          </w:p>
        </w:tc>
        <w:tc>
          <w:tcPr>
            <w:tcW w:w="451" w:type="pct"/>
            <w:tcBorders>
              <w:top w:val="nil"/>
              <w:bottom w:val="single" w:sz="4" w:space="0" w:color="auto"/>
            </w:tcBorders>
            <w:shd w:val="clear" w:color="auto" w:fill="auto"/>
            <w:vAlign w:val="bottom"/>
          </w:tcPr>
          <w:p w14:paraId="03E22C56" w14:textId="77777777" w:rsidR="0049771B" w:rsidRPr="00F13104" w:rsidRDefault="0049771B" w:rsidP="00C306B3">
            <w:pPr>
              <w:tabs>
                <w:tab w:val="decimal" w:pos="591"/>
              </w:tabs>
              <w:rPr>
                <w:color w:val="auto"/>
                <w:sz w:val="20"/>
                <w:szCs w:val="20"/>
              </w:rPr>
            </w:pPr>
            <w:r w:rsidRPr="00F13104">
              <w:rPr>
                <w:color w:val="auto"/>
                <w:sz w:val="20"/>
                <w:szCs w:val="20"/>
              </w:rPr>
              <w:t>-</w:t>
            </w:r>
          </w:p>
        </w:tc>
        <w:tc>
          <w:tcPr>
            <w:tcW w:w="419" w:type="pct"/>
            <w:tcBorders>
              <w:top w:val="nil"/>
              <w:bottom w:val="single" w:sz="4" w:space="0" w:color="auto"/>
            </w:tcBorders>
            <w:shd w:val="clear" w:color="auto" w:fill="auto"/>
            <w:vAlign w:val="bottom"/>
          </w:tcPr>
          <w:p w14:paraId="17D47088" w14:textId="77777777" w:rsidR="0049771B" w:rsidRPr="00F13104" w:rsidRDefault="0049771B" w:rsidP="00C306B3">
            <w:pPr>
              <w:tabs>
                <w:tab w:val="decimal" w:pos="545"/>
              </w:tabs>
              <w:rPr>
                <w:color w:val="auto"/>
                <w:sz w:val="20"/>
                <w:szCs w:val="20"/>
              </w:rPr>
            </w:pPr>
            <w:r w:rsidRPr="00F13104">
              <w:rPr>
                <w:color w:val="auto"/>
                <w:sz w:val="20"/>
                <w:szCs w:val="20"/>
              </w:rPr>
              <w:t>-</w:t>
            </w:r>
          </w:p>
        </w:tc>
        <w:tc>
          <w:tcPr>
            <w:tcW w:w="410" w:type="pct"/>
            <w:tcBorders>
              <w:top w:val="nil"/>
              <w:bottom w:val="single" w:sz="4" w:space="0" w:color="auto"/>
            </w:tcBorders>
            <w:shd w:val="clear" w:color="auto" w:fill="auto"/>
            <w:vAlign w:val="bottom"/>
          </w:tcPr>
          <w:p w14:paraId="4BEDCE19" w14:textId="77777777" w:rsidR="0049771B" w:rsidRPr="00F13104" w:rsidRDefault="0049771B" w:rsidP="00C306B3">
            <w:pPr>
              <w:tabs>
                <w:tab w:val="decimal" w:pos="552"/>
              </w:tabs>
              <w:rPr>
                <w:color w:val="auto"/>
                <w:sz w:val="20"/>
                <w:szCs w:val="20"/>
              </w:rPr>
            </w:pPr>
            <w:r w:rsidRPr="00F13104">
              <w:rPr>
                <w:color w:val="auto"/>
                <w:sz w:val="20"/>
                <w:szCs w:val="20"/>
              </w:rPr>
              <w:t>-</w:t>
            </w:r>
          </w:p>
        </w:tc>
        <w:tc>
          <w:tcPr>
            <w:tcW w:w="419" w:type="pct"/>
            <w:tcBorders>
              <w:top w:val="nil"/>
              <w:bottom w:val="single" w:sz="4" w:space="0" w:color="auto"/>
            </w:tcBorders>
            <w:shd w:val="clear" w:color="auto" w:fill="auto"/>
            <w:vAlign w:val="bottom"/>
          </w:tcPr>
          <w:p w14:paraId="7D0873DD" w14:textId="590E6B6B" w:rsidR="0049771B" w:rsidRPr="00F13104" w:rsidRDefault="00177847" w:rsidP="00BD7307">
            <w:pPr>
              <w:tabs>
                <w:tab w:val="decimal" w:pos="520"/>
              </w:tabs>
              <w:rPr>
                <w:color w:val="auto"/>
                <w:sz w:val="20"/>
                <w:szCs w:val="20"/>
              </w:rPr>
            </w:pPr>
            <w:r>
              <w:rPr>
                <w:color w:val="auto"/>
                <w:sz w:val="20"/>
                <w:szCs w:val="20"/>
              </w:rPr>
              <w:t>5.</w:t>
            </w:r>
            <w:r w:rsidR="00BD7307">
              <w:rPr>
                <w:color w:val="auto"/>
                <w:sz w:val="20"/>
                <w:szCs w:val="20"/>
              </w:rPr>
              <w:t>1</w:t>
            </w:r>
          </w:p>
        </w:tc>
        <w:tc>
          <w:tcPr>
            <w:tcW w:w="392" w:type="pct"/>
            <w:tcBorders>
              <w:top w:val="nil"/>
              <w:bottom w:val="single" w:sz="4" w:space="0" w:color="auto"/>
            </w:tcBorders>
            <w:shd w:val="clear" w:color="auto" w:fill="auto"/>
            <w:vAlign w:val="bottom"/>
          </w:tcPr>
          <w:p w14:paraId="4851DCDF" w14:textId="193BC409" w:rsidR="0049771B" w:rsidRPr="00F13104" w:rsidRDefault="00177847" w:rsidP="00BD7307">
            <w:pPr>
              <w:tabs>
                <w:tab w:val="decimal" w:pos="471"/>
              </w:tabs>
              <w:rPr>
                <w:color w:val="auto"/>
                <w:sz w:val="20"/>
                <w:szCs w:val="20"/>
              </w:rPr>
            </w:pPr>
            <w:r>
              <w:rPr>
                <w:color w:val="auto"/>
                <w:sz w:val="20"/>
                <w:szCs w:val="20"/>
              </w:rPr>
              <w:t>5.</w:t>
            </w:r>
            <w:r w:rsidR="00BD7307">
              <w:rPr>
                <w:color w:val="auto"/>
                <w:sz w:val="20"/>
                <w:szCs w:val="20"/>
              </w:rPr>
              <w:t>1</w:t>
            </w:r>
          </w:p>
        </w:tc>
        <w:tc>
          <w:tcPr>
            <w:tcW w:w="396" w:type="pct"/>
            <w:tcBorders>
              <w:top w:val="nil"/>
              <w:bottom w:val="single" w:sz="4" w:space="0" w:color="auto"/>
            </w:tcBorders>
            <w:shd w:val="clear" w:color="auto" w:fill="auto"/>
            <w:vAlign w:val="bottom"/>
          </w:tcPr>
          <w:p w14:paraId="07932CF5" w14:textId="204476F9" w:rsidR="0049771B" w:rsidRPr="00F13104" w:rsidRDefault="00037A7D" w:rsidP="00177847">
            <w:pPr>
              <w:tabs>
                <w:tab w:val="decimal" w:pos="499"/>
              </w:tabs>
              <w:rPr>
                <w:color w:val="auto"/>
                <w:sz w:val="20"/>
                <w:szCs w:val="20"/>
              </w:rPr>
            </w:pPr>
            <w:r>
              <w:rPr>
                <w:color w:val="auto"/>
                <w:sz w:val="20"/>
                <w:szCs w:val="20"/>
              </w:rPr>
              <w:t>260.6</w:t>
            </w:r>
          </w:p>
        </w:tc>
        <w:tc>
          <w:tcPr>
            <w:tcW w:w="392" w:type="pct"/>
            <w:tcBorders>
              <w:top w:val="nil"/>
              <w:bottom w:val="single" w:sz="4" w:space="0" w:color="auto"/>
              <w:right w:val="single" w:sz="4" w:space="0" w:color="auto"/>
            </w:tcBorders>
            <w:shd w:val="clear" w:color="auto" w:fill="auto"/>
            <w:vAlign w:val="bottom"/>
          </w:tcPr>
          <w:p w14:paraId="34307398" w14:textId="24DC50C8" w:rsidR="0049771B" w:rsidRPr="00F13104" w:rsidRDefault="0049771B" w:rsidP="00BD7307">
            <w:pPr>
              <w:tabs>
                <w:tab w:val="decimal" w:pos="516"/>
              </w:tabs>
              <w:rPr>
                <w:color w:val="auto"/>
                <w:sz w:val="20"/>
                <w:szCs w:val="20"/>
              </w:rPr>
            </w:pPr>
            <w:r>
              <w:rPr>
                <w:color w:val="auto"/>
                <w:sz w:val="20"/>
                <w:szCs w:val="20"/>
              </w:rPr>
              <w:t>2</w:t>
            </w:r>
            <w:r w:rsidR="00177847">
              <w:rPr>
                <w:color w:val="auto"/>
                <w:sz w:val="20"/>
                <w:szCs w:val="20"/>
              </w:rPr>
              <w:t>65</w:t>
            </w:r>
            <w:r>
              <w:rPr>
                <w:color w:val="auto"/>
                <w:sz w:val="20"/>
                <w:szCs w:val="20"/>
              </w:rPr>
              <w:t>.</w:t>
            </w:r>
            <w:r w:rsidR="00BD7307">
              <w:rPr>
                <w:color w:val="auto"/>
                <w:sz w:val="20"/>
                <w:szCs w:val="20"/>
              </w:rPr>
              <w:t>7</w:t>
            </w:r>
          </w:p>
        </w:tc>
      </w:tr>
      <w:tr w:rsidR="0049771B" w:rsidRPr="00F13104" w14:paraId="370E22B9" w14:textId="77777777" w:rsidTr="00A06955">
        <w:trPr>
          <w:trHeight w:val="454"/>
          <w:jc w:val="center"/>
        </w:trPr>
        <w:tc>
          <w:tcPr>
            <w:tcW w:w="1699" w:type="pct"/>
            <w:tcBorders>
              <w:left w:val="single" w:sz="4" w:space="0" w:color="auto"/>
            </w:tcBorders>
            <w:shd w:val="clear" w:color="auto" w:fill="auto"/>
            <w:vAlign w:val="bottom"/>
          </w:tcPr>
          <w:p w14:paraId="4A653550" w14:textId="77777777" w:rsidR="0049771B" w:rsidRPr="00F13104" w:rsidRDefault="0049771B" w:rsidP="00C306B3">
            <w:pPr>
              <w:jc w:val="left"/>
              <w:rPr>
                <w:b/>
                <w:color w:val="auto"/>
                <w:sz w:val="20"/>
                <w:szCs w:val="20"/>
              </w:rPr>
            </w:pPr>
            <w:r w:rsidRPr="00F13104">
              <w:rPr>
                <w:b/>
                <w:color w:val="auto"/>
                <w:sz w:val="20"/>
                <w:szCs w:val="20"/>
              </w:rPr>
              <w:t>Total Comprehensive Income and Expenditure</w:t>
            </w:r>
          </w:p>
        </w:tc>
        <w:tc>
          <w:tcPr>
            <w:tcW w:w="422" w:type="pct"/>
            <w:tcBorders>
              <w:top w:val="single" w:sz="4" w:space="0" w:color="auto"/>
              <w:bottom w:val="nil"/>
            </w:tcBorders>
            <w:shd w:val="clear" w:color="auto" w:fill="auto"/>
            <w:vAlign w:val="bottom"/>
          </w:tcPr>
          <w:p w14:paraId="27BB277D" w14:textId="4082EAEC" w:rsidR="0049771B" w:rsidRPr="00F13104" w:rsidRDefault="00321276" w:rsidP="00037A7D">
            <w:pPr>
              <w:tabs>
                <w:tab w:val="decimal" w:pos="537"/>
              </w:tabs>
              <w:rPr>
                <w:b/>
                <w:color w:val="auto"/>
                <w:sz w:val="20"/>
                <w:szCs w:val="20"/>
              </w:rPr>
            </w:pPr>
            <w:r>
              <w:rPr>
                <w:b/>
                <w:color w:val="auto"/>
                <w:sz w:val="20"/>
                <w:szCs w:val="20"/>
              </w:rPr>
              <w:t>(</w:t>
            </w:r>
            <w:r w:rsidR="00037A7D">
              <w:rPr>
                <w:b/>
                <w:color w:val="auto"/>
                <w:sz w:val="20"/>
                <w:szCs w:val="20"/>
              </w:rPr>
              <w:t>48.6</w:t>
            </w:r>
            <w:r>
              <w:rPr>
                <w:b/>
                <w:color w:val="auto"/>
                <w:sz w:val="20"/>
                <w:szCs w:val="20"/>
              </w:rPr>
              <w:t>)</w:t>
            </w:r>
          </w:p>
        </w:tc>
        <w:tc>
          <w:tcPr>
            <w:tcW w:w="451" w:type="pct"/>
            <w:tcBorders>
              <w:top w:val="single" w:sz="4" w:space="0" w:color="auto"/>
              <w:bottom w:val="nil"/>
            </w:tcBorders>
            <w:shd w:val="clear" w:color="auto" w:fill="auto"/>
            <w:vAlign w:val="bottom"/>
          </w:tcPr>
          <w:p w14:paraId="51E6AFB0" w14:textId="77777777" w:rsidR="0049771B" w:rsidRPr="00F13104" w:rsidRDefault="0049771B" w:rsidP="00C306B3">
            <w:pPr>
              <w:tabs>
                <w:tab w:val="decimal" w:pos="591"/>
              </w:tabs>
              <w:rPr>
                <w:b/>
                <w:color w:val="auto"/>
                <w:sz w:val="20"/>
                <w:szCs w:val="20"/>
              </w:rPr>
            </w:pPr>
            <w:r w:rsidRPr="00F13104">
              <w:rPr>
                <w:b/>
                <w:color w:val="auto"/>
                <w:sz w:val="20"/>
                <w:szCs w:val="20"/>
              </w:rPr>
              <w:t>-</w:t>
            </w:r>
          </w:p>
        </w:tc>
        <w:tc>
          <w:tcPr>
            <w:tcW w:w="419" w:type="pct"/>
            <w:tcBorders>
              <w:top w:val="single" w:sz="4" w:space="0" w:color="auto"/>
              <w:bottom w:val="nil"/>
            </w:tcBorders>
            <w:shd w:val="clear" w:color="auto" w:fill="auto"/>
            <w:vAlign w:val="bottom"/>
          </w:tcPr>
          <w:p w14:paraId="7CE75549" w14:textId="77777777" w:rsidR="0049771B" w:rsidRPr="00F13104" w:rsidRDefault="0049771B" w:rsidP="00C306B3">
            <w:pPr>
              <w:tabs>
                <w:tab w:val="decimal" w:pos="545"/>
              </w:tabs>
              <w:rPr>
                <w:b/>
                <w:color w:val="auto"/>
                <w:sz w:val="20"/>
                <w:szCs w:val="20"/>
              </w:rPr>
            </w:pPr>
            <w:r w:rsidRPr="00F13104">
              <w:rPr>
                <w:b/>
                <w:color w:val="auto"/>
                <w:sz w:val="20"/>
                <w:szCs w:val="20"/>
              </w:rPr>
              <w:t>-</w:t>
            </w:r>
          </w:p>
        </w:tc>
        <w:tc>
          <w:tcPr>
            <w:tcW w:w="410" w:type="pct"/>
            <w:tcBorders>
              <w:top w:val="single" w:sz="4" w:space="0" w:color="auto"/>
              <w:bottom w:val="nil"/>
            </w:tcBorders>
            <w:shd w:val="clear" w:color="auto" w:fill="auto"/>
            <w:vAlign w:val="bottom"/>
          </w:tcPr>
          <w:p w14:paraId="51BFC00A" w14:textId="77777777" w:rsidR="0049771B" w:rsidRPr="00F13104" w:rsidRDefault="0049771B" w:rsidP="00C306B3">
            <w:pPr>
              <w:tabs>
                <w:tab w:val="decimal" w:pos="552"/>
              </w:tabs>
              <w:rPr>
                <w:b/>
                <w:color w:val="auto"/>
                <w:sz w:val="20"/>
                <w:szCs w:val="20"/>
              </w:rPr>
            </w:pPr>
            <w:r w:rsidRPr="00F13104">
              <w:rPr>
                <w:b/>
                <w:color w:val="auto"/>
                <w:sz w:val="20"/>
                <w:szCs w:val="20"/>
              </w:rPr>
              <w:t>-</w:t>
            </w:r>
          </w:p>
        </w:tc>
        <w:tc>
          <w:tcPr>
            <w:tcW w:w="419" w:type="pct"/>
            <w:tcBorders>
              <w:top w:val="single" w:sz="4" w:space="0" w:color="auto"/>
              <w:bottom w:val="nil"/>
            </w:tcBorders>
            <w:shd w:val="clear" w:color="auto" w:fill="auto"/>
            <w:vAlign w:val="bottom"/>
          </w:tcPr>
          <w:p w14:paraId="4437167A" w14:textId="3313D562" w:rsidR="0049771B" w:rsidRPr="00F13104" w:rsidRDefault="0013526A" w:rsidP="00BD7307">
            <w:pPr>
              <w:tabs>
                <w:tab w:val="decimal" w:pos="520"/>
              </w:tabs>
              <w:rPr>
                <w:b/>
                <w:color w:val="auto"/>
                <w:sz w:val="20"/>
                <w:szCs w:val="20"/>
              </w:rPr>
            </w:pPr>
            <w:r>
              <w:rPr>
                <w:b/>
                <w:color w:val="auto"/>
                <w:sz w:val="20"/>
                <w:szCs w:val="20"/>
              </w:rPr>
              <w:t>5.</w:t>
            </w:r>
            <w:r w:rsidR="00BD7307">
              <w:rPr>
                <w:b/>
                <w:color w:val="auto"/>
                <w:sz w:val="20"/>
                <w:szCs w:val="20"/>
              </w:rPr>
              <w:t>1</w:t>
            </w:r>
          </w:p>
        </w:tc>
        <w:tc>
          <w:tcPr>
            <w:tcW w:w="392" w:type="pct"/>
            <w:tcBorders>
              <w:top w:val="single" w:sz="4" w:space="0" w:color="auto"/>
              <w:bottom w:val="nil"/>
            </w:tcBorders>
            <w:shd w:val="clear" w:color="auto" w:fill="auto"/>
            <w:vAlign w:val="bottom"/>
          </w:tcPr>
          <w:p w14:paraId="10660DCE" w14:textId="1AEDEA71" w:rsidR="0049771B" w:rsidRPr="00F13104" w:rsidRDefault="0049771B" w:rsidP="00BD7307">
            <w:pPr>
              <w:tabs>
                <w:tab w:val="decimal" w:pos="471"/>
              </w:tabs>
              <w:rPr>
                <w:b/>
                <w:color w:val="auto"/>
                <w:sz w:val="20"/>
                <w:szCs w:val="20"/>
              </w:rPr>
            </w:pPr>
            <w:r>
              <w:rPr>
                <w:b/>
                <w:color w:val="auto"/>
                <w:sz w:val="20"/>
                <w:szCs w:val="20"/>
              </w:rPr>
              <w:t>(</w:t>
            </w:r>
            <w:r w:rsidR="00433FEC">
              <w:rPr>
                <w:b/>
                <w:color w:val="auto"/>
                <w:sz w:val="20"/>
                <w:szCs w:val="20"/>
              </w:rPr>
              <w:t>43.</w:t>
            </w:r>
            <w:r w:rsidR="00BD7307">
              <w:rPr>
                <w:b/>
                <w:color w:val="auto"/>
                <w:sz w:val="20"/>
                <w:szCs w:val="20"/>
              </w:rPr>
              <w:t>5</w:t>
            </w:r>
            <w:r>
              <w:rPr>
                <w:b/>
                <w:color w:val="auto"/>
                <w:sz w:val="20"/>
                <w:szCs w:val="20"/>
              </w:rPr>
              <w:t>)</w:t>
            </w:r>
          </w:p>
        </w:tc>
        <w:tc>
          <w:tcPr>
            <w:tcW w:w="396" w:type="pct"/>
            <w:tcBorders>
              <w:top w:val="single" w:sz="4" w:space="0" w:color="auto"/>
              <w:bottom w:val="nil"/>
            </w:tcBorders>
            <w:shd w:val="clear" w:color="auto" w:fill="auto"/>
            <w:vAlign w:val="bottom"/>
          </w:tcPr>
          <w:p w14:paraId="362C5641" w14:textId="3E5CF60C" w:rsidR="0049771B" w:rsidRPr="00F13104" w:rsidRDefault="00E14BA1" w:rsidP="00E14BA1">
            <w:pPr>
              <w:tabs>
                <w:tab w:val="decimal" w:pos="499"/>
              </w:tabs>
              <w:rPr>
                <w:b/>
                <w:color w:val="auto"/>
                <w:sz w:val="20"/>
                <w:szCs w:val="20"/>
              </w:rPr>
            </w:pPr>
            <w:r>
              <w:rPr>
                <w:b/>
                <w:color w:val="auto"/>
                <w:sz w:val="20"/>
                <w:szCs w:val="20"/>
              </w:rPr>
              <w:t>260</w:t>
            </w:r>
            <w:r w:rsidR="0049771B">
              <w:rPr>
                <w:b/>
                <w:color w:val="auto"/>
                <w:sz w:val="20"/>
                <w:szCs w:val="20"/>
              </w:rPr>
              <w:t>.</w:t>
            </w:r>
            <w:r>
              <w:rPr>
                <w:b/>
                <w:color w:val="auto"/>
                <w:sz w:val="20"/>
                <w:szCs w:val="20"/>
              </w:rPr>
              <w:t>6</w:t>
            </w:r>
          </w:p>
        </w:tc>
        <w:tc>
          <w:tcPr>
            <w:tcW w:w="392" w:type="pct"/>
            <w:tcBorders>
              <w:top w:val="single" w:sz="4" w:space="0" w:color="auto"/>
              <w:bottom w:val="nil"/>
              <w:right w:val="single" w:sz="4" w:space="0" w:color="auto"/>
            </w:tcBorders>
            <w:shd w:val="clear" w:color="auto" w:fill="auto"/>
            <w:vAlign w:val="bottom"/>
          </w:tcPr>
          <w:p w14:paraId="5DF5BADA" w14:textId="3447C2B9" w:rsidR="0049771B" w:rsidRPr="00F13104" w:rsidRDefault="0013526A" w:rsidP="00BD7307">
            <w:pPr>
              <w:tabs>
                <w:tab w:val="decimal" w:pos="516"/>
              </w:tabs>
              <w:rPr>
                <w:b/>
                <w:color w:val="auto"/>
                <w:sz w:val="20"/>
                <w:szCs w:val="20"/>
              </w:rPr>
            </w:pPr>
            <w:r>
              <w:rPr>
                <w:b/>
                <w:color w:val="auto"/>
                <w:sz w:val="20"/>
                <w:szCs w:val="20"/>
              </w:rPr>
              <w:t>217.</w:t>
            </w:r>
            <w:r w:rsidR="00BD7307">
              <w:rPr>
                <w:b/>
                <w:color w:val="auto"/>
                <w:sz w:val="20"/>
                <w:szCs w:val="20"/>
              </w:rPr>
              <w:t>1</w:t>
            </w:r>
          </w:p>
        </w:tc>
      </w:tr>
      <w:tr w:rsidR="0049771B" w:rsidRPr="00F13104" w14:paraId="500FD025" w14:textId="77777777" w:rsidTr="00A06955">
        <w:trPr>
          <w:trHeight w:val="454"/>
          <w:jc w:val="center"/>
        </w:trPr>
        <w:tc>
          <w:tcPr>
            <w:tcW w:w="1699" w:type="pct"/>
            <w:tcBorders>
              <w:left w:val="single" w:sz="4" w:space="0" w:color="auto"/>
            </w:tcBorders>
            <w:shd w:val="clear" w:color="auto" w:fill="auto"/>
            <w:vAlign w:val="bottom"/>
          </w:tcPr>
          <w:p w14:paraId="3456F1C4" w14:textId="77777777" w:rsidR="0049771B" w:rsidRPr="00F13104" w:rsidRDefault="0049771B" w:rsidP="00C306B3">
            <w:pPr>
              <w:jc w:val="left"/>
              <w:rPr>
                <w:color w:val="auto"/>
                <w:sz w:val="20"/>
                <w:szCs w:val="20"/>
              </w:rPr>
            </w:pPr>
            <w:r w:rsidRPr="00F13104">
              <w:rPr>
                <w:color w:val="auto"/>
                <w:sz w:val="20"/>
                <w:szCs w:val="20"/>
              </w:rPr>
              <w:t xml:space="preserve">Adjustments Between Accounting Basis &amp; Funding Basis Under Regulations </w:t>
            </w:r>
            <w:r w:rsidRPr="008574B3">
              <w:rPr>
                <w:color w:val="auto"/>
                <w:sz w:val="20"/>
                <w:szCs w:val="20"/>
              </w:rPr>
              <w:t>(note 6)</w:t>
            </w:r>
          </w:p>
        </w:tc>
        <w:tc>
          <w:tcPr>
            <w:tcW w:w="422" w:type="pct"/>
            <w:tcBorders>
              <w:top w:val="nil"/>
              <w:bottom w:val="single" w:sz="4" w:space="0" w:color="auto"/>
            </w:tcBorders>
            <w:shd w:val="clear" w:color="auto" w:fill="auto"/>
            <w:vAlign w:val="bottom"/>
          </w:tcPr>
          <w:p w14:paraId="0685CEE3" w14:textId="5597E961" w:rsidR="0049771B" w:rsidRPr="00F13104" w:rsidRDefault="0049771B" w:rsidP="00037A7D">
            <w:pPr>
              <w:tabs>
                <w:tab w:val="decimal" w:pos="537"/>
              </w:tabs>
              <w:rPr>
                <w:color w:val="auto"/>
                <w:sz w:val="20"/>
                <w:szCs w:val="20"/>
              </w:rPr>
            </w:pPr>
            <w:r>
              <w:rPr>
                <w:color w:val="auto"/>
                <w:sz w:val="20"/>
                <w:szCs w:val="20"/>
              </w:rPr>
              <w:t>(</w:t>
            </w:r>
            <w:r w:rsidR="00037A7D">
              <w:rPr>
                <w:color w:val="auto"/>
                <w:sz w:val="20"/>
                <w:szCs w:val="20"/>
              </w:rPr>
              <w:t>30.2</w:t>
            </w:r>
            <w:r w:rsidR="009D65B8">
              <w:rPr>
                <w:color w:val="auto"/>
                <w:sz w:val="20"/>
                <w:szCs w:val="20"/>
              </w:rPr>
              <w:t>)</w:t>
            </w:r>
          </w:p>
        </w:tc>
        <w:tc>
          <w:tcPr>
            <w:tcW w:w="451" w:type="pct"/>
            <w:tcBorders>
              <w:top w:val="nil"/>
              <w:bottom w:val="single" w:sz="4" w:space="0" w:color="auto"/>
            </w:tcBorders>
            <w:shd w:val="clear" w:color="auto" w:fill="auto"/>
            <w:vAlign w:val="bottom"/>
          </w:tcPr>
          <w:p w14:paraId="565E9668" w14:textId="77777777" w:rsidR="0049771B" w:rsidRPr="00F13104" w:rsidRDefault="0049771B" w:rsidP="00C306B3">
            <w:pPr>
              <w:tabs>
                <w:tab w:val="decimal" w:pos="591"/>
              </w:tabs>
              <w:rPr>
                <w:color w:val="auto"/>
                <w:sz w:val="20"/>
                <w:szCs w:val="20"/>
              </w:rPr>
            </w:pPr>
            <w:r w:rsidRPr="00F13104">
              <w:rPr>
                <w:color w:val="auto"/>
                <w:sz w:val="20"/>
                <w:szCs w:val="20"/>
              </w:rPr>
              <w:t>-</w:t>
            </w:r>
          </w:p>
        </w:tc>
        <w:tc>
          <w:tcPr>
            <w:tcW w:w="419" w:type="pct"/>
            <w:tcBorders>
              <w:top w:val="nil"/>
              <w:bottom w:val="single" w:sz="4" w:space="0" w:color="auto"/>
            </w:tcBorders>
            <w:shd w:val="clear" w:color="auto" w:fill="auto"/>
            <w:vAlign w:val="bottom"/>
          </w:tcPr>
          <w:p w14:paraId="3DC0A9BE" w14:textId="77777777" w:rsidR="0049771B" w:rsidRPr="00F13104" w:rsidRDefault="0049771B" w:rsidP="00C306B3">
            <w:pPr>
              <w:tabs>
                <w:tab w:val="decimal" w:pos="545"/>
              </w:tabs>
              <w:rPr>
                <w:color w:val="auto"/>
                <w:sz w:val="20"/>
                <w:szCs w:val="20"/>
              </w:rPr>
            </w:pPr>
            <w:r w:rsidRPr="00F13104">
              <w:rPr>
                <w:color w:val="auto"/>
                <w:sz w:val="20"/>
                <w:szCs w:val="20"/>
              </w:rPr>
              <w:t>-</w:t>
            </w:r>
          </w:p>
        </w:tc>
        <w:tc>
          <w:tcPr>
            <w:tcW w:w="410" w:type="pct"/>
            <w:tcBorders>
              <w:top w:val="nil"/>
              <w:bottom w:val="single" w:sz="4" w:space="0" w:color="auto"/>
            </w:tcBorders>
            <w:shd w:val="clear" w:color="auto" w:fill="auto"/>
            <w:vAlign w:val="bottom"/>
          </w:tcPr>
          <w:p w14:paraId="233CB039" w14:textId="56387A29" w:rsidR="0049771B" w:rsidRPr="00F13104" w:rsidRDefault="0049771B" w:rsidP="00E92A6B">
            <w:pPr>
              <w:tabs>
                <w:tab w:val="decimal" w:pos="552"/>
              </w:tabs>
              <w:rPr>
                <w:color w:val="auto"/>
                <w:sz w:val="20"/>
                <w:szCs w:val="20"/>
              </w:rPr>
            </w:pPr>
            <w:r>
              <w:rPr>
                <w:color w:val="auto"/>
                <w:sz w:val="20"/>
                <w:szCs w:val="20"/>
              </w:rPr>
              <w:t>(</w:t>
            </w:r>
            <w:r w:rsidR="0074334C">
              <w:rPr>
                <w:color w:val="auto"/>
                <w:sz w:val="20"/>
                <w:szCs w:val="20"/>
              </w:rPr>
              <w:t>1.7</w:t>
            </w:r>
            <w:r w:rsidRPr="00F13104">
              <w:rPr>
                <w:color w:val="auto"/>
                <w:sz w:val="20"/>
                <w:szCs w:val="20"/>
              </w:rPr>
              <w:t>)</w:t>
            </w:r>
          </w:p>
        </w:tc>
        <w:tc>
          <w:tcPr>
            <w:tcW w:w="419" w:type="pct"/>
            <w:tcBorders>
              <w:top w:val="nil"/>
              <w:bottom w:val="single" w:sz="4" w:space="0" w:color="auto"/>
            </w:tcBorders>
            <w:shd w:val="clear" w:color="auto" w:fill="auto"/>
            <w:vAlign w:val="bottom"/>
          </w:tcPr>
          <w:p w14:paraId="6A413825" w14:textId="40060C99" w:rsidR="0049771B" w:rsidRPr="00F13104" w:rsidRDefault="0049771B" w:rsidP="00BD7307">
            <w:pPr>
              <w:tabs>
                <w:tab w:val="decimal" w:pos="520"/>
              </w:tabs>
              <w:rPr>
                <w:color w:val="auto"/>
                <w:sz w:val="20"/>
                <w:szCs w:val="20"/>
              </w:rPr>
            </w:pPr>
            <w:r>
              <w:rPr>
                <w:color w:val="auto"/>
                <w:sz w:val="20"/>
                <w:szCs w:val="20"/>
              </w:rPr>
              <w:t>(1.</w:t>
            </w:r>
            <w:r w:rsidR="00BD7307">
              <w:rPr>
                <w:color w:val="auto"/>
                <w:sz w:val="20"/>
                <w:szCs w:val="20"/>
              </w:rPr>
              <w:t>4</w:t>
            </w:r>
            <w:r>
              <w:rPr>
                <w:color w:val="auto"/>
                <w:sz w:val="20"/>
                <w:szCs w:val="20"/>
              </w:rPr>
              <w:t>)</w:t>
            </w:r>
          </w:p>
        </w:tc>
        <w:tc>
          <w:tcPr>
            <w:tcW w:w="392" w:type="pct"/>
            <w:tcBorders>
              <w:top w:val="nil"/>
              <w:bottom w:val="single" w:sz="4" w:space="0" w:color="auto"/>
            </w:tcBorders>
            <w:shd w:val="clear" w:color="auto" w:fill="auto"/>
            <w:vAlign w:val="bottom"/>
          </w:tcPr>
          <w:p w14:paraId="6313E18B" w14:textId="431E17CF" w:rsidR="0049771B" w:rsidRPr="00F13104" w:rsidRDefault="0049771B" w:rsidP="00BD7307">
            <w:pPr>
              <w:tabs>
                <w:tab w:val="decimal" w:pos="471"/>
              </w:tabs>
              <w:rPr>
                <w:color w:val="auto"/>
                <w:sz w:val="20"/>
                <w:szCs w:val="20"/>
              </w:rPr>
            </w:pPr>
            <w:r>
              <w:rPr>
                <w:color w:val="auto"/>
                <w:sz w:val="20"/>
                <w:szCs w:val="20"/>
              </w:rPr>
              <w:t>(</w:t>
            </w:r>
            <w:r w:rsidR="00037A7D">
              <w:rPr>
                <w:color w:val="auto"/>
                <w:sz w:val="20"/>
                <w:szCs w:val="20"/>
              </w:rPr>
              <w:t>33</w:t>
            </w:r>
            <w:r w:rsidR="0013526A">
              <w:rPr>
                <w:color w:val="auto"/>
                <w:sz w:val="20"/>
                <w:szCs w:val="20"/>
              </w:rPr>
              <w:t>.</w:t>
            </w:r>
            <w:r w:rsidR="00BD7307">
              <w:rPr>
                <w:color w:val="auto"/>
                <w:sz w:val="20"/>
                <w:szCs w:val="20"/>
              </w:rPr>
              <w:t>3</w:t>
            </w:r>
            <w:r>
              <w:rPr>
                <w:color w:val="auto"/>
                <w:sz w:val="20"/>
                <w:szCs w:val="20"/>
              </w:rPr>
              <w:t>)</w:t>
            </w:r>
          </w:p>
        </w:tc>
        <w:tc>
          <w:tcPr>
            <w:tcW w:w="396" w:type="pct"/>
            <w:tcBorders>
              <w:top w:val="nil"/>
              <w:bottom w:val="single" w:sz="4" w:space="0" w:color="auto"/>
            </w:tcBorders>
            <w:shd w:val="clear" w:color="auto" w:fill="auto"/>
            <w:vAlign w:val="bottom"/>
          </w:tcPr>
          <w:p w14:paraId="0CC0863D" w14:textId="74842BF3" w:rsidR="0049771B" w:rsidRPr="00F13104" w:rsidRDefault="00037A7D" w:rsidP="00BD7307">
            <w:pPr>
              <w:tabs>
                <w:tab w:val="decimal" w:pos="499"/>
              </w:tabs>
              <w:rPr>
                <w:color w:val="auto"/>
                <w:sz w:val="20"/>
                <w:szCs w:val="20"/>
              </w:rPr>
            </w:pPr>
            <w:r>
              <w:rPr>
                <w:color w:val="auto"/>
                <w:sz w:val="20"/>
                <w:szCs w:val="20"/>
              </w:rPr>
              <w:t>33</w:t>
            </w:r>
            <w:r w:rsidR="0013526A">
              <w:rPr>
                <w:color w:val="auto"/>
                <w:sz w:val="20"/>
                <w:szCs w:val="20"/>
              </w:rPr>
              <w:t>.</w:t>
            </w:r>
            <w:r w:rsidR="00BD7307">
              <w:rPr>
                <w:color w:val="auto"/>
                <w:sz w:val="20"/>
                <w:szCs w:val="20"/>
              </w:rPr>
              <w:t>3</w:t>
            </w:r>
          </w:p>
        </w:tc>
        <w:tc>
          <w:tcPr>
            <w:tcW w:w="392" w:type="pct"/>
            <w:tcBorders>
              <w:top w:val="nil"/>
              <w:bottom w:val="single" w:sz="4" w:space="0" w:color="auto"/>
              <w:right w:val="single" w:sz="4" w:space="0" w:color="auto"/>
            </w:tcBorders>
            <w:shd w:val="clear" w:color="auto" w:fill="auto"/>
            <w:vAlign w:val="bottom"/>
          </w:tcPr>
          <w:p w14:paraId="50EA857C" w14:textId="77777777" w:rsidR="0049771B" w:rsidRPr="00F13104" w:rsidRDefault="0049771B" w:rsidP="00C306B3">
            <w:pPr>
              <w:tabs>
                <w:tab w:val="decimal" w:pos="516"/>
              </w:tabs>
              <w:rPr>
                <w:color w:val="auto"/>
                <w:sz w:val="20"/>
                <w:szCs w:val="20"/>
              </w:rPr>
            </w:pPr>
            <w:r w:rsidRPr="00F13104">
              <w:rPr>
                <w:color w:val="auto"/>
                <w:sz w:val="20"/>
                <w:szCs w:val="20"/>
              </w:rPr>
              <w:t>-</w:t>
            </w:r>
          </w:p>
        </w:tc>
      </w:tr>
      <w:tr w:rsidR="0049771B" w:rsidRPr="00F13104" w14:paraId="63EBF49D" w14:textId="77777777" w:rsidTr="00A06955">
        <w:trPr>
          <w:trHeight w:val="454"/>
          <w:jc w:val="center"/>
        </w:trPr>
        <w:tc>
          <w:tcPr>
            <w:tcW w:w="1699" w:type="pct"/>
            <w:tcBorders>
              <w:left w:val="single" w:sz="4" w:space="0" w:color="auto"/>
            </w:tcBorders>
            <w:shd w:val="clear" w:color="auto" w:fill="auto"/>
            <w:vAlign w:val="bottom"/>
          </w:tcPr>
          <w:p w14:paraId="09B0FD14" w14:textId="77777777" w:rsidR="0049771B" w:rsidRPr="00F13104" w:rsidRDefault="0049771B" w:rsidP="00C306B3">
            <w:pPr>
              <w:jc w:val="left"/>
              <w:rPr>
                <w:b/>
                <w:color w:val="auto"/>
                <w:sz w:val="20"/>
                <w:szCs w:val="20"/>
              </w:rPr>
            </w:pPr>
            <w:r w:rsidRPr="00F13104">
              <w:rPr>
                <w:b/>
                <w:color w:val="auto"/>
                <w:sz w:val="20"/>
                <w:szCs w:val="20"/>
              </w:rPr>
              <w:lastRenderedPageBreak/>
              <w:t>Net (Increase)/Decrease before Transfers to Earmarked Reserves</w:t>
            </w:r>
          </w:p>
        </w:tc>
        <w:tc>
          <w:tcPr>
            <w:tcW w:w="422" w:type="pct"/>
            <w:tcBorders>
              <w:top w:val="single" w:sz="4" w:space="0" w:color="auto"/>
              <w:bottom w:val="nil"/>
            </w:tcBorders>
            <w:shd w:val="clear" w:color="auto" w:fill="auto"/>
            <w:vAlign w:val="bottom"/>
          </w:tcPr>
          <w:p w14:paraId="65E98F60" w14:textId="4359E030" w:rsidR="0049771B" w:rsidRPr="00F13104" w:rsidRDefault="0049771B">
            <w:pPr>
              <w:tabs>
                <w:tab w:val="decimal" w:pos="537"/>
              </w:tabs>
              <w:rPr>
                <w:b/>
                <w:color w:val="auto"/>
                <w:sz w:val="20"/>
                <w:szCs w:val="20"/>
              </w:rPr>
            </w:pPr>
            <w:r>
              <w:rPr>
                <w:b/>
                <w:color w:val="auto"/>
                <w:sz w:val="20"/>
                <w:szCs w:val="20"/>
              </w:rPr>
              <w:t>(78.</w:t>
            </w:r>
            <w:r w:rsidR="0074334C">
              <w:rPr>
                <w:b/>
                <w:color w:val="auto"/>
                <w:sz w:val="20"/>
                <w:szCs w:val="20"/>
              </w:rPr>
              <w:t>8</w:t>
            </w:r>
            <w:r w:rsidRPr="00F13104">
              <w:rPr>
                <w:b/>
                <w:color w:val="auto"/>
                <w:sz w:val="20"/>
                <w:szCs w:val="20"/>
              </w:rPr>
              <w:t>)</w:t>
            </w:r>
          </w:p>
        </w:tc>
        <w:tc>
          <w:tcPr>
            <w:tcW w:w="451" w:type="pct"/>
            <w:tcBorders>
              <w:top w:val="single" w:sz="4" w:space="0" w:color="auto"/>
              <w:bottom w:val="nil"/>
            </w:tcBorders>
            <w:shd w:val="clear" w:color="auto" w:fill="auto"/>
            <w:vAlign w:val="bottom"/>
          </w:tcPr>
          <w:p w14:paraId="4C2E4F09" w14:textId="77777777" w:rsidR="0049771B" w:rsidRPr="00F13104" w:rsidRDefault="0049771B" w:rsidP="00C306B3">
            <w:pPr>
              <w:tabs>
                <w:tab w:val="decimal" w:pos="591"/>
              </w:tabs>
              <w:rPr>
                <w:b/>
                <w:color w:val="auto"/>
                <w:sz w:val="20"/>
                <w:szCs w:val="20"/>
              </w:rPr>
            </w:pPr>
            <w:r w:rsidRPr="00F13104">
              <w:rPr>
                <w:b/>
                <w:color w:val="auto"/>
                <w:sz w:val="20"/>
                <w:szCs w:val="20"/>
              </w:rPr>
              <w:t>-</w:t>
            </w:r>
          </w:p>
        </w:tc>
        <w:tc>
          <w:tcPr>
            <w:tcW w:w="419" w:type="pct"/>
            <w:tcBorders>
              <w:top w:val="single" w:sz="4" w:space="0" w:color="auto"/>
              <w:bottom w:val="nil"/>
            </w:tcBorders>
            <w:shd w:val="clear" w:color="auto" w:fill="auto"/>
            <w:vAlign w:val="bottom"/>
          </w:tcPr>
          <w:p w14:paraId="7AD404DA" w14:textId="77777777" w:rsidR="0049771B" w:rsidRPr="00F13104" w:rsidRDefault="0049771B" w:rsidP="00C306B3">
            <w:pPr>
              <w:tabs>
                <w:tab w:val="decimal" w:pos="545"/>
              </w:tabs>
              <w:rPr>
                <w:b/>
                <w:color w:val="auto"/>
                <w:sz w:val="20"/>
                <w:szCs w:val="20"/>
              </w:rPr>
            </w:pPr>
            <w:r w:rsidRPr="00F13104">
              <w:rPr>
                <w:b/>
                <w:color w:val="auto"/>
                <w:sz w:val="20"/>
                <w:szCs w:val="20"/>
              </w:rPr>
              <w:t>-</w:t>
            </w:r>
          </w:p>
        </w:tc>
        <w:tc>
          <w:tcPr>
            <w:tcW w:w="410" w:type="pct"/>
            <w:tcBorders>
              <w:top w:val="single" w:sz="4" w:space="0" w:color="auto"/>
              <w:bottom w:val="nil"/>
            </w:tcBorders>
            <w:shd w:val="clear" w:color="auto" w:fill="auto"/>
            <w:vAlign w:val="bottom"/>
          </w:tcPr>
          <w:p w14:paraId="32CB16EF" w14:textId="787238EC" w:rsidR="0049771B" w:rsidRPr="00F13104" w:rsidRDefault="00E92A6B" w:rsidP="0074334C">
            <w:pPr>
              <w:tabs>
                <w:tab w:val="decimal" w:pos="552"/>
              </w:tabs>
              <w:rPr>
                <w:b/>
                <w:color w:val="auto"/>
                <w:sz w:val="20"/>
                <w:szCs w:val="20"/>
              </w:rPr>
            </w:pPr>
            <w:r>
              <w:rPr>
                <w:b/>
                <w:color w:val="auto"/>
                <w:sz w:val="20"/>
                <w:szCs w:val="20"/>
              </w:rPr>
              <w:t>(1.</w:t>
            </w:r>
            <w:r w:rsidR="0074334C">
              <w:rPr>
                <w:b/>
                <w:color w:val="auto"/>
                <w:sz w:val="20"/>
                <w:szCs w:val="20"/>
              </w:rPr>
              <w:t>7</w:t>
            </w:r>
            <w:r w:rsidR="0049771B" w:rsidRPr="00F13104">
              <w:rPr>
                <w:b/>
                <w:color w:val="auto"/>
                <w:sz w:val="20"/>
                <w:szCs w:val="20"/>
              </w:rPr>
              <w:t>)</w:t>
            </w:r>
          </w:p>
        </w:tc>
        <w:tc>
          <w:tcPr>
            <w:tcW w:w="419" w:type="pct"/>
            <w:tcBorders>
              <w:top w:val="single" w:sz="4" w:space="0" w:color="auto"/>
              <w:bottom w:val="nil"/>
            </w:tcBorders>
            <w:shd w:val="clear" w:color="auto" w:fill="auto"/>
            <w:vAlign w:val="bottom"/>
          </w:tcPr>
          <w:p w14:paraId="343B8C7E" w14:textId="1B2E8417" w:rsidR="0049771B" w:rsidRPr="00F13104" w:rsidRDefault="00E14BA1" w:rsidP="006E7490">
            <w:pPr>
              <w:tabs>
                <w:tab w:val="decimal" w:pos="520"/>
              </w:tabs>
              <w:rPr>
                <w:b/>
                <w:color w:val="auto"/>
                <w:sz w:val="20"/>
                <w:szCs w:val="20"/>
              </w:rPr>
            </w:pPr>
            <w:r>
              <w:rPr>
                <w:b/>
                <w:color w:val="auto"/>
                <w:sz w:val="20"/>
                <w:szCs w:val="20"/>
              </w:rPr>
              <w:t>3.7</w:t>
            </w:r>
          </w:p>
        </w:tc>
        <w:tc>
          <w:tcPr>
            <w:tcW w:w="392" w:type="pct"/>
            <w:tcBorders>
              <w:top w:val="single" w:sz="4" w:space="0" w:color="auto"/>
              <w:bottom w:val="nil"/>
            </w:tcBorders>
            <w:shd w:val="clear" w:color="auto" w:fill="auto"/>
            <w:vAlign w:val="bottom"/>
          </w:tcPr>
          <w:p w14:paraId="6B89840E" w14:textId="5E275648" w:rsidR="0049771B" w:rsidRPr="00F13104" w:rsidRDefault="0049771B" w:rsidP="00E14BA1">
            <w:pPr>
              <w:tabs>
                <w:tab w:val="decimal" w:pos="471"/>
              </w:tabs>
              <w:rPr>
                <w:b/>
                <w:color w:val="auto"/>
                <w:sz w:val="20"/>
                <w:szCs w:val="20"/>
              </w:rPr>
            </w:pPr>
            <w:r>
              <w:rPr>
                <w:b/>
                <w:color w:val="auto"/>
                <w:sz w:val="20"/>
                <w:szCs w:val="20"/>
              </w:rPr>
              <w:t>(</w:t>
            </w:r>
            <w:r w:rsidR="00BB3793">
              <w:rPr>
                <w:b/>
                <w:color w:val="auto"/>
                <w:sz w:val="20"/>
                <w:szCs w:val="20"/>
              </w:rPr>
              <w:t>76.8</w:t>
            </w:r>
            <w:r>
              <w:rPr>
                <w:b/>
                <w:color w:val="auto"/>
                <w:sz w:val="20"/>
                <w:szCs w:val="20"/>
              </w:rPr>
              <w:t>)</w:t>
            </w:r>
          </w:p>
        </w:tc>
        <w:tc>
          <w:tcPr>
            <w:tcW w:w="396" w:type="pct"/>
            <w:tcBorders>
              <w:top w:val="single" w:sz="4" w:space="0" w:color="auto"/>
              <w:bottom w:val="nil"/>
            </w:tcBorders>
            <w:shd w:val="clear" w:color="auto" w:fill="auto"/>
            <w:vAlign w:val="bottom"/>
          </w:tcPr>
          <w:p w14:paraId="159BF577" w14:textId="0D96FB9F" w:rsidR="0049771B" w:rsidRPr="00F13104" w:rsidRDefault="00037A7D" w:rsidP="00BD7307">
            <w:pPr>
              <w:tabs>
                <w:tab w:val="decimal" w:pos="499"/>
              </w:tabs>
              <w:rPr>
                <w:b/>
                <w:color w:val="auto"/>
                <w:sz w:val="20"/>
                <w:szCs w:val="20"/>
              </w:rPr>
            </w:pPr>
            <w:r>
              <w:rPr>
                <w:b/>
                <w:color w:val="auto"/>
                <w:sz w:val="20"/>
                <w:szCs w:val="20"/>
              </w:rPr>
              <w:t>293.</w:t>
            </w:r>
            <w:r w:rsidR="00BD7307">
              <w:rPr>
                <w:b/>
                <w:color w:val="auto"/>
                <w:sz w:val="20"/>
                <w:szCs w:val="20"/>
              </w:rPr>
              <w:t>9</w:t>
            </w:r>
          </w:p>
        </w:tc>
        <w:tc>
          <w:tcPr>
            <w:tcW w:w="392" w:type="pct"/>
            <w:tcBorders>
              <w:top w:val="single" w:sz="4" w:space="0" w:color="auto"/>
              <w:bottom w:val="nil"/>
              <w:right w:val="single" w:sz="4" w:space="0" w:color="auto"/>
            </w:tcBorders>
            <w:shd w:val="clear" w:color="auto" w:fill="auto"/>
            <w:vAlign w:val="bottom"/>
          </w:tcPr>
          <w:p w14:paraId="1B248AC2" w14:textId="743FBD6D" w:rsidR="0049771B" w:rsidRPr="00F13104" w:rsidRDefault="00037A7D" w:rsidP="00BD7307">
            <w:pPr>
              <w:tabs>
                <w:tab w:val="decimal" w:pos="516"/>
              </w:tabs>
              <w:rPr>
                <w:b/>
                <w:color w:val="auto"/>
                <w:sz w:val="20"/>
                <w:szCs w:val="20"/>
              </w:rPr>
            </w:pPr>
            <w:r>
              <w:rPr>
                <w:b/>
                <w:color w:val="auto"/>
                <w:sz w:val="20"/>
                <w:szCs w:val="20"/>
              </w:rPr>
              <w:t>217.</w:t>
            </w:r>
            <w:r w:rsidR="00BD7307">
              <w:rPr>
                <w:b/>
                <w:color w:val="auto"/>
                <w:sz w:val="20"/>
                <w:szCs w:val="20"/>
              </w:rPr>
              <w:t>1</w:t>
            </w:r>
          </w:p>
        </w:tc>
      </w:tr>
      <w:tr w:rsidR="0049771B" w:rsidRPr="00F13104" w14:paraId="34AB2C04" w14:textId="77777777" w:rsidTr="00A06955">
        <w:trPr>
          <w:trHeight w:val="454"/>
          <w:jc w:val="center"/>
        </w:trPr>
        <w:tc>
          <w:tcPr>
            <w:tcW w:w="1699" w:type="pct"/>
            <w:tcBorders>
              <w:left w:val="single" w:sz="4" w:space="0" w:color="auto"/>
            </w:tcBorders>
            <w:shd w:val="clear" w:color="auto" w:fill="auto"/>
            <w:vAlign w:val="bottom"/>
          </w:tcPr>
          <w:p w14:paraId="6E141774" w14:textId="2A73A542" w:rsidR="0049771B" w:rsidRPr="00F13104" w:rsidRDefault="0049771B" w:rsidP="00C306B3">
            <w:pPr>
              <w:jc w:val="left"/>
              <w:rPr>
                <w:color w:val="auto"/>
                <w:sz w:val="20"/>
                <w:szCs w:val="20"/>
              </w:rPr>
            </w:pPr>
            <w:r w:rsidRPr="00F13104">
              <w:rPr>
                <w:color w:val="auto"/>
                <w:sz w:val="20"/>
                <w:szCs w:val="20"/>
              </w:rPr>
              <w:t>Transfers</w:t>
            </w:r>
            <w:r>
              <w:rPr>
                <w:color w:val="auto"/>
                <w:sz w:val="20"/>
                <w:szCs w:val="20"/>
              </w:rPr>
              <w:t xml:space="preserve"> </w:t>
            </w:r>
            <w:r w:rsidRPr="00F13104">
              <w:rPr>
                <w:color w:val="auto"/>
                <w:sz w:val="20"/>
                <w:szCs w:val="20"/>
              </w:rPr>
              <w:t xml:space="preserve">(to)/from Earmarked </w:t>
            </w:r>
            <w:r w:rsidRPr="008574B3">
              <w:rPr>
                <w:color w:val="auto"/>
                <w:sz w:val="20"/>
                <w:szCs w:val="20"/>
              </w:rPr>
              <w:t>Reserves (note 7)</w:t>
            </w:r>
          </w:p>
        </w:tc>
        <w:tc>
          <w:tcPr>
            <w:tcW w:w="422" w:type="pct"/>
            <w:tcBorders>
              <w:top w:val="nil"/>
              <w:bottom w:val="single" w:sz="4" w:space="0" w:color="auto"/>
            </w:tcBorders>
            <w:shd w:val="clear" w:color="auto" w:fill="auto"/>
            <w:vAlign w:val="bottom"/>
          </w:tcPr>
          <w:p w14:paraId="13D4B6FA" w14:textId="3DD6E220" w:rsidR="0049771B" w:rsidRPr="00F13104" w:rsidRDefault="0074334C" w:rsidP="00C306B3">
            <w:pPr>
              <w:tabs>
                <w:tab w:val="decimal" w:pos="537"/>
              </w:tabs>
              <w:rPr>
                <w:color w:val="auto"/>
                <w:sz w:val="20"/>
                <w:szCs w:val="20"/>
              </w:rPr>
            </w:pPr>
            <w:r>
              <w:rPr>
                <w:color w:val="auto"/>
                <w:sz w:val="20"/>
                <w:szCs w:val="20"/>
              </w:rPr>
              <w:t>78.8</w:t>
            </w:r>
          </w:p>
        </w:tc>
        <w:tc>
          <w:tcPr>
            <w:tcW w:w="451" w:type="pct"/>
            <w:tcBorders>
              <w:top w:val="nil"/>
              <w:bottom w:val="single" w:sz="4" w:space="0" w:color="auto"/>
            </w:tcBorders>
            <w:shd w:val="clear" w:color="auto" w:fill="auto"/>
            <w:vAlign w:val="bottom"/>
          </w:tcPr>
          <w:p w14:paraId="627C55C8" w14:textId="5F8E6A4A" w:rsidR="0049771B" w:rsidRPr="00F13104" w:rsidRDefault="0074334C" w:rsidP="00C306B3">
            <w:pPr>
              <w:tabs>
                <w:tab w:val="decimal" w:pos="591"/>
              </w:tabs>
              <w:rPr>
                <w:color w:val="auto"/>
                <w:sz w:val="20"/>
                <w:szCs w:val="20"/>
              </w:rPr>
            </w:pPr>
            <w:r>
              <w:rPr>
                <w:color w:val="auto"/>
                <w:sz w:val="20"/>
                <w:szCs w:val="20"/>
              </w:rPr>
              <w:t>(79.5</w:t>
            </w:r>
            <w:r w:rsidR="0049771B" w:rsidRPr="00F13104">
              <w:rPr>
                <w:color w:val="auto"/>
                <w:sz w:val="20"/>
                <w:szCs w:val="20"/>
              </w:rPr>
              <w:t>)</w:t>
            </w:r>
          </w:p>
        </w:tc>
        <w:tc>
          <w:tcPr>
            <w:tcW w:w="419" w:type="pct"/>
            <w:tcBorders>
              <w:top w:val="nil"/>
              <w:bottom w:val="single" w:sz="4" w:space="0" w:color="auto"/>
            </w:tcBorders>
            <w:shd w:val="clear" w:color="auto" w:fill="auto"/>
            <w:vAlign w:val="bottom"/>
          </w:tcPr>
          <w:p w14:paraId="60FFE0DD" w14:textId="00D5E86B" w:rsidR="0049771B" w:rsidRPr="00F13104" w:rsidRDefault="0049771B" w:rsidP="00C306B3">
            <w:pPr>
              <w:tabs>
                <w:tab w:val="decimal" w:pos="545"/>
              </w:tabs>
              <w:rPr>
                <w:color w:val="auto"/>
                <w:sz w:val="20"/>
                <w:szCs w:val="20"/>
              </w:rPr>
            </w:pPr>
            <w:r>
              <w:rPr>
                <w:color w:val="auto"/>
                <w:sz w:val="20"/>
                <w:szCs w:val="20"/>
              </w:rPr>
              <w:t>0.7</w:t>
            </w:r>
          </w:p>
        </w:tc>
        <w:tc>
          <w:tcPr>
            <w:tcW w:w="410" w:type="pct"/>
            <w:tcBorders>
              <w:top w:val="nil"/>
              <w:bottom w:val="single" w:sz="4" w:space="0" w:color="auto"/>
            </w:tcBorders>
            <w:shd w:val="clear" w:color="auto" w:fill="auto"/>
            <w:vAlign w:val="bottom"/>
          </w:tcPr>
          <w:p w14:paraId="53626995" w14:textId="52A1288D" w:rsidR="0049771B" w:rsidRPr="00F13104" w:rsidRDefault="00E92A6B">
            <w:pPr>
              <w:tabs>
                <w:tab w:val="decimal" w:pos="552"/>
              </w:tabs>
              <w:rPr>
                <w:color w:val="auto"/>
                <w:sz w:val="20"/>
                <w:szCs w:val="20"/>
              </w:rPr>
            </w:pPr>
            <w:r>
              <w:rPr>
                <w:color w:val="auto"/>
                <w:sz w:val="20"/>
                <w:szCs w:val="20"/>
              </w:rPr>
              <w:t>-</w:t>
            </w:r>
          </w:p>
        </w:tc>
        <w:tc>
          <w:tcPr>
            <w:tcW w:w="419" w:type="pct"/>
            <w:tcBorders>
              <w:top w:val="nil"/>
              <w:bottom w:val="single" w:sz="4" w:space="0" w:color="auto"/>
            </w:tcBorders>
            <w:shd w:val="clear" w:color="auto" w:fill="auto"/>
            <w:vAlign w:val="bottom"/>
          </w:tcPr>
          <w:p w14:paraId="0179572B" w14:textId="77777777" w:rsidR="0049771B" w:rsidRPr="00F13104" w:rsidRDefault="0049771B" w:rsidP="00C306B3">
            <w:pPr>
              <w:tabs>
                <w:tab w:val="decimal" w:pos="520"/>
              </w:tabs>
              <w:rPr>
                <w:color w:val="auto"/>
                <w:sz w:val="20"/>
                <w:szCs w:val="20"/>
              </w:rPr>
            </w:pPr>
            <w:r w:rsidRPr="00F13104">
              <w:rPr>
                <w:color w:val="auto"/>
                <w:sz w:val="20"/>
                <w:szCs w:val="20"/>
              </w:rPr>
              <w:t>-</w:t>
            </w:r>
          </w:p>
        </w:tc>
        <w:tc>
          <w:tcPr>
            <w:tcW w:w="392" w:type="pct"/>
            <w:tcBorders>
              <w:top w:val="nil"/>
              <w:bottom w:val="single" w:sz="4" w:space="0" w:color="auto"/>
            </w:tcBorders>
            <w:shd w:val="clear" w:color="auto" w:fill="auto"/>
            <w:vAlign w:val="bottom"/>
          </w:tcPr>
          <w:p w14:paraId="2711BE86" w14:textId="7659965E" w:rsidR="0049771B" w:rsidRPr="00F13104" w:rsidRDefault="00C37317" w:rsidP="00C306B3">
            <w:pPr>
              <w:tabs>
                <w:tab w:val="decimal" w:pos="471"/>
              </w:tabs>
              <w:rPr>
                <w:color w:val="auto"/>
                <w:sz w:val="20"/>
                <w:szCs w:val="20"/>
              </w:rPr>
            </w:pPr>
            <w:r>
              <w:rPr>
                <w:color w:val="auto"/>
                <w:sz w:val="20"/>
                <w:szCs w:val="20"/>
              </w:rPr>
              <w:t>-</w:t>
            </w:r>
          </w:p>
        </w:tc>
        <w:tc>
          <w:tcPr>
            <w:tcW w:w="396" w:type="pct"/>
            <w:tcBorders>
              <w:top w:val="nil"/>
              <w:bottom w:val="single" w:sz="4" w:space="0" w:color="auto"/>
            </w:tcBorders>
            <w:shd w:val="clear" w:color="auto" w:fill="auto"/>
            <w:vAlign w:val="bottom"/>
          </w:tcPr>
          <w:p w14:paraId="6EC6F378" w14:textId="07F6844F" w:rsidR="0049771B" w:rsidRPr="00F13104" w:rsidRDefault="00E92A6B" w:rsidP="00C306B3">
            <w:pPr>
              <w:tabs>
                <w:tab w:val="decimal" w:pos="499"/>
              </w:tabs>
              <w:rPr>
                <w:color w:val="auto"/>
                <w:sz w:val="20"/>
                <w:szCs w:val="20"/>
              </w:rPr>
            </w:pPr>
            <w:r>
              <w:rPr>
                <w:color w:val="auto"/>
                <w:sz w:val="20"/>
                <w:szCs w:val="20"/>
              </w:rPr>
              <w:t>-</w:t>
            </w:r>
          </w:p>
        </w:tc>
        <w:tc>
          <w:tcPr>
            <w:tcW w:w="392" w:type="pct"/>
            <w:tcBorders>
              <w:top w:val="nil"/>
              <w:bottom w:val="single" w:sz="4" w:space="0" w:color="auto"/>
              <w:right w:val="single" w:sz="4" w:space="0" w:color="auto"/>
            </w:tcBorders>
            <w:shd w:val="clear" w:color="auto" w:fill="auto"/>
            <w:vAlign w:val="bottom"/>
          </w:tcPr>
          <w:p w14:paraId="6177314C" w14:textId="77777777" w:rsidR="0049771B" w:rsidRPr="00F13104" w:rsidRDefault="0049771B" w:rsidP="00C306B3">
            <w:pPr>
              <w:tabs>
                <w:tab w:val="decimal" w:pos="516"/>
              </w:tabs>
              <w:rPr>
                <w:color w:val="auto"/>
                <w:sz w:val="20"/>
                <w:szCs w:val="20"/>
              </w:rPr>
            </w:pPr>
            <w:r w:rsidRPr="00F13104">
              <w:rPr>
                <w:color w:val="auto"/>
                <w:sz w:val="20"/>
                <w:szCs w:val="20"/>
              </w:rPr>
              <w:t>-</w:t>
            </w:r>
          </w:p>
        </w:tc>
      </w:tr>
      <w:tr w:rsidR="0049771B" w:rsidRPr="00F13104" w14:paraId="254D6700" w14:textId="77777777" w:rsidTr="00A06955">
        <w:trPr>
          <w:trHeight w:val="454"/>
          <w:jc w:val="center"/>
        </w:trPr>
        <w:tc>
          <w:tcPr>
            <w:tcW w:w="1699" w:type="pct"/>
            <w:tcBorders>
              <w:left w:val="single" w:sz="4" w:space="0" w:color="auto"/>
            </w:tcBorders>
            <w:shd w:val="clear" w:color="auto" w:fill="auto"/>
            <w:vAlign w:val="bottom"/>
          </w:tcPr>
          <w:p w14:paraId="25C47583" w14:textId="77777777" w:rsidR="0049771B" w:rsidRPr="00F13104" w:rsidRDefault="0049771B" w:rsidP="00C306B3">
            <w:pPr>
              <w:jc w:val="left"/>
              <w:rPr>
                <w:b/>
                <w:color w:val="auto"/>
                <w:sz w:val="20"/>
                <w:szCs w:val="20"/>
              </w:rPr>
            </w:pPr>
            <w:r w:rsidRPr="00F13104">
              <w:rPr>
                <w:b/>
                <w:color w:val="auto"/>
                <w:sz w:val="20"/>
                <w:szCs w:val="20"/>
              </w:rPr>
              <w:t>(Increase)/Decrease in Year</w:t>
            </w:r>
          </w:p>
        </w:tc>
        <w:tc>
          <w:tcPr>
            <w:tcW w:w="422" w:type="pct"/>
            <w:tcBorders>
              <w:top w:val="single" w:sz="4" w:space="0" w:color="auto"/>
              <w:bottom w:val="single" w:sz="4" w:space="0" w:color="auto"/>
            </w:tcBorders>
            <w:shd w:val="clear" w:color="auto" w:fill="auto"/>
            <w:vAlign w:val="bottom"/>
          </w:tcPr>
          <w:p w14:paraId="7CDCF72E" w14:textId="77777777" w:rsidR="0049771B" w:rsidRPr="00F13104" w:rsidRDefault="0049771B" w:rsidP="00C306B3">
            <w:pPr>
              <w:tabs>
                <w:tab w:val="decimal" w:pos="537"/>
              </w:tabs>
              <w:rPr>
                <w:b/>
                <w:color w:val="auto"/>
                <w:sz w:val="20"/>
                <w:szCs w:val="20"/>
              </w:rPr>
            </w:pPr>
            <w:r w:rsidRPr="00F13104">
              <w:rPr>
                <w:b/>
                <w:color w:val="auto"/>
                <w:sz w:val="20"/>
                <w:szCs w:val="20"/>
              </w:rPr>
              <w:t>-</w:t>
            </w:r>
          </w:p>
        </w:tc>
        <w:tc>
          <w:tcPr>
            <w:tcW w:w="451" w:type="pct"/>
            <w:tcBorders>
              <w:top w:val="single" w:sz="4" w:space="0" w:color="auto"/>
              <w:bottom w:val="single" w:sz="4" w:space="0" w:color="auto"/>
            </w:tcBorders>
            <w:shd w:val="clear" w:color="auto" w:fill="auto"/>
            <w:vAlign w:val="bottom"/>
          </w:tcPr>
          <w:p w14:paraId="4403A2B0" w14:textId="446D7B65" w:rsidR="0049771B" w:rsidRPr="00F13104" w:rsidRDefault="00832021" w:rsidP="00C306B3">
            <w:pPr>
              <w:tabs>
                <w:tab w:val="decimal" w:pos="591"/>
              </w:tabs>
              <w:rPr>
                <w:b/>
                <w:color w:val="auto"/>
                <w:sz w:val="20"/>
                <w:szCs w:val="20"/>
              </w:rPr>
            </w:pPr>
            <w:r>
              <w:rPr>
                <w:b/>
                <w:color w:val="auto"/>
                <w:sz w:val="20"/>
                <w:szCs w:val="20"/>
              </w:rPr>
              <w:t>(79.5</w:t>
            </w:r>
            <w:r w:rsidR="0049771B" w:rsidRPr="00F13104">
              <w:rPr>
                <w:b/>
                <w:color w:val="auto"/>
                <w:sz w:val="20"/>
                <w:szCs w:val="20"/>
              </w:rPr>
              <w:t>)</w:t>
            </w:r>
          </w:p>
        </w:tc>
        <w:tc>
          <w:tcPr>
            <w:tcW w:w="419" w:type="pct"/>
            <w:tcBorders>
              <w:top w:val="single" w:sz="4" w:space="0" w:color="auto"/>
              <w:bottom w:val="single" w:sz="4" w:space="0" w:color="auto"/>
            </w:tcBorders>
            <w:shd w:val="clear" w:color="auto" w:fill="auto"/>
            <w:vAlign w:val="bottom"/>
          </w:tcPr>
          <w:p w14:paraId="3B802B8E" w14:textId="40A28336" w:rsidR="0049771B" w:rsidRPr="00F13104" w:rsidRDefault="0049771B" w:rsidP="00C306B3">
            <w:pPr>
              <w:tabs>
                <w:tab w:val="decimal" w:pos="545"/>
              </w:tabs>
              <w:rPr>
                <w:b/>
                <w:color w:val="auto"/>
                <w:sz w:val="20"/>
                <w:szCs w:val="20"/>
              </w:rPr>
            </w:pPr>
            <w:r>
              <w:rPr>
                <w:b/>
                <w:color w:val="auto"/>
                <w:sz w:val="20"/>
                <w:szCs w:val="20"/>
              </w:rPr>
              <w:t>0.7</w:t>
            </w:r>
          </w:p>
        </w:tc>
        <w:tc>
          <w:tcPr>
            <w:tcW w:w="410" w:type="pct"/>
            <w:tcBorders>
              <w:top w:val="single" w:sz="4" w:space="0" w:color="auto"/>
              <w:bottom w:val="single" w:sz="4" w:space="0" w:color="auto"/>
            </w:tcBorders>
            <w:shd w:val="clear" w:color="auto" w:fill="auto"/>
            <w:vAlign w:val="bottom"/>
          </w:tcPr>
          <w:p w14:paraId="3F13C2AC" w14:textId="540CE729" w:rsidR="0049771B" w:rsidRPr="00F13104" w:rsidRDefault="0049771B">
            <w:pPr>
              <w:tabs>
                <w:tab w:val="decimal" w:pos="552"/>
              </w:tabs>
              <w:rPr>
                <w:b/>
                <w:color w:val="auto"/>
                <w:sz w:val="20"/>
                <w:szCs w:val="20"/>
              </w:rPr>
            </w:pPr>
            <w:r>
              <w:rPr>
                <w:b/>
                <w:color w:val="auto"/>
                <w:sz w:val="20"/>
                <w:szCs w:val="20"/>
              </w:rPr>
              <w:t>(1</w:t>
            </w:r>
            <w:r w:rsidRPr="00F13104">
              <w:rPr>
                <w:b/>
                <w:color w:val="auto"/>
                <w:sz w:val="20"/>
                <w:szCs w:val="20"/>
              </w:rPr>
              <w:t>.</w:t>
            </w:r>
            <w:r w:rsidR="0074334C">
              <w:rPr>
                <w:b/>
                <w:color w:val="auto"/>
                <w:sz w:val="20"/>
                <w:szCs w:val="20"/>
              </w:rPr>
              <w:t>7</w:t>
            </w:r>
            <w:r w:rsidRPr="00F13104">
              <w:rPr>
                <w:b/>
                <w:color w:val="auto"/>
                <w:sz w:val="20"/>
                <w:szCs w:val="20"/>
              </w:rPr>
              <w:t>)</w:t>
            </w:r>
          </w:p>
        </w:tc>
        <w:tc>
          <w:tcPr>
            <w:tcW w:w="419" w:type="pct"/>
            <w:tcBorders>
              <w:top w:val="single" w:sz="4" w:space="0" w:color="auto"/>
              <w:bottom w:val="single" w:sz="4" w:space="0" w:color="auto"/>
            </w:tcBorders>
            <w:shd w:val="clear" w:color="auto" w:fill="auto"/>
            <w:vAlign w:val="bottom"/>
          </w:tcPr>
          <w:p w14:paraId="74202363" w14:textId="10C7D329" w:rsidR="0049771B" w:rsidRPr="00F13104" w:rsidRDefault="0049771B">
            <w:pPr>
              <w:tabs>
                <w:tab w:val="decimal" w:pos="520"/>
              </w:tabs>
              <w:rPr>
                <w:b/>
                <w:color w:val="auto"/>
                <w:sz w:val="20"/>
                <w:szCs w:val="20"/>
              </w:rPr>
            </w:pPr>
            <w:r>
              <w:rPr>
                <w:b/>
                <w:color w:val="auto"/>
                <w:sz w:val="20"/>
                <w:szCs w:val="20"/>
              </w:rPr>
              <w:t>3.</w:t>
            </w:r>
            <w:r w:rsidR="00A65B8D">
              <w:rPr>
                <w:b/>
                <w:color w:val="auto"/>
                <w:sz w:val="20"/>
                <w:szCs w:val="20"/>
              </w:rPr>
              <w:t>7</w:t>
            </w:r>
          </w:p>
        </w:tc>
        <w:tc>
          <w:tcPr>
            <w:tcW w:w="392" w:type="pct"/>
            <w:tcBorders>
              <w:top w:val="single" w:sz="4" w:space="0" w:color="auto"/>
              <w:bottom w:val="single" w:sz="4" w:space="0" w:color="auto"/>
            </w:tcBorders>
            <w:shd w:val="clear" w:color="auto" w:fill="auto"/>
            <w:vAlign w:val="bottom"/>
          </w:tcPr>
          <w:p w14:paraId="0FFA842E" w14:textId="49B41E12" w:rsidR="0049771B" w:rsidRPr="00F13104" w:rsidRDefault="0049771B" w:rsidP="00C306B3">
            <w:pPr>
              <w:tabs>
                <w:tab w:val="decimal" w:pos="471"/>
              </w:tabs>
              <w:rPr>
                <w:b/>
                <w:color w:val="auto"/>
                <w:sz w:val="20"/>
                <w:szCs w:val="20"/>
              </w:rPr>
            </w:pPr>
            <w:r>
              <w:rPr>
                <w:b/>
                <w:color w:val="auto"/>
                <w:sz w:val="20"/>
                <w:szCs w:val="20"/>
              </w:rPr>
              <w:t>(76.8)</w:t>
            </w:r>
          </w:p>
        </w:tc>
        <w:tc>
          <w:tcPr>
            <w:tcW w:w="396" w:type="pct"/>
            <w:tcBorders>
              <w:top w:val="single" w:sz="4" w:space="0" w:color="auto"/>
              <w:bottom w:val="single" w:sz="4" w:space="0" w:color="auto"/>
            </w:tcBorders>
            <w:shd w:val="clear" w:color="auto" w:fill="auto"/>
            <w:vAlign w:val="bottom"/>
          </w:tcPr>
          <w:p w14:paraId="18AD8BE4" w14:textId="4C53076B" w:rsidR="0049771B" w:rsidRPr="00F13104" w:rsidRDefault="00C269A4" w:rsidP="00BD7307">
            <w:pPr>
              <w:tabs>
                <w:tab w:val="decimal" w:pos="499"/>
              </w:tabs>
              <w:rPr>
                <w:b/>
                <w:color w:val="auto"/>
                <w:sz w:val="20"/>
                <w:szCs w:val="20"/>
              </w:rPr>
            </w:pPr>
            <w:r>
              <w:rPr>
                <w:b/>
                <w:color w:val="auto"/>
                <w:sz w:val="20"/>
                <w:szCs w:val="20"/>
              </w:rPr>
              <w:t>293.</w:t>
            </w:r>
            <w:r w:rsidR="00BD7307">
              <w:rPr>
                <w:b/>
                <w:color w:val="auto"/>
                <w:sz w:val="20"/>
                <w:szCs w:val="20"/>
              </w:rPr>
              <w:t>9</w:t>
            </w:r>
          </w:p>
        </w:tc>
        <w:tc>
          <w:tcPr>
            <w:tcW w:w="392" w:type="pct"/>
            <w:tcBorders>
              <w:top w:val="single" w:sz="4" w:space="0" w:color="auto"/>
              <w:bottom w:val="single" w:sz="4" w:space="0" w:color="auto"/>
              <w:right w:val="single" w:sz="4" w:space="0" w:color="auto"/>
            </w:tcBorders>
            <w:shd w:val="clear" w:color="auto" w:fill="auto"/>
            <w:vAlign w:val="bottom"/>
          </w:tcPr>
          <w:p w14:paraId="54DC5FA0" w14:textId="2850616C" w:rsidR="0049771B" w:rsidRPr="00F13104" w:rsidRDefault="00DB7B00" w:rsidP="00BD7307">
            <w:pPr>
              <w:tabs>
                <w:tab w:val="decimal" w:pos="516"/>
              </w:tabs>
              <w:rPr>
                <w:b/>
                <w:color w:val="auto"/>
                <w:sz w:val="20"/>
                <w:szCs w:val="20"/>
              </w:rPr>
            </w:pPr>
            <w:r>
              <w:rPr>
                <w:b/>
                <w:color w:val="auto"/>
                <w:sz w:val="20"/>
                <w:szCs w:val="20"/>
              </w:rPr>
              <w:t>217.</w:t>
            </w:r>
            <w:r w:rsidR="00BD7307">
              <w:rPr>
                <w:b/>
                <w:color w:val="auto"/>
                <w:sz w:val="20"/>
                <w:szCs w:val="20"/>
              </w:rPr>
              <w:t>1</w:t>
            </w:r>
          </w:p>
        </w:tc>
      </w:tr>
      <w:tr w:rsidR="0049771B" w:rsidRPr="00F13104" w14:paraId="5822DABB" w14:textId="77777777" w:rsidTr="00A06955">
        <w:trPr>
          <w:trHeight w:val="454"/>
          <w:jc w:val="center"/>
        </w:trPr>
        <w:tc>
          <w:tcPr>
            <w:tcW w:w="1699" w:type="pct"/>
            <w:tcBorders>
              <w:left w:val="single" w:sz="4" w:space="0" w:color="auto"/>
              <w:bottom w:val="single" w:sz="4" w:space="0" w:color="auto"/>
            </w:tcBorders>
            <w:shd w:val="clear" w:color="auto" w:fill="auto"/>
            <w:vAlign w:val="bottom"/>
          </w:tcPr>
          <w:p w14:paraId="257537BB" w14:textId="4406362B" w:rsidR="0049771B" w:rsidRPr="00F13104" w:rsidRDefault="0049771B" w:rsidP="00C306B3">
            <w:pPr>
              <w:jc w:val="left"/>
              <w:rPr>
                <w:b/>
                <w:color w:val="auto"/>
                <w:sz w:val="20"/>
                <w:szCs w:val="20"/>
              </w:rPr>
            </w:pPr>
            <w:r>
              <w:rPr>
                <w:b/>
                <w:color w:val="auto"/>
                <w:sz w:val="20"/>
                <w:szCs w:val="20"/>
              </w:rPr>
              <w:t xml:space="preserve">Balance </w:t>
            </w:r>
            <w:r w:rsidR="00424AFC">
              <w:rPr>
                <w:b/>
                <w:color w:val="auto"/>
                <w:sz w:val="20"/>
                <w:szCs w:val="20"/>
              </w:rPr>
              <w:t xml:space="preserve">as </w:t>
            </w:r>
            <w:r>
              <w:rPr>
                <w:b/>
                <w:color w:val="auto"/>
                <w:sz w:val="20"/>
                <w:szCs w:val="20"/>
              </w:rPr>
              <w:t>at 31st March 2015</w:t>
            </w:r>
            <w:r w:rsidRPr="00F13104">
              <w:rPr>
                <w:b/>
                <w:color w:val="auto"/>
                <w:sz w:val="20"/>
                <w:szCs w:val="20"/>
              </w:rPr>
              <w:t xml:space="preserve"> carried forward</w:t>
            </w:r>
          </w:p>
        </w:tc>
        <w:tc>
          <w:tcPr>
            <w:tcW w:w="422" w:type="pct"/>
            <w:tcBorders>
              <w:top w:val="single" w:sz="4" w:space="0" w:color="auto"/>
              <w:bottom w:val="single" w:sz="4" w:space="0" w:color="auto"/>
            </w:tcBorders>
            <w:shd w:val="clear" w:color="auto" w:fill="auto"/>
            <w:vAlign w:val="bottom"/>
          </w:tcPr>
          <w:p w14:paraId="1CE7B469" w14:textId="77777777" w:rsidR="0049771B" w:rsidRPr="00F13104" w:rsidRDefault="0049771B" w:rsidP="00C306B3">
            <w:pPr>
              <w:tabs>
                <w:tab w:val="decimal" w:pos="537"/>
              </w:tabs>
              <w:rPr>
                <w:b/>
                <w:color w:val="auto"/>
                <w:sz w:val="20"/>
                <w:szCs w:val="20"/>
              </w:rPr>
            </w:pPr>
            <w:r w:rsidRPr="00F13104">
              <w:rPr>
                <w:b/>
                <w:color w:val="auto"/>
                <w:sz w:val="20"/>
                <w:szCs w:val="20"/>
              </w:rPr>
              <w:t>(36.0)</w:t>
            </w:r>
          </w:p>
        </w:tc>
        <w:tc>
          <w:tcPr>
            <w:tcW w:w="451" w:type="pct"/>
            <w:tcBorders>
              <w:top w:val="single" w:sz="4" w:space="0" w:color="auto"/>
              <w:bottom w:val="single" w:sz="4" w:space="0" w:color="auto"/>
            </w:tcBorders>
            <w:shd w:val="clear" w:color="auto" w:fill="auto"/>
            <w:vAlign w:val="bottom"/>
          </w:tcPr>
          <w:p w14:paraId="0000F1D2" w14:textId="72D1D452" w:rsidR="0049771B" w:rsidRPr="00F13104" w:rsidRDefault="0049771B">
            <w:pPr>
              <w:tabs>
                <w:tab w:val="decimal" w:pos="591"/>
              </w:tabs>
              <w:rPr>
                <w:b/>
                <w:color w:val="auto"/>
                <w:sz w:val="20"/>
                <w:szCs w:val="20"/>
              </w:rPr>
            </w:pPr>
            <w:r w:rsidRPr="00F13104">
              <w:rPr>
                <w:b/>
                <w:color w:val="auto"/>
                <w:sz w:val="20"/>
                <w:szCs w:val="20"/>
              </w:rPr>
              <w:t>(</w:t>
            </w:r>
            <w:r w:rsidR="00DB7B00">
              <w:rPr>
                <w:b/>
                <w:color w:val="auto"/>
                <w:sz w:val="20"/>
                <w:szCs w:val="20"/>
              </w:rPr>
              <w:t>376.1</w:t>
            </w:r>
            <w:r w:rsidRPr="00F13104">
              <w:rPr>
                <w:b/>
                <w:color w:val="auto"/>
                <w:sz w:val="20"/>
                <w:szCs w:val="20"/>
              </w:rPr>
              <w:t>)</w:t>
            </w:r>
          </w:p>
        </w:tc>
        <w:tc>
          <w:tcPr>
            <w:tcW w:w="419" w:type="pct"/>
            <w:tcBorders>
              <w:top w:val="single" w:sz="4" w:space="0" w:color="auto"/>
              <w:bottom w:val="single" w:sz="4" w:space="0" w:color="auto"/>
            </w:tcBorders>
            <w:shd w:val="clear" w:color="auto" w:fill="auto"/>
            <w:vAlign w:val="bottom"/>
          </w:tcPr>
          <w:p w14:paraId="0A30C9A8" w14:textId="2F5CFBFD" w:rsidR="0049771B" w:rsidRPr="00F13104" w:rsidRDefault="00A46850" w:rsidP="00C306B3">
            <w:pPr>
              <w:tabs>
                <w:tab w:val="decimal" w:pos="545"/>
              </w:tabs>
              <w:rPr>
                <w:b/>
                <w:color w:val="auto"/>
                <w:sz w:val="20"/>
                <w:szCs w:val="20"/>
              </w:rPr>
            </w:pPr>
            <w:r>
              <w:rPr>
                <w:b/>
                <w:color w:val="auto"/>
                <w:sz w:val="20"/>
                <w:szCs w:val="20"/>
              </w:rPr>
              <w:t>(12.5</w:t>
            </w:r>
            <w:r w:rsidR="0049771B" w:rsidRPr="00F13104">
              <w:rPr>
                <w:b/>
                <w:color w:val="auto"/>
                <w:sz w:val="20"/>
                <w:szCs w:val="20"/>
              </w:rPr>
              <w:t>)</w:t>
            </w:r>
          </w:p>
        </w:tc>
        <w:tc>
          <w:tcPr>
            <w:tcW w:w="410" w:type="pct"/>
            <w:tcBorders>
              <w:top w:val="single" w:sz="4" w:space="0" w:color="auto"/>
              <w:bottom w:val="single" w:sz="4" w:space="0" w:color="auto"/>
            </w:tcBorders>
            <w:shd w:val="clear" w:color="auto" w:fill="auto"/>
            <w:vAlign w:val="bottom"/>
          </w:tcPr>
          <w:p w14:paraId="0CB4E536" w14:textId="1DBAC842" w:rsidR="0049771B" w:rsidRPr="00F13104" w:rsidRDefault="00A46850">
            <w:pPr>
              <w:tabs>
                <w:tab w:val="decimal" w:pos="552"/>
              </w:tabs>
              <w:rPr>
                <w:b/>
                <w:color w:val="auto"/>
                <w:sz w:val="20"/>
                <w:szCs w:val="20"/>
              </w:rPr>
            </w:pPr>
            <w:r>
              <w:rPr>
                <w:b/>
                <w:color w:val="auto"/>
                <w:sz w:val="20"/>
                <w:szCs w:val="20"/>
              </w:rPr>
              <w:t>(33.</w:t>
            </w:r>
            <w:r w:rsidR="00832021">
              <w:rPr>
                <w:b/>
                <w:color w:val="auto"/>
                <w:sz w:val="20"/>
                <w:szCs w:val="20"/>
              </w:rPr>
              <w:t>0</w:t>
            </w:r>
            <w:r w:rsidR="0049771B" w:rsidRPr="00F13104">
              <w:rPr>
                <w:b/>
                <w:color w:val="auto"/>
                <w:sz w:val="20"/>
                <w:szCs w:val="20"/>
              </w:rPr>
              <w:t>)</w:t>
            </w:r>
          </w:p>
        </w:tc>
        <w:tc>
          <w:tcPr>
            <w:tcW w:w="419" w:type="pct"/>
            <w:tcBorders>
              <w:top w:val="single" w:sz="4" w:space="0" w:color="auto"/>
              <w:bottom w:val="single" w:sz="4" w:space="0" w:color="auto"/>
            </w:tcBorders>
            <w:shd w:val="clear" w:color="auto" w:fill="auto"/>
            <w:vAlign w:val="bottom"/>
          </w:tcPr>
          <w:p w14:paraId="12C9FE6B" w14:textId="373C4677" w:rsidR="0049771B" w:rsidRPr="00F13104" w:rsidRDefault="00FA3381" w:rsidP="00C306B3">
            <w:pPr>
              <w:tabs>
                <w:tab w:val="decimal" w:pos="520"/>
              </w:tabs>
              <w:rPr>
                <w:b/>
                <w:color w:val="auto"/>
                <w:sz w:val="20"/>
                <w:szCs w:val="20"/>
              </w:rPr>
            </w:pPr>
            <w:r>
              <w:rPr>
                <w:b/>
                <w:color w:val="auto"/>
                <w:sz w:val="20"/>
                <w:szCs w:val="20"/>
              </w:rPr>
              <w:t>(44.1</w:t>
            </w:r>
            <w:r w:rsidR="0049771B" w:rsidRPr="00F13104">
              <w:rPr>
                <w:b/>
                <w:color w:val="auto"/>
                <w:sz w:val="20"/>
                <w:szCs w:val="20"/>
              </w:rPr>
              <w:t>)</w:t>
            </w:r>
          </w:p>
        </w:tc>
        <w:tc>
          <w:tcPr>
            <w:tcW w:w="392" w:type="pct"/>
            <w:tcBorders>
              <w:top w:val="single" w:sz="4" w:space="0" w:color="auto"/>
              <w:bottom w:val="single" w:sz="4" w:space="0" w:color="auto"/>
            </w:tcBorders>
            <w:shd w:val="clear" w:color="auto" w:fill="auto"/>
            <w:vAlign w:val="bottom"/>
          </w:tcPr>
          <w:p w14:paraId="6A321261" w14:textId="196054E2" w:rsidR="0049771B" w:rsidRPr="00F13104" w:rsidRDefault="00F93292">
            <w:pPr>
              <w:tabs>
                <w:tab w:val="decimal" w:pos="471"/>
              </w:tabs>
              <w:rPr>
                <w:b/>
                <w:color w:val="auto"/>
                <w:sz w:val="20"/>
                <w:szCs w:val="20"/>
              </w:rPr>
            </w:pPr>
            <w:r>
              <w:rPr>
                <w:b/>
                <w:color w:val="auto"/>
                <w:sz w:val="20"/>
                <w:szCs w:val="20"/>
              </w:rPr>
              <w:t>(501.</w:t>
            </w:r>
            <w:r w:rsidR="00A65B8D">
              <w:rPr>
                <w:b/>
                <w:color w:val="auto"/>
                <w:sz w:val="20"/>
                <w:szCs w:val="20"/>
              </w:rPr>
              <w:t>7</w:t>
            </w:r>
            <w:r w:rsidR="0049771B" w:rsidRPr="00F13104">
              <w:rPr>
                <w:b/>
                <w:color w:val="auto"/>
                <w:sz w:val="20"/>
                <w:szCs w:val="20"/>
              </w:rPr>
              <w:t>)</w:t>
            </w:r>
          </w:p>
        </w:tc>
        <w:tc>
          <w:tcPr>
            <w:tcW w:w="396" w:type="pct"/>
            <w:tcBorders>
              <w:top w:val="single" w:sz="4" w:space="0" w:color="auto"/>
              <w:bottom w:val="single" w:sz="4" w:space="0" w:color="auto"/>
            </w:tcBorders>
            <w:shd w:val="clear" w:color="auto" w:fill="auto"/>
            <w:vAlign w:val="bottom"/>
          </w:tcPr>
          <w:p w14:paraId="1DF80655" w14:textId="2EB64600" w:rsidR="0049771B" w:rsidRPr="00F13104" w:rsidRDefault="00A46850" w:rsidP="00BD7307">
            <w:pPr>
              <w:tabs>
                <w:tab w:val="decimal" w:pos="499"/>
              </w:tabs>
              <w:rPr>
                <w:b/>
                <w:color w:val="auto"/>
                <w:sz w:val="20"/>
                <w:szCs w:val="20"/>
              </w:rPr>
            </w:pPr>
            <w:r>
              <w:rPr>
                <w:b/>
                <w:color w:val="auto"/>
                <w:sz w:val="20"/>
                <w:szCs w:val="20"/>
              </w:rPr>
              <w:t>(</w:t>
            </w:r>
            <w:r w:rsidR="00C269A4">
              <w:rPr>
                <w:b/>
                <w:color w:val="auto"/>
                <w:sz w:val="20"/>
                <w:szCs w:val="20"/>
              </w:rPr>
              <w:t>384.</w:t>
            </w:r>
            <w:r w:rsidR="00BD7307">
              <w:rPr>
                <w:b/>
                <w:color w:val="auto"/>
                <w:sz w:val="20"/>
                <w:szCs w:val="20"/>
              </w:rPr>
              <w:t>4</w:t>
            </w:r>
            <w:r w:rsidR="0049771B" w:rsidRPr="00F13104">
              <w:rPr>
                <w:b/>
                <w:color w:val="auto"/>
                <w:sz w:val="20"/>
                <w:szCs w:val="20"/>
              </w:rPr>
              <w:t>)</w:t>
            </w:r>
          </w:p>
        </w:tc>
        <w:tc>
          <w:tcPr>
            <w:tcW w:w="392" w:type="pct"/>
            <w:tcBorders>
              <w:top w:val="single" w:sz="4" w:space="0" w:color="auto"/>
              <w:bottom w:val="single" w:sz="4" w:space="0" w:color="auto"/>
              <w:right w:val="single" w:sz="4" w:space="0" w:color="auto"/>
            </w:tcBorders>
            <w:shd w:val="clear" w:color="auto" w:fill="auto"/>
            <w:vAlign w:val="bottom"/>
          </w:tcPr>
          <w:p w14:paraId="4F179E5B" w14:textId="21A838B5" w:rsidR="0049771B" w:rsidRPr="00F13104" w:rsidRDefault="00A46850" w:rsidP="00BD7307">
            <w:pPr>
              <w:tabs>
                <w:tab w:val="decimal" w:pos="516"/>
              </w:tabs>
              <w:rPr>
                <w:b/>
                <w:color w:val="auto"/>
                <w:sz w:val="20"/>
                <w:szCs w:val="20"/>
              </w:rPr>
            </w:pPr>
            <w:r>
              <w:rPr>
                <w:b/>
                <w:color w:val="auto"/>
                <w:sz w:val="20"/>
                <w:szCs w:val="20"/>
              </w:rPr>
              <w:t>(</w:t>
            </w:r>
            <w:r w:rsidR="00C269A4">
              <w:rPr>
                <w:b/>
                <w:color w:val="auto"/>
                <w:sz w:val="20"/>
                <w:szCs w:val="20"/>
              </w:rPr>
              <w:t>886.</w:t>
            </w:r>
            <w:r w:rsidR="00BD7307">
              <w:rPr>
                <w:b/>
                <w:color w:val="auto"/>
                <w:sz w:val="20"/>
                <w:szCs w:val="20"/>
              </w:rPr>
              <w:t>1</w:t>
            </w:r>
            <w:r w:rsidR="0049771B" w:rsidRPr="00F13104">
              <w:rPr>
                <w:b/>
                <w:color w:val="auto"/>
                <w:sz w:val="20"/>
                <w:szCs w:val="20"/>
              </w:rPr>
              <w:t>)</w:t>
            </w:r>
          </w:p>
        </w:tc>
      </w:tr>
    </w:tbl>
    <w:p w14:paraId="6FABC6FF" w14:textId="77777777" w:rsidR="00191E2E" w:rsidRDefault="00191E2E" w:rsidP="008F510B">
      <w:pPr>
        <w:rPr>
          <w:b/>
          <w:color w:val="auto"/>
          <w:u w:val="single"/>
        </w:rPr>
      </w:pPr>
    </w:p>
    <w:p w14:paraId="79786BC7" w14:textId="77777777" w:rsidR="0057262E" w:rsidRDefault="0057262E" w:rsidP="008F510B">
      <w:pPr>
        <w:rPr>
          <w:b/>
          <w:color w:val="auto"/>
          <w:u w:val="single"/>
        </w:rPr>
      </w:pPr>
    </w:p>
    <w:p w14:paraId="2BFE06DF" w14:textId="77777777" w:rsidR="00191E2E" w:rsidRDefault="00191E2E" w:rsidP="008F510B">
      <w:pPr>
        <w:rPr>
          <w:b/>
          <w:color w:val="auto"/>
          <w:u w:val="single"/>
        </w:rPr>
      </w:pPr>
    </w:p>
    <w:p w14:paraId="4B5A5195" w14:textId="77777777" w:rsidR="00191E2E" w:rsidRDefault="00191E2E" w:rsidP="008F510B">
      <w:pPr>
        <w:rPr>
          <w:b/>
          <w:color w:val="auto"/>
          <w:u w:val="single"/>
        </w:rPr>
      </w:pPr>
    </w:p>
    <w:p w14:paraId="6B52D9E1" w14:textId="77777777" w:rsidR="00C306B3" w:rsidRDefault="00C306B3" w:rsidP="008F510B">
      <w:pPr>
        <w:rPr>
          <w:b/>
          <w:color w:val="auto"/>
          <w:u w:val="single"/>
        </w:rPr>
      </w:pPr>
    </w:p>
    <w:p w14:paraId="647D775C" w14:textId="77777777" w:rsidR="00C306B3" w:rsidRDefault="00C306B3" w:rsidP="008F510B">
      <w:pPr>
        <w:rPr>
          <w:b/>
          <w:color w:val="auto"/>
          <w:u w:val="single"/>
        </w:rPr>
      </w:pPr>
    </w:p>
    <w:p w14:paraId="3C58F08B" w14:textId="77777777" w:rsidR="00C306B3" w:rsidRDefault="00C306B3" w:rsidP="008F510B">
      <w:pPr>
        <w:rPr>
          <w:b/>
          <w:color w:val="auto"/>
          <w:u w:val="single"/>
        </w:rPr>
      </w:pPr>
    </w:p>
    <w:p w14:paraId="4A1FC32F" w14:textId="77777777" w:rsidR="00850704" w:rsidRDefault="00850704" w:rsidP="008F510B">
      <w:pPr>
        <w:rPr>
          <w:b/>
          <w:color w:val="auto"/>
          <w:u w:val="single"/>
        </w:rPr>
      </w:pPr>
    </w:p>
    <w:p w14:paraId="6BDA4DA5" w14:textId="73D59CB1" w:rsidR="00E802DD" w:rsidRDefault="00E802DD" w:rsidP="008F510B">
      <w:pPr>
        <w:rPr>
          <w:b/>
          <w:color w:val="auto"/>
          <w:u w:val="single"/>
        </w:rPr>
      </w:pPr>
      <w:r w:rsidRPr="00E802DD">
        <w:rPr>
          <w:b/>
          <w:color w:val="auto"/>
          <w:u w:val="single"/>
        </w:rPr>
        <w:t xml:space="preserve">2013/14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86"/>
        <w:gridCol w:w="1296"/>
        <w:gridCol w:w="1437"/>
        <w:gridCol w:w="1290"/>
        <w:gridCol w:w="1262"/>
        <w:gridCol w:w="1290"/>
        <w:gridCol w:w="1207"/>
        <w:gridCol w:w="1219"/>
        <w:gridCol w:w="1203"/>
      </w:tblGrid>
      <w:tr w:rsidR="00C306B3" w:rsidRPr="00F13104" w14:paraId="04727209" w14:textId="77777777" w:rsidTr="00C306B3">
        <w:trPr>
          <w:trHeight w:val="454"/>
          <w:tblHeader/>
          <w:jc w:val="center"/>
        </w:trPr>
        <w:tc>
          <w:tcPr>
            <w:tcW w:w="1685" w:type="pct"/>
            <w:tcBorders>
              <w:top w:val="single" w:sz="4" w:space="0" w:color="auto"/>
              <w:left w:val="single" w:sz="4" w:space="0" w:color="auto"/>
            </w:tcBorders>
            <w:shd w:val="clear" w:color="auto" w:fill="D0CECE"/>
            <w:vAlign w:val="bottom"/>
          </w:tcPr>
          <w:p w14:paraId="30E19446" w14:textId="77777777" w:rsidR="00A46850" w:rsidRPr="00F13104" w:rsidRDefault="00A46850" w:rsidP="00F13104">
            <w:pPr>
              <w:jc w:val="left"/>
              <w:rPr>
                <w:b/>
                <w:color w:val="auto"/>
                <w:sz w:val="20"/>
                <w:szCs w:val="20"/>
              </w:rPr>
            </w:pPr>
          </w:p>
        </w:tc>
        <w:tc>
          <w:tcPr>
            <w:tcW w:w="421" w:type="pct"/>
            <w:tcBorders>
              <w:top w:val="single" w:sz="4" w:space="0" w:color="auto"/>
            </w:tcBorders>
            <w:shd w:val="clear" w:color="auto" w:fill="D0CECE"/>
            <w:vAlign w:val="bottom"/>
          </w:tcPr>
          <w:p w14:paraId="59021978" w14:textId="77777777" w:rsidR="00A46850" w:rsidRPr="00F13104" w:rsidRDefault="00A46850" w:rsidP="00F13104">
            <w:pPr>
              <w:jc w:val="center"/>
              <w:rPr>
                <w:b/>
                <w:color w:val="auto"/>
                <w:sz w:val="20"/>
                <w:szCs w:val="20"/>
              </w:rPr>
            </w:pPr>
            <w:r w:rsidRPr="00F13104">
              <w:rPr>
                <w:b/>
                <w:color w:val="auto"/>
                <w:sz w:val="20"/>
                <w:szCs w:val="20"/>
              </w:rPr>
              <w:t>County Fund</w:t>
            </w:r>
          </w:p>
        </w:tc>
        <w:tc>
          <w:tcPr>
            <w:tcW w:w="467" w:type="pct"/>
            <w:tcBorders>
              <w:top w:val="single" w:sz="4" w:space="0" w:color="auto"/>
            </w:tcBorders>
            <w:shd w:val="clear" w:color="auto" w:fill="D0CECE"/>
            <w:vAlign w:val="bottom"/>
          </w:tcPr>
          <w:p w14:paraId="4097FAD8" w14:textId="64E93965" w:rsidR="00A46850" w:rsidRPr="00A06955" w:rsidRDefault="00A46850">
            <w:pPr>
              <w:jc w:val="center"/>
              <w:rPr>
                <w:b/>
                <w:color w:val="auto"/>
                <w:sz w:val="20"/>
                <w:szCs w:val="20"/>
                <w:vertAlign w:val="superscript"/>
              </w:rPr>
            </w:pPr>
            <w:r w:rsidRPr="00F13104">
              <w:rPr>
                <w:b/>
                <w:color w:val="auto"/>
                <w:sz w:val="20"/>
                <w:szCs w:val="20"/>
              </w:rPr>
              <w:t>Earmarked Revenue Reserves</w:t>
            </w:r>
            <w:r w:rsidR="00C306B3">
              <w:rPr>
                <w:b/>
                <w:color w:val="auto"/>
                <w:sz w:val="20"/>
                <w:szCs w:val="20"/>
                <w:vertAlign w:val="superscript"/>
              </w:rPr>
              <w:t>1</w:t>
            </w:r>
          </w:p>
        </w:tc>
        <w:tc>
          <w:tcPr>
            <w:tcW w:w="419" w:type="pct"/>
            <w:tcBorders>
              <w:top w:val="single" w:sz="4" w:space="0" w:color="auto"/>
            </w:tcBorders>
            <w:shd w:val="clear" w:color="auto" w:fill="D0CECE"/>
            <w:vAlign w:val="bottom"/>
          </w:tcPr>
          <w:p w14:paraId="1F3D2715" w14:textId="7B71C488" w:rsidR="00A46850" w:rsidRPr="00F13104" w:rsidRDefault="002B5FB2" w:rsidP="00F13104">
            <w:pPr>
              <w:jc w:val="center"/>
              <w:rPr>
                <w:b/>
                <w:color w:val="auto"/>
                <w:sz w:val="20"/>
                <w:szCs w:val="20"/>
              </w:rPr>
            </w:pPr>
            <w:r>
              <w:rPr>
                <w:b/>
                <w:color w:val="auto"/>
                <w:sz w:val="20"/>
                <w:szCs w:val="20"/>
              </w:rPr>
              <w:t xml:space="preserve">Earmarked </w:t>
            </w:r>
            <w:r w:rsidR="00A46850" w:rsidRPr="00F13104">
              <w:rPr>
                <w:b/>
                <w:color w:val="auto"/>
                <w:sz w:val="20"/>
                <w:szCs w:val="20"/>
              </w:rPr>
              <w:t>Capital Funding Reserves (Revenue)</w:t>
            </w:r>
          </w:p>
        </w:tc>
        <w:tc>
          <w:tcPr>
            <w:tcW w:w="410" w:type="pct"/>
            <w:tcBorders>
              <w:top w:val="single" w:sz="4" w:space="0" w:color="auto"/>
            </w:tcBorders>
            <w:shd w:val="clear" w:color="auto" w:fill="D0CECE"/>
            <w:vAlign w:val="bottom"/>
          </w:tcPr>
          <w:p w14:paraId="0811242D" w14:textId="77777777" w:rsidR="00A46850" w:rsidRPr="00F13104" w:rsidRDefault="00A46850" w:rsidP="00F13104">
            <w:pPr>
              <w:jc w:val="center"/>
              <w:rPr>
                <w:b/>
                <w:color w:val="auto"/>
                <w:sz w:val="20"/>
                <w:szCs w:val="20"/>
              </w:rPr>
            </w:pPr>
            <w:r w:rsidRPr="00F13104">
              <w:rPr>
                <w:b/>
                <w:color w:val="auto"/>
                <w:sz w:val="20"/>
                <w:szCs w:val="20"/>
              </w:rPr>
              <w:t>Capital Receipts Reserve</w:t>
            </w:r>
          </w:p>
        </w:tc>
        <w:tc>
          <w:tcPr>
            <w:tcW w:w="419" w:type="pct"/>
            <w:tcBorders>
              <w:top w:val="single" w:sz="4" w:space="0" w:color="auto"/>
            </w:tcBorders>
            <w:shd w:val="clear" w:color="auto" w:fill="D0CECE"/>
            <w:vAlign w:val="bottom"/>
          </w:tcPr>
          <w:p w14:paraId="14A59A22" w14:textId="77777777" w:rsidR="00A46850" w:rsidRPr="00F13104" w:rsidRDefault="00A46850" w:rsidP="00F13104">
            <w:pPr>
              <w:jc w:val="center"/>
              <w:rPr>
                <w:b/>
                <w:color w:val="auto"/>
                <w:sz w:val="20"/>
                <w:szCs w:val="20"/>
              </w:rPr>
            </w:pPr>
            <w:r w:rsidRPr="00F13104">
              <w:rPr>
                <w:b/>
                <w:color w:val="auto"/>
                <w:sz w:val="20"/>
                <w:szCs w:val="20"/>
              </w:rPr>
              <w:t>Capital Grants Unapplied</w:t>
            </w:r>
            <w:r>
              <w:rPr>
                <w:b/>
                <w:color w:val="auto"/>
                <w:sz w:val="20"/>
                <w:szCs w:val="20"/>
              </w:rPr>
              <w:t xml:space="preserve"> Account</w:t>
            </w:r>
          </w:p>
        </w:tc>
        <w:tc>
          <w:tcPr>
            <w:tcW w:w="392" w:type="pct"/>
            <w:tcBorders>
              <w:top w:val="single" w:sz="4" w:space="0" w:color="auto"/>
            </w:tcBorders>
            <w:shd w:val="clear" w:color="auto" w:fill="D0CECE"/>
            <w:vAlign w:val="bottom"/>
          </w:tcPr>
          <w:p w14:paraId="3016BE47" w14:textId="77777777" w:rsidR="00A46850" w:rsidRPr="00F13104" w:rsidRDefault="00A46850" w:rsidP="00F13104">
            <w:pPr>
              <w:jc w:val="center"/>
              <w:rPr>
                <w:b/>
                <w:color w:val="auto"/>
                <w:sz w:val="20"/>
                <w:szCs w:val="20"/>
              </w:rPr>
            </w:pPr>
            <w:r w:rsidRPr="00F13104">
              <w:rPr>
                <w:b/>
                <w:color w:val="auto"/>
                <w:sz w:val="20"/>
                <w:szCs w:val="20"/>
              </w:rPr>
              <w:t>Total Usable Reserves</w:t>
            </w:r>
          </w:p>
        </w:tc>
        <w:tc>
          <w:tcPr>
            <w:tcW w:w="396" w:type="pct"/>
            <w:tcBorders>
              <w:top w:val="single" w:sz="4" w:space="0" w:color="auto"/>
            </w:tcBorders>
            <w:shd w:val="clear" w:color="auto" w:fill="D0CECE"/>
            <w:vAlign w:val="bottom"/>
          </w:tcPr>
          <w:p w14:paraId="738E7EE9" w14:textId="77777777" w:rsidR="00A46850" w:rsidRPr="00F13104" w:rsidRDefault="00A46850" w:rsidP="00F13104">
            <w:pPr>
              <w:jc w:val="center"/>
              <w:rPr>
                <w:b/>
                <w:color w:val="auto"/>
                <w:sz w:val="20"/>
                <w:szCs w:val="20"/>
              </w:rPr>
            </w:pPr>
            <w:r w:rsidRPr="00F13104">
              <w:rPr>
                <w:b/>
                <w:color w:val="auto"/>
                <w:sz w:val="20"/>
                <w:szCs w:val="20"/>
              </w:rPr>
              <w:t>Total Unusable Reserves</w:t>
            </w:r>
          </w:p>
        </w:tc>
        <w:tc>
          <w:tcPr>
            <w:tcW w:w="392" w:type="pct"/>
            <w:tcBorders>
              <w:top w:val="single" w:sz="4" w:space="0" w:color="auto"/>
              <w:right w:val="single" w:sz="4" w:space="0" w:color="auto"/>
            </w:tcBorders>
            <w:shd w:val="clear" w:color="auto" w:fill="D0CECE"/>
            <w:vAlign w:val="bottom"/>
          </w:tcPr>
          <w:p w14:paraId="3CA797AC" w14:textId="77777777" w:rsidR="00A46850" w:rsidRPr="00F13104" w:rsidRDefault="00A46850" w:rsidP="00F13104">
            <w:pPr>
              <w:jc w:val="center"/>
              <w:rPr>
                <w:b/>
                <w:color w:val="auto"/>
                <w:sz w:val="20"/>
                <w:szCs w:val="20"/>
              </w:rPr>
            </w:pPr>
            <w:r w:rsidRPr="00F13104">
              <w:rPr>
                <w:b/>
                <w:color w:val="auto"/>
                <w:sz w:val="20"/>
                <w:szCs w:val="20"/>
              </w:rPr>
              <w:t>Total Reserves</w:t>
            </w:r>
          </w:p>
        </w:tc>
      </w:tr>
      <w:tr w:rsidR="00C306B3" w:rsidRPr="00F13104" w14:paraId="62A8C1D1" w14:textId="77777777" w:rsidTr="00C306B3">
        <w:trPr>
          <w:trHeight w:val="454"/>
          <w:tblHeader/>
          <w:jc w:val="center"/>
        </w:trPr>
        <w:tc>
          <w:tcPr>
            <w:tcW w:w="1685" w:type="pct"/>
            <w:tcBorders>
              <w:left w:val="single" w:sz="4" w:space="0" w:color="auto"/>
            </w:tcBorders>
            <w:shd w:val="clear" w:color="auto" w:fill="D0CECE"/>
            <w:vAlign w:val="bottom"/>
          </w:tcPr>
          <w:p w14:paraId="358D80DD" w14:textId="77777777" w:rsidR="00A46850" w:rsidRPr="00F13104" w:rsidRDefault="00A46850" w:rsidP="00F13104">
            <w:pPr>
              <w:jc w:val="left"/>
              <w:rPr>
                <w:b/>
                <w:color w:val="auto"/>
                <w:sz w:val="20"/>
                <w:szCs w:val="20"/>
              </w:rPr>
            </w:pPr>
          </w:p>
        </w:tc>
        <w:tc>
          <w:tcPr>
            <w:tcW w:w="421" w:type="pct"/>
            <w:tcBorders>
              <w:bottom w:val="nil"/>
            </w:tcBorders>
            <w:shd w:val="clear" w:color="auto" w:fill="D0CECE"/>
            <w:vAlign w:val="bottom"/>
          </w:tcPr>
          <w:p w14:paraId="10955D9A" w14:textId="77777777" w:rsidR="00A46850" w:rsidRPr="00F13104" w:rsidRDefault="00A46850" w:rsidP="00F13104">
            <w:pPr>
              <w:jc w:val="center"/>
              <w:rPr>
                <w:b/>
                <w:color w:val="auto"/>
                <w:sz w:val="20"/>
                <w:szCs w:val="20"/>
              </w:rPr>
            </w:pPr>
            <w:r w:rsidRPr="00F13104">
              <w:rPr>
                <w:b/>
                <w:color w:val="auto"/>
                <w:sz w:val="20"/>
                <w:szCs w:val="20"/>
              </w:rPr>
              <w:t>£m</w:t>
            </w:r>
          </w:p>
        </w:tc>
        <w:tc>
          <w:tcPr>
            <w:tcW w:w="467" w:type="pct"/>
            <w:tcBorders>
              <w:bottom w:val="nil"/>
            </w:tcBorders>
            <w:shd w:val="clear" w:color="auto" w:fill="D0CECE"/>
            <w:vAlign w:val="bottom"/>
          </w:tcPr>
          <w:p w14:paraId="4D34A314" w14:textId="77777777" w:rsidR="00A46850" w:rsidRPr="00F13104" w:rsidRDefault="00A46850" w:rsidP="00F13104">
            <w:pPr>
              <w:jc w:val="center"/>
              <w:rPr>
                <w:b/>
                <w:color w:val="auto"/>
                <w:sz w:val="20"/>
                <w:szCs w:val="20"/>
              </w:rPr>
            </w:pPr>
            <w:r w:rsidRPr="00F13104">
              <w:rPr>
                <w:b/>
                <w:color w:val="auto"/>
                <w:sz w:val="20"/>
                <w:szCs w:val="20"/>
              </w:rPr>
              <w:t>£m</w:t>
            </w:r>
          </w:p>
        </w:tc>
        <w:tc>
          <w:tcPr>
            <w:tcW w:w="419" w:type="pct"/>
            <w:tcBorders>
              <w:bottom w:val="nil"/>
            </w:tcBorders>
            <w:shd w:val="clear" w:color="auto" w:fill="D0CECE"/>
            <w:vAlign w:val="bottom"/>
          </w:tcPr>
          <w:p w14:paraId="61CAAC72" w14:textId="77777777" w:rsidR="00A46850" w:rsidRPr="00F13104" w:rsidRDefault="00A46850" w:rsidP="00F13104">
            <w:pPr>
              <w:jc w:val="center"/>
              <w:rPr>
                <w:b/>
                <w:color w:val="auto"/>
                <w:sz w:val="20"/>
                <w:szCs w:val="20"/>
              </w:rPr>
            </w:pPr>
            <w:r w:rsidRPr="00F13104">
              <w:rPr>
                <w:b/>
                <w:color w:val="auto"/>
                <w:sz w:val="20"/>
                <w:szCs w:val="20"/>
              </w:rPr>
              <w:t>£m</w:t>
            </w:r>
          </w:p>
        </w:tc>
        <w:tc>
          <w:tcPr>
            <w:tcW w:w="410" w:type="pct"/>
            <w:tcBorders>
              <w:bottom w:val="nil"/>
            </w:tcBorders>
            <w:shd w:val="clear" w:color="auto" w:fill="D0CECE"/>
            <w:vAlign w:val="bottom"/>
          </w:tcPr>
          <w:p w14:paraId="37467059" w14:textId="77777777" w:rsidR="00A46850" w:rsidRPr="00F13104" w:rsidRDefault="00A46850" w:rsidP="00F13104">
            <w:pPr>
              <w:jc w:val="center"/>
              <w:rPr>
                <w:b/>
                <w:color w:val="auto"/>
                <w:sz w:val="20"/>
                <w:szCs w:val="20"/>
              </w:rPr>
            </w:pPr>
            <w:r w:rsidRPr="00F13104">
              <w:rPr>
                <w:b/>
                <w:color w:val="auto"/>
                <w:sz w:val="20"/>
                <w:szCs w:val="20"/>
              </w:rPr>
              <w:t>£m</w:t>
            </w:r>
          </w:p>
        </w:tc>
        <w:tc>
          <w:tcPr>
            <w:tcW w:w="419" w:type="pct"/>
            <w:tcBorders>
              <w:bottom w:val="nil"/>
            </w:tcBorders>
            <w:shd w:val="clear" w:color="auto" w:fill="D0CECE"/>
            <w:vAlign w:val="bottom"/>
          </w:tcPr>
          <w:p w14:paraId="2450E57E" w14:textId="77777777" w:rsidR="00A46850" w:rsidRPr="00F13104" w:rsidRDefault="00A46850" w:rsidP="00F13104">
            <w:pPr>
              <w:jc w:val="center"/>
              <w:rPr>
                <w:b/>
                <w:color w:val="auto"/>
                <w:sz w:val="20"/>
                <w:szCs w:val="20"/>
              </w:rPr>
            </w:pPr>
            <w:r w:rsidRPr="00F13104">
              <w:rPr>
                <w:b/>
                <w:color w:val="auto"/>
                <w:sz w:val="20"/>
                <w:szCs w:val="20"/>
              </w:rPr>
              <w:t>£m</w:t>
            </w:r>
          </w:p>
        </w:tc>
        <w:tc>
          <w:tcPr>
            <w:tcW w:w="392" w:type="pct"/>
            <w:tcBorders>
              <w:bottom w:val="nil"/>
            </w:tcBorders>
            <w:shd w:val="clear" w:color="auto" w:fill="D0CECE"/>
            <w:vAlign w:val="bottom"/>
          </w:tcPr>
          <w:p w14:paraId="4E80E079" w14:textId="77777777" w:rsidR="00A46850" w:rsidRPr="00F13104" w:rsidRDefault="00A46850" w:rsidP="00F13104">
            <w:pPr>
              <w:jc w:val="center"/>
              <w:rPr>
                <w:b/>
                <w:color w:val="auto"/>
                <w:sz w:val="20"/>
                <w:szCs w:val="20"/>
              </w:rPr>
            </w:pPr>
            <w:r w:rsidRPr="00F13104">
              <w:rPr>
                <w:b/>
                <w:color w:val="auto"/>
                <w:sz w:val="20"/>
                <w:szCs w:val="20"/>
              </w:rPr>
              <w:t>£m</w:t>
            </w:r>
          </w:p>
        </w:tc>
        <w:tc>
          <w:tcPr>
            <w:tcW w:w="396" w:type="pct"/>
            <w:tcBorders>
              <w:bottom w:val="nil"/>
            </w:tcBorders>
            <w:shd w:val="clear" w:color="auto" w:fill="D0CECE"/>
            <w:vAlign w:val="bottom"/>
          </w:tcPr>
          <w:p w14:paraId="413069A8" w14:textId="77777777" w:rsidR="00A46850" w:rsidRPr="00F13104" w:rsidRDefault="00A46850" w:rsidP="00F13104">
            <w:pPr>
              <w:jc w:val="center"/>
              <w:rPr>
                <w:b/>
                <w:color w:val="auto"/>
                <w:sz w:val="20"/>
                <w:szCs w:val="20"/>
              </w:rPr>
            </w:pPr>
            <w:r w:rsidRPr="00F13104">
              <w:rPr>
                <w:b/>
                <w:color w:val="auto"/>
                <w:sz w:val="20"/>
                <w:szCs w:val="20"/>
              </w:rPr>
              <w:t>£m</w:t>
            </w:r>
          </w:p>
        </w:tc>
        <w:tc>
          <w:tcPr>
            <w:tcW w:w="392" w:type="pct"/>
            <w:tcBorders>
              <w:bottom w:val="nil"/>
              <w:right w:val="single" w:sz="4" w:space="0" w:color="auto"/>
            </w:tcBorders>
            <w:shd w:val="clear" w:color="auto" w:fill="D0CECE"/>
            <w:vAlign w:val="bottom"/>
          </w:tcPr>
          <w:p w14:paraId="79523ADA" w14:textId="77777777" w:rsidR="00A46850" w:rsidRPr="00F13104" w:rsidRDefault="00A46850" w:rsidP="00F13104">
            <w:pPr>
              <w:jc w:val="center"/>
              <w:rPr>
                <w:b/>
                <w:color w:val="auto"/>
                <w:sz w:val="20"/>
                <w:szCs w:val="20"/>
              </w:rPr>
            </w:pPr>
            <w:r w:rsidRPr="00F13104">
              <w:rPr>
                <w:b/>
                <w:color w:val="auto"/>
                <w:sz w:val="20"/>
                <w:szCs w:val="20"/>
              </w:rPr>
              <w:t>£m</w:t>
            </w:r>
          </w:p>
        </w:tc>
      </w:tr>
      <w:tr w:rsidR="00A46850" w:rsidRPr="00F13104" w14:paraId="7733606B" w14:textId="77777777" w:rsidTr="00A06955">
        <w:trPr>
          <w:trHeight w:val="454"/>
          <w:jc w:val="center"/>
        </w:trPr>
        <w:tc>
          <w:tcPr>
            <w:tcW w:w="1685" w:type="pct"/>
            <w:tcBorders>
              <w:left w:val="single" w:sz="4" w:space="0" w:color="auto"/>
            </w:tcBorders>
            <w:shd w:val="clear" w:color="auto" w:fill="auto"/>
            <w:vAlign w:val="bottom"/>
          </w:tcPr>
          <w:p w14:paraId="7F205C3E" w14:textId="3D58E869" w:rsidR="00A46850" w:rsidRPr="00F13104" w:rsidRDefault="00A46850" w:rsidP="00F13104">
            <w:pPr>
              <w:jc w:val="left"/>
              <w:rPr>
                <w:b/>
                <w:color w:val="auto"/>
                <w:sz w:val="20"/>
                <w:szCs w:val="20"/>
              </w:rPr>
            </w:pPr>
            <w:r w:rsidRPr="00F13104">
              <w:rPr>
                <w:b/>
                <w:color w:val="auto"/>
                <w:sz w:val="20"/>
                <w:szCs w:val="20"/>
              </w:rPr>
              <w:t xml:space="preserve">Balance </w:t>
            </w:r>
            <w:r w:rsidR="00424AFC">
              <w:rPr>
                <w:b/>
                <w:color w:val="auto"/>
                <w:sz w:val="20"/>
                <w:szCs w:val="20"/>
              </w:rPr>
              <w:t xml:space="preserve">as </w:t>
            </w:r>
            <w:r w:rsidRPr="00F13104">
              <w:rPr>
                <w:b/>
                <w:color w:val="auto"/>
                <w:sz w:val="20"/>
                <w:szCs w:val="20"/>
              </w:rPr>
              <w:t>at 1st April 2013</w:t>
            </w:r>
          </w:p>
        </w:tc>
        <w:tc>
          <w:tcPr>
            <w:tcW w:w="421" w:type="pct"/>
            <w:tcBorders>
              <w:top w:val="nil"/>
              <w:bottom w:val="single" w:sz="4" w:space="0" w:color="auto"/>
            </w:tcBorders>
            <w:shd w:val="clear" w:color="auto" w:fill="auto"/>
            <w:vAlign w:val="bottom"/>
          </w:tcPr>
          <w:p w14:paraId="177FB741" w14:textId="77777777" w:rsidR="00A46850" w:rsidRPr="00F13104" w:rsidRDefault="00A46850" w:rsidP="00E35139">
            <w:pPr>
              <w:tabs>
                <w:tab w:val="decimal" w:pos="537"/>
              </w:tabs>
              <w:rPr>
                <w:b/>
                <w:color w:val="auto"/>
                <w:sz w:val="20"/>
                <w:szCs w:val="20"/>
              </w:rPr>
            </w:pPr>
            <w:r w:rsidRPr="00F13104">
              <w:rPr>
                <w:b/>
                <w:color w:val="auto"/>
                <w:sz w:val="20"/>
                <w:szCs w:val="20"/>
              </w:rPr>
              <w:t>(36.0)</w:t>
            </w:r>
          </w:p>
        </w:tc>
        <w:tc>
          <w:tcPr>
            <w:tcW w:w="467" w:type="pct"/>
            <w:tcBorders>
              <w:top w:val="nil"/>
              <w:bottom w:val="single" w:sz="4" w:space="0" w:color="auto"/>
            </w:tcBorders>
            <w:shd w:val="clear" w:color="auto" w:fill="auto"/>
            <w:vAlign w:val="bottom"/>
          </w:tcPr>
          <w:p w14:paraId="19A5EE7D" w14:textId="624BC4B6" w:rsidR="00A46850" w:rsidRPr="00F13104" w:rsidRDefault="00A46850">
            <w:pPr>
              <w:tabs>
                <w:tab w:val="decimal" w:pos="591"/>
              </w:tabs>
              <w:rPr>
                <w:b/>
                <w:color w:val="auto"/>
                <w:sz w:val="20"/>
                <w:szCs w:val="20"/>
              </w:rPr>
            </w:pPr>
            <w:r w:rsidRPr="00F13104">
              <w:rPr>
                <w:b/>
                <w:color w:val="auto"/>
                <w:sz w:val="20"/>
                <w:szCs w:val="20"/>
              </w:rPr>
              <w:t>(25</w:t>
            </w:r>
            <w:r>
              <w:rPr>
                <w:b/>
                <w:color w:val="auto"/>
                <w:sz w:val="20"/>
                <w:szCs w:val="20"/>
              </w:rPr>
              <w:t>8.5</w:t>
            </w:r>
            <w:r w:rsidRPr="00F13104">
              <w:rPr>
                <w:b/>
                <w:color w:val="auto"/>
                <w:sz w:val="20"/>
                <w:szCs w:val="20"/>
              </w:rPr>
              <w:t>)</w:t>
            </w:r>
          </w:p>
        </w:tc>
        <w:tc>
          <w:tcPr>
            <w:tcW w:w="419" w:type="pct"/>
            <w:tcBorders>
              <w:top w:val="nil"/>
              <w:bottom w:val="single" w:sz="4" w:space="0" w:color="auto"/>
            </w:tcBorders>
            <w:shd w:val="clear" w:color="auto" w:fill="auto"/>
            <w:vAlign w:val="bottom"/>
          </w:tcPr>
          <w:p w14:paraId="595E226F" w14:textId="77777777" w:rsidR="00A46850" w:rsidRPr="00F13104" w:rsidRDefault="00A46850" w:rsidP="00E35139">
            <w:pPr>
              <w:tabs>
                <w:tab w:val="decimal" w:pos="545"/>
              </w:tabs>
              <w:rPr>
                <w:b/>
                <w:color w:val="auto"/>
                <w:sz w:val="20"/>
                <w:szCs w:val="20"/>
              </w:rPr>
            </w:pPr>
            <w:r w:rsidRPr="00F13104">
              <w:rPr>
                <w:b/>
                <w:color w:val="auto"/>
                <w:sz w:val="20"/>
                <w:szCs w:val="20"/>
              </w:rPr>
              <w:t>(43.7)</w:t>
            </w:r>
          </w:p>
        </w:tc>
        <w:tc>
          <w:tcPr>
            <w:tcW w:w="410" w:type="pct"/>
            <w:tcBorders>
              <w:top w:val="nil"/>
              <w:bottom w:val="single" w:sz="4" w:space="0" w:color="auto"/>
            </w:tcBorders>
            <w:shd w:val="clear" w:color="auto" w:fill="auto"/>
            <w:vAlign w:val="bottom"/>
          </w:tcPr>
          <w:p w14:paraId="0B5BD68B" w14:textId="77777777" w:rsidR="00A46850" w:rsidRPr="00F13104" w:rsidRDefault="00A46850" w:rsidP="00E35139">
            <w:pPr>
              <w:tabs>
                <w:tab w:val="decimal" w:pos="552"/>
              </w:tabs>
              <w:rPr>
                <w:b/>
                <w:color w:val="auto"/>
                <w:sz w:val="20"/>
                <w:szCs w:val="20"/>
              </w:rPr>
            </w:pPr>
            <w:r w:rsidRPr="00F13104">
              <w:rPr>
                <w:b/>
                <w:color w:val="auto"/>
                <w:sz w:val="20"/>
                <w:szCs w:val="20"/>
              </w:rPr>
              <w:t>(26.6)</w:t>
            </w:r>
          </w:p>
        </w:tc>
        <w:tc>
          <w:tcPr>
            <w:tcW w:w="419" w:type="pct"/>
            <w:tcBorders>
              <w:top w:val="nil"/>
              <w:bottom w:val="single" w:sz="4" w:space="0" w:color="auto"/>
            </w:tcBorders>
            <w:shd w:val="clear" w:color="auto" w:fill="auto"/>
            <w:vAlign w:val="bottom"/>
          </w:tcPr>
          <w:p w14:paraId="5D423A48" w14:textId="77777777" w:rsidR="00A46850" w:rsidRPr="00F13104" w:rsidRDefault="00A46850" w:rsidP="00E35139">
            <w:pPr>
              <w:tabs>
                <w:tab w:val="decimal" w:pos="520"/>
              </w:tabs>
              <w:rPr>
                <w:b/>
                <w:color w:val="auto"/>
                <w:sz w:val="20"/>
                <w:szCs w:val="20"/>
              </w:rPr>
            </w:pPr>
            <w:r w:rsidRPr="00F13104">
              <w:rPr>
                <w:b/>
                <w:color w:val="auto"/>
                <w:sz w:val="20"/>
                <w:szCs w:val="20"/>
              </w:rPr>
              <w:t>(92.1)</w:t>
            </w:r>
          </w:p>
        </w:tc>
        <w:tc>
          <w:tcPr>
            <w:tcW w:w="392" w:type="pct"/>
            <w:tcBorders>
              <w:top w:val="nil"/>
              <w:bottom w:val="single" w:sz="4" w:space="0" w:color="auto"/>
            </w:tcBorders>
            <w:shd w:val="clear" w:color="auto" w:fill="auto"/>
            <w:vAlign w:val="bottom"/>
          </w:tcPr>
          <w:p w14:paraId="50C2C74E" w14:textId="77777777" w:rsidR="00A46850" w:rsidRPr="00F13104" w:rsidRDefault="00A46850" w:rsidP="00E35139">
            <w:pPr>
              <w:tabs>
                <w:tab w:val="decimal" w:pos="471"/>
              </w:tabs>
              <w:rPr>
                <w:b/>
                <w:color w:val="auto"/>
                <w:sz w:val="20"/>
                <w:szCs w:val="20"/>
              </w:rPr>
            </w:pPr>
            <w:r w:rsidRPr="00F13104">
              <w:rPr>
                <w:b/>
                <w:color w:val="auto"/>
                <w:sz w:val="20"/>
                <w:szCs w:val="20"/>
              </w:rPr>
              <w:t>(456.9)</w:t>
            </w:r>
          </w:p>
        </w:tc>
        <w:tc>
          <w:tcPr>
            <w:tcW w:w="396" w:type="pct"/>
            <w:tcBorders>
              <w:top w:val="nil"/>
              <w:bottom w:val="single" w:sz="4" w:space="0" w:color="auto"/>
            </w:tcBorders>
            <w:shd w:val="clear" w:color="auto" w:fill="auto"/>
            <w:vAlign w:val="bottom"/>
          </w:tcPr>
          <w:p w14:paraId="5B64CB6F" w14:textId="77777777" w:rsidR="00A46850" w:rsidRPr="00F13104" w:rsidRDefault="00A46850" w:rsidP="00E35139">
            <w:pPr>
              <w:tabs>
                <w:tab w:val="decimal" w:pos="499"/>
              </w:tabs>
              <w:rPr>
                <w:b/>
                <w:color w:val="auto"/>
                <w:sz w:val="20"/>
                <w:szCs w:val="20"/>
              </w:rPr>
            </w:pPr>
            <w:r w:rsidRPr="00F13104">
              <w:rPr>
                <w:b/>
                <w:color w:val="auto"/>
                <w:sz w:val="20"/>
                <w:szCs w:val="20"/>
              </w:rPr>
              <w:t>(406.8)</w:t>
            </w:r>
          </w:p>
        </w:tc>
        <w:tc>
          <w:tcPr>
            <w:tcW w:w="392" w:type="pct"/>
            <w:tcBorders>
              <w:top w:val="nil"/>
              <w:bottom w:val="single" w:sz="4" w:space="0" w:color="auto"/>
              <w:right w:val="single" w:sz="4" w:space="0" w:color="auto"/>
            </w:tcBorders>
            <w:shd w:val="clear" w:color="auto" w:fill="auto"/>
            <w:vAlign w:val="bottom"/>
          </w:tcPr>
          <w:p w14:paraId="44DD41D5" w14:textId="77777777" w:rsidR="00A46850" w:rsidRPr="00F13104" w:rsidRDefault="00A46850" w:rsidP="00E35139">
            <w:pPr>
              <w:tabs>
                <w:tab w:val="decimal" w:pos="516"/>
              </w:tabs>
              <w:rPr>
                <w:b/>
                <w:color w:val="auto"/>
                <w:sz w:val="20"/>
                <w:szCs w:val="20"/>
              </w:rPr>
            </w:pPr>
            <w:r w:rsidRPr="00F13104">
              <w:rPr>
                <w:b/>
                <w:color w:val="auto"/>
                <w:sz w:val="20"/>
                <w:szCs w:val="20"/>
              </w:rPr>
              <w:t>(863.7)</w:t>
            </w:r>
          </w:p>
        </w:tc>
      </w:tr>
      <w:tr w:rsidR="00A46850" w:rsidRPr="00F13104" w14:paraId="01F0A6DC" w14:textId="77777777" w:rsidTr="00A06955">
        <w:trPr>
          <w:trHeight w:val="454"/>
          <w:jc w:val="center"/>
        </w:trPr>
        <w:tc>
          <w:tcPr>
            <w:tcW w:w="1685" w:type="pct"/>
            <w:tcBorders>
              <w:left w:val="single" w:sz="4" w:space="0" w:color="auto"/>
            </w:tcBorders>
            <w:shd w:val="clear" w:color="auto" w:fill="auto"/>
            <w:vAlign w:val="bottom"/>
          </w:tcPr>
          <w:p w14:paraId="0906D320" w14:textId="77777777" w:rsidR="00A46850" w:rsidRPr="00F13104" w:rsidRDefault="00A46850" w:rsidP="00F13104">
            <w:pPr>
              <w:jc w:val="left"/>
              <w:rPr>
                <w:color w:val="auto"/>
                <w:sz w:val="20"/>
                <w:szCs w:val="20"/>
                <w:u w:val="single"/>
              </w:rPr>
            </w:pPr>
            <w:r w:rsidRPr="00F13104">
              <w:rPr>
                <w:color w:val="auto"/>
                <w:sz w:val="20"/>
                <w:szCs w:val="20"/>
                <w:u w:val="single"/>
              </w:rPr>
              <w:t>Movement in Reserves During 2013/14</w:t>
            </w:r>
          </w:p>
        </w:tc>
        <w:tc>
          <w:tcPr>
            <w:tcW w:w="421" w:type="pct"/>
            <w:tcBorders>
              <w:top w:val="single" w:sz="4" w:space="0" w:color="auto"/>
            </w:tcBorders>
            <w:shd w:val="clear" w:color="auto" w:fill="auto"/>
            <w:vAlign w:val="bottom"/>
          </w:tcPr>
          <w:p w14:paraId="65DE159D" w14:textId="77777777" w:rsidR="00A46850" w:rsidRPr="00F13104" w:rsidRDefault="00A46850" w:rsidP="00E35139">
            <w:pPr>
              <w:tabs>
                <w:tab w:val="decimal" w:pos="537"/>
              </w:tabs>
              <w:rPr>
                <w:color w:val="auto"/>
                <w:sz w:val="20"/>
                <w:szCs w:val="20"/>
              </w:rPr>
            </w:pPr>
          </w:p>
        </w:tc>
        <w:tc>
          <w:tcPr>
            <w:tcW w:w="467" w:type="pct"/>
            <w:tcBorders>
              <w:top w:val="single" w:sz="4" w:space="0" w:color="auto"/>
            </w:tcBorders>
            <w:shd w:val="clear" w:color="auto" w:fill="auto"/>
            <w:vAlign w:val="bottom"/>
          </w:tcPr>
          <w:p w14:paraId="13F02192" w14:textId="77777777" w:rsidR="00A46850" w:rsidRPr="00F13104" w:rsidRDefault="00A46850" w:rsidP="00E35139">
            <w:pPr>
              <w:tabs>
                <w:tab w:val="decimal" w:pos="591"/>
              </w:tabs>
              <w:rPr>
                <w:color w:val="auto"/>
                <w:sz w:val="20"/>
                <w:szCs w:val="20"/>
              </w:rPr>
            </w:pPr>
          </w:p>
        </w:tc>
        <w:tc>
          <w:tcPr>
            <w:tcW w:w="419" w:type="pct"/>
            <w:tcBorders>
              <w:top w:val="single" w:sz="4" w:space="0" w:color="auto"/>
            </w:tcBorders>
            <w:shd w:val="clear" w:color="auto" w:fill="auto"/>
            <w:vAlign w:val="bottom"/>
          </w:tcPr>
          <w:p w14:paraId="2B215D80" w14:textId="77777777" w:rsidR="00A46850" w:rsidRPr="00F13104" w:rsidRDefault="00A46850" w:rsidP="00E35139">
            <w:pPr>
              <w:tabs>
                <w:tab w:val="decimal" w:pos="545"/>
              </w:tabs>
              <w:rPr>
                <w:color w:val="auto"/>
                <w:sz w:val="20"/>
                <w:szCs w:val="20"/>
              </w:rPr>
            </w:pPr>
          </w:p>
        </w:tc>
        <w:tc>
          <w:tcPr>
            <w:tcW w:w="410" w:type="pct"/>
            <w:tcBorders>
              <w:top w:val="single" w:sz="4" w:space="0" w:color="auto"/>
            </w:tcBorders>
            <w:shd w:val="clear" w:color="auto" w:fill="auto"/>
            <w:vAlign w:val="bottom"/>
          </w:tcPr>
          <w:p w14:paraId="3A0CCABF" w14:textId="77777777" w:rsidR="00A46850" w:rsidRPr="00F13104" w:rsidRDefault="00A46850" w:rsidP="00E35139">
            <w:pPr>
              <w:tabs>
                <w:tab w:val="decimal" w:pos="552"/>
              </w:tabs>
              <w:rPr>
                <w:color w:val="auto"/>
                <w:sz w:val="20"/>
                <w:szCs w:val="20"/>
              </w:rPr>
            </w:pPr>
          </w:p>
        </w:tc>
        <w:tc>
          <w:tcPr>
            <w:tcW w:w="419" w:type="pct"/>
            <w:tcBorders>
              <w:top w:val="single" w:sz="4" w:space="0" w:color="auto"/>
            </w:tcBorders>
            <w:shd w:val="clear" w:color="auto" w:fill="auto"/>
            <w:vAlign w:val="bottom"/>
          </w:tcPr>
          <w:p w14:paraId="17CAD3A9" w14:textId="77777777" w:rsidR="00A46850" w:rsidRPr="00F13104" w:rsidRDefault="00A46850" w:rsidP="00E35139">
            <w:pPr>
              <w:tabs>
                <w:tab w:val="decimal" w:pos="520"/>
              </w:tabs>
              <w:rPr>
                <w:color w:val="auto"/>
                <w:sz w:val="20"/>
                <w:szCs w:val="20"/>
              </w:rPr>
            </w:pPr>
          </w:p>
        </w:tc>
        <w:tc>
          <w:tcPr>
            <w:tcW w:w="392" w:type="pct"/>
            <w:tcBorders>
              <w:top w:val="single" w:sz="4" w:space="0" w:color="auto"/>
            </w:tcBorders>
            <w:shd w:val="clear" w:color="auto" w:fill="auto"/>
            <w:vAlign w:val="bottom"/>
          </w:tcPr>
          <w:p w14:paraId="5B26BECD" w14:textId="77777777" w:rsidR="00A46850" w:rsidRPr="00F13104" w:rsidRDefault="00A46850" w:rsidP="00E35139">
            <w:pPr>
              <w:tabs>
                <w:tab w:val="decimal" w:pos="471"/>
              </w:tabs>
              <w:rPr>
                <w:color w:val="auto"/>
                <w:sz w:val="20"/>
                <w:szCs w:val="20"/>
              </w:rPr>
            </w:pPr>
          </w:p>
        </w:tc>
        <w:tc>
          <w:tcPr>
            <w:tcW w:w="396" w:type="pct"/>
            <w:tcBorders>
              <w:top w:val="single" w:sz="4" w:space="0" w:color="auto"/>
            </w:tcBorders>
            <w:shd w:val="clear" w:color="auto" w:fill="auto"/>
            <w:vAlign w:val="bottom"/>
          </w:tcPr>
          <w:p w14:paraId="7872B874" w14:textId="77777777" w:rsidR="00A46850" w:rsidRPr="00F13104" w:rsidRDefault="00A46850" w:rsidP="00E35139">
            <w:pPr>
              <w:tabs>
                <w:tab w:val="decimal" w:pos="499"/>
              </w:tabs>
              <w:rPr>
                <w:color w:val="auto"/>
                <w:sz w:val="20"/>
                <w:szCs w:val="20"/>
              </w:rPr>
            </w:pPr>
          </w:p>
        </w:tc>
        <w:tc>
          <w:tcPr>
            <w:tcW w:w="392" w:type="pct"/>
            <w:tcBorders>
              <w:top w:val="single" w:sz="4" w:space="0" w:color="auto"/>
              <w:right w:val="single" w:sz="4" w:space="0" w:color="auto"/>
            </w:tcBorders>
            <w:shd w:val="clear" w:color="auto" w:fill="auto"/>
            <w:vAlign w:val="bottom"/>
          </w:tcPr>
          <w:p w14:paraId="641B2F40" w14:textId="77777777" w:rsidR="00A46850" w:rsidRPr="00F13104" w:rsidRDefault="00A46850" w:rsidP="00E35139">
            <w:pPr>
              <w:tabs>
                <w:tab w:val="decimal" w:pos="516"/>
              </w:tabs>
              <w:rPr>
                <w:color w:val="auto"/>
                <w:sz w:val="20"/>
                <w:szCs w:val="20"/>
              </w:rPr>
            </w:pPr>
          </w:p>
        </w:tc>
      </w:tr>
      <w:tr w:rsidR="00A46850" w:rsidRPr="00F13104" w14:paraId="14988920" w14:textId="77777777" w:rsidTr="00A06955">
        <w:trPr>
          <w:trHeight w:val="454"/>
          <w:jc w:val="center"/>
        </w:trPr>
        <w:tc>
          <w:tcPr>
            <w:tcW w:w="1685" w:type="pct"/>
            <w:tcBorders>
              <w:left w:val="single" w:sz="4" w:space="0" w:color="auto"/>
            </w:tcBorders>
            <w:shd w:val="clear" w:color="auto" w:fill="auto"/>
            <w:vAlign w:val="bottom"/>
          </w:tcPr>
          <w:p w14:paraId="083DFC06" w14:textId="77777777" w:rsidR="00A46850" w:rsidRPr="00F13104" w:rsidRDefault="00A46850" w:rsidP="00F13104">
            <w:pPr>
              <w:jc w:val="left"/>
              <w:rPr>
                <w:color w:val="auto"/>
                <w:sz w:val="20"/>
                <w:szCs w:val="20"/>
              </w:rPr>
            </w:pPr>
            <w:r w:rsidRPr="00F13104">
              <w:rPr>
                <w:color w:val="auto"/>
                <w:sz w:val="20"/>
                <w:szCs w:val="20"/>
              </w:rPr>
              <w:t>(Surplus) or deficit on provision of services</w:t>
            </w:r>
          </w:p>
        </w:tc>
        <w:tc>
          <w:tcPr>
            <w:tcW w:w="421" w:type="pct"/>
            <w:tcBorders>
              <w:bottom w:val="nil"/>
            </w:tcBorders>
            <w:shd w:val="clear" w:color="auto" w:fill="auto"/>
            <w:vAlign w:val="bottom"/>
          </w:tcPr>
          <w:p w14:paraId="4CFA2B34" w14:textId="77777777" w:rsidR="00A46850" w:rsidRPr="00F13104" w:rsidRDefault="00A46850" w:rsidP="00E35139">
            <w:pPr>
              <w:tabs>
                <w:tab w:val="decimal" w:pos="537"/>
              </w:tabs>
              <w:rPr>
                <w:color w:val="auto"/>
                <w:sz w:val="20"/>
                <w:szCs w:val="20"/>
              </w:rPr>
            </w:pPr>
            <w:r w:rsidRPr="00F13104">
              <w:rPr>
                <w:color w:val="auto"/>
                <w:sz w:val="20"/>
                <w:szCs w:val="20"/>
              </w:rPr>
              <w:t>19.9</w:t>
            </w:r>
          </w:p>
        </w:tc>
        <w:tc>
          <w:tcPr>
            <w:tcW w:w="467" w:type="pct"/>
            <w:tcBorders>
              <w:bottom w:val="nil"/>
            </w:tcBorders>
            <w:shd w:val="clear" w:color="auto" w:fill="auto"/>
            <w:vAlign w:val="bottom"/>
          </w:tcPr>
          <w:p w14:paraId="34583D21" w14:textId="77777777" w:rsidR="00A46850" w:rsidRPr="00F13104" w:rsidRDefault="00A46850" w:rsidP="00E35139">
            <w:pPr>
              <w:tabs>
                <w:tab w:val="decimal" w:pos="591"/>
              </w:tabs>
              <w:rPr>
                <w:color w:val="auto"/>
                <w:sz w:val="20"/>
                <w:szCs w:val="20"/>
              </w:rPr>
            </w:pPr>
            <w:r w:rsidRPr="00F13104">
              <w:rPr>
                <w:color w:val="auto"/>
                <w:sz w:val="20"/>
                <w:szCs w:val="20"/>
              </w:rPr>
              <w:t>-</w:t>
            </w:r>
          </w:p>
        </w:tc>
        <w:tc>
          <w:tcPr>
            <w:tcW w:w="419" w:type="pct"/>
            <w:tcBorders>
              <w:bottom w:val="nil"/>
            </w:tcBorders>
            <w:shd w:val="clear" w:color="auto" w:fill="auto"/>
            <w:vAlign w:val="bottom"/>
          </w:tcPr>
          <w:p w14:paraId="52A98222" w14:textId="77777777" w:rsidR="00A46850" w:rsidRPr="00F13104" w:rsidRDefault="00A46850" w:rsidP="00E35139">
            <w:pPr>
              <w:tabs>
                <w:tab w:val="decimal" w:pos="545"/>
              </w:tabs>
              <w:rPr>
                <w:color w:val="auto"/>
                <w:sz w:val="20"/>
                <w:szCs w:val="20"/>
              </w:rPr>
            </w:pPr>
            <w:r w:rsidRPr="00F13104">
              <w:rPr>
                <w:color w:val="auto"/>
                <w:sz w:val="20"/>
                <w:szCs w:val="20"/>
              </w:rPr>
              <w:t>-</w:t>
            </w:r>
          </w:p>
        </w:tc>
        <w:tc>
          <w:tcPr>
            <w:tcW w:w="410" w:type="pct"/>
            <w:tcBorders>
              <w:bottom w:val="nil"/>
            </w:tcBorders>
            <w:shd w:val="clear" w:color="auto" w:fill="auto"/>
            <w:vAlign w:val="bottom"/>
          </w:tcPr>
          <w:p w14:paraId="4BF222AD" w14:textId="77777777" w:rsidR="00A46850" w:rsidRPr="00F13104" w:rsidRDefault="00A46850" w:rsidP="00E35139">
            <w:pPr>
              <w:tabs>
                <w:tab w:val="decimal" w:pos="552"/>
              </w:tabs>
              <w:rPr>
                <w:color w:val="auto"/>
                <w:sz w:val="20"/>
                <w:szCs w:val="20"/>
              </w:rPr>
            </w:pPr>
            <w:r w:rsidRPr="00F13104">
              <w:rPr>
                <w:color w:val="auto"/>
                <w:sz w:val="20"/>
                <w:szCs w:val="20"/>
              </w:rPr>
              <w:t>-</w:t>
            </w:r>
          </w:p>
        </w:tc>
        <w:tc>
          <w:tcPr>
            <w:tcW w:w="419" w:type="pct"/>
            <w:tcBorders>
              <w:bottom w:val="nil"/>
            </w:tcBorders>
            <w:shd w:val="clear" w:color="auto" w:fill="auto"/>
            <w:vAlign w:val="bottom"/>
          </w:tcPr>
          <w:p w14:paraId="232915E6" w14:textId="77777777" w:rsidR="00A46850" w:rsidRPr="00F13104" w:rsidRDefault="00A46850" w:rsidP="00E35139">
            <w:pPr>
              <w:tabs>
                <w:tab w:val="decimal" w:pos="520"/>
              </w:tabs>
              <w:rPr>
                <w:color w:val="auto"/>
                <w:sz w:val="20"/>
                <w:szCs w:val="20"/>
              </w:rPr>
            </w:pPr>
            <w:r w:rsidRPr="00F13104">
              <w:rPr>
                <w:color w:val="auto"/>
                <w:sz w:val="20"/>
                <w:szCs w:val="20"/>
              </w:rPr>
              <w:t>-</w:t>
            </w:r>
          </w:p>
        </w:tc>
        <w:tc>
          <w:tcPr>
            <w:tcW w:w="392" w:type="pct"/>
            <w:tcBorders>
              <w:bottom w:val="nil"/>
            </w:tcBorders>
            <w:shd w:val="clear" w:color="auto" w:fill="auto"/>
            <w:vAlign w:val="bottom"/>
          </w:tcPr>
          <w:p w14:paraId="7A39E43B" w14:textId="77777777" w:rsidR="00A46850" w:rsidRPr="00F13104" w:rsidRDefault="00A46850" w:rsidP="00E35139">
            <w:pPr>
              <w:tabs>
                <w:tab w:val="decimal" w:pos="471"/>
              </w:tabs>
              <w:rPr>
                <w:color w:val="auto"/>
                <w:sz w:val="20"/>
                <w:szCs w:val="20"/>
              </w:rPr>
            </w:pPr>
            <w:r w:rsidRPr="00F13104">
              <w:rPr>
                <w:color w:val="auto"/>
                <w:sz w:val="20"/>
                <w:szCs w:val="20"/>
              </w:rPr>
              <w:t>19.9</w:t>
            </w:r>
          </w:p>
        </w:tc>
        <w:tc>
          <w:tcPr>
            <w:tcW w:w="396" w:type="pct"/>
            <w:tcBorders>
              <w:bottom w:val="nil"/>
            </w:tcBorders>
            <w:shd w:val="clear" w:color="auto" w:fill="auto"/>
            <w:vAlign w:val="bottom"/>
          </w:tcPr>
          <w:p w14:paraId="19F596CF" w14:textId="77777777" w:rsidR="00A46850" w:rsidRPr="00F13104" w:rsidRDefault="00A46850" w:rsidP="00E35139">
            <w:pPr>
              <w:tabs>
                <w:tab w:val="decimal" w:pos="499"/>
              </w:tabs>
              <w:rPr>
                <w:color w:val="auto"/>
                <w:sz w:val="20"/>
                <w:szCs w:val="20"/>
              </w:rPr>
            </w:pPr>
            <w:r w:rsidRPr="00F13104">
              <w:rPr>
                <w:color w:val="auto"/>
                <w:sz w:val="20"/>
                <w:szCs w:val="20"/>
              </w:rPr>
              <w:t>-</w:t>
            </w:r>
          </w:p>
        </w:tc>
        <w:tc>
          <w:tcPr>
            <w:tcW w:w="392" w:type="pct"/>
            <w:tcBorders>
              <w:bottom w:val="nil"/>
              <w:right w:val="single" w:sz="4" w:space="0" w:color="auto"/>
            </w:tcBorders>
            <w:shd w:val="clear" w:color="auto" w:fill="auto"/>
            <w:vAlign w:val="bottom"/>
          </w:tcPr>
          <w:p w14:paraId="7DA741E9" w14:textId="77777777" w:rsidR="00A46850" w:rsidRPr="00F13104" w:rsidRDefault="00A46850" w:rsidP="00E35139">
            <w:pPr>
              <w:tabs>
                <w:tab w:val="decimal" w:pos="516"/>
              </w:tabs>
              <w:rPr>
                <w:color w:val="auto"/>
                <w:sz w:val="20"/>
                <w:szCs w:val="20"/>
              </w:rPr>
            </w:pPr>
            <w:r w:rsidRPr="00F13104">
              <w:rPr>
                <w:color w:val="auto"/>
                <w:sz w:val="20"/>
                <w:szCs w:val="20"/>
              </w:rPr>
              <w:t>19.9</w:t>
            </w:r>
          </w:p>
        </w:tc>
      </w:tr>
      <w:tr w:rsidR="00A46850" w:rsidRPr="00F13104" w14:paraId="211CEA04" w14:textId="77777777" w:rsidTr="00A06955">
        <w:trPr>
          <w:trHeight w:val="454"/>
          <w:jc w:val="center"/>
        </w:trPr>
        <w:tc>
          <w:tcPr>
            <w:tcW w:w="1685" w:type="pct"/>
            <w:tcBorders>
              <w:left w:val="single" w:sz="4" w:space="0" w:color="auto"/>
            </w:tcBorders>
            <w:shd w:val="clear" w:color="auto" w:fill="auto"/>
            <w:vAlign w:val="bottom"/>
          </w:tcPr>
          <w:p w14:paraId="3AD13F4E" w14:textId="77777777" w:rsidR="00A46850" w:rsidRPr="00F13104" w:rsidRDefault="00A46850" w:rsidP="00F13104">
            <w:pPr>
              <w:jc w:val="left"/>
              <w:rPr>
                <w:color w:val="auto"/>
                <w:sz w:val="20"/>
                <w:szCs w:val="20"/>
              </w:rPr>
            </w:pPr>
            <w:r w:rsidRPr="00F13104">
              <w:rPr>
                <w:color w:val="auto"/>
                <w:sz w:val="20"/>
                <w:szCs w:val="20"/>
              </w:rPr>
              <w:t>Other Comprehensive Income and Expenditure</w:t>
            </w:r>
          </w:p>
        </w:tc>
        <w:tc>
          <w:tcPr>
            <w:tcW w:w="421" w:type="pct"/>
            <w:tcBorders>
              <w:top w:val="nil"/>
              <w:bottom w:val="single" w:sz="4" w:space="0" w:color="auto"/>
            </w:tcBorders>
            <w:shd w:val="clear" w:color="auto" w:fill="auto"/>
            <w:vAlign w:val="bottom"/>
          </w:tcPr>
          <w:p w14:paraId="08767366" w14:textId="77777777" w:rsidR="00A46850" w:rsidRPr="00F13104" w:rsidRDefault="00A46850" w:rsidP="00E35139">
            <w:pPr>
              <w:tabs>
                <w:tab w:val="decimal" w:pos="537"/>
              </w:tabs>
              <w:rPr>
                <w:color w:val="auto"/>
                <w:sz w:val="20"/>
                <w:szCs w:val="20"/>
              </w:rPr>
            </w:pPr>
            <w:r w:rsidRPr="00F13104">
              <w:rPr>
                <w:color w:val="auto"/>
                <w:sz w:val="20"/>
                <w:szCs w:val="20"/>
              </w:rPr>
              <w:t>-</w:t>
            </w:r>
          </w:p>
        </w:tc>
        <w:tc>
          <w:tcPr>
            <w:tcW w:w="467" w:type="pct"/>
            <w:tcBorders>
              <w:top w:val="nil"/>
              <w:bottom w:val="single" w:sz="4" w:space="0" w:color="auto"/>
            </w:tcBorders>
            <w:shd w:val="clear" w:color="auto" w:fill="auto"/>
            <w:vAlign w:val="bottom"/>
          </w:tcPr>
          <w:p w14:paraId="4335BE49" w14:textId="77777777" w:rsidR="00A46850" w:rsidRPr="00F13104" w:rsidRDefault="00A46850" w:rsidP="00E35139">
            <w:pPr>
              <w:tabs>
                <w:tab w:val="decimal" w:pos="591"/>
              </w:tabs>
              <w:rPr>
                <w:color w:val="auto"/>
                <w:sz w:val="20"/>
                <w:szCs w:val="20"/>
              </w:rPr>
            </w:pPr>
            <w:r w:rsidRPr="00F13104">
              <w:rPr>
                <w:color w:val="auto"/>
                <w:sz w:val="20"/>
                <w:szCs w:val="20"/>
              </w:rPr>
              <w:t>-</w:t>
            </w:r>
          </w:p>
        </w:tc>
        <w:tc>
          <w:tcPr>
            <w:tcW w:w="419" w:type="pct"/>
            <w:tcBorders>
              <w:top w:val="nil"/>
              <w:bottom w:val="single" w:sz="4" w:space="0" w:color="auto"/>
            </w:tcBorders>
            <w:shd w:val="clear" w:color="auto" w:fill="auto"/>
            <w:vAlign w:val="bottom"/>
          </w:tcPr>
          <w:p w14:paraId="2F9D864F" w14:textId="77777777" w:rsidR="00A46850" w:rsidRPr="00F13104" w:rsidRDefault="00A46850" w:rsidP="00E35139">
            <w:pPr>
              <w:tabs>
                <w:tab w:val="decimal" w:pos="545"/>
              </w:tabs>
              <w:rPr>
                <w:color w:val="auto"/>
                <w:sz w:val="20"/>
                <w:szCs w:val="20"/>
              </w:rPr>
            </w:pPr>
            <w:r w:rsidRPr="00F13104">
              <w:rPr>
                <w:color w:val="auto"/>
                <w:sz w:val="20"/>
                <w:szCs w:val="20"/>
              </w:rPr>
              <w:t>-</w:t>
            </w:r>
          </w:p>
        </w:tc>
        <w:tc>
          <w:tcPr>
            <w:tcW w:w="410" w:type="pct"/>
            <w:tcBorders>
              <w:top w:val="nil"/>
              <w:bottom w:val="single" w:sz="4" w:space="0" w:color="auto"/>
            </w:tcBorders>
            <w:shd w:val="clear" w:color="auto" w:fill="auto"/>
            <w:vAlign w:val="bottom"/>
          </w:tcPr>
          <w:p w14:paraId="49365F23" w14:textId="77777777" w:rsidR="00A46850" w:rsidRPr="00F13104" w:rsidRDefault="00A46850" w:rsidP="00E35139">
            <w:pPr>
              <w:tabs>
                <w:tab w:val="decimal" w:pos="552"/>
              </w:tabs>
              <w:rPr>
                <w:color w:val="auto"/>
                <w:sz w:val="20"/>
                <w:szCs w:val="20"/>
              </w:rPr>
            </w:pPr>
            <w:r w:rsidRPr="00F13104">
              <w:rPr>
                <w:color w:val="auto"/>
                <w:sz w:val="20"/>
                <w:szCs w:val="20"/>
              </w:rPr>
              <w:t>-</w:t>
            </w:r>
          </w:p>
        </w:tc>
        <w:tc>
          <w:tcPr>
            <w:tcW w:w="419" w:type="pct"/>
            <w:tcBorders>
              <w:top w:val="nil"/>
              <w:bottom w:val="single" w:sz="4" w:space="0" w:color="auto"/>
            </w:tcBorders>
            <w:shd w:val="clear" w:color="auto" w:fill="auto"/>
            <w:vAlign w:val="bottom"/>
          </w:tcPr>
          <w:p w14:paraId="45ECA4C5" w14:textId="77777777" w:rsidR="00A46850" w:rsidRPr="00F13104" w:rsidRDefault="00A46850" w:rsidP="00E35139">
            <w:pPr>
              <w:tabs>
                <w:tab w:val="decimal" w:pos="520"/>
              </w:tabs>
              <w:rPr>
                <w:color w:val="auto"/>
                <w:sz w:val="20"/>
                <w:szCs w:val="20"/>
              </w:rPr>
            </w:pPr>
            <w:r w:rsidRPr="00F13104">
              <w:rPr>
                <w:color w:val="auto"/>
                <w:sz w:val="20"/>
                <w:szCs w:val="20"/>
              </w:rPr>
              <w:t>4.4</w:t>
            </w:r>
          </w:p>
        </w:tc>
        <w:tc>
          <w:tcPr>
            <w:tcW w:w="392" w:type="pct"/>
            <w:tcBorders>
              <w:top w:val="nil"/>
              <w:bottom w:val="single" w:sz="4" w:space="0" w:color="auto"/>
            </w:tcBorders>
            <w:shd w:val="clear" w:color="auto" w:fill="auto"/>
            <w:vAlign w:val="bottom"/>
          </w:tcPr>
          <w:p w14:paraId="2279F85A" w14:textId="77777777" w:rsidR="00A46850" w:rsidRPr="00F13104" w:rsidRDefault="00A46850" w:rsidP="00E35139">
            <w:pPr>
              <w:tabs>
                <w:tab w:val="decimal" w:pos="471"/>
              </w:tabs>
              <w:rPr>
                <w:color w:val="auto"/>
                <w:sz w:val="20"/>
                <w:szCs w:val="20"/>
              </w:rPr>
            </w:pPr>
            <w:r w:rsidRPr="00F13104">
              <w:rPr>
                <w:color w:val="auto"/>
                <w:sz w:val="20"/>
                <w:szCs w:val="20"/>
              </w:rPr>
              <w:t>4.4</w:t>
            </w:r>
          </w:p>
        </w:tc>
        <w:tc>
          <w:tcPr>
            <w:tcW w:w="396" w:type="pct"/>
            <w:tcBorders>
              <w:top w:val="nil"/>
              <w:bottom w:val="single" w:sz="4" w:space="0" w:color="auto"/>
            </w:tcBorders>
            <w:shd w:val="clear" w:color="auto" w:fill="auto"/>
            <w:vAlign w:val="bottom"/>
          </w:tcPr>
          <w:p w14:paraId="3C3965EB" w14:textId="77777777" w:rsidR="00A46850" w:rsidRPr="00F13104" w:rsidRDefault="00A46850" w:rsidP="00E35139">
            <w:pPr>
              <w:tabs>
                <w:tab w:val="decimal" w:pos="499"/>
              </w:tabs>
              <w:rPr>
                <w:color w:val="auto"/>
                <w:sz w:val="20"/>
                <w:szCs w:val="20"/>
              </w:rPr>
            </w:pPr>
            <w:r w:rsidRPr="00F13104">
              <w:rPr>
                <w:color w:val="auto"/>
                <w:sz w:val="20"/>
                <w:szCs w:val="20"/>
              </w:rPr>
              <w:t>(263.8)</w:t>
            </w:r>
          </w:p>
        </w:tc>
        <w:tc>
          <w:tcPr>
            <w:tcW w:w="392" w:type="pct"/>
            <w:tcBorders>
              <w:top w:val="nil"/>
              <w:bottom w:val="single" w:sz="4" w:space="0" w:color="auto"/>
              <w:right w:val="single" w:sz="4" w:space="0" w:color="auto"/>
            </w:tcBorders>
            <w:shd w:val="clear" w:color="auto" w:fill="auto"/>
            <w:vAlign w:val="bottom"/>
          </w:tcPr>
          <w:p w14:paraId="0107BE51" w14:textId="77777777" w:rsidR="00A46850" w:rsidRPr="00F13104" w:rsidRDefault="00A46850" w:rsidP="00E35139">
            <w:pPr>
              <w:tabs>
                <w:tab w:val="decimal" w:pos="516"/>
              </w:tabs>
              <w:rPr>
                <w:color w:val="auto"/>
                <w:sz w:val="20"/>
                <w:szCs w:val="20"/>
              </w:rPr>
            </w:pPr>
            <w:r w:rsidRPr="00F13104">
              <w:rPr>
                <w:color w:val="auto"/>
                <w:sz w:val="20"/>
                <w:szCs w:val="20"/>
              </w:rPr>
              <w:t>(259.4)</w:t>
            </w:r>
          </w:p>
        </w:tc>
      </w:tr>
      <w:tr w:rsidR="00A46850" w:rsidRPr="00F13104" w14:paraId="09CE3A02" w14:textId="77777777" w:rsidTr="00A06955">
        <w:trPr>
          <w:trHeight w:val="454"/>
          <w:jc w:val="center"/>
        </w:trPr>
        <w:tc>
          <w:tcPr>
            <w:tcW w:w="1685" w:type="pct"/>
            <w:tcBorders>
              <w:left w:val="single" w:sz="4" w:space="0" w:color="auto"/>
            </w:tcBorders>
            <w:shd w:val="clear" w:color="auto" w:fill="auto"/>
            <w:vAlign w:val="bottom"/>
          </w:tcPr>
          <w:p w14:paraId="6D4A64F5" w14:textId="77777777" w:rsidR="00A46850" w:rsidRPr="00F13104" w:rsidRDefault="00A46850" w:rsidP="00F13104">
            <w:pPr>
              <w:jc w:val="left"/>
              <w:rPr>
                <w:b/>
                <w:color w:val="auto"/>
                <w:sz w:val="20"/>
                <w:szCs w:val="20"/>
              </w:rPr>
            </w:pPr>
            <w:r w:rsidRPr="00F13104">
              <w:rPr>
                <w:b/>
                <w:color w:val="auto"/>
                <w:sz w:val="20"/>
                <w:szCs w:val="20"/>
              </w:rPr>
              <w:t>Total Comprehensive Income and Expenditure</w:t>
            </w:r>
          </w:p>
        </w:tc>
        <w:tc>
          <w:tcPr>
            <w:tcW w:w="421" w:type="pct"/>
            <w:tcBorders>
              <w:top w:val="single" w:sz="4" w:space="0" w:color="auto"/>
              <w:bottom w:val="nil"/>
            </w:tcBorders>
            <w:shd w:val="clear" w:color="auto" w:fill="auto"/>
            <w:vAlign w:val="bottom"/>
          </w:tcPr>
          <w:p w14:paraId="5A0FF79C" w14:textId="227DEBA5" w:rsidR="00A46850" w:rsidRPr="00F13104" w:rsidRDefault="00DF4542" w:rsidP="00E35139">
            <w:pPr>
              <w:tabs>
                <w:tab w:val="decimal" w:pos="537"/>
              </w:tabs>
              <w:rPr>
                <w:b/>
                <w:color w:val="auto"/>
                <w:sz w:val="20"/>
                <w:szCs w:val="20"/>
              </w:rPr>
            </w:pPr>
            <w:r>
              <w:rPr>
                <w:b/>
                <w:color w:val="auto"/>
                <w:sz w:val="20"/>
                <w:szCs w:val="20"/>
              </w:rPr>
              <w:t>19.9</w:t>
            </w:r>
          </w:p>
        </w:tc>
        <w:tc>
          <w:tcPr>
            <w:tcW w:w="467" w:type="pct"/>
            <w:tcBorders>
              <w:top w:val="single" w:sz="4" w:space="0" w:color="auto"/>
              <w:bottom w:val="nil"/>
            </w:tcBorders>
            <w:shd w:val="clear" w:color="auto" w:fill="auto"/>
            <w:vAlign w:val="bottom"/>
          </w:tcPr>
          <w:p w14:paraId="319B13C8" w14:textId="77777777" w:rsidR="00A46850" w:rsidRPr="00F13104" w:rsidRDefault="00A46850" w:rsidP="00E35139">
            <w:pPr>
              <w:tabs>
                <w:tab w:val="decimal" w:pos="591"/>
              </w:tabs>
              <w:rPr>
                <w:b/>
                <w:color w:val="auto"/>
                <w:sz w:val="20"/>
                <w:szCs w:val="20"/>
              </w:rPr>
            </w:pPr>
            <w:r w:rsidRPr="00F13104">
              <w:rPr>
                <w:b/>
                <w:color w:val="auto"/>
                <w:sz w:val="20"/>
                <w:szCs w:val="20"/>
              </w:rPr>
              <w:t>-</w:t>
            </w:r>
          </w:p>
        </w:tc>
        <w:tc>
          <w:tcPr>
            <w:tcW w:w="419" w:type="pct"/>
            <w:tcBorders>
              <w:top w:val="single" w:sz="4" w:space="0" w:color="auto"/>
              <w:bottom w:val="nil"/>
            </w:tcBorders>
            <w:shd w:val="clear" w:color="auto" w:fill="auto"/>
            <w:vAlign w:val="bottom"/>
          </w:tcPr>
          <w:p w14:paraId="729D238E" w14:textId="77777777" w:rsidR="00A46850" w:rsidRPr="00F13104" w:rsidRDefault="00A46850" w:rsidP="00E35139">
            <w:pPr>
              <w:tabs>
                <w:tab w:val="decimal" w:pos="545"/>
              </w:tabs>
              <w:rPr>
                <w:b/>
                <w:color w:val="auto"/>
                <w:sz w:val="20"/>
                <w:szCs w:val="20"/>
              </w:rPr>
            </w:pPr>
            <w:r w:rsidRPr="00F13104">
              <w:rPr>
                <w:b/>
                <w:color w:val="auto"/>
                <w:sz w:val="20"/>
                <w:szCs w:val="20"/>
              </w:rPr>
              <w:t>-</w:t>
            </w:r>
          </w:p>
        </w:tc>
        <w:tc>
          <w:tcPr>
            <w:tcW w:w="410" w:type="pct"/>
            <w:tcBorders>
              <w:top w:val="single" w:sz="4" w:space="0" w:color="auto"/>
              <w:bottom w:val="nil"/>
            </w:tcBorders>
            <w:shd w:val="clear" w:color="auto" w:fill="auto"/>
            <w:vAlign w:val="bottom"/>
          </w:tcPr>
          <w:p w14:paraId="1169F114" w14:textId="77777777" w:rsidR="00A46850" w:rsidRPr="00F13104" w:rsidRDefault="00A46850" w:rsidP="00E35139">
            <w:pPr>
              <w:tabs>
                <w:tab w:val="decimal" w:pos="552"/>
              </w:tabs>
              <w:rPr>
                <w:b/>
                <w:color w:val="auto"/>
                <w:sz w:val="20"/>
                <w:szCs w:val="20"/>
              </w:rPr>
            </w:pPr>
            <w:r w:rsidRPr="00F13104">
              <w:rPr>
                <w:b/>
                <w:color w:val="auto"/>
                <w:sz w:val="20"/>
                <w:szCs w:val="20"/>
              </w:rPr>
              <w:t>-</w:t>
            </w:r>
          </w:p>
        </w:tc>
        <w:tc>
          <w:tcPr>
            <w:tcW w:w="419" w:type="pct"/>
            <w:tcBorders>
              <w:top w:val="single" w:sz="4" w:space="0" w:color="auto"/>
              <w:bottom w:val="nil"/>
            </w:tcBorders>
            <w:shd w:val="clear" w:color="auto" w:fill="auto"/>
            <w:vAlign w:val="bottom"/>
          </w:tcPr>
          <w:p w14:paraId="285254B9" w14:textId="67CCA4B2" w:rsidR="00A46850" w:rsidRPr="00F13104" w:rsidRDefault="00DF4542" w:rsidP="00E35139">
            <w:pPr>
              <w:tabs>
                <w:tab w:val="decimal" w:pos="520"/>
              </w:tabs>
              <w:rPr>
                <w:b/>
                <w:color w:val="auto"/>
                <w:sz w:val="20"/>
                <w:szCs w:val="20"/>
              </w:rPr>
            </w:pPr>
            <w:r>
              <w:rPr>
                <w:b/>
                <w:color w:val="auto"/>
                <w:sz w:val="20"/>
                <w:szCs w:val="20"/>
              </w:rPr>
              <w:t>4.4</w:t>
            </w:r>
          </w:p>
        </w:tc>
        <w:tc>
          <w:tcPr>
            <w:tcW w:w="392" w:type="pct"/>
            <w:tcBorders>
              <w:top w:val="single" w:sz="4" w:space="0" w:color="auto"/>
              <w:bottom w:val="nil"/>
            </w:tcBorders>
            <w:shd w:val="clear" w:color="auto" w:fill="auto"/>
            <w:vAlign w:val="bottom"/>
          </w:tcPr>
          <w:p w14:paraId="7989097B" w14:textId="77777777" w:rsidR="00A46850" w:rsidRPr="00F13104" w:rsidRDefault="00A46850" w:rsidP="00E35139">
            <w:pPr>
              <w:tabs>
                <w:tab w:val="decimal" w:pos="471"/>
              </w:tabs>
              <w:rPr>
                <w:b/>
                <w:color w:val="auto"/>
                <w:sz w:val="20"/>
                <w:szCs w:val="20"/>
              </w:rPr>
            </w:pPr>
            <w:r w:rsidRPr="00F13104">
              <w:rPr>
                <w:b/>
                <w:color w:val="auto"/>
                <w:sz w:val="20"/>
                <w:szCs w:val="20"/>
              </w:rPr>
              <w:t>24.3</w:t>
            </w:r>
          </w:p>
        </w:tc>
        <w:tc>
          <w:tcPr>
            <w:tcW w:w="396" w:type="pct"/>
            <w:tcBorders>
              <w:top w:val="single" w:sz="4" w:space="0" w:color="auto"/>
              <w:bottom w:val="nil"/>
            </w:tcBorders>
            <w:shd w:val="clear" w:color="auto" w:fill="auto"/>
            <w:vAlign w:val="bottom"/>
          </w:tcPr>
          <w:p w14:paraId="193DB071" w14:textId="77777777" w:rsidR="00A46850" w:rsidRPr="00F13104" w:rsidRDefault="00A46850" w:rsidP="00E35139">
            <w:pPr>
              <w:tabs>
                <w:tab w:val="decimal" w:pos="499"/>
              </w:tabs>
              <w:rPr>
                <w:b/>
                <w:color w:val="auto"/>
                <w:sz w:val="20"/>
                <w:szCs w:val="20"/>
              </w:rPr>
            </w:pPr>
            <w:r w:rsidRPr="00F13104">
              <w:rPr>
                <w:b/>
                <w:color w:val="auto"/>
                <w:sz w:val="20"/>
                <w:szCs w:val="20"/>
              </w:rPr>
              <w:t>(263.8)</w:t>
            </w:r>
          </w:p>
        </w:tc>
        <w:tc>
          <w:tcPr>
            <w:tcW w:w="392" w:type="pct"/>
            <w:tcBorders>
              <w:top w:val="single" w:sz="4" w:space="0" w:color="auto"/>
              <w:bottom w:val="nil"/>
              <w:right w:val="single" w:sz="4" w:space="0" w:color="auto"/>
            </w:tcBorders>
            <w:shd w:val="clear" w:color="auto" w:fill="auto"/>
            <w:vAlign w:val="bottom"/>
          </w:tcPr>
          <w:p w14:paraId="6EA6A328" w14:textId="77777777" w:rsidR="00A46850" w:rsidRPr="00F13104" w:rsidRDefault="00A46850" w:rsidP="00E35139">
            <w:pPr>
              <w:tabs>
                <w:tab w:val="decimal" w:pos="516"/>
              </w:tabs>
              <w:rPr>
                <w:b/>
                <w:color w:val="auto"/>
                <w:sz w:val="20"/>
                <w:szCs w:val="20"/>
              </w:rPr>
            </w:pPr>
            <w:r w:rsidRPr="00F13104">
              <w:rPr>
                <w:b/>
                <w:color w:val="auto"/>
                <w:sz w:val="20"/>
                <w:szCs w:val="20"/>
              </w:rPr>
              <w:t>(239.5)</w:t>
            </w:r>
          </w:p>
        </w:tc>
      </w:tr>
      <w:tr w:rsidR="00A46850" w:rsidRPr="00F13104" w14:paraId="46FA067A" w14:textId="77777777" w:rsidTr="00A06955">
        <w:trPr>
          <w:trHeight w:val="454"/>
          <w:jc w:val="center"/>
        </w:trPr>
        <w:tc>
          <w:tcPr>
            <w:tcW w:w="1685" w:type="pct"/>
            <w:tcBorders>
              <w:left w:val="single" w:sz="4" w:space="0" w:color="auto"/>
            </w:tcBorders>
            <w:shd w:val="clear" w:color="auto" w:fill="auto"/>
            <w:vAlign w:val="bottom"/>
          </w:tcPr>
          <w:p w14:paraId="47941799" w14:textId="77777777" w:rsidR="00A46850" w:rsidRPr="00F13104" w:rsidRDefault="00A46850" w:rsidP="00F13104">
            <w:pPr>
              <w:jc w:val="left"/>
              <w:rPr>
                <w:color w:val="auto"/>
                <w:sz w:val="20"/>
                <w:szCs w:val="20"/>
              </w:rPr>
            </w:pPr>
            <w:r w:rsidRPr="00F13104">
              <w:rPr>
                <w:color w:val="auto"/>
                <w:sz w:val="20"/>
                <w:szCs w:val="20"/>
              </w:rPr>
              <w:lastRenderedPageBreak/>
              <w:t xml:space="preserve">Adjustments Between Accounting Basis &amp; Funding Basis Under Regulations </w:t>
            </w:r>
            <w:r w:rsidRPr="008574B3">
              <w:rPr>
                <w:color w:val="auto"/>
                <w:sz w:val="20"/>
                <w:szCs w:val="20"/>
              </w:rPr>
              <w:t>(note 6)</w:t>
            </w:r>
          </w:p>
        </w:tc>
        <w:tc>
          <w:tcPr>
            <w:tcW w:w="421" w:type="pct"/>
            <w:tcBorders>
              <w:top w:val="nil"/>
              <w:bottom w:val="single" w:sz="4" w:space="0" w:color="auto"/>
            </w:tcBorders>
            <w:shd w:val="clear" w:color="auto" w:fill="auto"/>
            <w:vAlign w:val="bottom"/>
          </w:tcPr>
          <w:p w14:paraId="175A1D41" w14:textId="77777777" w:rsidR="00A46850" w:rsidRPr="00F13104" w:rsidRDefault="00A46850" w:rsidP="00E35139">
            <w:pPr>
              <w:tabs>
                <w:tab w:val="decimal" w:pos="537"/>
              </w:tabs>
              <w:rPr>
                <w:color w:val="auto"/>
                <w:sz w:val="20"/>
                <w:szCs w:val="20"/>
              </w:rPr>
            </w:pPr>
            <w:r w:rsidRPr="00F13104">
              <w:rPr>
                <w:color w:val="auto"/>
                <w:sz w:val="20"/>
                <w:szCs w:val="20"/>
              </w:rPr>
              <w:t>(27.5)</w:t>
            </w:r>
          </w:p>
        </w:tc>
        <w:tc>
          <w:tcPr>
            <w:tcW w:w="467" w:type="pct"/>
            <w:tcBorders>
              <w:top w:val="nil"/>
              <w:bottom w:val="single" w:sz="4" w:space="0" w:color="auto"/>
            </w:tcBorders>
            <w:shd w:val="clear" w:color="auto" w:fill="auto"/>
            <w:vAlign w:val="bottom"/>
          </w:tcPr>
          <w:p w14:paraId="772103D4" w14:textId="77777777" w:rsidR="00A46850" w:rsidRPr="00F13104" w:rsidRDefault="00A46850" w:rsidP="00E35139">
            <w:pPr>
              <w:tabs>
                <w:tab w:val="decimal" w:pos="591"/>
              </w:tabs>
              <w:rPr>
                <w:color w:val="auto"/>
                <w:sz w:val="20"/>
                <w:szCs w:val="20"/>
              </w:rPr>
            </w:pPr>
            <w:r w:rsidRPr="00F13104">
              <w:rPr>
                <w:color w:val="auto"/>
                <w:sz w:val="20"/>
                <w:szCs w:val="20"/>
              </w:rPr>
              <w:t>-</w:t>
            </w:r>
          </w:p>
        </w:tc>
        <w:tc>
          <w:tcPr>
            <w:tcW w:w="419" w:type="pct"/>
            <w:tcBorders>
              <w:top w:val="nil"/>
              <w:bottom w:val="single" w:sz="4" w:space="0" w:color="auto"/>
            </w:tcBorders>
            <w:shd w:val="clear" w:color="auto" w:fill="auto"/>
            <w:vAlign w:val="bottom"/>
          </w:tcPr>
          <w:p w14:paraId="4146A9B8" w14:textId="77777777" w:rsidR="00A46850" w:rsidRPr="00F13104" w:rsidRDefault="00A46850" w:rsidP="00E35139">
            <w:pPr>
              <w:tabs>
                <w:tab w:val="decimal" w:pos="545"/>
              </w:tabs>
              <w:rPr>
                <w:color w:val="auto"/>
                <w:sz w:val="20"/>
                <w:szCs w:val="20"/>
              </w:rPr>
            </w:pPr>
            <w:r w:rsidRPr="00F13104">
              <w:rPr>
                <w:color w:val="auto"/>
                <w:sz w:val="20"/>
                <w:szCs w:val="20"/>
              </w:rPr>
              <w:t>-</w:t>
            </w:r>
          </w:p>
        </w:tc>
        <w:tc>
          <w:tcPr>
            <w:tcW w:w="410" w:type="pct"/>
            <w:tcBorders>
              <w:top w:val="nil"/>
              <w:bottom w:val="single" w:sz="4" w:space="0" w:color="auto"/>
            </w:tcBorders>
            <w:shd w:val="clear" w:color="auto" w:fill="auto"/>
            <w:vAlign w:val="bottom"/>
          </w:tcPr>
          <w:p w14:paraId="4EE9D069" w14:textId="77777777" w:rsidR="00A46850" w:rsidRPr="00F13104" w:rsidRDefault="00A46850" w:rsidP="00E35139">
            <w:pPr>
              <w:tabs>
                <w:tab w:val="decimal" w:pos="552"/>
              </w:tabs>
              <w:rPr>
                <w:color w:val="auto"/>
                <w:sz w:val="20"/>
                <w:szCs w:val="20"/>
              </w:rPr>
            </w:pPr>
            <w:r w:rsidRPr="00F13104">
              <w:rPr>
                <w:color w:val="auto"/>
                <w:sz w:val="20"/>
                <w:szCs w:val="20"/>
              </w:rPr>
              <w:t>(4.7)</w:t>
            </w:r>
          </w:p>
        </w:tc>
        <w:tc>
          <w:tcPr>
            <w:tcW w:w="419" w:type="pct"/>
            <w:tcBorders>
              <w:top w:val="nil"/>
              <w:bottom w:val="single" w:sz="4" w:space="0" w:color="auto"/>
            </w:tcBorders>
            <w:shd w:val="clear" w:color="auto" w:fill="auto"/>
            <w:vAlign w:val="bottom"/>
          </w:tcPr>
          <w:p w14:paraId="7AED1A71" w14:textId="77777777" w:rsidR="00A46850" w:rsidRPr="00F13104" w:rsidRDefault="00A46850" w:rsidP="00E35139">
            <w:pPr>
              <w:tabs>
                <w:tab w:val="decimal" w:pos="520"/>
              </w:tabs>
              <w:rPr>
                <w:color w:val="auto"/>
                <w:sz w:val="20"/>
                <w:szCs w:val="20"/>
              </w:rPr>
            </w:pPr>
            <w:r w:rsidRPr="00F13104">
              <w:rPr>
                <w:color w:val="auto"/>
                <w:sz w:val="20"/>
                <w:szCs w:val="20"/>
              </w:rPr>
              <w:t>39.9</w:t>
            </w:r>
          </w:p>
        </w:tc>
        <w:tc>
          <w:tcPr>
            <w:tcW w:w="392" w:type="pct"/>
            <w:tcBorders>
              <w:top w:val="nil"/>
              <w:bottom w:val="single" w:sz="4" w:space="0" w:color="auto"/>
            </w:tcBorders>
            <w:shd w:val="clear" w:color="auto" w:fill="auto"/>
            <w:vAlign w:val="bottom"/>
          </w:tcPr>
          <w:p w14:paraId="751C5A22" w14:textId="77777777" w:rsidR="00A46850" w:rsidRPr="00F13104" w:rsidRDefault="00A46850" w:rsidP="00E35139">
            <w:pPr>
              <w:tabs>
                <w:tab w:val="decimal" w:pos="471"/>
              </w:tabs>
              <w:rPr>
                <w:color w:val="auto"/>
                <w:sz w:val="20"/>
                <w:szCs w:val="20"/>
              </w:rPr>
            </w:pPr>
            <w:r w:rsidRPr="00F13104">
              <w:rPr>
                <w:color w:val="auto"/>
                <w:sz w:val="20"/>
                <w:szCs w:val="20"/>
              </w:rPr>
              <w:t>7.7</w:t>
            </w:r>
          </w:p>
        </w:tc>
        <w:tc>
          <w:tcPr>
            <w:tcW w:w="396" w:type="pct"/>
            <w:tcBorders>
              <w:top w:val="nil"/>
              <w:bottom w:val="single" w:sz="4" w:space="0" w:color="auto"/>
            </w:tcBorders>
            <w:shd w:val="clear" w:color="auto" w:fill="auto"/>
            <w:vAlign w:val="bottom"/>
          </w:tcPr>
          <w:p w14:paraId="5BBAB892" w14:textId="77777777" w:rsidR="00A46850" w:rsidRPr="00F13104" w:rsidRDefault="00A46850" w:rsidP="00E35139">
            <w:pPr>
              <w:tabs>
                <w:tab w:val="decimal" w:pos="499"/>
              </w:tabs>
              <w:rPr>
                <w:color w:val="auto"/>
                <w:sz w:val="20"/>
                <w:szCs w:val="20"/>
              </w:rPr>
            </w:pPr>
            <w:r w:rsidRPr="00F13104">
              <w:rPr>
                <w:color w:val="auto"/>
                <w:sz w:val="20"/>
                <w:szCs w:val="20"/>
              </w:rPr>
              <w:t>(7.7)</w:t>
            </w:r>
          </w:p>
        </w:tc>
        <w:tc>
          <w:tcPr>
            <w:tcW w:w="392" w:type="pct"/>
            <w:tcBorders>
              <w:top w:val="nil"/>
              <w:bottom w:val="single" w:sz="4" w:space="0" w:color="auto"/>
              <w:right w:val="single" w:sz="4" w:space="0" w:color="auto"/>
            </w:tcBorders>
            <w:shd w:val="clear" w:color="auto" w:fill="auto"/>
            <w:vAlign w:val="bottom"/>
          </w:tcPr>
          <w:p w14:paraId="25479A5F" w14:textId="77777777" w:rsidR="00A46850" w:rsidRPr="00F13104" w:rsidRDefault="00A46850" w:rsidP="00E35139">
            <w:pPr>
              <w:tabs>
                <w:tab w:val="decimal" w:pos="516"/>
              </w:tabs>
              <w:rPr>
                <w:color w:val="auto"/>
                <w:sz w:val="20"/>
                <w:szCs w:val="20"/>
              </w:rPr>
            </w:pPr>
            <w:r w:rsidRPr="00F13104">
              <w:rPr>
                <w:color w:val="auto"/>
                <w:sz w:val="20"/>
                <w:szCs w:val="20"/>
              </w:rPr>
              <w:t>-</w:t>
            </w:r>
          </w:p>
        </w:tc>
      </w:tr>
      <w:tr w:rsidR="00A46850" w:rsidRPr="00F13104" w14:paraId="25063EAA" w14:textId="77777777" w:rsidTr="00A06955">
        <w:trPr>
          <w:trHeight w:val="454"/>
          <w:jc w:val="center"/>
        </w:trPr>
        <w:tc>
          <w:tcPr>
            <w:tcW w:w="1685" w:type="pct"/>
            <w:tcBorders>
              <w:left w:val="single" w:sz="4" w:space="0" w:color="auto"/>
            </w:tcBorders>
            <w:shd w:val="clear" w:color="auto" w:fill="auto"/>
            <w:vAlign w:val="bottom"/>
          </w:tcPr>
          <w:p w14:paraId="00D7599B" w14:textId="77777777" w:rsidR="00A46850" w:rsidRPr="00F13104" w:rsidRDefault="00A46850" w:rsidP="00F13104">
            <w:pPr>
              <w:jc w:val="left"/>
              <w:rPr>
                <w:b/>
                <w:color w:val="auto"/>
                <w:sz w:val="20"/>
                <w:szCs w:val="20"/>
              </w:rPr>
            </w:pPr>
            <w:r w:rsidRPr="00F13104">
              <w:rPr>
                <w:b/>
                <w:color w:val="auto"/>
                <w:sz w:val="20"/>
                <w:szCs w:val="20"/>
              </w:rPr>
              <w:t>Net (Increase)/Decrease before Transfers to Earmarked Reserves</w:t>
            </w:r>
          </w:p>
        </w:tc>
        <w:tc>
          <w:tcPr>
            <w:tcW w:w="421" w:type="pct"/>
            <w:tcBorders>
              <w:top w:val="single" w:sz="4" w:space="0" w:color="auto"/>
              <w:bottom w:val="nil"/>
            </w:tcBorders>
            <w:shd w:val="clear" w:color="auto" w:fill="auto"/>
            <w:vAlign w:val="bottom"/>
          </w:tcPr>
          <w:p w14:paraId="60953645" w14:textId="77777777" w:rsidR="00A46850" w:rsidRPr="00F13104" w:rsidRDefault="00A46850" w:rsidP="00E35139">
            <w:pPr>
              <w:tabs>
                <w:tab w:val="decimal" w:pos="537"/>
              </w:tabs>
              <w:rPr>
                <w:b/>
                <w:color w:val="auto"/>
                <w:sz w:val="20"/>
                <w:szCs w:val="20"/>
              </w:rPr>
            </w:pPr>
            <w:r w:rsidRPr="00F13104">
              <w:rPr>
                <w:b/>
                <w:color w:val="auto"/>
                <w:sz w:val="20"/>
                <w:szCs w:val="20"/>
              </w:rPr>
              <w:t>(7.6)</w:t>
            </w:r>
          </w:p>
        </w:tc>
        <w:tc>
          <w:tcPr>
            <w:tcW w:w="467" w:type="pct"/>
            <w:tcBorders>
              <w:top w:val="single" w:sz="4" w:space="0" w:color="auto"/>
              <w:bottom w:val="nil"/>
            </w:tcBorders>
            <w:shd w:val="clear" w:color="auto" w:fill="auto"/>
            <w:vAlign w:val="bottom"/>
          </w:tcPr>
          <w:p w14:paraId="574FE04A" w14:textId="77777777" w:rsidR="00A46850" w:rsidRPr="00F13104" w:rsidRDefault="00A46850" w:rsidP="00E35139">
            <w:pPr>
              <w:tabs>
                <w:tab w:val="decimal" w:pos="591"/>
              </w:tabs>
              <w:rPr>
                <w:b/>
                <w:color w:val="auto"/>
                <w:sz w:val="20"/>
                <w:szCs w:val="20"/>
              </w:rPr>
            </w:pPr>
            <w:r w:rsidRPr="00F13104">
              <w:rPr>
                <w:b/>
                <w:color w:val="auto"/>
                <w:sz w:val="20"/>
                <w:szCs w:val="20"/>
              </w:rPr>
              <w:t>-</w:t>
            </w:r>
          </w:p>
        </w:tc>
        <w:tc>
          <w:tcPr>
            <w:tcW w:w="419" w:type="pct"/>
            <w:tcBorders>
              <w:top w:val="single" w:sz="4" w:space="0" w:color="auto"/>
              <w:bottom w:val="nil"/>
            </w:tcBorders>
            <w:shd w:val="clear" w:color="auto" w:fill="auto"/>
            <w:vAlign w:val="bottom"/>
          </w:tcPr>
          <w:p w14:paraId="27DF0BE1" w14:textId="77777777" w:rsidR="00A46850" w:rsidRPr="00F13104" w:rsidRDefault="00A46850" w:rsidP="00E35139">
            <w:pPr>
              <w:tabs>
                <w:tab w:val="decimal" w:pos="545"/>
              </w:tabs>
              <w:rPr>
                <w:b/>
                <w:color w:val="auto"/>
                <w:sz w:val="20"/>
                <w:szCs w:val="20"/>
              </w:rPr>
            </w:pPr>
            <w:r w:rsidRPr="00F13104">
              <w:rPr>
                <w:b/>
                <w:color w:val="auto"/>
                <w:sz w:val="20"/>
                <w:szCs w:val="20"/>
              </w:rPr>
              <w:t>-</w:t>
            </w:r>
          </w:p>
        </w:tc>
        <w:tc>
          <w:tcPr>
            <w:tcW w:w="410" w:type="pct"/>
            <w:tcBorders>
              <w:top w:val="single" w:sz="4" w:space="0" w:color="auto"/>
              <w:bottom w:val="nil"/>
            </w:tcBorders>
            <w:shd w:val="clear" w:color="auto" w:fill="auto"/>
            <w:vAlign w:val="bottom"/>
          </w:tcPr>
          <w:p w14:paraId="32D77E72" w14:textId="77777777" w:rsidR="00A46850" w:rsidRPr="00F13104" w:rsidRDefault="00A46850" w:rsidP="00E35139">
            <w:pPr>
              <w:tabs>
                <w:tab w:val="decimal" w:pos="552"/>
              </w:tabs>
              <w:rPr>
                <w:b/>
                <w:color w:val="auto"/>
                <w:sz w:val="20"/>
                <w:szCs w:val="20"/>
              </w:rPr>
            </w:pPr>
            <w:r w:rsidRPr="00F13104">
              <w:rPr>
                <w:b/>
                <w:color w:val="auto"/>
                <w:sz w:val="20"/>
                <w:szCs w:val="20"/>
              </w:rPr>
              <w:t>(4.7)</w:t>
            </w:r>
          </w:p>
        </w:tc>
        <w:tc>
          <w:tcPr>
            <w:tcW w:w="419" w:type="pct"/>
            <w:tcBorders>
              <w:top w:val="single" w:sz="4" w:space="0" w:color="auto"/>
              <w:bottom w:val="nil"/>
            </w:tcBorders>
            <w:shd w:val="clear" w:color="auto" w:fill="auto"/>
            <w:vAlign w:val="bottom"/>
          </w:tcPr>
          <w:p w14:paraId="101AAEBD" w14:textId="77777777" w:rsidR="00A46850" w:rsidRPr="00F13104" w:rsidRDefault="00A46850" w:rsidP="00E35139">
            <w:pPr>
              <w:tabs>
                <w:tab w:val="decimal" w:pos="520"/>
              </w:tabs>
              <w:rPr>
                <w:b/>
                <w:color w:val="auto"/>
                <w:sz w:val="20"/>
                <w:szCs w:val="20"/>
              </w:rPr>
            </w:pPr>
            <w:r w:rsidRPr="00F13104">
              <w:rPr>
                <w:b/>
                <w:color w:val="auto"/>
                <w:sz w:val="20"/>
                <w:szCs w:val="20"/>
              </w:rPr>
              <w:t>44.3</w:t>
            </w:r>
          </w:p>
        </w:tc>
        <w:tc>
          <w:tcPr>
            <w:tcW w:w="392" w:type="pct"/>
            <w:tcBorders>
              <w:top w:val="single" w:sz="4" w:space="0" w:color="auto"/>
              <w:bottom w:val="nil"/>
            </w:tcBorders>
            <w:shd w:val="clear" w:color="auto" w:fill="auto"/>
            <w:vAlign w:val="bottom"/>
          </w:tcPr>
          <w:p w14:paraId="6AAE3B89" w14:textId="77777777" w:rsidR="00A46850" w:rsidRPr="00F13104" w:rsidRDefault="00A46850" w:rsidP="00E35139">
            <w:pPr>
              <w:tabs>
                <w:tab w:val="decimal" w:pos="471"/>
              </w:tabs>
              <w:rPr>
                <w:b/>
                <w:color w:val="auto"/>
                <w:sz w:val="20"/>
                <w:szCs w:val="20"/>
              </w:rPr>
            </w:pPr>
            <w:r w:rsidRPr="00F13104">
              <w:rPr>
                <w:b/>
                <w:color w:val="auto"/>
                <w:sz w:val="20"/>
                <w:szCs w:val="20"/>
              </w:rPr>
              <w:t>32.0</w:t>
            </w:r>
          </w:p>
        </w:tc>
        <w:tc>
          <w:tcPr>
            <w:tcW w:w="396" w:type="pct"/>
            <w:tcBorders>
              <w:top w:val="single" w:sz="4" w:space="0" w:color="auto"/>
              <w:bottom w:val="nil"/>
            </w:tcBorders>
            <w:shd w:val="clear" w:color="auto" w:fill="auto"/>
            <w:vAlign w:val="bottom"/>
          </w:tcPr>
          <w:p w14:paraId="392EDD6C" w14:textId="77777777" w:rsidR="00A46850" w:rsidRPr="00F13104" w:rsidRDefault="00A46850" w:rsidP="00E35139">
            <w:pPr>
              <w:tabs>
                <w:tab w:val="decimal" w:pos="499"/>
              </w:tabs>
              <w:rPr>
                <w:b/>
                <w:color w:val="auto"/>
                <w:sz w:val="20"/>
                <w:szCs w:val="20"/>
              </w:rPr>
            </w:pPr>
            <w:r w:rsidRPr="00F13104">
              <w:rPr>
                <w:b/>
                <w:color w:val="auto"/>
                <w:sz w:val="20"/>
                <w:szCs w:val="20"/>
              </w:rPr>
              <w:t>(271.5)</w:t>
            </w:r>
          </w:p>
        </w:tc>
        <w:tc>
          <w:tcPr>
            <w:tcW w:w="392" w:type="pct"/>
            <w:tcBorders>
              <w:top w:val="single" w:sz="4" w:space="0" w:color="auto"/>
              <w:bottom w:val="nil"/>
              <w:right w:val="single" w:sz="4" w:space="0" w:color="auto"/>
            </w:tcBorders>
            <w:shd w:val="clear" w:color="auto" w:fill="auto"/>
            <w:vAlign w:val="bottom"/>
          </w:tcPr>
          <w:p w14:paraId="55F14C3A" w14:textId="77777777" w:rsidR="00A46850" w:rsidRPr="00F13104" w:rsidRDefault="00A46850" w:rsidP="00E35139">
            <w:pPr>
              <w:tabs>
                <w:tab w:val="decimal" w:pos="516"/>
              </w:tabs>
              <w:rPr>
                <w:b/>
                <w:color w:val="auto"/>
                <w:sz w:val="20"/>
                <w:szCs w:val="20"/>
              </w:rPr>
            </w:pPr>
            <w:r w:rsidRPr="00F13104">
              <w:rPr>
                <w:b/>
                <w:color w:val="auto"/>
                <w:sz w:val="20"/>
                <w:szCs w:val="20"/>
              </w:rPr>
              <w:t>(239.5)</w:t>
            </w:r>
          </w:p>
        </w:tc>
      </w:tr>
      <w:tr w:rsidR="00A46850" w:rsidRPr="00F13104" w14:paraId="75156B81" w14:textId="77777777" w:rsidTr="00A06955">
        <w:trPr>
          <w:trHeight w:val="454"/>
          <w:jc w:val="center"/>
        </w:trPr>
        <w:tc>
          <w:tcPr>
            <w:tcW w:w="1685" w:type="pct"/>
            <w:tcBorders>
              <w:left w:val="single" w:sz="4" w:space="0" w:color="auto"/>
            </w:tcBorders>
            <w:shd w:val="clear" w:color="auto" w:fill="auto"/>
            <w:vAlign w:val="bottom"/>
          </w:tcPr>
          <w:p w14:paraId="7B9EC151" w14:textId="0FC65EF9" w:rsidR="00A46850" w:rsidRPr="00F13104" w:rsidRDefault="00A46850" w:rsidP="00F13104">
            <w:pPr>
              <w:jc w:val="left"/>
              <w:rPr>
                <w:color w:val="auto"/>
                <w:sz w:val="20"/>
                <w:szCs w:val="20"/>
              </w:rPr>
            </w:pPr>
            <w:r w:rsidRPr="00F13104">
              <w:rPr>
                <w:color w:val="auto"/>
                <w:sz w:val="20"/>
                <w:szCs w:val="20"/>
              </w:rPr>
              <w:t>Transfers</w:t>
            </w:r>
            <w:r>
              <w:rPr>
                <w:color w:val="auto"/>
                <w:sz w:val="20"/>
                <w:szCs w:val="20"/>
              </w:rPr>
              <w:t xml:space="preserve"> </w:t>
            </w:r>
            <w:r w:rsidRPr="00F13104">
              <w:rPr>
                <w:color w:val="auto"/>
                <w:sz w:val="20"/>
                <w:szCs w:val="20"/>
              </w:rPr>
              <w:t xml:space="preserve">(to)/from Earmarked </w:t>
            </w:r>
            <w:r w:rsidRPr="008574B3">
              <w:rPr>
                <w:color w:val="auto"/>
                <w:sz w:val="20"/>
                <w:szCs w:val="20"/>
              </w:rPr>
              <w:t>Reserves (note 7)</w:t>
            </w:r>
          </w:p>
        </w:tc>
        <w:tc>
          <w:tcPr>
            <w:tcW w:w="421" w:type="pct"/>
            <w:tcBorders>
              <w:top w:val="nil"/>
              <w:bottom w:val="single" w:sz="4" w:space="0" w:color="auto"/>
            </w:tcBorders>
            <w:shd w:val="clear" w:color="auto" w:fill="auto"/>
            <w:vAlign w:val="bottom"/>
          </w:tcPr>
          <w:p w14:paraId="146B3E29" w14:textId="77777777" w:rsidR="00A46850" w:rsidRPr="00F13104" w:rsidRDefault="00A46850" w:rsidP="00E35139">
            <w:pPr>
              <w:tabs>
                <w:tab w:val="decimal" w:pos="537"/>
              </w:tabs>
              <w:rPr>
                <w:color w:val="auto"/>
                <w:sz w:val="20"/>
                <w:szCs w:val="20"/>
              </w:rPr>
            </w:pPr>
            <w:r w:rsidRPr="00F13104">
              <w:rPr>
                <w:color w:val="auto"/>
                <w:sz w:val="20"/>
                <w:szCs w:val="20"/>
              </w:rPr>
              <w:t>7.6</w:t>
            </w:r>
          </w:p>
        </w:tc>
        <w:tc>
          <w:tcPr>
            <w:tcW w:w="467" w:type="pct"/>
            <w:tcBorders>
              <w:top w:val="nil"/>
              <w:bottom w:val="single" w:sz="4" w:space="0" w:color="auto"/>
            </w:tcBorders>
            <w:shd w:val="clear" w:color="auto" w:fill="auto"/>
            <w:vAlign w:val="bottom"/>
          </w:tcPr>
          <w:p w14:paraId="713C5693" w14:textId="48363CAA" w:rsidR="00A46850" w:rsidRPr="00F13104" w:rsidRDefault="00A46850" w:rsidP="00E35139">
            <w:pPr>
              <w:tabs>
                <w:tab w:val="decimal" w:pos="591"/>
              </w:tabs>
              <w:rPr>
                <w:color w:val="auto"/>
                <w:sz w:val="20"/>
                <w:szCs w:val="20"/>
              </w:rPr>
            </w:pPr>
            <w:r w:rsidRPr="00F13104">
              <w:rPr>
                <w:color w:val="auto"/>
                <w:sz w:val="20"/>
                <w:szCs w:val="20"/>
              </w:rPr>
              <w:t>(3</w:t>
            </w:r>
            <w:r>
              <w:rPr>
                <w:color w:val="auto"/>
                <w:sz w:val="20"/>
                <w:szCs w:val="20"/>
              </w:rPr>
              <w:t>8.1</w:t>
            </w:r>
            <w:r w:rsidRPr="00F13104">
              <w:rPr>
                <w:color w:val="auto"/>
                <w:sz w:val="20"/>
                <w:szCs w:val="20"/>
              </w:rPr>
              <w:t>)</w:t>
            </w:r>
          </w:p>
        </w:tc>
        <w:tc>
          <w:tcPr>
            <w:tcW w:w="419" w:type="pct"/>
            <w:tcBorders>
              <w:top w:val="nil"/>
              <w:bottom w:val="single" w:sz="4" w:space="0" w:color="auto"/>
            </w:tcBorders>
            <w:shd w:val="clear" w:color="auto" w:fill="auto"/>
            <w:vAlign w:val="bottom"/>
          </w:tcPr>
          <w:p w14:paraId="472CC3FC" w14:textId="77777777" w:rsidR="00A46850" w:rsidRPr="00F13104" w:rsidRDefault="00A46850" w:rsidP="00E35139">
            <w:pPr>
              <w:tabs>
                <w:tab w:val="decimal" w:pos="545"/>
              </w:tabs>
              <w:rPr>
                <w:color w:val="auto"/>
                <w:sz w:val="20"/>
                <w:szCs w:val="20"/>
              </w:rPr>
            </w:pPr>
            <w:r w:rsidRPr="00F13104">
              <w:rPr>
                <w:color w:val="auto"/>
                <w:sz w:val="20"/>
                <w:szCs w:val="20"/>
              </w:rPr>
              <w:t>30.5</w:t>
            </w:r>
          </w:p>
        </w:tc>
        <w:tc>
          <w:tcPr>
            <w:tcW w:w="410" w:type="pct"/>
            <w:tcBorders>
              <w:top w:val="nil"/>
              <w:bottom w:val="single" w:sz="4" w:space="0" w:color="auto"/>
            </w:tcBorders>
            <w:shd w:val="clear" w:color="auto" w:fill="auto"/>
            <w:vAlign w:val="bottom"/>
          </w:tcPr>
          <w:p w14:paraId="1B67761D" w14:textId="77777777" w:rsidR="00A46850" w:rsidRPr="00F13104" w:rsidRDefault="00A46850" w:rsidP="00E35139">
            <w:pPr>
              <w:tabs>
                <w:tab w:val="decimal" w:pos="552"/>
              </w:tabs>
              <w:rPr>
                <w:color w:val="auto"/>
                <w:sz w:val="20"/>
                <w:szCs w:val="20"/>
              </w:rPr>
            </w:pPr>
            <w:r w:rsidRPr="00F13104">
              <w:rPr>
                <w:color w:val="auto"/>
                <w:sz w:val="20"/>
                <w:szCs w:val="20"/>
              </w:rPr>
              <w:t>-</w:t>
            </w:r>
          </w:p>
        </w:tc>
        <w:tc>
          <w:tcPr>
            <w:tcW w:w="419" w:type="pct"/>
            <w:tcBorders>
              <w:top w:val="nil"/>
              <w:bottom w:val="single" w:sz="4" w:space="0" w:color="auto"/>
            </w:tcBorders>
            <w:shd w:val="clear" w:color="auto" w:fill="auto"/>
            <w:vAlign w:val="bottom"/>
          </w:tcPr>
          <w:p w14:paraId="6B2AE8A9" w14:textId="77777777" w:rsidR="00A46850" w:rsidRPr="00F13104" w:rsidRDefault="00A46850" w:rsidP="00E35139">
            <w:pPr>
              <w:tabs>
                <w:tab w:val="decimal" w:pos="520"/>
              </w:tabs>
              <w:rPr>
                <w:color w:val="auto"/>
                <w:sz w:val="20"/>
                <w:szCs w:val="20"/>
              </w:rPr>
            </w:pPr>
            <w:r w:rsidRPr="00F13104">
              <w:rPr>
                <w:color w:val="auto"/>
                <w:sz w:val="20"/>
                <w:szCs w:val="20"/>
              </w:rPr>
              <w:t>-</w:t>
            </w:r>
          </w:p>
        </w:tc>
        <w:tc>
          <w:tcPr>
            <w:tcW w:w="392" w:type="pct"/>
            <w:tcBorders>
              <w:top w:val="nil"/>
              <w:bottom w:val="single" w:sz="4" w:space="0" w:color="auto"/>
            </w:tcBorders>
            <w:shd w:val="clear" w:color="auto" w:fill="auto"/>
            <w:vAlign w:val="bottom"/>
          </w:tcPr>
          <w:p w14:paraId="682C8916" w14:textId="77777777" w:rsidR="00A46850" w:rsidRPr="00F13104" w:rsidRDefault="00A46850" w:rsidP="00E35139">
            <w:pPr>
              <w:tabs>
                <w:tab w:val="decimal" w:pos="471"/>
              </w:tabs>
              <w:rPr>
                <w:color w:val="auto"/>
                <w:sz w:val="20"/>
                <w:szCs w:val="20"/>
              </w:rPr>
            </w:pPr>
            <w:r w:rsidRPr="00F13104">
              <w:rPr>
                <w:color w:val="auto"/>
                <w:sz w:val="20"/>
                <w:szCs w:val="20"/>
              </w:rPr>
              <w:t>-</w:t>
            </w:r>
          </w:p>
        </w:tc>
        <w:tc>
          <w:tcPr>
            <w:tcW w:w="396" w:type="pct"/>
            <w:tcBorders>
              <w:top w:val="nil"/>
              <w:bottom w:val="single" w:sz="4" w:space="0" w:color="auto"/>
            </w:tcBorders>
            <w:shd w:val="clear" w:color="auto" w:fill="auto"/>
            <w:vAlign w:val="bottom"/>
          </w:tcPr>
          <w:p w14:paraId="0F940E33" w14:textId="77777777" w:rsidR="00A46850" w:rsidRPr="00F13104" w:rsidRDefault="00A46850" w:rsidP="00E35139">
            <w:pPr>
              <w:tabs>
                <w:tab w:val="decimal" w:pos="499"/>
              </w:tabs>
              <w:rPr>
                <w:color w:val="auto"/>
                <w:sz w:val="20"/>
                <w:szCs w:val="20"/>
              </w:rPr>
            </w:pPr>
            <w:r w:rsidRPr="00F13104">
              <w:rPr>
                <w:color w:val="auto"/>
                <w:sz w:val="20"/>
                <w:szCs w:val="20"/>
              </w:rPr>
              <w:t>-</w:t>
            </w:r>
          </w:p>
        </w:tc>
        <w:tc>
          <w:tcPr>
            <w:tcW w:w="392" w:type="pct"/>
            <w:tcBorders>
              <w:top w:val="nil"/>
              <w:bottom w:val="single" w:sz="4" w:space="0" w:color="auto"/>
              <w:right w:val="single" w:sz="4" w:space="0" w:color="auto"/>
            </w:tcBorders>
            <w:shd w:val="clear" w:color="auto" w:fill="auto"/>
            <w:vAlign w:val="bottom"/>
          </w:tcPr>
          <w:p w14:paraId="3DF18202" w14:textId="77777777" w:rsidR="00A46850" w:rsidRPr="00F13104" w:rsidRDefault="00A46850" w:rsidP="00E35139">
            <w:pPr>
              <w:tabs>
                <w:tab w:val="decimal" w:pos="516"/>
              </w:tabs>
              <w:rPr>
                <w:color w:val="auto"/>
                <w:sz w:val="20"/>
                <w:szCs w:val="20"/>
              </w:rPr>
            </w:pPr>
            <w:r w:rsidRPr="00F13104">
              <w:rPr>
                <w:color w:val="auto"/>
                <w:sz w:val="20"/>
                <w:szCs w:val="20"/>
              </w:rPr>
              <w:t>-</w:t>
            </w:r>
          </w:p>
        </w:tc>
      </w:tr>
      <w:tr w:rsidR="00A46850" w:rsidRPr="00F13104" w14:paraId="0CE25BA2" w14:textId="77777777" w:rsidTr="00A06955">
        <w:trPr>
          <w:trHeight w:val="454"/>
          <w:jc w:val="center"/>
        </w:trPr>
        <w:tc>
          <w:tcPr>
            <w:tcW w:w="1685" w:type="pct"/>
            <w:tcBorders>
              <w:left w:val="single" w:sz="4" w:space="0" w:color="auto"/>
            </w:tcBorders>
            <w:shd w:val="clear" w:color="auto" w:fill="auto"/>
            <w:vAlign w:val="bottom"/>
          </w:tcPr>
          <w:p w14:paraId="51CA1977" w14:textId="77777777" w:rsidR="00A46850" w:rsidRPr="00F13104" w:rsidRDefault="00A46850" w:rsidP="00F13104">
            <w:pPr>
              <w:jc w:val="left"/>
              <w:rPr>
                <w:b/>
                <w:color w:val="auto"/>
                <w:sz w:val="20"/>
                <w:szCs w:val="20"/>
              </w:rPr>
            </w:pPr>
            <w:r w:rsidRPr="00F13104">
              <w:rPr>
                <w:b/>
                <w:color w:val="auto"/>
                <w:sz w:val="20"/>
                <w:szCs w:val="20"/>
              </w:rPr>
              <w:t>(Increase)/Decrease in Year</w:t>
            </w:r>
          </w:p>
        </w:tc>
        <w:tc>
          <w:tcPr>
            <w:tcW w:w="421" w:type="pct"/>
            <w:tcBorders>
              <w:top w:val="single" w:sz="4" w:space="0" w:color="auto"/>
              <w:bottom w:val="single" w:sz="4" w:space="0" w:color="auto"/>
            </w:tcBorders>
            <w:shd w:val="clear" w:color="auto" w:fill="auto"/>
            <w:vAlign w:val="bottom"/>
          </w:tcPr>
          <w:p w14:paraId="513FCFC2" w14:textId="77777777" w:rsidR="00A46850" w:rsidRPr="00F13104" w:rsidRDefault="00A46850" w:rsidP="00E35139">
            <w:pPr>
              <w:tabs>
                <w:tab w:val="decimal" w:pos="537"/>
              </w:tabs>
              <w:rPr>
                <w:b/>
                <w:color w:val="auto"/>
                <w:sz w:val="20"/>
                <w:szCs w:val="20"/>
              </w:rPr>
            </w:pPr>
            <w:r w:rsidRPr="00F13104">
              <w:rPr>
                <w:b/>
                <w:color w:val="auto"/>
                <w:sz w:val="20"/>
                <w:szCs w:val="20"/>
              </w:rPr>
              <w:t>-</w:t>
            </w:r>
          </w:p>
        </w:tc>
        <w:tc>
          <w:tcPr>
            <w:tcW w:w="467" w:type="pct"/>
            <w:tcBorders>
              <w:top w:val="single" w:sz="4" w:space="0" w:color="auto"/>
              <w:bottom w:val="single" w:sz="4" w:space="0" w:color="auto"/>
            </w:tcBorders>
            <w:shd w:val="clear" w:color="auto" w:fill="auto"/>
            <w:vAlign w:val="bottom"/>
          </w:tcPr>
          <w:p w14:paraId="1812240A" w14:textId="63C2272A" w:rsidR="00A46850" w:rsidRPr="00F13104" w:rsidRDefault="00A46850" w:rsidP="00E35139">
            <w:pPr>
              <w:tabs>
                <w:tab w:val="decimal" w:pos="591"/>
              </w:tabs>
              <w:rPr>
                <w:b/>
                <w:color w:val="auto"/>
                <w:sz w:val="20"/>
                <w:szCs w:val="20"/>
              </w:rPr>
            </w:pPr>
            <w:r w:rsidRPr="00F13104">
              <w:rPr>
                <w:b/>
                <w:color w:val="auto"/>
                <w:sz w:val="20"/>
                <w:szCs w:val="20"/>
              </w:rPr>
              <w:t>(3</w:t>
            </w:r>
            <w:r>
              <w:rPr>
                <w:b/>
                <w:color w:val="auto"/>
                <w:sz w:val="20"/>
                <w:szCs w:val="20"/>
              </w:rPr>
              <w:t>8.1</w:t>
            </w:r>
            <w:r w:rsidRPr="00F13104">
              <w:rPr>
                <w:b/>
                <w:color w:val="auto"/>
                <w:sz w:val="20"/>
                <w:szCs w:val="20"/>
              </w:rPr>
              <w:t>)</w:t>
            </w:r>
          </w:p>
        </w:tc>
        <w:tc>
          <w:tcPr>
            <w:tcW w:w="419" w:type="pct"/>
            <w:tcBorders>
              <w:top w:val="single" w:sz="4" w:space="0" w:color="auto"/>
              <w:bottom w:val="single" w:sz="4" w:space="0" w:color="auto"/>
            </w:tcBorders>
            <w:shd w:val="clear" w:color="auto" w:fill="auto"/>
            <w:vAlign w:val="bottom"/>
          </w:tcPr>
          <w:p w14:paraId="32F0FF96" w14:textId="77777777" w:rsidR="00A46850" w:rsidRPr="00F13104" w:rsidRDefault="00A46850" w:rsidP="00E35139">
            <w:pPr>
              <w:tabs>
                <w:tab w:val="decimal" w:pos="545"/>
              </w:tabs>
              <w:rPr>
                <w:b/>
                <w:color w:val="auto"/>
                <w:sz w:val="20"/>
                <w:szCs w:val="20"/>
              </w:rPr>
            </w:pPr>
            <w:r w:rsidRPr="00F13104">
              <w:rPr>
                <w:b/>
                <w:color w:val="auto"/>
                <w:sz w:val="20"/>
                <w:szCs w:val="20"/>
              </w:rPr>
              <w:t>30.5</w:t>
            </w:r>
          </w:p>
        </w:tc>
        <w:tc>
          <w:tcPr>
            <w:tcW w:w="410" w:type="pct"/>
            <w:tcBorders>
              <w:top w:val="single" w:sz="4" w:space="0" w:color="auto"/>
              <w:bottom w:val="single" w:sz="4" w:space="0" w:color="auto"/>
            </w:tcBorders>
            <w:shd w:val="clear" w:color="auto" w:fill="auto"/>
            <w:vAlign w:val="bottom"/>
          </w:tcPr>
          <w:p w14:paraId="6289DCF4" w14:textId="77777777" w:rsidR="00A46850" w:rsidRPr="00F13104" w:rsidRDefault="00A46850" w:rsidP="00E35139">
            <w:pPr>
              <w:tabs>
                <w:tab w:val="decimal" w:pos="552"/>
              </w:tabs>
              <w:rPr>
                <w:b/>
                <w:color w:val="auto"/>
                <w:sz w:val="20"/>
                <w:szCs w:val="20"/>
              </w:rPr>
            </w:pPr>
            <w:r w:rsidRPr="00F13104">
              <w:rPr>
                <w:b/>
                <w:color w:val="auto"/>
                <w:sz w:val="20"/>
                <w:szCs w:val="20"/>
              </w:rPr>
              <w:t>(4.7)</w:t>
            </w:r>
          </w:p>
        </w:tc>
        <w:tc>
          <w:tcPr>
            <w:tcW w:w="419" w:type="pct"/>
            <w:tcBorders>
              <w:top w:val="single" w:sz="4" w:space="0" w:color="auto"/>
              <w:bottom w:val="single" w:sz="4" w:space="0" w:color="auto"/>
            </w:tcBorders>
            <w:shd w:val="clear" w:color="auto" w:fill="auto"/>
            <w:vAlign w:val="bottom"/>
          </w:tcPr>
          <w:p w14:paraId="5DEE7712" w14:textId="77777777" w:rsidR="00A46850" w:rsidRPr="00F13104" w:rsidRDefault="00A46850" w:rsidP="00E35139">
            <w:pPr>
              <w:tabs>
                <w:tab w:val="decimal" w:pos="520"/>
              </w:tabs>
              <w:rPr>
                <w:b/>
                <w:color w:val="auto"/>
                <w:sz w:val="20"/>
                <w:szCs w:val="20"/>
              </w:rPr>
            </w:pPr>
            <w:r w:rsidRPr="00F13104">
              <w:rPr>
                <w:b/>
                <w:color w:val="auto"/>
                <w:sz w:val="20"/>
                <w:szCs w:val="20"/>
              </w:rPr>
              <w:t>44.3</w:t>
            </w:r>
          </w:p>
        </w:tc>
        <w:tc>
          <w:tcPr>
            <w:tcW w:w="392" w:type="pct"/>
            <w:tcBorders>
              <w:top w:val="single" w:sz="4" w:space="0" w:color="auto"/>
              <w:bottom w:val="single" w:sz="4" w:space="0" w:color="auto"/>
            </w:tcBorders>
            <w:shd w:val="clear" w:color="auto" w:fill="auto"/>
            <w:vAlign w:val="bottom"/>
          </w:tcPr>
          <w:p w14:paraId="205AE61A" w14:textId="77777777" w:rsidR="00A46850" w:rsidRPr="00F13104" w:rsidRDefault="00A46850" w:rsidP="00E35139">
            <w:pPr>
              <w:tabs>
                <w:tab w:val="decimal" w:pos="471"/>
              </w:tabs>
              <w:rPr>
                <w:b/>
                <w:color w:val="auto"/>
                <w:sz w:val="20"/>
                <w:szCs w:val="20"/>
              </w:rPr>
            </w:pPr>
            <w:r w:rsidRPr="00F13104">
              <w:rPr>
                <w:b/>
                <w:color w:val="auto"/>
                <w:sz w:val="20"/>
                <w:szCs w:val="20"/>
              </w:rPr>
              <w:t>32.0</w:t>
            </w:r>
          </w:p>
        </w:tc>
        <w:tc>
          <w:tcPr>
            <w:tcW w:w="396" w:type="pct"/>
            <w:tcBorders>
              <w:top w:val="single" w:sz="4" w:space="0" w:color="auto"/>
              <w:bottom w:val="single" w:sz="4" w:space="0" w:color="auto"/>
            </w:tcBorders>
            <w:shd w:val="clear" w:color="auto" w:fill="auto"/>
            <w:vAlign w:val="bottom"/>
          </w:tcPr>
          <w:p w14:paraId="5A3A30E3" w14:textId="77777777" w:rsidR="00A46850" w:rsidRPr="00F13104" w:rsidRDefault="00A46850" w:rsidP="00E35139">
            <w:pPr>
              <w:tabs>
                <w:tab w:val="decimal" w:pos="499"/>
              </w:tabs>
              <w:rPr>
                <w:b/>
                <w:color w:val="auto"/>
                <w:sz w:val="20"/>
                <w:szCs w:val="20"/>
              </w:rPr>
            </w:pPr>
            <w:r w:rsidRPr="00F13104">
              <w:rPr>
                <w:b/>
                <w:color w:val="auto"/>
                <w:sz w:val="20"/>
                <w:szCs w:val="20"/>
              </w:rPr>
              <w:t>(271.5)</w:t>
            </w:r>
          </w:p>
        </w:tc>
        <w:tc>
          <w:tcPr>
            <w:tcW w:w="392" w:type="pct"/>
            <w:tcBorders>
              <w:top w:val="single" w:sz="4" w:space="0" w:color="auto"/>
              <w:bottom w:val="single" w:sz="4" w:space="0" w:color="auto"/>
              <w:right w:val="single" w:sz="4" w:space="0" w:color="auto"/>
            </w:tcBorders>
            <w:shd w:val="clear" w:color="auto" w:fill="auto"/>
            <w:vAlign w:val="bottom"/>
          </w:tcPr>
          <w:p w14:paraId="05724C36" w14:textId="77777777" w:rsidR="00A46850" w:rsidRPr="00F13104" w:rsidRDefault="00A46850" w:rsidP="00E35139">
            <w:pPr>
              <w:tabs>
                <w:tab w:val="decimal" w:pos="516"/>
              </w:tabs>
              <w:rPr>
                <w:b/>
                <w:color w:val="auto"/>
                <w:sz w:val="20"/>
                <w:szCs w:val="20"/>
              </w:rPr>
            </w:pPr>
            <w:r w:rsidRPr="00F13104">
              <w:rPr>
                <w:b/>
                <w:color w:val="auto"/>
                <w:sz w:val="20"/>
                <w:szCs w:val="20"/>
              </w:rPr>
              <w:t>(239.5)</w:t>
            </w:r>
          </w:p>
        </w:tc>
      </w:tr>
      <w:tr w:rsidR="00A46850" w:rsidRPr="00F13104" w14:paraId="4F253EFD" w14:textId="77777777" w:rsidTr="00A06955">
        <w:trPr>
          <w:trHeight w:val="454"/>
          <w:jc w:val="center"/>
        </w:trPr>
        <w:tc>
          <w:tcPr>
            <w:tcW w:w="1685" w:type="pct"/>
            <w:tcBorders>
              <w:left w:val="single" w:sz="4" w:space="0" w:color="auto"/>
              <w:bottom w:val="single" w:sz="4" w:space="0" w:color="auto"/>
            </w:tcBorders>
            <w:shd w:val="clear" w:color="auto" w:fill="auto"/>
            <w:vAlign w:val="bottom"/>
          </w:tcPr>
          <w:p w14:paraId="62E2092D" w14:textId="16D8E75A" w:rsidR="00A46850" w:rsidRPr="00F13104" w:rsidRDefault="00A46850" w:rsidP="00F13104">
            <w:pPr>
              <w:jc w:val="left"/>
              <w:rPr>
                <w:b/>
                <w:color w:val="auto"/>
                <w:sz w:val="20"/>
                <w:szCs w:val="20"/>
              </w:rPr>
            </w:pPr>
            <w:r w:rsidRPr="00F13104">
              <w:rPr>
                <w:b/>
                <w:color w:val="auto"/>
                <w:sz w:val="20"/>
                <w:szCs w:val="20"/>
              </w:rPr>
              <w:t xml:space="preserve">Balance </w:t>
            </w:r>
            <w:r w:rsidR="00424AFC">
              <w:rPr>
                <w:b/>
                <w:color w:val="auto"/>
                <w:sz w:val="20"/>
                <w:szCs w:val="20"/>
              </w:rPr>
              <w:t xml:space="preserve">as </w:t>
            </w:r>
            <w:r w:rsidRPr="00F13104">
              <w:rPr>
                <w:b/>
                <w:color w:val="auto"/>
                <w:sz w:val="20"/>
                <w:szCs w:val="20"/>
              </w:rPr>
              <w:t>at 31st March 2014 carried forward</w:t>
            </w:r>
          </w:p>
        </w:tc>
        <w:tc>
          <w:tcPr>
            <w:tcW w:w="421" w:type="pct"/>
            <w:tcBorders>
              <w:top w:val="single" w:sz="4" w:space="0" w:color="auto"/>
              <w:bottom w:val="single" w:sz="4" w:space="0" w:color="auto"/>
            </w:tcBorders>
            <w:shd w:val="clear" w:color="auto" w:fill="auto"/>
            <w:vAlign w:val="bottom"/>
          </w:tcPr>
          <w:p w14:paraId="1486ED73" w14:textId="77777777" w:rsidR="00A46850" w:rsidRPr="00F13104" w:rsidRDefault="00A46850" w:rsidP="00E35139">
            <w:pPr>
              <w:tabs>
                <w:tab w:val="decimal" w:pos="537"/>
              </w:tabs>
              <w:rPr>
                <w:b/>
                <w:color w:val="auto"/>
                <w:sz w:val="20"/>
                <w:szCs w:val="20"/>
              </w:rPr>
            </w:pPr>
            <w:r w:rsidRPr="00F13104">
              <w:rPr>
                <w:b/>
                <w:color w:val="auto"/>
                <w:sz w:val="20"/>
                <w:szCs w:val="20"/>
              </w:rPr>
              <w:t>(36.0)</w:t>
            </w:r>
          </w:p>
        </w:tc>
        <w:tc>
          <w:tcPr>
            <w:tcW w:w="467" w:type="pct"/>
            <w:tcBorders>
              <w:top w:val="single" w:sz="4" w:space="0" w:color="auto"/>
              <w:bottom w:val="single" w:sz="4" w:space="0" w:color="auto"/>
            </w:tcBorders>
            <w:shd w:val="clear" w:color="auto" w:fill="auto"/>
            <w:vAlign w:val="bottom"/>
          </w:tcPr>
          <w:p w14:paraId="1750100C" w14:textId="2A655532" w:rsidR="00A46850" w:rsidRPr="00F13104" w:rsidRDefault="00A46850" w:rsidP="00E35139">
            <w:pPr>
              <w:tabs>
                <w:tab w:val="decimal" w:pos="591"/>
              </w:tabs>
              <w:rPr>
                <w:b/>
                <w:color w:val="auto"/>
                <w:sz w:val="20"/>
                <w:szCs w:val="20"/>
              </w:rPr>
            </w:pPr>
            <w:r w:rsidRPr="00F13104">
              <w:rPr>
                <w:b/>
                <w:color w:val="auto"/>
                <w:sz w:val="20"/>
                <w:szCs w:val="20"/>
              </w:rPr>
              <w:t>(29</w:t>
            </w:r>
            <w:r>
              <w:rPr>
                <w:b/>
                <w:color w:val="auto"/>
                <w:sz w:val="20"/>
                <w:szCs w:val="20"/>
              </w:rPr>
              <w:t>6.6</w:t>
            </w:r>
            <w:r w:rsidRPr="00F13104">
              <w:rPr>
                <w:b/>
                <w:color w:val="auto"/>
                <w:sz w:val="20"/>
                <w:szCs w:val="20"/>
              </w:rPr>
              <w:t>)</w:t>
            </w:r>
          </w:p>
        </w:tc>
        <w:tc>
          <w:tcPr>
            <w:tcW w:w="419" w:type="pct"/>
            <w:tcBorders>
              <w:top w:val="single" w:sz="4" w:space="0" w:color="auto"/>
              <w:bottom w:val="single" w:sz="4" w:space="0" w:color="auto"/>
            </w:tcBorders>
            <w:shd w:val="clear" w:color="auto" w:fill="auto"/>
            <w:vAlign w:val="bottom"/>
          </w:tcPr>
          <w:p w14:paraId="73DD0989" w14:textId="77777777" w:rsidR="00A46850" w:rsidRPr="00F13104" w:rsidRDefault="00A46850" w:rsidP="00E35139">
            <w:pPr>
              <w:tabs>
                <w:tab w:val="decimal" w:pos="545"/>
              </w:tabs>
              <w:rPr>
                <w:b/>
                <w:color w:val="auto"/>
                <w:sz w:val="20"/>
                <w:szCs w:val="20"/>
              </w:rPr>
            </w:pPr>
            <w:r w:rsidRPr="00F13104">
              <w:rPr>
                <w:b/>
                <w:color w:val="auto"/>
                <w:sz w:val="20"/>
                <w:szCs w:val="20"/>
              </w:rPr>
              <w:t>(13.2)</w:t>
            </w:r>
          </w:p>
        </w:tc>
        <w:tc>
          <w:tcPr>
            <w:tcW w:w="410" w:type="pct"/>
            <w:tcBorders>
              <w:top w:val="single" w:sz="4" w:space="0" w:color="auto"/>
              <w:bottom w:val="single" w:sz="4" w:space="0" w:color="auto"/>
            </w:tcBorders>
            <w:shd w:val="clear" w:color="auto" w:fill="auto"/>
            <w:vAlign w:val="bottom"/>
          </w:tcPr>
          <w:p w14:paraId="01C3C209" w14:textId="77777777" w:rsidR="00A46850" w:rsidRPr="00F13104" w:rsidRDefault="00A46850" w:rsidP="00E35139">
            <w:pPr>
              <w:tabs>
                <w:tab w:val="decimal" w:pos="552"/>
              </w:tabs>
              <w:rPr>
                <w:b/>
                <w:color w:val="auto"/>
                <w:sz w:val="20"/>
                <w:szCs w:val="20"/>
              </w:rPr>
            </w:pPr>
            <w:r w:rsidRPr="00F13104">
              <w:rPr>
                <w:b/>
                <w:color w:val="auto"/>
                <w:sz w:val="20"/>
                <w:szCs w:val="20"/>
              </w:rPr>
              <w:t>(31.3)</w:t>
            </w:r>
          </w:p>
        </w:tc>
        <w:tc>
          <w:tcPr>
            <w:tcW w:w="419" w:type="pct"/>
            <w:tcBorders>
              <w:top w:val="single" w:sz="4" w:space="0" w:color="auto"/>
              <w:bottom w:val="single" w:sz="4" w:space="0" w:color="auto"/>
            </w:tcBorders>
            <w:shd w:val="clear" w:color="auto" w:fill="auto"/>
            <w:vAlign w:val="bottom"/>
          </w:tcPr>
          <w:p w14:paraId="4DF79116" w14:textId="77777777" w:rsidR="00A46850" w:rsidRPr="00F13104" w:rsidRDefault="00A46850" w:rsidP="00E35139">
            <w:pPr>
              <w:tabs>
                <w:tab w:val="decimal" w:pos="520"/>
              </w:tabs>
              <w:rPr>
                <w:b/>
                <w:color w:val="auto"/>
                <w:sz w:val="20"/>
                <w:szCs w:val="20"/>
              </w:rPr>
            </w:pPr>
            <w:r w:rsidRPr="00F13104">
              <w:rPr>
                <w:b/>
                <w:color w:val="auto"/>
                <w:sz w:val="20"/>
                <w:szCs w:val="20"/>
              </w:rPr>
              <w:t>(47.8)</w:t>
            </w:r>
          </w:p>
        </w:tc>
        <w:tc>
          <w:tcPr>
            <w:tcW w:w="392" w:type="pct"/>
            <w:tcBorders>
              <w:top w:val="single" w:sz="4" w:space="0" w:color="auto"/>
              <w:bottom w:val="single" w:sz="4" w:space="0" w:color="auto"/>
            </w:tcBorders>
            <w:shd w:val="clear" w:color="auto" w:fill="auto"/>
            <w:vAlign w:val="bottom"/>
          </w:tcPr>
          <w:p w14:paraId="2D85CD37" w14:textId="77777777" w:rsidR="00A46850" w:rsidRPr="00F13104" w:rsidRDefault="00A46850" w:rsidP="00E35139">
            <w:pPr>
              <w:tabs>
                <w:tab w:val="decimal" w:pos="471"/>
              </w:tabs>
              <w:rPr>
                <w:b/>
                <w:color w:val="auto"/>
                <w:sz w:val="20"/>
                <w:szCs w:val="20"/>
              </w:rPr>
            </w:pPr>
            <w:r w:rsidRPr="00F13104">
              <w:rPr>
                <w:b/>
                <w:color w:val="auto"/>
                <w:sz w:val="20"/>
                <w:szCs w:val="20"/>
              </w:rPr>
              <w:t>(424.9)</w:t>
            </w:r>
          </w:p>
        </w:tc>
        <w:tc>
          <w:tcPr>
            <w:tcW w:w="396" w:type="pct"/>
            <w:tcBorders>
              <w:top w:val="single" w:sz="4" w:space="0" w:color="auto"/>
              <w:bottom w:val="single" w:sz="4" w:space="0" w:color="auto"/>
            </w:tcBorders>
            <w:shd w:val="clear" w:color="auto" w:fill="auto"/>
            <w:vAlign w:val="bottom"/>
          </w:tcPr>
          <w:p w14:paraId="011E87C2" w14:textId="77777777" w:rsidR="00A46850" w:rsidRPr="00F13104" w:rsidRDefault="00A46850" w:rsidP="00E35139">
            <w:pPr>
              <w:tabs>
                <w:tab w:val="decimal" w:pos="499"/>
              </w:tabs>
              <w:rPr>
                <w:b/>
                <w:color w:val="auto"/>
                <w:sz w:val="20"/>
                <w:szCs w:val="20"/>
              </w:rPr>
            </w:pPr>
            <w:r w:rsidRPr="00F13104">
              <w:rPr>
                <w:b/>
                <w:color w:val="auto"/>
                <w:sz w:val="20"/>
                <w:szCs w:val="20"/>
              </w:rPr>
              <w:t>(678.3)</w:t>
            </w:r>
          </w:p>
        </w:tc>
        <w:tc>
          <w:tcPr>
            <w:tcW w:w="392" w:type="pct"/>
            <w:tcBorders>
              <w:top w:val="single" w:sz="4" w:space="0" w:color="auto"/>
              <w:bottom w:val="single" w:sz="4" w:space="0" w:color="auto"/>
              <w:right w:val="single" w:sz="4" w:space="0" w:color="auto"/>
            </w:tcBorders>
            <w:shd w:val="clear" w:color="auto" w:fill="auto"/>
            <w:vAlign w:val="bottom"/>
          </w:tcPr>
          <w:p w14:paraId="0B4AC99D" w14:textId="77777777" w:rsidR="00A46850" w:rsidRPr="00F13104" w:rsidRDefault="00A46850" w:rsidP="00E35139">
            <w:pPr>
              <w:tabs>
                <w:tab w:val="decimal" w:pos="516"/>
              </w:tabs>
              <w:rPr>
                <w:b/>
                <w:color w:val="auto"/>
                <w:sz w:val="20"/>
                <w:szCs w:val="20"/>
              </w:rPr>
            </w:pPr>
            <w:r w:rsidRPr="00F13104">
              <w:rPr>
                <w:b/>
                <w:color w:val="auto"/>
                <w:sz w:val="20"/>
                <w:szCs w:val="20"/>
              </w:rPr>
              <w:t>(1,103.2)</w:t>
            </w:r>
          </w:p>
        </w:tc>
      </w:tr>
    </w:tbl>
    <w:p w14:paraId="698078AE" w14:textId="6CCD5044" w:rsidR="00E62CA3" w:rsidRDefault="00C306B3" w:rsidP="00D026A6">
      <w:pPr>
        <w:pStyle w:val="Heading2"/>
        <w:jc w:val="left"/>
      </w:pPr>
      <w:r w:rsidRPr="003D51BF">
        <w:rPr>
          <w:b w:val="0"/>
          <w:color w:val="auto"/>
          <w:sz w:val="20"/>
          <w:szCs w:val="20"/>
          <w:vertAlign w:val="superscript"/>
        </w:rPr>
        <w:t>1</w:t>
      </w:r>
      <w:r w:rsidR="00A46850" w:rsidRPr="003D51BF">
        <w:rPr>
          <w:b w:val="0"/>
          <w:color w:val="auto"/>
          <w:sz w:val="20"/>
          <w:szCs w:val="20"/>
        </w:rPr>
        <w:t xml:space="preserve">Restated </w:t>
      </w:r>
      <w:r w:rsidR="003D51BF">
        <w:rPr>
          <w:b w:val="0"/>
          <w:color w:val="auto"/>
          <w:sz w:val="20"/>
          <w:szCs w:val="20"/>
        </w:rPr>
        <w:t xml:space="preserve">comparative year </w:t>
      </w:r>
      <w:r w:rsidR="0057262E">
        <w:rPr>
          <w:b w:val="0"/>
          <w:color w:val="auto"/>
          <w:sz w:val="20"/>
          <w:szCs w:val="20"/>
        </w:rPr>
        <w:t>to include r</w:t>
      </w:r>
      <w:r w:rsidR="00A46850" w:rsidRPr="003D51BF">
        <w:rPr>
          <w:b w:val="0"/>
          <w:color w:val="auto"/>
          <w:sz w:val="20"/>
          <w:szCs w:val="20"/>
        </w:rPr>
        <w:t>eserves</w:t>
      </w:r>
      <w:r w:rsidR="003B49DD" w:rsidRPr="003D51BF">
        <w:rPr>
          <w:b w:val="0"/>
          <w:color w:val="auto"/>
          <w:sz w:val="20"/>
          <w:szCs w:val="20"/>
        </w:rPr>
        <w:t xml:space="preserve"> of services which were previously traded services</w:t>
      </w:r>
      <w:r w:rsidR="00E62CA3">
        <w:br w:type="page"/>
      </w:r>
      <w:r w:rsidR="00E62CA3" w:rsidRPr="00A06955">
        <w:lastRenderedPageBreak/>
        <w:t>Co</w:t>
      </w:r>
      <w:r>
        <w:t>m</w:t>
      </w:r>
      <w:r w:rsidR="00E62CA3" w:rsidRPr="00A06955">
        <w:t>prehensive Income and Expenditure Statement</w:t>
      </w:r>
    </w:p>
    <w:p w14:paraId="41439487" w14:textId="58A5D49C" w:rsidR="00B2759E" w:rsidRPr="00B2759E" w:rsidRDefault="00B2759E" w:rsidP="00B2759E">
      <w:pPr>
        <w:rPr>
          <w:lang w:eastAsia="en-GB"/>
        </w:rPr>
      </w:pPr>
      <w:r w:rsidRPr="00A06955">
        <w:rPr>
          <w:color w:val="auto"/>
        </w:rPr>
        <w:t>This statement shows the accounting cost in year of providing services in accordance with generally accepted practices, rather than the amount to be funded from taxation. Authorities raise taxation to cover expenditure in accordance with regulations; this may be different from accounting costs.</w:t>
      </w:r>
      <w:r>
        <w:rPr>
          <w:color w:val="auto"/>
        </w:rPr>
        <w:t xml:space="preserve">  The taxation position is shown in the Movement in Reserves Statement.</w:t>
      </w:r>
    </w:p>
    <w:tbl>
      <w:tblPr>
        <w:tblW w:w="5000" w:type="pct"/>
        <w:tblLook w:val="04A0" w:firstRow="1" w:lastRow="0" w:firstColumn="1" w:lastColumn="0" w:noHBand="0" w:noVBand="1"/>
      </w:tblPr>
      <w:tblGrid>
        <w:gridCol w:w="6385"/>
        <w:gridCol w:w="1586"/>
        <w:gridCol w:w="1326"/>
        <w:gridCol w:w="1587"/>
        <w:gridCol w:w="1587"/>
        <w:gridCol w:w="1332"/>
        <w:gridCol w:w="1587"/>
      </w:tblGrid>
      <w:tr w:rsidR="009E4F66" w:rsidRPr="00F13104" w14:paraId="480B4248" w14:textId="77777777" w:rsidTr="00D026A6">
        <w:trPr>
          <w:trHeight w:val="454"/>
          <w:tblHeader/>
        </w:trPr>
        <w:tc>
          <w:tcPr>
            <w:tcW w:w="6562" w:type="dxa"/>
            <w:tcBorders>
              <w:top w:val="single" w:sz="4" w:space="0" w:color="auto"/>
              <w:left w:val="single" w:sz="4" w:space="0" w:color="auto"/>
            </w:tcBorders>
            <w:shd w:val="clear" w:color="auto" w:fill="D0CECE"/>
            <w:vAlign w:val="bottom"/>
          </w:tcPr>
          <w:p w14:paraId="772A4622" w14:textId="1ABF8AFC" w:rsidR="009E4F66" w:rsidRPr="00747B0B" w:rsidRDefault="009E4F66" w:rsidP="00F13104">
            <w:pPr>
              <w:jc w:val="left"/>
              <w:rPr>
                <w:color w:val="auto"/>
                <w:sz w:val="20"/>
                <w:szCs w:val="20"/>
                <w:highlight w:val="yellow"/>
              </w:rPr>
            </w:pPr>
          </w:p>
        </w:tc>
        <w:tc>
          <w:tcPr>
            <w:tcW w:w="1595" w:type="dxa"/>
            <w:tcBorders>
              <w:top w:val="single" w:sz="4" w:space="0" w:color="auto"/>
            </w:tcBorders>
            <w:shd w:val="clear" w:color="auto" w:fill="D0CECE"/>
            <w:vAlign w:val="bottom"/>
          </w:tcPr>
          <w:p w14:paraId="2BD16C2F" w14:textId="77777777" w:rsidR="009E4F66" w:rsidRPr="00A06955" w:rsidRDefault="009E4F66" w:rsidP="00F13104">
            <w:pPr>
              <w:jc w:val="center"/>
              <w:rPr>
                <w:b/>
                <w:color w:val="auto"/>
                <w:sz w:val="20"/>
                <w:szCs w:val="20"/>
              </w:rPr>
            </w:pPr>
          </w:p>
        </w:tc>
        <w:tc>
          <w:tcPr>
            <w:tcW w:w="1333" w:type="dxa"/>
            <w:tcBorders>
              <w:top w:val="single" w:sz="4" w:space="0" w:color="auto"/>
            </w:tcBorders>
            <w:shd w:val="clear" w:color="auto" w:fill="D0CECE"/>
            <w:vAlign w:val="bottom"/>
          </w:tcPr>
          <w:p w14:paraId="1C300066" w14:textId="77777777" w:rsidR="009E4F66" w:rsidRPr="00A06955" w:rsidRDefault="009E4F66" w:rsidP="00F13104">
            <w:pPr>
              <w:jc w:val="center"/>
              <w:rPr>
                <w:b/>
                <w:color w:val="auto"/>
                <w:sz w:val="20"/>
                <w:szCs w:val="20"/>
              </w:rPr>
            </w:pPr>
            <w:r w:rsidRPr="00A06955">
              <w:rPr>
                <w:b/>
                <w:color w:val="auto"/>
                <w:sz w:val="20"/>
                <w:szCs w:val="20"/>
              </w:rPr>
              <w:t>2014/15</w:t>
            </w:r>
          </w:p>
        </w:tc>
        <w:tc>
          <w:tcPr>
            <w:tcW w:w="1596" w:type="dxa"/>
            <w:tcBorders>
              <w:top w:val="single" w:sz="4" w:space="0" w:color="auto"/>
            </w:tcBorders>
            <w:shd w:val="clear" w:color="auto" w:fill="D0CECE"/>
            <w:vAlign w:val="bottom"/>
          </w:tcPr>
          <w:p w14:paraId="788BFACE" w14:textId="77777777" w:rsidR="009E4F66" w:rsidRPr="00A06955" w:rsidRDefault="009E4F66" w:rsidP="00F13104">
            <w:pPr>
              <w:jc w:val="center"/>
              <w:rPr>
                <w:b/>
                <w:color w:val="auto"/>
                <w:sz w:val="20"/>
                <w:szCs w:val="20"/>
              </w:rPr>
            </w:pPr>
          </w:p>
        </w:tc>
        <w:tc>
          <w:tcPr>
            <w:tcW w:w="1596" w:type="dxa"/>
            <w:tcBorders>
              <w:top w:val="single" w:sz="4" w:space="0" w:color="auto"/>
            </w:tcBorders>
            <w:shd w:val="clear" w:color="auto" w:fill="D0CECE"/>
            <w:vAlign w:val="bottom"/>
          </w:tcPr>
          <w:p w14:paraId="2D21A20E" w14:textId="77777777" w:rsidR="009E4F66" w:rsidRPr="00F13104" w:rsidRDefault="009E4F66" w:rsidP="00F13104">
            <w:pPr>
              <w:jc w:val="center"/>
              <w:rPr>
                <w:b/>
                <w:color w:val="auto"/>
                <w:sz w:val="20"/>
                <w:szCs w:val="20"/>
              </w:rPr>
            </w:pPr>
          </w:p>
        </w:tc>
        <w:tc>
          <w:tcPr>
            <w:tcW w:w="1338" w:type="dxa"/>
            <w:tcBorders>
              <w:top w:val="single" w:sz="4" w:space="0" w:color="auto"/>
            </w:tcBorders>
            <w:shd w:val="clear" w:color="auto" w:fill="D0CECE"/>
            <w:vAlign w:val="bottom"/>
          </w:tcPr>
          <w:p w14:paraId="7E52B83E" w14:textId="6F88EA6A" w:rsidR="009E4F66" w:rsidRPr="00A06955" w:rsidRDefault="009E4F66" w:rsidP="00F13104">
            <w:pPr>
              <w:jc w:val="center"/>
              <w:rPr>
                <w:b/>
                <w:color w:val="auto"/>
                <w:sz w:val="20"/>
                <w:szCs w:val="20"/>
                <w:vertAlign w:val="superscript"/>
              </w:rPr>
            </w:pPr>
            <w:r w:rsidRPr="00F13104">
              <w:rPr>
                <w:b/>
                <w:color w:val="auto"/>
                <w:sz w:val="20"/>
                <w:szCs w:val="20"/>
              </w:rPr>
              <w:t>2013/14</w:t>
            </w:r>
            <w:r w:rsidR="00393976">
              <w:rPr>
                <w:b/>
                <w:color w:val="auto"/>
                <w:sz w:val="20"/>
                <w:szCs w:val="20"/>
                <w:vertAlign w:val="superscript"/>
              </w:rPr>
              <w:t>1</w:t>
            </w:r>
            <w:r w:rsidR="00363FC7">
              <w:rPr>
                <w:b/>
                <w:color w:val="auto"/>
                <w:sz w:val="20"/>
                <w:szCs w:val="20"/>
                <w:vertAlign w:val="superscript"/>
              </w:rPr>
              <w:t>&amp;2</w:t>
            </w:r>
          </w:p>
        </w:tc>
        <w:tc>
          <w:tcPr>
            <w:tcW w:w="1596" w:type="dxa"/>
            <w:tcBorders>
              <w:top w:val="single" w:sz="4" w:space="0" w:color="auto"/>
              <w:right w:val="single" w:sz="4" w:space="0" w:color="auto"/>
            </w:tcBorders>
            <w:shd w:val="clear" w:color="auto" w:fill="D0CECE"/>
            <w:vAlign w:val="bottom"/>
          </w:tcPr>
          <w:p w14:paraId="46731577" w14:textId="77777777" w:rsidR="009E4F66" w:rsidRPr="00F13104" w:rsidRDefault="009E4F66" w:rsidP="00F13104">
            <w:pPr>
              <w:jc w:val="center"/>
              <w:rPr>
                <w:b/>
                <w:color w:val="auto"/>
                <w:sz w:val="20"/>
                <w:szCs w:val="20"/>
              </w:rPr>
            </w:pPr>
          </w:p>
        </w:tc>
      </w:tr>
      <w:tr w:rsidR="009E4F66" w:rsidRPr="00F13104" w14:paraId="00E0D1BF" w14:textId="77777777" w:rsidTr="00D026A6">
        <w:trPr>
          <w:trHeight w:val="454"/>
          <w:tblHeader/>
        </w:trPr>
        <w:tc>
          <w:tcPr>
            <w:tcW w:w="6562" w:type="dxa"/>
            <w:tcBorders>
              <w:left w:val="single" w:sz="4" w:space="0" w:color="auto"/>
            </w:tcBorders>
            <w:shd w:val="clear" w:color="auto" w:fill="D0CECE"/>
            <w:vAlign w:val="bottom"/>
          </w:tcPr>
          <w:p w14:paraId="72FAAC01" w14:textId="77777777" w:rsidR="009E4F66" w:rsidRPr="00747B0B" w:rsidRDefault="009E4F66" w:rsidP="00F13104">
            <w:pPr>
              <w:jc w:val="left"/>
              <w:rPr>
                <w:color w:val="auto"/>
                <w:sz w:val="20"/>
                <w:szCs w:val="20"/>
                <w:highlight w:val="yellow"/>
              </w:rPr>
            </w:pPr>
          </w:p>
        </w:tc>
        <w:tc>
          <w:tcPr>
            <w:tcW w:w="1595" w:type="dxa"/>
            <w:shd w:val="clear" w:color="auto" w:fill="D0CECE"/>
            <w:vAlign w:val="bottom"/>
          </w:tcPr>
          <w:p w14:paraId="15A59921" w14:textId="77777777" w:rsidR="009E4F66" w:rsidRPr="00A06955" w:rsidRDefault="009E4F66" w:rsidP="00F13104">
            <w:pPr>
              <w:jc w:val="center"/>
              <w:rPr>
                <w:b/>
                <w:color w:val="auto"/>
                <w:sz w:val="20"/>
                <w:szCs w:val="20"/>
              </w:rPr>
            </w:pPr>
            <w:r w:rsidRPr="00A06955">
              <w:rPr>
                <w:b/>
                <w:color w:val="auto"/>
                <w:sz w:val="20"/>
                <w:szCs w:val="20"/>
              </w:rPr>
              <w:t>Gross expenditure</w:t>
            </w:r>
          </w:p>
        </w:tc>
        <w:tc>
          <w:tcPr>
            <w:tcW w:w="1333" w:type="dxa"/>
            <w:shd w:val="clear" w:color="auto" w:fill="D0CECE"/>
            <w:vAlign w:val="bottom"/>
          </w:tcPr>
          <w:p w14:paraId="0CF036B9" w14:textId="77777777" w:rsidR="009E4F66" w:rsidRPr="00A06955" w:rsidRDefault="009E4F66" w:rsidP="00F13104">
            <w:pPr>
              <w:jc w:val="center"/>
              <w:rPr>
                <w:b/>
                <w:color w:val="auto"/>
                <w:sz w:val="20"/>
                <w:szCs w:val="20"/>
              </w:rPr>
            </w:pPr>
            <w:r w:rsidRPr="00A06955">
              <w:rPr>
                <w:b/>
                <w:color w:val="auto"/>
                <w:sz w:val="20"/>
                <w:szCs w:val="20"/>
              </w:rPr>
              <w:t>Gross income</w:t>
            </w:r>
          </w:p>
        </w:tc>
        <w:tc>
          <w:tcPr>
            <w:tcW w:w="1596" w:type="dxa"/>
            <w:shd w:val="clear" w:color="auto" w:fill="D0CECE"/>
            <w:vAlign w:val="bottom"/>
          </w:tcPr>
          <w:p w14:paraId="766FFF5E" w14:textId="77777777" w:rsidR="009E4F66" w:rsidRPr="00A06955" w:rsidRDefault="009E4F66" w:rsidP="00F13104">
            <w:pPr>
              <w:jc w:val="center"/>
              <w:rPr>
                <w:b/>
                <w:color w:val="auto"/>
                <w:sz w:val="20"/>
                <w:szCs w:val="20"/>
              </w:rPr>
            </w:pPr>
            <w:r w:rsidRPr="00A06955">
              <w:rPr>
                <w:b/>
                <w:color w:val="auto"/>
                <w:sz w:val="20"/>
                <w:szCs w:val="20"/>
              </w:rPr>
              <w:t>Net expenditure</w:t>
            </w:r>
          </w:p>
        </w:tc>
        <w:tc>
          <w:tcPr>
            <w:tcW w:w="1596" w:type="dxa"/>
            <w:shd w:val="clear" w:color="auto" w:fill="D0CECE"/>
            <w:vAlign w:val="bottom"/>
          </w:tcPr>
          <w:p w14:paraId="41A4A0C6" w14:textId="77777777" w:rsidR="009E4F66" w:rsidRPr="00F13104" w:rsidRDefault="009E4F66" w:rsidP="00F13104">
            <w:pPr>
              <w:jc w:val="center"/>
              <w:rPr>
                <w:b/>
                <w:color w:val="auto"/>
                <w:sz w:val="20"/>
                <w:szCs w:val="20"/>
              </w:rPr>
            </w:pPr>
            <w:r w:rsidRPr="00F13104">
              <w:rPr>
                <w:b/>
                <w:color w:val="auto"/>
                <w:sz w:val="20"/>
                <w:szCs w:val="20"/>
              </w:rPr>
              <w:t>Gross expenditure</w:t>
            </w:r>
          </w:p>
        </w:tc>
        <w:tc>
          <w:tcPr>
            <w:tcW w:w="1338" w:type="dxa"/>
            <w:shd w:val="clear" w:color="auto" w:fill="D0CECE"/>
            <w:vAlign w:val="bottom"/>
          </w:tcPr>
          <w:p w14:paraId="63B8ADDC" w14:textId="77777777" w:rsidR="009E4F66" w:rsidRPr="00F13104" w:rsidRDefault="009E4F66" w:rsidP="00F13104">
            <w:pPr>
              <w:jc w:val="center"/>
              <w:rPr>
                <w:b/>
                <w:color w:val="auto"/>
                <w:sz w:val="20"/>
                <w:szCs w:val="20"/>
              </w:rPr>
            </w:pPr>
            <w:r w:rsidRPr="00F13104">
              <w:rPr>
                <w:b/>
                <w:color w:val="auto"/>
                <w:sz w:val="20"/>
                <w:szCs w:val="20"/>
              </w:rPr>
              <w:t>Gross income</w:t>
            </w:r>
          </w:p>
        </w:tc>
        <w:tc>
          <w:tcPr>
            <w:tcW w:w="1596" w:type="dxa"/>
            <w:tcBorders>
              <w:right w:val="single" w:sz="4" w:space="0" w:color="auto"/>
            </w:tcBorders>
            <w:shd w:val="clear" w:color="auto" w:fill="D0CECE"/>
            <w:vAlign w:val="bottom"/>
          </w:tcPr>
          <w:p w14:paraId="3EF2BA45" w14:textId="77777777" w:rsidR="009E4F66" w:rsidRPr="00F13104" w:rsidRDefault="009E4F66" w:rsidP="00F13104">
            <w:pPr>
              <w:jc w:val="center"/>
              <w:rPr>
                <w:b/>
                <w:color w:val="auto"/>
                <w:sz w:val="20"/>
                <w:szCs w:val="20"/>
              </w:rPr>
            </w:pPr>
            <w:r w:rsidRPr="00F13104">
              <w:rPr>
                <w:b/>
                <w:color w:val="auto"/>
                <w:sz w:val="20"/>
                <w:szCs w:val="20"/>
              </w:rPr>
              <w:t>Net expenditure</w:t>
            </w:r>
          </w:p>
        </w:tc>
      </w:tr>
      <w:tr w:rsidR="009E4F66" w:rsidRPr="00F13104" w14:paraId="05BF3AE1" w14:textId="77777777" w:rsidTr="00D026A6">
        <w:trPr>
          <w:trHeight w:val="454"/>
          <w:tblHeader/>
        </w:trPr>
        <w:tc>
          <w:tcPr>
            <w:tcW w:w="6562" w:type="dxa"/>
            <w:tcBorders>
              <w:left w:val="single" w:sz="4" w:space="0" w:color="auto"/>
            </w:tcBorders>
            <w:shd w:val="clear" w:color="auto" w:fill="D0CECE"/>
            <w:vAlign w:val="bottom"/>
          </w:tcPr>
          <w:p w14:paraId="4BDB3659" w14:textId="77777777" w:rsidR="009E4F66" w:rsidRPr="00747B0B" w:rsidRDefault="009E4F66" w:rsidP="00F13104">
            <w:pPr>
              <w:jc w:val="left"/>
              <w:rPr>
                <w:color w:val="auto"/>
                <w:sz w:val="20"/>
                <w:szCs w:val="20"/>
                <w:highlight w:val="yellow"/>
              </w:rPr>
            </w:pPr>
          </w:p>
        </w:tc>
        <w:tc>
          <w:tcPr>
            <w:tcW w:w="1595" w:type="dxa"/>
            <w:shd w:val="clear" w:color="auto" w:fill="D0CECE"/>
            <w:vAlign w:val="bottom"/>
          </w:tcPr>
          <w:p w14:paraId="33C0C362" w14:textId="77777777" w:rsidR="009E4F66" w:rsidRPr="00A06955" w:rsidRDefault="0043558B" w:rsidP="00F13104">
            <w:pPr>
              <w:jc w:val="center"/>
              <w:rPr>
                <w:b/>
                <w:color w:val="auto"/>
                <w:sz w:val="20"/>
                <w:szCs w:val="20"/>
              </w:rPr>
            </w:pPr>
            <w:r w:rsidRPr="00A06955">
              <w:rPr>
                <w:b/>
                <w:color w:val="auto"/>
                <w:sz w:val="20"/>
                <w:szCs w:val="20"/>
              </w:rPr>
              <w:t>£m</w:t>
            </w:r>
          </w:p>
        </w:tc>
        <w:tc>
          <w:tcPr>
            <w:tcW w:w="1333" w:type="dxa"/>
            <w:shd w:val="clear" w:color="auto" w:fill="D0CECE"/>
            <w:vAlign w:val="bottom"/>
          </w:tcPr>
          <w:p w14:paraId="05145DBF" w14:textId="77777777" w:rsidR="009E4F66" w:rsidRPr="00A06955" w:rsidRDefault="0043558B" w:rsidP="00F13104">
            <w:pPr>
              <w:jc w:val="center"/>
              <w:rPr>
                <w:b/>
                <w:color w:val="auto"/>
                <w:sz w:val="20"/>
                <w:szCs w:val="20"/>
              </w:rPr>
            </w:pPr>
            <w:r w:rsidRPr="00A06955">
              <w:rPr>
                <w:b/>
                <w:color w:val="auto"/>
                <w:sz w:val="20"/>
                <w:szCs w:val="20"/>
              </w:rPr>
              <w:t>£m</w:t>
            </w:r>
          </w:p>
        </w:tc>
        <w:tc>
          <w:tcPr>
            <w:tcW w:w="1596" w:type="dxa"/>
            <w:shd w:val="clear" w:color="auto" w:fill="D0CECE"/>
            <w:vAlign w:val="bottom"/>
          </w:tcPr>
          <w:p w14:paraId="795D2560" w14:textId="77777777" w:rsidR="009E4F66" w:rsidRPr="00A06955" w:rsidRDefault="0043558B" w:rsidP="00F13104">
            <w:pPr>
              <w:jc w:val="center"/>
              <w:rPr>
                <w:b/>
                <w:color w:val="auto"/>
                <w:sz w:val="20"/>
                <w:szCs w:val="20"/>
              </w:rPr>
            </w:pPr>
            <w:r w:rsidRPr="00A06955">
              <w:rPr>
                <w:b/>
                <w:color w:val="auto"/>
                <w:sz w:val="20"/>
                <w:szCs w:val="20"/>
              </w:rPr>
              <w:t>£m</w:t>
            </w:r>
          </w:p>
        </w:tc>
        <w:tc>
          <w:tcPr>
            <w:tcW w:w="1596" w:type="dxa"/>
            <w:shd w:val="clear" w:color="auto" w:fill="D0CECE"/>
            <w:vAlign w:val="bottom"/>
          </w:tcPr>
          <w:p w14:paraId="056FCE89" w14:textId="77777777" w:rsidR="009E4F66" w:rsidRPr="00F13104" w:rsidRDefault="0043558B" w:rsidP="00F13104">
            <w:pPr>
              <w:jc w:val="center"/>
              <w:rPr>
                <w:b/>
                <w:color w:val="auto"/>
                <w:sz w:val="20"/>
                <w:szCs w:val="20"/>
              </w:rPr>
            </w:pPr>
            <w:r w:rsidRPr="00F13104">
              <w:rPr>
                <w:b/>
                <w:color w:val="auto"/>
                <w:sz w:val="20"/>
                <w:szCs w:val="20"/>
              </w:rPr>
              <w:t>£m</w:t>
            </w:r>
          </w:p>
        </w:tc>
        <w:tc>
          <w:tcPr>
            <w:tcW w:w="1338" w:type="dxa"/>
            <w:shd w:val="clear" w:color="auto" w:fill="D0CECE"/>
            <w:vAlign w:val="bottom"/>
          </w:tcPr>
          <w:p w14:paraId="2D531E95" w14:textId="77777777" w:rsidR="009E4F66" w:rsidRPr="00F13104" w:rsidRDefault="0043558B" w:rsidP="00F13104">
            <w:pPr>
              <w:jc w:val="center"/>
              <w:rPr>
                <w:b/>
                <w:color w:val="auto"/>
                <w:sz w:val="20"/>
                <w:szCs w:val="20"/>
              </w:rPr>
            </w:pPr>
            <w:r w:rsidRPr="00F13104">
              <w:rPr>
                <w:b/>
                <w:color w:val="auto"/>
                <w:sz w:val="20"/>
                <w:szCs w:val="20"/>
              </w:rPr>
              <w:t>£m</w:t>
            </w:r>
          </w:p>
        </w:tc>
        <w:tc>
          <w:tcPr>
            <w:tcW w:w="1596" w:type="dxa"/>
            <w:tcBorders>
              <w:right w:val="single" w:sz="4" w:space="0" w:color="auto"/>
            </w:tcBorders>
            <w:shd w:val="clear" w:color="auto" w:fill="D0CECE"/>
            <w:vAlign w:val="bottom"/>
          </w:tcPr>
          <w:p w14:paraId="68C91889" w14:textId="77777777" w:rsidR="009E4F66" w:rsidRPr="00F13104" w:rsidRDefault="0043558B" w:rsidP="00F13104">
            <w:pPr>
              <w:jc w:val="center"/>
              <w:rPr>
                <w:b/>
                <w:color w:val="auto"/>
                <w:sz w:val="20"/>
                <w:szCs w:val="20"/>
              </w:rPr>
            </w:pPr>
            <w:r w:rsidRPr="00F13104">
              <w:rPr>
                <w:b/>
                <w:color w:val="auto"/>
                <w:sz w:val="20"/>
                <w:szCs w:val="20"/>
              </w:rPr>
              <w:t>£m</w:t>
            </w:r>
          </w:p>
        </w:tc>
      </w:tr>
      <w:tr w:rsidR="009E4F66" w:rsidRPr="00F13104" w14:paraId="55300DC5" w14:textId="77777777" w:rsidTr="00D026A6">
        <w:trPr>
          <w:trHeight w:val="454"/>
        </w:trPr>
        <w:tc>
          <w:tcPr>
            <w:tcW w:w="6562" w:type="dxa"/>
            <w:tcBorders>
              <w:left w:val="single" w:sz="4" w:space="0" w:color="auto"/>
            </w:tcBorders>
            <w:shd w:val="clear" w:color="auto" w:fill="auto"/>
            <w:vAlign w:val="bottom"/>
          </w:tcPr>
          <w:p w14:paraId="6283B26C" w14:textId="77777777" w:rsidR="00191F0F" w:rsidRDefault="00191F0F" w:rsidP="00F13104">
            <w:pPr>
              <w:jc w:val="left"/>
              <w:rPr>
                <w:color w:val="auto"/>
                <w:sz w:val="20"/>
                <w:szCs w:val="20"/>
              </w:rPr>
            </w:pPr>
          </w:p>
          <w:p w14:paraId="7160D6A9" w14:textId="77777777" w:rsidR="00191F0F" w:rsidRDefault="00191F0F" w:rsidP="00F13104">
            <w:pPr>
              <w:jc w:val="left"/>
              <w:rPr>
                <w:color w:val="auto"/>
                <w:sz w:val="20"/>
                <w:szCs w:val="20"/>
              </w:rPr>
            </w:pPr>
          </w:p>
          <w:p w14:paraId="14428DED" w14:textId="77777777" w:rsidR="009E4F66" w:rsidRPr="00A06955" w:rsidRDefault="0043558B" w:rsidP="00F13104">
            <w:pPr>
              <w:jc w:val="left"/>
              <w:rPr>
                <w:color w:val="auto"/>
                <w:sz w:val="20"/>
                <w:szCs w:val="20"/>
              </w:rPr>
            </w:pPr>
            <w:r w:rsidRPr="00A06955">
              <w:rPr>
                <w:color w:val="auto"/>
                <w:sz w:val="20"/>
                <w:szCs w:val="20"/>
              </w:rPr>
              <w:t>Cultural and Related Services</w:t>
            </w:r>
          </w:p>
        </w:tc>
        <w:tc>
          <w:tcPr>
            <w:tcW w:w="1595" w:type="dxa"/>
            <w:shd w:val="clear" w:color="auto" w:fill="auto"/>
            <w:vAlign w:val="bottom"/>
          </w:tcPr>
          <w:p w14:paraId="584B7BD0" w14:textId="5B4C3530" w:rsidR="009E4F66" w:rsidRPr="00A06955" w:rsidRDefault="001C2887" w:rsidP="00A320C3">
            <w:pPr>
              <w:tabs>
                <w:tab w:val="decimal" w:pos="758"/>
              </w:tabs>
              <w:rPr>
                <w:color w:val="auto"/>
                <w:sz w:val="20"/>
                <w:szCs w:val="20"/>
              </w:rPr>
            </w:pPr>
            <w:r w:rsidRPr="00A06955">
              <w:rPr>
                <w:color w:val="auto"/>
                <w:sz w:val="20"/>
                <w:szCs w:val="20"/>
              </w:rPr>
              <w:t>27.0</w:t>
            </w:r>
          </w:p>
        </w:tc>
        <w:tc>
          <w:tcPr>
            <w:tcW w:w="1333" w:type="dxa"/>
            <w:shd w:val="clear" w:color="auto" w:fill="auto"/>
            <w:vAlign w:val="bottom"/>
          </w:tcPr>
          <w:p w14:paraId="62D9B5AC" w14:textId="15A1653B" w:rsidR="009E4F66" w:rsidRPr="00A06955" w:rsidRDefault="001C2887" w:rsidP="00A320C3">
            <w:pPr>
              <w:tabs>
                <w:tab w:val="decimal" w:pos="693"/>
              </w:tabs>
              <w:rPr>
                <w:color w:val="auto"/>
                <w:sz w:val="20"/>
                <w:szCs w:val="20"/>
              </w:rPr>
            </w:pPr>
            <w:r w:rsidRPr="00A06955">
              <w:rPr>
                <w:color w:val="auto"/>
                <w:sz w:val="20"/>
                <w:szCs w:val="20"/>
              </w:rPr>
              <w:t>(3.7)</w:t>
            </w:r>
          </w:p>
        </w:tc>
        <w:tc>
          <w:tcPr>
            <w:tcW w:w="1596" w:type="dxa"/>
            <w:shd w:val="clear" w:color="auto" w:fill="auto"/>
            <w:vAlign w:val="bottom"/>
          </w:tcPr>
          <w:p w14:paraId="551B82E4" w14:textId="6BB54666" w:rsidR="009E4F66" w:rsidRPr="00A06955" w:rsidRDefault="001C2887" w:rsidP="00A320C3">
            <w:pPr>
              <w:tabs>
                <w:tab w:val="decimal" w:pos="895"/>
              </w:tabs>
              <w:rPr>
                <w:color w:val="auto"/>
                <w:sz w:val="20"/>
                <w:szCs w:val="20"/>
              </w:rPr>
            </w:pPr>
            <w:r w:rsidRPr="00A06955">
              <w:rPr>
                <w:color w:val="auto"/>
                <w:sz w:val="20"/>
                <w:szCs w:val="20"/>
              </w:rPr>
              <w:t>23.3</w:t>
            </w:r>
          </w:p>
        </w:tc>
        <w:tc>
          <w:tcPr>
            <w:tcW w:w="1596" w:type="dxa"/>
            <w:shd w:val="clear" w:color="auto" w:fill="auto"/>
            <w:vAlign w:val="bottom"/>
          </w:tcPr>
          <w:p w14:paraId="1B7944E4" w14:textId="77777777" w:rsidR="009E4F66" w:rsidRPr="00393976" w:rsidRDefault="00EF596C" w:rsidP="00A320C3">
            <w:pPr>
              <w:tabs>
                <w:tab w:val="decimal" w:pos="799"/>
              </w:tabs>
              <w:rPr>
                <w:color w:val="auto"/>
                <w:sz w:val="20"/>
                <w:szCs w:val="20"/>
              </w:rPr>
            </w:pPr>
            <w:r w:rsidRPr="00393976">
              <w:rPr>
                <w:color w:val="auto"/>
                <w:sz w:val="20"/>
                <w:szCs w:val="20"/>
              </w:rPr>
              <w:t>28.3</w:t>
            </w:r>
          </w:p>
        </w:tc>
        <w:tc>
          <w:tcPr>
            <w:tcW w:w="1338" w:type="dxa"/>
            <w:shd w:val="clear" w:color="auto" w:fill="auto"/>
            <w:vAlign w:val="bottom"/>
          </w:tcPr>
          <w:p w14:paraId="16548D10" w14:textId="77777777" w:rsidR="009E4F66" w:rsidRPr="00393976" w:rsidRDefault="00EF596C" w:rsidP="00A320C3">
            <w:pPr>
              <w:tabs>
                <w:tab w:val="decimal" w:pos="628"/>
              </w:tabs>
              <w:rPr>
                <w:color w:val="auto"/>
                <w:sz w:val="20"/>
                <w:szCs w:val="20"/>
              </w:rPr>
            </w:pPr>
            <w:r w:rsidRPr="00393976">
              <w:rPr>
                <w:color w:val="auto"/>
                <w:sz w:val="20"/>
                <w:szCs w:val="20"/>
              </w:rPr>
              <w:t>(4.3)</w:t>
            </w:r>
          </w:p>
        </w:tc>
        <w:tc>
          <w:tcPr>
            <w:tcW w:w="1596" w:type="dxa"/>
            <w:tcBorders>
              <w:right w:val="single" w:sz="4" w:space="0" w:color="auto"/>
            </w:tcBorders>
            <w:shd w:val="clear" w:color="auto" w:fill="auto"/>
            <w:vAlign w:val="bottom"/>
          </w:tcPr>
          <w:p w14:paraId="44B45510" w14:textId="77777777" w:rsidR="009E4F66" w:rsidRPr="009157E7" w:rsidRDefault="00EF596C" w:rsidP="00A320C3">
            <w:pPr>
              <w:tabs>
                <w:tab w:val="decimal" w:pos="815"/>
              </w:tabs>
              <w:rPr>
                <w:color w:val="auto"/>
                <w:sz w:val="20"/>
                <w:szCs w:val="20"/>
              </w:rPr>
            </w:pPr>
            <w:r w:rsidRPr="009157E7">
              <w:rPr>
                <w:color w:val="auto"/>
                <w:sz w:val="20"/>
                <w:szCs w:val="20"/>
              </w:rPr>
              <w:t>24.0</w:t>
            </w:r>
          </w:p>
        </w:tc>
      </w:tr>
      <w:tr w:rsidR="009E4F66" w:rsidRPr="00F13104" w14:paraId="34790066" w14:textId="77777777" w:rsidTr="00D026A6">
        <w:trPr>
          <w:trHeight w:val="454"/>
        </w:trPr>
        <w:tc>
          <w:tcPr>
            <w:tcW w:w="6562" w:type="dxa"/>
            <w:tcBorders>
              <w:left w:val="single" w:sz="4" w:space="0" w:color="auto"/>
            </w:tcBorders>
            <w:shd w:val="clear" w:color="auto" w:fill="auto"/>
            <w:vAlign w:val="bottom"/>
          </w:tcPr>
          <w:p w14:paraId="2F8D18EE" w14:textId="77777777" w:rsidR="009E4F66" w:rsidRPr="00A06955" w:rsidRDefault="0043558B" w:rsidP="00F13104">
            <w:pPr>
              <w:jc w:val="left"/>
              <w:rPr>
                <w:color w:val="auto"/>
                <w:sz w:val="20"/>
                <w:szCs w:val="20"/>
              </w:rPr>
            </w:pPr>
            <w:r w:rsidRPr="00A06955">
              <w:rPr>
                <w:color w:val="auto"/>
                <w:sz w:val="20"/>
                <w:szCs w:val="20"/>
              </w:rPr>
              <w:t>Environmental and Regulatory Services</w:t>
            </w:r>
          </w:p>
        </w:tc>
        <w:tc>
          <w:tcPr>
            <w:tcW w:w="1595" w:type="dxa"/>
            <w:shd w:val="clear" w:color="auto" w:fill="auto"/>
            <w:vAlign w:val="bottom"/>
          </w:tcPr>
          <w:p w14:paraId="53023E8C" w14:textId="6E5F8ED8" w:rsidR="009E4F66" w:rsidRPr="00A06955" w:rsidRDefault="003E6188" w:rsidP="00A320C3">
            <w:pPr>
              <w:tabs>
                <w:tab w:val="decimal" w:pos="758"/>
              </w:tabs>
              <w:rPr>
                <w:color w:val="auto"/>
                <w:sz w:val="20"/>
                <w:szCs w:val="20"/>
              </w:rPr>
            </w:pPr>
            <w:r>
              <w:rPr>
                <w:color w:val="auto"/>
                <w:sz w:val="20"/>
                <w:szCs w:val="20"/>
              </w:rPr>
              <w:t>211.3</w:t>
            </w:r>
          </w:p>
        </w:tc>
        <w:tc>
          <w:tcPr>
            <w:tcW w:w="1333" w:type="dxa"/>
            <w:shd w:val="clear" w:color="auto" w:fill="auto"/>
            <w:vAlign w:val="bottom"/>
          </w:tcPr>
          <w:p w14:paraId="182663C4" w14:textId="42B484A8" w:rsidR="009E4F66" w:rsidRPr="00A06955" w:rsidRDefault="001C2887" w:rsidP="00A320C3">
            <w:pPr>
              <w:tabs>
                <w:tab w:val="decimal" w:pos="693"/>
              </w:tabs>
              <w:rPr>
                <w:color w:val="auto"/>
                <w:sz w:val="20"/>
                <w:szCs w:val="20"/>
              </w:rPr>
            </w:pPr>
            <w:r w:rsidRPr="00A06955">
              <w:rPr>
                <w:color w:val="auto"/>
                <w:sz w:val="20"/>
                <w:szCs w:val="20"/>
              </w:rPr>
              <w:t>(36.4)</w:t>
            </w:r>
          </w:p>
        </w:tc>
        <w:tc>
          <w:tcPr>
            <w:tcW w:w="1596" w:type="dxa"/>
            <w:shd w:val="clear" w:color="auto" w:fill="auto"/>
            <w:vAlign w:val="bottom"/>
          </w:tcPr>
          <w:p w14:paraId="13CE270E" w14:textId="59282DA2" w:rsidR="009E4F66" w:rsidRPr="00A06955" w:rsidRDefault="003E6188" w:rsidP="00A320C3">
            <w:pPr>
              <w:tabs>
                <w:tab w:val="decimal" w:pos="895"/>
              </w:tabs>
              <w:rPr>
                <w:color w:val="auto"/>
                <w:sz w:val="20"/>
                <w:szCs w:val="20"/>
              </w:rPr>
            </w:pPr>
            <w:r>
              <w:rPr>
                <w:color w:val="auto"/>
                <w:sz w:val="20"/>
                <w:szCs w:val="20"/>
              </w:rPr>
              <w:t>174.9</w:t>
            </w:r>
          </w:p>
        </w:tc>
        <w:tc>
          <w:tcPr>
            <w:tcW w:w="1596" w:type="dxa"/>
            <w:shd w:val="clear" w:color="auto" w:fill="auto"/>
            <w:vAlign w:val="bottom"/>
          </w:tcPr>
          <w:p w14:paraId="66BCF72F" w14:textId="2050F022" w:rsidR="009E4F66" w:rsidRPr="00393976" w:rsidRDefault="00EF596C" w:rsidP="00393976">
            <w:pPr>
              <w:tabs>
                <w:tab w:val="decimal" w:pos="799"/>
              </w:tabs>
              <w:rPr>
                <w:color w:val="auto"/>
                <w:sz w:val="20"/>
                <w:szCs w:val="20"/>
              </w:rPr>
            </w:pPr>
            <w:r w:rsidRPr="00393976">
              <w:rPr>
                <w:color w:val="auto"/>
                <w:sz w:val="20"/>
                <w:szCs w:val="20"/>
              </w:rPr>
              <w:t>99.</w:t>
            </w:r>
            <w:r w:rsidR="003813DE">
              <w:rPr>
                <w:color w:val="auto"/>
                <w:sz w:val="20"/>
                <w:szCs w:val="20"/>
              </w:rPr>
              <w:t>9</w:t>
            </w:r>
          </w:p>
        </w:tc>
        <w:tc>
          <w:tcPr>
            <w:tcW w:w="1338" w:type="dxa"/>
            <w:shd w:val="clear" w:color="auto" w:fill="auto"/>
            <w:vAlign w:val="bottom"/>
          </w:tcPr>
          <w:p w14:paraId="7A63C1A1" w14:textId="49F1329A" w:rsidR="009E4F66" w:rsidRPr="00393976" w:rsidRDefault="00EF596C" w:rsidP="00393976">
            <w:pPr>
              <w:tabs>
                <w:tab w:val="decimal" w:pos="628"/>
              </w:tabs>
              <w:rPr>
                <w:color w:val="auto"/>
                <w:sz w:val="20"/>
                <w:szCs w:val="20"/>
              </w:rPr>
            </w:pPr>
            <w:r w:rsidRPr="00393976">
              <w:rPr>
                <w:color w:val="auto"/>
                <w:sz w:val="20"/>
                <w:szCs w:val="20"/>
              </w:rPr>
              <w:t>(23.</w:t>
            </w:r>
            <w:r w:rsidR="003813DE">
              <w:rPr>
                <w:color w:val="auto"/>
                <w:sz w:val="20"/>
                <w:szCs w:val="20"/>
              </w:rPr>
              <w:t>6</w:t>
            </w:r>
            <w:r w:rsidRPr="00393976">
              <w:rPr>
                <w:color w:val="auto"/>
                <w:sz w:val="20"/>
                <w:szCs w:val="20"/>
              </w:rPr>
              <w:t>)</w:t>
            </w:r>
          </w:p>
        </w:tc>
        <w:tc>
          <w:tcPr>
            <w:tcW w:w="1596" w:type="dxa"/>
            <w:tcBorders>
              <w:right w:val="single" w:sz="4" w:space="0" w:color="auto"/>
            </w:tcBorders>
            <w:shd w:val="clear" w:color="auto" w:fill="auto"/>
            <w:vAlign w:val="bottom"/>
          </w:tcPr>
          <w:p w14:paraId="60082B7B" w14:textId="3DE386D5" w:rsidR="009E4F66" w:rsidRPr="009157E7" w:rsidRDefault="00EF596C" w:rsidP="00393976">
            <w:pPr>
              <w:tabs>
                <w:tab w:val="decimal" w:pos="815"/>
              </w:tabs>
              <w:rPr>
                <w:color w:val="auto"/>
                <w:sz w:val="20"/>
                <w:szCs w:val="20"/>
              </w:rPr>
            </w:pPr>
            <w:r w:rsidRPr="009157E7">
              <w:rPr>
                <w:color w:val="auto"/>
                <w:sz w:val="20"/>
                <w:szCs w:val="20"/>
              </w:rPr>
              <w:t>7</w:t>
            </w:r>
            <w:r w:rsidR="003813DE">
              <w:rPr>
                <w:color w:val="auto"/>
                <w:sz w:val="20"/>
                <w:szCs w:val="20"/>
              </w:rPr>
              <w:t>6.3</w:t>
            </w:r>
          </w:p>
        </w:tc>
      </w:tr>
      <w:tr w:rsidR="009E4F66" w:rsidRPr="00F13104" w14:paraId="1E0A5F5D" w14:textId="77777777" w:rsidTr="00D026A6">
        <w:trPr>
          <w:trHeight w:val="454"/>
        </w:trPr>
        <w:tc>
          <w:tcPr>
            <w:tcW w:w="6562" w:type="dxa"/>
            <w:tcBorders>
              <w:left w:val="single" w:sz="4" w:space="0" w:color="auto"/>
            </w:tcBorders>
            <w:shd w:val="clear" w:color="auto" w:fill="auto"/>
            <w:vAlign w:val="bottom"/>
          </w:tcPr>
          <w:p w14:paraId="2111266B" w14:textId="77777777" w:rsidR="009E4F66" w:rsidRPr="00A06955" w:rsidRDefault="0043558B" w:rsidP="00F13104">
            <w:pPr>
              <w:jc w:val="left"/>
              <w:rPr>
                <w:color w:val="auto"/>
                <w:sz w:val="20"/>
                <w:szCs w:val="20"/>
              </w:rPr>
            </w:pPr>
            <w:r w:rsidRPr="00A06955">
              <w:rPr>
                <w:color w:val="auto"/>
                <w:sz w:val="20"/>
                <w:szCs w:val="20"/>
              </w:rPr>
              <w:t>Planning Services</w:t>
            </w:r>
          </w:p>
        </w:tc>
        <w:tc>
          <w:tcPr>
            <w:tcW w:w="1595" w:type="dxa"/>
            <w:shd w:val="clear" w:color="auto" w:fill="auto"/>
            <w:vAlign w:val="bottom"/>
          </w:tcPr>
          <w:p w14:paraId="29FB96C9" w14:textId="002A1592" w:rsidR="009E4F66" w:rsidRPr="00A06955" w:rsidRDefault="001C2887" w:rsidP="00A320C3">
            <w:pPr>
              <w:tabs>
                <w:tab w:val="decimal" w:pos="758"/>
              </w:tabs>
              <w:rPr>
                <w:color w:val="auto"/>
                <w:sz w:val="20"/>
                <w:szCs w:val="20"/>
              </w:rPr>
            </w:pPr>
            <w:r w:rsidRPr="00A06955">
              <w:rPr>
                <w:color w:val="auto"/>
                <w:sz w:val="20"/>
                <w:szCs w:val="20"/>
              </w:rPr>
              <w:t>26.5</w:t>
            </w:r>
          </w:p>
        </w:tc>
        <w:tc>
          <w:tcPr>
            <w:tcW w:w="1333" w:type="dxa"/>
            <w:shd w:val="clear" w:color="auto" w:fill="auto"/>
            <w:vAlign w:val="bottom"/>
          </w:tcPr>
          <w:p w14:paraId="33D47489" w14:textId="698A35F6" w:rsidR="009E4F66" w:rsidRPr="00A06955" w:rsidRDefault="001C2887">
            <w:pPr>
              <w:tabs>
                <w:tab w:val="decimal" w:pos="693"/>
              </w:tabs>
              <w:rPr>
                <w:color w:val="auto"/>
                <w:sz w:val="20"/>
                <w:szCs w:val="20"/>
              </w:rPr>
            </w:pPr>
            <w:r w:rsidRPr="00A06955">
              <w:rPr>
                <w:color w:val="auto"/>
                <w:sz w:val="20"/>
                <w:szCs w:val="20"/>
              </w:rPr>
              <w:t>(</w:t>
            </w:r>
            <w:r w:rsidR="00E87D04">
              <w:rPr>
                <w:color w:val="auto"/>
                <w:sz w:val="20"/>
                <w:szCs w:val="20"/>
              </w:rPr>
              <w:t>18.5</w:t>
            </w:r>
            <w:r w:rsidRPr="00A06955">
              <w:rPr>
                <w:color w:val="auto"/>
                <w:sz w:val="20"/>
                <w:szCs w:val="20"/>
              </w:rPr>
              <w:t>)</w:t>
            </w:r>
          </w:p>
        </w:tc>
        <w:tc>
          <w:tcPr>
            <w:tcW w:w="1596" w:type="dxa"/>
            <w:shd w:val="clear" w:color="auto" w:fill="auto"/>
            <w:vAlign w:val="bottom"/>
          </w:tcPr>
          <w:p w14:paraId="78878B9A" w14:textId="764519D9" w:rsidR="009E4F66" w:rsidRPr="00A06955" w:rsidRDefault="00E87D04">
            <w:pPr>
              <w:tabs>
                <w:tab w:val="decimal" w:pos="895"/>
              </w:tabs>
              <w:rPr>
                <w:color w:val="auto"/>
                <w:sz w:val="20"/>
                <w:szCs w:val="20"/>
              </w:rPr>
            </w:pPr>
            <w:r>
              <w:rPr>
                <w:color w:val="auto"/>
                <w:sz w:val="20"/>
                <w:szCs w:val="20"/>
              </w:rPr>
              <w:t>8.0</w:t>
            </w:r>
          </w:p>
        </w:tc>
        <w:tc>
          <w:tcPr>
            <w:tcW w:w="1596" w:type="dxa"/>
            <w:shd w:val="clear" w:color="auto" w:fill="auto"/>
            <w:vAlign w:val="bottom"/>
          </w:tcPr>
          <w:p w14:paraId="03037900" w14:textId="2D4E0451" w:rsidR="009E4F66" w:rsidRPr="00393976" w:rsidRDefault="00EF596C" w:rsidP="00FD637F">
            <w:pPr>
              <w:tabs>
                <w:tab w:val="decimal" w:pos="799"/>
              </w:tabs>
              <w:rPr>
                <w:color w:val="auto"/>
                <w:sz w:val="20"/>
                <w:szCs w:val="20"/>
              </w:rPr>
            </w:pPr>
            <w:r w:rsidRPr="00393976">
              <w:rPr>
                <w:color w:val="auto"/>
                <w:sz w:val="20"/>
                <w:szCs w:val="20"/>
              </w:rPr>
              <w:t>18.</w:t>
            </w:r>
            <w:r w:rsidR="003813DE">
              <w:rPr>
                <w:color w:val="auto"/>
                <w:sz w:val="20"/>
                <w:szCs w:val="20"/>
              </w:rPr>
              <w:t>8</w:t>
            </w:r>
          </w:p>
        </w:tc>
        <w:tc>
          <w:tcPr>
            <w:tcW w:w="1338" w:type="dxa"/>
            <w:shd w:val="clear" w:color="auto" w:fill="auto"/>
            <w:vAlign w:val="bottom"/>
          </w:tcPr>
          <w:p w14:paraId="3745B7C3" w14:textId="4CE3126C" w:rsidR="009E4F66" w:rsidRPr="00393976" w:rsidRDefault="00EF596C" w:rsidP="00393976">
            <w:pPr>
              <w:tabs>
                <w:tab w:val="decimal" w:pos="628"/>
              </w:tabs>
              <w:rPr>
                <w:color w:val="auto"/>
                <w:sz w:val="20"/>
                <w:szCs w:val="20"/>
              </w:rPr>
            </w:pPr>
            <w:r w:rsidRPr="00393976">
              <w:rPr>
                <w:color w:val="auto"/>
                <w:sz w:val="20"/>
                <w:szCs w:val="20"/>
              </w:rPr>
              <w:t>(</w:t>
            </w:r>
            <w:r w:rsidR="003813DE">
              <w:rPr>
                <w:color w:val="auto"/>
                <w:sz w:val="20"/>
                <w:szCs w:val="20"/>
              </w:rPr>
              <w:t>3.0</w:t>
            </w:r>
            <w:r w:rsidRPr="00393976">
              <w:rPr>
                <w:color w:val="auto"/>
                <w:sz w:val="20"/>
                <w:szCs w:val="20"/>
              </w:rPr>
              <w:t>)</w:t>
            </w:r>
          </w:p>
        </w:tc>
        <w:tc>
          <w:tcPr>
            <w:tcW w:w="1596" w:type="dxa"/>
            <w:tcBorders>
              <w:right w:val="single" w:sz="4" w:space="0" w:color="auto"/>
            </w:tcBorders>
            <w:shd w:val="clear" w:color="auto" w:fill="auto"/>
            <w:vAlign w:val="bottom"/>
          </w:tcPr>
          <w:p w14:paraId="08A7879E" w14:textId="3517AAFB" w:rsidR="009E4F66" w:rsidRPr="009157E7" w:rsidRDefault="00EF596C" w:rsidP="00393976">
            <w:pPr>
              <w:tabs>
                <w:tab w:val="decimal" w:pos="815"/>
              </w:tabs>
              <w:rPr>
                <w:color w:val="auto"/>
                <w:sz w:val="20"/>
                <w:szCs w:val="20"/>
              </w:rPr>
            </w:pPr>
            <w:r w:rsidRPr="009157E7">
              <w:rPr>
                <w:color w:val="auto"/>
                <w:sz w:val="20"/>
                <w:szCs w:val="20"/>
              </w:rPr>
              <w:t>15.</w:t>
            </w:r>
            <w:r w:rsidR="003813DE">
              <w:rPr>
                <w:color w:val="auto"/>
                <w:sz w:val="20"/>
                <w:szCs w:val="20"/>
              </w:rPr>
              <w:t>8</w:t>
            </w:r>
          </w:p>
        </w:tc>
      </w:tr>
      <w:tr w:rsidR="009E4F66" w:rsidRPr="00F13104" w14:paraId="482A1DF4" w14:textId="77777777" w:rsidTr="00D026A6">
        <w:trPr>
          <w:trHeight w:val="454"/>
        </w:trPr>
        <w:tc>
          <w:tcPr>
            <w:tcW w:w="6562" w:type="dxa"/>
            <w:tcBorders>
              <w:left w:val="single" w:sz="4" w:space="0" w:color="auto"/>
            </w:tcBorders>
            <w:shd w:val="clear" w:color="auto" w:fill="auto"/>
            <w:vAlign w:val="bottom"/>
          </w:tcPr>
          <w:p w14:paraId="0EF937A6" w14:textId="181415E9" w:rsidR="009E4F66" w:rsidRPr="00C358F9" w:rsidRDefault="00C50F7E" w:rsidP="00F13104">
            <w:pPr>
              <w:jc w:val="left"/>
              <w:rPr>
                <w:color w:val="auto"/>
                <w:sz w:val="20"/>
                <w:szCs w:val="20"/>
                <w:highlight w:val="yellow"/>
                <w:vertAlign w:val="superscript"/>
              </w:rPr>
            </w:pPr>
            <w:r w:rsidRPr="00A06955">
              <w:rPr>
                <w:color w:val="auto"/>
                <w:sz w:val="20"/>
                <w:szCs w:val="20"/>
              </w:rPr>
              <w:t xml:space="preserve">Children's and </w:t>
            </w:r>
            <w:r w:rsidR="0043558B" w:rsidRPr="00A06955">
              <w:rPr>
                <w:color w:val="auto"/>
                <w:sz w:val="20"/>
                <w:szCs w:val="20"/>
              </w:rPr>
              <w:t>Education Services</w:t>
            </w:r>
            <w:r w:rsidR="00C358F9">
              <w:rPr>
                <w:color w:val="auto"/>
                <w:sz w:val="20"/>
                <w:szCs w:val="20"/>
                <w:vertAlign w:val="superscript"/>
              </w:rPr>
              <w:t>1</w:t>
            </w:r>
          </w:p>
        </w:tc>
        <w:tc>
          <w:tcPr>
            <w:tcW w:w="1595" w:type="dxa"/>
            <w:shd w:val="clear" w:color="auto" w:fill="auto"/>
            <w:vAlign w:val="bottom"/>
          </w:tcPr>
          <w:p w14:paraId="09D88C03" w14:textId="0F3C9279" w:rsidR="009E4F66" w:rsidRPr="00A06955" w:rsidRDefault="001C2887" w:rsidP="00A320C3">
            <w:pPr>
              <w:tabs>
                <w:tab w:val="decimal" w:pos="758"/>
              </w:tabs>
              <w:rPr>
                <w:color w:val="auto"/>
                <w:sz w:val="20"/>
                <w:szCs w:val="20"/>
              </w:rPr>
            </w:pPr>
            <w:r w:rsidRPr="00A06955">
              <w:rPr>
                <w:color w:val="auto"/>
                <w:sz w:val="20"/>
                <w:szCs w:val="20"/>
              </w:rPr>
              <w:t>963.6</w:t>
            </w:r>
          </w:p>
        </w:tc>
        <w:tc>
          <w:tcPr>
            <w:tcW w:w="1333" w:type="dxa"/>
            <w:shd w:val="clear" w:color="auto" w:fill="auto"/>
            <w:vAlign w:val="bottom"/>
          </w:tcPr>
          <w:p w14:paraId="5380051D" w14:textId="26657043" w:rsidR="009E4F66" w:rsidRPr="00A06955" w:rsidRDefault="003E6188" w:rsidP="00A320C3">
            <w:pPr>
              <w:tabs>
                <w:tab w:val="decimal" w:pos="693"/>
              </w:tabs>
              <w:rPr>
                <w:color w:val="auto"/>
                <w:sz w:val="20"/>
                <w:szCs w:val="20"/>
              </w:rPr>
            </w:pPr>
            <w:r>
              <w:rPr>
                <w:color w:val="auto"/>
                <w:sz w:val="20"/>
                <w:szCs w:val="20"/>
              </w:rPr>
              <w:t>(94</w:t>
            </w:r>
            <w:r w:rsidR="00BF2543">
              <w:rPr>
                <w:color w:val="auto"/>
                <w:sz w:val="20"/>
                <w:szCs w:val="20"/>
              </w:rPr>
              <w:t>2.8</w:t>
            </w:r>
            <w:r w:rsidR="001C2887" w:rsidRPr="00A06955">
              <w:rPr>
                <w:color w:val="auto"/>
                <w:sz w:val="20"/>
                <w:szCs w:val="20"/>
              </w:rPr>
              <w:t>)</w:t>
            </w:r>
          </w:p>
        </w:tc>
        <w:tc>
          <w:tcPr>
            <w:tcW w:w="1596" w:type="dxa"/>
            <w:shd w:val="clear" w:color="auto" w:fill="auto"/>
            <w:vAlign w:val="bottom"/>
          </w:tcPr>
          <w:p w14:paraId="715101F3" w14:textId="70623074" w:rsidR="009E4F66" w:rsidRPr="00A06955" w:rsidRDefault="00BF2543" w:rsidP="00A320C3">
            <w:pPr>
              <w:tabs>
                <w:tab w:val="decimal" w:pos="895"/>
              </w:tabs>
              <w:rPr>
                <w:color w:val="auto"/>
                <w:sz w:val="20"/>
                <w:szCs w:val="20"/>
              </w:rPr>
            </w:pPr>
            <w:r>
              <w:rPr>
                <w:color w:val="auto"/>
                <w:sz w:val="20"/>
                <w:szCs w:val="20"/>
              </w:rPr>
              <w:t>20.8</w:t>
            </w:r>
          </w:p>
        </w:tc>
        <w:tc>
          <w:tcPr>
            <w:tcW w:w="1596" w:type="dxa"/>
            <w:shd w:val="clear" w:color="auto" w:fill="auto"/>
            <w:vAlign w:val="bottom"/>
          </w:tcPr>
          <w:p w14:paraId="4BC4AE01" w14:textId="743AB377" w:rsidR="009E4F66" w:rsidRPr="00393976" w:rsidRDefault="003813DE" w:rsidP="00393976">
            <w:pPr>
              <w:tabs>
                <w:tab w:val="decimal" w:pos="799"/>
              </w:tabs>
              <w:rPr>
                <w:color w:val="auto"/>
                <w:sz w:val="20"/>
                <w:szCs w:val="20"/>
              </w:rPr>
            </w:pPr>
            <w:r>
              <w:rPr>
                <w:color w:val="auto"/>
                <w:sz w:val="20"/>
                <w:szCs w:val="20"/>
              </w:rPr>
              <w:t>972.3</w:t>
            </w:r>
          </w:p>
        </w:tc>
        <w:tc>
          <w:tcPr>
            <w:tcW w:w="1338" w:type="dxa"/>
            <w:shd w:val="clear" w:color="auto" w:fill="auto"/>
            <w:vAlign w:val="bottom"/>
          </w:tcPr>
          <w:p w14:paraId="53543766" w14:textId="48D821C5" w:rsidR="009E4F66" w:rsidRPr="00393976" w:rsidRDefault="00EF596C" w:rsidP="008E40DA">
            <w:pPr>
              <w:tabs>
                <w:tab w:val="decimal" w:pos="628"/>
              </w:tabs>
              <w:rPr>
                <w:color w:val="auto"/>
                <w:sz w:val="20"/>
                <w:szCs w:val="20"/>
              </w:rPr>
            </w:pPr>
            <w:r w:rsidRPr="00393976">
              <w:rPr>
                <w:color w:val="auto"/>
                <w:sz w:val="20"/>
                <w:szCs w:val="20"/>
              </w:rPr>
              <w:t>(9</w:t>
            </w:r>
            <w:r w:rsidR="008E40DA">
              <w:rPr>
                <w:color w:val="auto"/>
                <w:sz w:val="20"/>
                <w:szCs w:val="20"/>
              </w:rPr>
              <w:t>2</w:t>
            </w:r>
            <w:r w:rsidR="00E45E0A">
              <w:rPr>
                <w:color w:val="auto"/>
                <w:sz w:val="20"/>
                <w:szCs w:val="20"/>
              </w:rPr>
              <w:t>6</w:t>
            </w:r>
            <w:r w:rsidR="003813DE">
              <w:rPr>
                <w:color w:val="auto"/>
                <w:sz w:val="20"/>
                <w:szCs w:val="20"/>
              </w:rPr>
              <w:t>.</w:t>
            </w:r>
            <w:r w:rsidR="00E45E0A">
              <w:rPr>
                <w:color w:val="auto"/>
                <w:sz w:val="20"/>
                <w:szCs w:val="20"/>
              </w:rPr>
              <w:t>2</w:t>
            </w:r>
            <w:r w:rsidRPr="00393976">
              <w:rPr>
                <w:color w:val="auto"/>
                <w:sz w:val="20"/>
                <w:szCs w:val="20"/>
              </w:rPr>
              <w:t>)</w:t>
            </w:r>
          </w:p>
        </w:tc>
        <w:tc>
          <w:tcPr>
            <w:tcW w:w="1596" w:type="dxa"/>
            <w:tcBorders>
              <w:right w:val="single" w:sz="4" w:space="0" w:color="auto"/>
            </w:tcBorders>
            <w:shd w:val="clear" w:color="auto" w:fill="auto"/>
            <w:vAlign w:val="bottom"/>
          </w:tcPr>
          <w:p w14:paraId="60DE387E" w14:textId="231485B1" w:rsidR="009E4F66" w:rsidRPr="009157E7" w:rsidRDefault="008E40DA" w:rsidP="008E40DA">
            <w:pPr>
              <w:tabs>
                <w:tab w:val="decimal" w:pos="815"/>
              </w:tabs>
              <w:rPr>
                <w:color w:val="auto"/>
                <w:sz w:val="20"/>
                <w:szCs w:val="20"/>
              </w:rPr>
            </w:pPr>
            <w:r>
              <w:rPr>
                <w:color w:val="auto"/>
                <w:sz w:val="20"/>
                <w:szCs w:val="20"/>
              </w:rPr>
              <w:t>4</w:t>
            </w:r>
            <w:r w:rsidR="00E45E0A">
              <w:rPr>
                <w:color w:val="auto"/>
                <w:sz w:val="20"/>
                <w:szCs w:val="20"/>
              </w:rPr>
              <w:t>6.1</w:t>
            </w:r>
          </w:p>
        </w:tc>
      </w:tr>
      <w:tr w:rsidR="009E4F66" w:rsidRPr="00F13104" w14:paraId="4B02C277" w14:textId="77777777" w:rsidTr="00D026A6">
        <w:trPr>
          <w:trHeight w:val="454"/>
        </w:trPr>
        <w:tc>
          <w:tcPr>
            <w:tcW w:w="6562" w:type="dxa"/>
            <w:tcBorders>
              <w:left w:val="single" w:sz="4" w:space="0" w:color="auto"/>
            </w:tcBorders>
            <w:shd w:val="clear" w:color="auto" w:fill="auto"/>
            <w:vAlign w:val="bottom"/>
          </w:tcPr>
          <w:p w14:paraId="12CBEDDD" w14:textId="55994929" w:rsidR="009E4F66" w:rsidRPr="00C358F9" w:rsidRDefault="0043558B" w:rsidP="00F13104">
            <w:pPr>
              <w:jc w:val="left"/>
              <w:rPr>
                <w:color w:val="auto"/>
                <w:sz w:val="20"/>
                <w:szCs w:val="20"/>
                <w:vertAlign w:val="superscript"/>
              </w:rPr>
            </w:pPr>
            <w:r w:rsidRPr="00A06955">
              <w:rPr>
                <w:color w:val="auto"/>
                <w:sz w:val="20"/>
                <w:szCs w:val="20"/>
              </w:rPr>
              <w:t>Children's Social Care</w:t>
            </w:r>
            <w:r w:rsidR="00C358F9">
              <w:rPr>
                <w:color w:val="auto"/>
                <w:sz w:val="20"/>
                <w:szCs w:val="20"/>
                <w:vertAlign w:val="superscript"/>
              </w:rPr>
              <w:t>1</w:t>
            </w:r>
          </w:p>
        </w:tc>
        <w:tc>
          <w:tcPr>
            <w:tcW w:w="1595" w:type="dxa"/>
            <w:shd w:val="clear" w:color="auto" w:fill="auto"/>
            <w:vAlign w:val="bottom"/>
          </w:tcPr>
          <w:p w14:paraId="3470F10E" w14:textId="5BC55B3F" w:rsidR="009E4F66" w:rsidRPr="00A06955" w:rsidRDefault="003E6188" w:rsidP="00A320C3">
            <w:pPr>
              <w:tabs>
                <w:tab w:val="decimal" w:pos="758"/>
              </w:tabs>
              <w:rPr>
                <w:color w:val="auto"/>
                <w:sz w:val="20"/>
                <w:szCs w:val="20"/>
              </w:rPr>
            </w:pPr>
            <w:r>
              <w:rPr>
                <w:color w:val="auto"/>
                <w:sz w:val="20"/>
                <w:szCs w:val="20"/>
              </w:rPr>
              <w:t>172</w:t>
            </w:r>
            <w:r w:rsidR="001C2887" w:rsidRPr="00A06955">
              <w:rPr>
                <w:color w:val="auto"/>
                <w:sz w:val="20"/>
                <w:szCs w:val="20"/>
              </w:rPr>
              <w:t>.5</w:t>
            </w:r>
          </w:p>
        </w:tc>
        <w:tc>
          <w:tcPr>
            <w:tcW w:w="1333" w:type="dxa"/>
            <w:shd w:val="clear" w:color="auto" w:fill="auto"/>
            <w:vAlign w:val="bottom"/>
          </w:tcPr>
          <w:p w14:paraId="6BDC81A5" w14:textId="042FBF33" w:rsidR="009E4F66" w:rsidRPr="00A06955" w:rsidRDefault="001C2887" w:rsidP="00A320C3">
            <w:pPr>
              <w:tabs>
                <w:tab w:val="decimal" w:pos="693"/>
              </w:tabs>
              <w:rPr>
                <w:color w:val="auto"/>
                <w:sz w:val="20"/>
                <w:szCs w:val="20"/>
              </w:rPr>
            </w:pPr>
            <w:r w:rsidRPr="00A06955">
              <w:rPr>
                <w:color w:val="auto"/>
                <w:sz w:val="20"/>
                <w:szCs w:val="20"/>
              </w:rPr>
              <w:t>(12.8)</w:t>
            </w:r>
          </w:p>
        </w:tc>
        <w:tc>
          <w:tcPr>
            <w:tcW w:w="1596" w:type="dxa"/>
            <w:shd w:val="clear" w:color="auto" w:fill="auto"/>
            <w:vAlign w:val="bottom"/>
          </w:tcPr>
          <w:p w14:paraId="056695CD" w14:textId="69A2F7C1" w:rsidR="009E4F66" w:rsidRPr="00A06955" w:rsidRDefault="003E6188" w:rsidP="00A320C3">
            <w:pPr>
              <w:tabs>
                <w:tab w:val="decimal" w:pos="895"/>
              </w:tabs>
              <w:rPr>
                <w:color w:val="auto"/>
                <w:sz w:val="20"/>
                <w:szCs w:val="20"/>
              </w:rPr>
            </w:pPr>
            <w:r>
              <w:rPr>
                <w:color w:val="auto"/>
                <w:sz w:val="20"/>
                <w:szCs w:val="20"/>
              </w:rPr>
              <w:t>159</w:t>
            </w:r>
            <w:r w:rsidR="001C2887" w:rsidRPr="00A06955">
              <w:rPr>
                <w:color w:val="auto"/>
                <w:sz w:val="20"/>
                <w:szCs w:val="20"/>
              </w:rPr>
              <w:t>.7</w:t>
            </w:r>
          </w:p>
        </w:tc>
        <w:tc>
          <w:tcPr>
            <w:tcW w:w="1596" w:type="dxa"/>
            <w:shd w:val="clear" w:color="auto" w:fill="auto"/>
            <w:vAlign w:val="bottom"/>
          </w:tcPr>
          <w:p w14:paraId="4B8D7A84" w14:textId="1EEDA176" w:rsidR="009E4F66" w:rsidRPr="00393976" w:rsidRDefault="003813DE" w:rsidP="00393976">
            <w:pPr>
              <w:tabs>
                <w:tab w:val="decimal" w:pos="799"/>
              </w:tabs>
              <w:rPr>
                <w:color w:val="auto"/>
                <w:sz w:val="20"/>
                <w:szCs w:val="20"/>
              </w:rPr>
            </w:pPr>
            <w:r>
              <w:rPr>
                <w:color w:val="auto"/>
                <w:sz w:val="20"/>
                <w:szCs w:val="20"/>
              </w:rPr>
              <w:t>181.7</w:t>
            </w:r>
          </w:p>
        </w:tc>
        <w:tc>
          <w:tcPr>
            <w:tcW w:w="1338" w:type="dxa"/>
            <w:shd w:val="clear" w:color="auto" w:fill="auto"/>
            <w:vAlign w:val="bottom"/>
          </w:tcPr>
          <w:p w14:paraId="0DA1F7C4" w14:textId="65598FF2" w:rsidR="009E4F66" w:rsidRPr="00393976" w:rsidRDefault="00EF596C" w:rsidP="00393976">
            <w:pPr>
              <w:tabs>
                <w:tab w:val="decimal" w:pos="628"/>
              </w:tabs>
              <w:rPr>
                <w:color w:val="auto"/>
                <w:sz w:val="20"/>
                <w:szCs w:val="20"/>
              </w:rPr>
            </w:pPr>
            <w:r w:rsidRPr="00393976">
              <w:rPr>
                <w:color w:val="auto"/>
                <w:sz w:val="20"/>
                <w:szCs w:val="20"/>
              </w:rPr>
              <w:t>(</w:t>
            </w:r>
            <w:r w:rsidR="00E45E0A">
              <w:rPr>
                <w:color w:val="auto"/>
                <w:sz w:val="20"/>
                <w:szCs w:val="20"/>
              </w:rPr>
              <w:t>9.7</w:t>
            </w:r>
            <w:r w:rsidRPr="00393976">
              <w:rPr>
                <w:color w:val="auto"/>
                <w:sz w:val="20"/>
                <w:szCs w:val="20"/>
              </w:rPr>
              <w:t>)</w:t>
            </w:r>
          </w:p>
        </w:tc>
        <w:tc>
          <w:tcPr>
            <w:tcW w:w="1596" w:type="dxa"/>
            <w:tcBorders>
              <w:right w:val="single" w:sz="4" w:space="0" w:color="auto"/>
            </w:tcBorders>
            <w:shd w:val="clear" w:color="auto" w:fill="auto"/>
            <w:vAlign w:val="bottom"/>
          </w:tcPr>
          <w:p w14:paraId="19AADD91" w14:textId="37F41D0B" w:rsidR="009E4F66" w:rsidRPr="009157E7" w:rsidRDefault="00EF596C" w:rsidP="00393976">
            <w:pPr>
              <w:tabs>
                <w:tab w:val="decimal" w:pos="815"/>
              </w:tabs>
              <w:rPr>
                <w:color w:val="auto"/>
                <w:sz w:val="20"/>
                <w:szCs w:val="20"/>
              </w:rPr>
            </w:pPr>
            <w:r w:rsidRPr="009157E7">
              <w:rPr>
                <w:color w:val="auto"/>
                <w:sz w:val="20"/>
                <w:szCs w:val="20"/>
              </w:rPr>
              <w:t>1</w:t>
            </w:r>
            <w:r w:rsidR="00E45E0A">
              <w:rPr>
                <w:color w:val="auto"/>
                <w:sz w:val="20"/>
                <w:szCs w:val="20"/>
              </w:rPr>
              <w:t>72.0</w:t>
            </w:r>
          </w:p>
        </w:tc>
      </w:tr>
      <w:tr w:rsidR="009E4F66" w:rsidRPr="00F13104" w14:paraId="17E9D151" w14:textId="77777777" w:rsidTr="00D026A6">
        <w:trPr>
          <w:trHeight w:val="454"/>
        </w:trPr>
        <w:tc>
          <w:tcPr>
            <w:tcW w:w="6562" w:type="dxa"/>
            <w:tcBorders>
              <w:left w:val="single" w:sz="4" w:space="0" w:color="auto"/>
            </w:tcBorders>
            <w:shd w:val="clear" w:color="auto" w:fill="auto"/>
            <w:vAlign w:val="bottom"/>
          </w:tcPr>
          <w:p w14:paraId="43EB3150" w14:textId="77777777" w:rsidR="009E4F66" w:rsidRPr="00A06955" w:rsidRDefault="0043558B" w:rsidP="00F13104">
            <w:pPr>
              <w:jc w:val="left"/>
              <w:rPr>
                <w:color w:val="auto"/>
                <w:sz w:val="20"/>
                <w:szCs w:val="20"/>
              </w:rPr>
            </w:pPr>
            <w:r w:rsidRPr="00A06955">
              <w:rPr>
                <w:color w:val="auto"/>
                <w:sz w:val="20"/>
                <w:szCs w:val="20"/>
              </w:rPr>
              <w:t>Highways and Transport Services</w:t>
            </w:r>
          </w:p>
        </w:tc>
        <w:tc>
          <w:tcPr>
            <w:tcW w:w="1595" w:type="dxa"/>
            <w:shd w:val="clear" w:color="auto" w:fill="auto"/>
            <w:vAlign w:val="bottom"/>
          </w:tcPr>
          <w:p w14:paraId="30CF9AFC" w14:textId="61B160C6" w:rsidR="009E4F66" w:rsidRPr="00A06955" w:rsidRDefault="001C2887" w:rsidP="00A320C3">
            <w:pPr>
              <w:tabs>
                <w:tab w:val="decimal" w:pos="758"/>
              </w:tabs>
              <w:rPr>
                <w:color w:val="auto"/>
                <w:sz w:val="20"/>
                <w:szCs w:val="20"/>
              </w:rPr>
            </w:pPr>
            <w:r w:rsidRPr="00A06955">
              <w:rPr>
                <w:color w:val="auto"/>
                <w:sz w:val="20"/>
                <w:szCs w:val="20"/>
              </w:rPr>
              <w:t>114.1</w:t>
            </w:r>
          </w:p>
        </w:tc>
        <w:tc>
          <w:tcPr>
            <w:tcW w:w="1333" w:type="dxa"/>
            <w:shd w:val="clear" w:color="auto" w:fill="auto"/>
            <w:vAlign w:val="bottom"/>
          </w:tcPr>
          <w:p w14:paraId="277995FB" w14:textId="6CDA6B9C" w:rsidR="009E4F66" w:rsidRPr="00A06955" w:rsidRDefault="001C2887" w:rsidP="00A320C3">
            <w:pPr>
              <w:tabs>
                <w:tab w:val="decimal" w:pos="693"/>
              </w:tabs>
              <w:rPr>
                <w:color w:val="auto"/>
                <w:sz w:val="20"/>
                <w:szCs w:val="20"/>
              </w:rPr>
            </w:pPr>
            <w:r w:rsidRPr="00A06955">
              <w:rPr>
                <w:color w:val="auto"/>
                <w:sz w:val="20"/>
                <w:szCs w:val="20"/>
              </w:rPr>
              <w:t>(27.5)</w:t>
            </w:r>
          </w:p>
        </w:tc>
        <w:tc>
          <w:tcPr>
            <w:tcW w:w="1596" w:type="dxa"/>
            <w:shd w:val="clear" w:color="auto" w:fill="auto"/>
            <w:vAlign w:val="bottom"/>
          </w:tcPr>
          <w:p w14:paraId="7E7B8F41" w14:textId="125F3E27" w:rsidR="009E4F66" w:rsidRPr="00A06955" w:rsidRDefault="001C2887" w:rsidP="00A320C3">
            <w:pPr>
              <w:tabs>
                <w:tab w:val="decimal" w:pos="895"/>
              </w:tabs>
              <w:rPr>
                <w:color w:val="auto"/>
                <w:sz w:val="20"/>
                <w:szCs w:val="20"/>
              </w:rPr>
            </w:pPr>
            <w:r w:rsidRPr="00A06955">
              <w:rPr>
                <w:color w:val="auto"/>
                <w:sz w:val="20"/>
                <w:szCs w:val="20"/>
              </w:rPr>
              <w:t>86.6</w:t>
            </w:r>
          </w:p>
        </w:tc>
        <w:tc>
          <w:tcPr>
            <w:tcW w:w="1596" w:type="dxa"/>
            <w:shd w:val="clear" w:color="auto" w:fill="auto"/>
            <w:vAlign w:val="bottom"/>
          </w:tcPr>
          <w:p w14:paraId="65339EFB" w14:textId="4B81F8B9" w:rsidR="009E4F66" w:rsidRPr="00393976" w:rsidRDefault="00EF596C" w:rsidP="00393976">
            <w:pPr>
              <w:tabs>
                <w:tab w:val="decimal" w:pos="799"/>
              </w:tabs>
              <w:rPr>
                <w:color w:val="auto"/>
                <w:sz w:val="20"/>
                <w:szCs w:val="20"/>
              </w:rPr>
            </w:pPr>
            <w:r w:rsidRPr="00393976">
              <w:rPr>
                <w:color w:val="auto"/>
                <w:sz w:val="20"/>
                <w:szCs w:val="20"/>
              </w:rPr>
              <w:t>14</w:t>
            </w:r>
            <w:r w:rsidR="003813DE">
              <w:rPr>
                <w:color w:val="auto"/>
                <w:sz w:val="20"/>
                <w:szCs w:val="20"/>
              </w:rPr>
              <w:t>0.6</w:t>
            </w:r>
          </w:p>
        </w:tc>
        <w:tc>
          <w:tcPr>
            <w:tcW w:w="1338" w:type="dxa"/>
            <w:shd w:val="clear" w:color="auto" w:fill="auto"/>
            <w:vAlign w:val="bottom"/>
          </w:tcPr>
          <w:p w14:paraId="0866F275" w14:textId="465C9F07" w:rsidR="009E4F66" w:rsidRPr="00393976" w:rsidRDefault="00EF596C" w:rsidP="00393976">
            <w:pPr>
              <w:tabs>
                <w:tab w:val="decimal" w:pos="628"/>
              </w:tabs>
              <w:rPr>
                <w:color w:val="auto"/>
                <w:sz w:val="20"/>
                <w:szCs w:val="20"/>
              </w:rPr>
            </w:pPr>
            <w:r w:rsidRPr="00393976">
              <w:rPr>
                <w:color w:val="auto"/>
                <w:sz w:val="20"/>
                <w:szCs w:val="20"/>
              </w:rPr>
              <w:t>(40.</w:t>
            </w:r>
            <w:r w:rsidR="003813DE">
              <w:rPr>
                <w:color w:val="auto"/>
                <w:sz w:val="20"/>
                <w:szCs w:val="20"/>
              </w:rPr>
              <w:t>7</w:t>
            </w:r>
            <w:r w:rsidRPr="00393976">
              <w:rPr>
                <w:color w:val="auto"/>
                <w:sz w:val="20"/>
                <w:szCs w:val="20"/>
              </w:rPr>
              <w:t>)</w:t>
            </w:r>
          </w:p>
        </w:tc>
        <w:tc>
          <w:tcPr>
            <w:tcW w:w="1596" w:type="dxa"/>
            <w:tcBorders>
              <w:right w:val="single" w:sz="4" w:space="0" w:color="auto"/>
            </w:tcBorders>
            <w:shd w:val="clear" w:color="auto" w:fill="auto"/>
            <w:vAlign w:val="bottom"/>
          </w:tcPr>
          <w:p w14:paraId="70701BDD" w14:textId="1253F51B" w:rsidR="009E4F66" w:rsidRPr="009157E7" w:rsidRDefault="003813DE" w:rsidP="00393976">
            <w:pPr>
              <w:tabs>
                <w:tab w:val="decimal" w:pos="815"/>
              </w:tabs>
              <w:rPr>
                <w:color w:val="auto"/>
                <w:sz w:val="20"/>
                <w:szCs w:val="20"/>
              </w:rPr>
            </w:pPr>
            <w:r>
              <w:rPr>
                <w:color w:val="auto"/>
                <w:sz w:val="20"/>
                <w:szCs w:val="20"/>
              </w:rPr>
              <w:t>99.9</w:t>
            </w:r>
          </w:p>
        </w:tc>
      </w:tr>
      <w:tr w:rsidR="009E4F66" w:rsidRPr="00F13104" w14:paraId="4B97B581" w14:textId="77777777" w:rsidTr="00D026A6">
        <w:trPr>
          <w:trHeight w:val="454"/>
        </w:trPr>
        <w:tc>
          <w:tcPr>
            <w:tcW w:w="6562" w:type="dxa"/>
            <w:tcBorders>
              <w:left w:val="single" w:sz="4" w:space="0" w:color="auto"/>
            </w:tcBorders>
            <w:shd w:val="clear" w:color="auto" w:fill="auto"/>
            <w:vAlign w:val="bottom"/>
          </w:tcPr>
          <w:p w14:paraId="000FD6CA" w14:textId="77777777" w:rsidR="009E4F66" w:rsidRPr="00A06955" w:rsidRDefault="0043558B" w:rsidP="00F13104">
            <w:pPr>
              <w:jc w:val="left"/>
              <w:rPr>
                <w:color w:val="auto"/>
                <w:sz w:val="20"/>
                <w:szCs w:val="20"/>
              </w:rPr>
            </w:pPr>
            <w:r w:rsidRPr="00A06955">
              <w:rPr>
                <w:color w:val="auto"/>
                <w:sz w:val="20"/>
                <w:szCs w:val="20"/>
              </w:rPr>
              <w:t>Adult Social Care</w:t>
            </w:r>
          </w:p>
        </w:tc>
        <w:tc>
          <w:tcPr>
            <w:tcW w:w="1595" w:type="dxa"/>
            <w:shd w:val="clear" w:color="auto" w:fill="auto"/>
            <w:vAlign w:val="bottom"/>
          </w:tcPr>
          <w:p w14:paraId="7AAFA5FF" w14:textId="509B56CB" w:rsidR="009E4F66" w:rsidRPr="00A06955" w:rsidRDefault="003E6188" w:rsidP="00A320C3">
            <w:pPr>
              <w:tabs>
                <w:tab w:val="decimal" w:pos="758"/>
              </w:tabs>
              <w:rPr>
                <w:color w:val="auto"/>
                <w:sz w:val="20"/>
                <w:szCs w:val="20"/>
              </w:rPr>
            </w:pPr>
            <w:r>
              <w:rPr>
                <w:color w:val="auto"/>
                <w:sz w:val="20"/>
                <w:szCs w:val="20"/>
              </w:rPr>
              <w:t>444</w:t>
            </w:r>
            <w:r w:rsidR="001C2887" w:rsidRPr="00A06955">
              <w:rPr>
                <w:color w:val="auto"/>
                <w:sz w:val="20"/>
                <w:szCs w:val="20"/>
              </w:rPr>
              <w:t>.1</w:t>
            </w:r>
          </w:p>
        </w:tc>
        <w:tc>
          <w:tcPr>
            <w:tcW w:w="1333" w:type="dxa"/>
            <w:shd w:val="clear" w:color="auto" w:fill="auto"/>
            <w:vAlign w:val="bottom"/>
          </w:tcPr>
          <w:p w14:paraId="3F8024B2" w14:textId="780F6876" w:rsidR="009E4F66" w:rsidRPr="00A06955" w:rsidRDefault="001C2887" w:rsidP="00A320C3">
            <w:pPr>
              <w:tabs>
                <w:tab w:val="decimal" w:pos="693"/>
              </w:tabs>
              <w:rPr>
                <w:color w:val="auto"/>
                <w:sz w:val="20"/>
                <w:szCs w:val="20"/>
              </w:rPr>
            </w:pPr>
            <w:r w:rsidRPr="00A06955">
              <w:rPr>
                <w:color w:val="auto"/>
                <w:sz w:val="20"/>
                <w:szCs w:val="20"/>
              </w:rPr>
              <w:t>(114.9)</w:t>
            </w:r>
          </w:p>
        </w:tc>
        <w:tc>
          <w:tcPr>
            <w:tcW w:w="1596" w:type="dxa"/>
            <w:shd w:val="clear" w:color="auto" w:fill="auto"/>
            <w:vAlign w:val="bottom"/>
          </w:tcPr>
          <w:p w14:paraId="320C87EC" w14:textId="183EE3B9" w:rsidR="009E4F66" w:rsidRPr="00A06955" w:rsidRDefault="003E6188" w:rsidP="003E6188">
            <w:pPr>
              <w:tabs>
                <w:tab w:val="decimal" w:pos="895"/>
              </w:tabs>
              <w:rPr>
                <w:color w:val="auto"/>
                <w:sz w:val="20"/>
                <w:szCs w:val="20"/>
              </w:rPr>
            </w:pPr>
            <w:r>
              <w:rPr>
                <w:color w:val="auto"/>
                <w:sz w:val="20"/>
                <w:szCs w:val="20"/>
              </w:rPr>
              <w:t>329</w:t>
            </w:r>
            <w:r w:rsidR="001C2887" w:rsidRPr="00A06955">
              <w:rPr>
                <w:color w:val="auto"/>
                <w:sz w:val="20"/>
                <w:szCs w:val="20"/>
              </w:rPr>
              <w:t>.2</w:t>
            </w:r>
          </w:p>
        </w:tc>
        <w:tc>
          <w:tcPr>
            <w:tcW w:w="1596" w:type="dxa"/>
            <w:shd w:val="clear" w:color="auto" w:fill="auto"/>
            <w:vAlign w:val="bottom"/>
          </w:tcPr>
          <w:p w14:paraId="25C7389C" w14:textId="6FD69F8C" w:rsidR="009E4F66" w:rsidRPr="00393976" w:rsidRDefault="00EF596C" w:rsidP="00FD637F">
            <w:pPr>
              <w:tabs>
                <w:tab w:val="decimal" w:pos="799"/>
              </w:tabs>
              <w:rPr>
                <w:color w:val="auto"/>
                <w:sz w:val="20"/>
                <w:szCs w:val="20"/>
              </w:rPr>
            </w:pPr>
            <w:r w:rsidRPr="00FD637F">
              <w:rPr>
                <w:color w:val="auto"/>
                <w:sz w:val="20"/>
                <w:szCs w:val="20"/>
              </w:rPr>
              <w:t>4</w:t>
            </w:r>
            <w:r w:rsidR="003813DE">
              <w:rPr>
                <w:color w:val="auto"/>
                <w:sz w:val="20"/>
                <w:szCs w:val="20"/>
              </w:rPr>
              <w:t>59.5</w:t>
            </w:r>
          </w:p>
        </w:tc>
        <w:tc>
          <w:tcPr>
            <w:tcW w:w="1338" w:type="dxa"/>
            <w:shd w:val="clear" w:color="auto" w:fill="auto"/>
            <w:vAlign w:val="bottom"/>
          </w:tcPr>
          <w:p w14:paraId="66D38446" w14:textId="4D38600E" w:rsidR="009E4F66" w:rsidRPr="00393976" w:rsidRDefault="00EF596C" w:rsidP="00393976">
            <w:pPr>
              <w:tabs>
                <w:tab w:val="decimal" w:pos="628"/>
              </w:tabs>
              <w:rPr>
                <w:color w:val="auto"/>
                <w:sz w:val="20"/>
                <w:szCs w:val="20"/>
              </w:rPr>
            </w:pPr>
            <w:r w:rsidRPr="00393976">
              <w:rPr>
                <w:color w:val="auto"/>
                <w:sz w:val="20"/>
                <w:szCs w:val="20"/>
              </w:rPr>
              <w:t>(10</w:t>
            </w:r>
            <w:r w:rsidR="003813DE">
              <w:rPr>
                <w:color w:val="auto"/>
                <w:sz w:val="20"/>
                <w:szCs w:val="20"/>
              </w:rPr>
              <w:t>8.5)</w:t>
            </w:r>
          </w:p>
        </w:tc>
        <w:tc>
          <w:tcPr>
            <w:tcW w:w="1596" w:type="dxa"/>
            <w:tcBorders>
              <w:right w:val="single" w:sz="4" w:space="0" w:color="auto"/>
            </w:tcBorders>
            <w:shd w:val="clear" w:color="auto" w:fill="auto"/>
            <w:vAlign w:val="bottom"/>
          </w:tcPr>
          <w:p w14:paraId="5B8655D5" w14:textId="0693EC72" w:rsidR="009E4F66" w:rsidRPr="009157E7" w:rsidRDefault="00EF596C" w:rsidP="00393976">
            <w:pPr>
              <w:tabs>
                <w:tab w:val="decimal" w:pos="815"/>
              </w:tabs>
              <w:rPr>
                <w:color w:val="auto"/>
                <w:sz w:val="20"/>
                <w:szCs w:val="20"/>
              </w:rPr>
            </w:pPr>
            <w:r w:rsidRPr="009157E7">
              <w:rPr>
                <w:color w:val="auto"/>
                <w:sz w:val="20"/>
                <w:szCs w:val="20"/>
              </w:rPr>
              <w:t>35</w:t>
            </w:r>
            <w:r w:rsidR="003813DE">
              <w:rPr>
                <w:color w:val="auto"/>
                <w:sz w:val="20"/>
                <w:szCs w:val="20"/>
              </w:rPr>
              <w:t>1</w:t>
            </w:r>
            <w:r w:rsidRPr="009157E7">
              <w:rPr>
                <w:color w:val="auto"/>
                <w:sz w:val="20"/>
                <w:szCs w:val="20"/>
              </w:rPr>
              <w:t>.0</w:t>
            </w:r>
          </w:p>
        </w:tc>
      </w:tr>
      <w:tr w:rsidR="00B3034E" w:rsidRPr="00F13104" w14:paraId="6828AC66" w14:textId="77777777" w:rsidTr="00D026A6">
        <w:trPr>
          <w:trHeight w:val="454"/>
        </w:trPr>
        <w:tc>
          <w:tcPr>
            <w:tcW w:w="6562" w:type="dxa"/>
            <w:tcBorders>
              <w:left w:val="single" w:sz="4" w:space="0" w:color="auto"/>
            </w:tcBorders>
            <w:shd w:val="clear" w:color="auto" w:fill="auto"/>
            <w:vAlign w:val="bottom"/>
          </w:tcPr>
          <w:p w14:paraId="161AE9A3" w14:textId="77777777" w:rsidR="00B3034E" w:rsidRPr="00B3034E" w:rsidRDefault="00B3034E" w:rsidP="00F13104">
            <w:pPr>
              <w:jc w:val="left"/>
              <w:rPr>
                <w:color w:val="auto"/>
                <w:sz w:val="20"/>
                <w:szCs w:val="20"/>
              </w:rPr>
            </w:pPr>
            <w:r>
              <w:rPr>
                <w:color w:val="auto"/>
                <w:sz w:val="20"/>
                <w:szCs w:val="20"/>
              </w:rPr>
              <w:t>Public Health</w:t>
            </w:r>
          </w:p>
        </w:tc>
        <w:tc>
          <w:tcPr>
            <w:tcW w:w="1595" w:type="dxa"/>
            <w:shd w:val="clear" w:color="auto" w:fill="auto"/>
            <w:vAlign w:val="bottom"/>
          </w:tcPr>
          <w:p w14:paraId="2181C88A" w14:textId="77777777" w:rsidR="00B3034E" w:rsidRPr="00A06955" w:rsidRDefault="001C2887" w:rsidP="00A320C3">
            <w:pPr>
              <w:tabs>
                <w:tab w:val="decimal" w:pos="758"/>
              </w:tabs>
              <w:rPr>
                <w:color w:val="auto"/>
                <w:sz w:val="20"/>
                <w:szCs w:val="20"/>
              </w:rPr>
            </w:pPr>
            <w:r w:rsidRPr="00A06955">
              <w:rPr>
                <w:color w:val="auto"/>
                <w:sz w:val="20"/>
                <w:szCs w:val="20"/>
              </w:rPr>
              <w:t>52.9</w:t>
            </w:r>
          </w:p>
        </w:tc>
        <w:tc>
          <w:tcPr>
            <w:tcW w:w="1333" w:type="dxa"/>
            <w:shd w:val="clear" w:color="auto" w:fill="auto"/>
            <w:vAlign w:val="bottom"/>
          </w:tcPr>
          <w:p w14:paraId="0AF72410" w14:textId="77777777" w:rsidR="00B3034E" w:rsidRPr="00A06955" w:rsidRDefault="001C2887" w:rsidP="00A320C3">
            <w:pPr>
              <w:tabs>
                <w:tab w:val="decimal" w:pos="693"/>
              </w:tabs>
              <w:rPr>
                <w:color w:val="auto"/>
                <w:sz w:val="20"/>
                <w:szCs w:val="20"/>
              </w:rPr>
            </w:pPr>
            <w:r w:rsidRPr="00A06955">
              <w:rPr>
                <w:color w:val="auto"/>
                <w:sz w:val="20"/>
                <w:szCs w:val="20"/>
              </w:rPr>
              <w:t>(56.2)</w:t>
            </w:r>
          </w:p>
        </w:tc>
        <w:tc>
          <w:tcPr>
            <w:tcW w:w="1596" w:type="dxa"/>
            <w:shd w:val="clear" w:color="auto" w:fill="auto"/>
            <w:vAlign w:val="bottom"/>
          </w:tcPr>
          <w:p w14:paraId="462F29B1" w14:textId="77777777" w:rsidR="00B3034E" w:rsidRPr="00A06955" w:rsidRDefault="001C2887" w:rsidP="00A320C3">
            <w:pPr>
              <w:tabs>
                <w:tab w:val="decimal" w:pos="895"/>
              </w:tabs>
              <w:rPr>
                <w:color w:val="auto"/>
                <w:sz w:val="20"/>
                <w:szCs w:val="20"/>
              </w:rPr>
            </w:pPr>
            <w:r w:rsidRPr="00A06955">
              <w:rPr>
                <w:color w:val="auto"/>
                <w:sz w:val="20"/>
                <w:szCs w:val="20"/>
              </w:rPr>
              <w:t>(3.3)</w:t>
            </w:r>
          </w:p>
        </w:tc>
        <w:tc>
          <w:tcPr>
            <w:tcW w:w="1596" w:type="dxa"/>
            <w:shd w:val="clear" w:color="auto" w:fill="auto"/>
            <w:vAlign w:val="bottom"/>
          </w:tcPr>
          <w:p w14:paraId="1A5F47C4" w14:textId="40F0533F" w:rsidR="00B3034E" w:rsidRPr="00393976" w:rsidRDefault="00393976" w:rsidP="00A320C3">
            <w:pPr>
              <w:tabs>
                <w:tab w:val="decimal" w:pos="799"/>
              </w:tabs>
              <w:rPr>
                <w:color w:val="auto"/>
                <w:sz w:val="20"/>
                <w:szCs w:val="20"/>
              </w:rPr>
            </w:pPr>
            <w:r w:rsidRPr="00A06955">
              <w:rPr>
                <w:color w:val="auto"/>
                <w:sz w:val="20"/>
                <w:szCs w:val="20"/>
              </w:rPr>
              <w:t>57.8</w:t>
            </w:r>
          </w:p>
        </w:tc>
        <w:tc>
          <w:tcPr>
            <w:tcW w:w="1338" w:type="dxa"/>
            <w:shd w:val="clear" w:color="auto" w:fill="auto"/>
            <w:vAlign w:val="bottom"/>
          </w:tcPr>
          <w:p w14:paraId="5450E339" w14:textId="78069076" w:rsidR="00B3034E" w:rsidRPr="00393976" w:rsidRDefault="00393976" w:rsidP="00A320C3">
            <w:pPr>
              <w:tabs>
                <w:tab w:val="decimal" w:pos="628"/>
              </w:tabs>
              <w:rPr>
                <w:color w:val="auto"/>
                <w:sz w:val="20"/>
                <w:szCs w:val="20"/>
              </w:rPr>
            </w:pPr>
            <w:r w:rsidRPr="00A06955">
              <w:rPr>
                <w:color w:val="auto"/>
                <w:sz w:val="20"/>
                <w:szCs w:val="20"/>
              </w:rPr>
              <w:t>(59.8)</w:t>
            </w:r>
          </w:p>
        </w:tc>
        <w:tc>
          <w:tcPr>
            <w:tcW w:w="1596" w:type="dxa"/>
            <w:tcBorders>
              <w:right w:val="single" w:sz="4" w:space="0" w:color="auto"/>
            </w:tcBorders>
            <w:shd w:val="clear" w:color="auto" w:fill="auto"/>
            <w:vAlign w:val="bottom"/>
          </w:tcPr>
          <w:p w14:paraId="3E29E450" w14:textId="00302A3C" w:rsidR="00B3034E" w:rsidRPr="009157E7" w:rsidRDefault="00393976" w:rsidP="00A320C3">
            <w:pPr>
              <w:tabs>
                <w:tab w:val="decimal" w:pos="815"/>
              </w:tabs>
              <w:rPr>
                <w:color w:val="auto"/>
                <w:sz w:val="20"/>
                <w:szCs w:val="20"/>
              </w:rPr>
            </w:pPr>
            <w:r w:rsidRPr="00A06955">
              <w:rPr>
                <w:color w:val="auto"/>
                <w:sz w:val="20"/>
                <w:szCs w:val="20"/>
              </w:rPr>
              <w:t>(2.0)</w:t>
            </w:r>
          </w:p>
        </w:tc>
      </w:tr>
      <w:tr w:rsidR="009E4F66" w:rsidRPr="00F13104" w14:paraId="563AD6DC" w14:textId="77777777" w:rsidTr="00D026A6">
        <w:trPr>
          <w:trHeight w:val="454"/>
        </w:trPr>
        <w:tc>
          <w:tcPr>
            <w:tcW w:w="6562" w:type="dxa"/>
            <w:tcBorders>
              <w:left w:val="single" w:sz="4" w:space="0" w:color="auto"/>
            </w:tcBorders>
            <w:shd w:val="clear" w:color="auto" w:fill="auto"/>
            <w:vAlign w:val="bottom"/>
          </w:tcPr>
          <w:p w14:paraId="7B6AAF00" w14:textId="07B016F0" w:rsidR="009E4F66" w:rsidRPr="00A06955" w:rsidRDefault="0043558B" w:rsidP="00B3034E">
            <w:pPr>
              <w:jc w:val="left"/>
              <w:rPr>
                <w:color w:val="auto"/>
                <w:sz w:val="20"/>
                <w:szCs w:val="20"/>
              </w:rPr>
            </w:pPr>
            <w:r w:rsidRPr="00A06955">
              <w:rPr>
                <w:color w:val="auto"/>
                <w:sz w:val="20"/>
                <w:szCs w:val="20"/>
              </w:rPr>
              <w:t>Central Services</w:t>
            </w:r>
          </w:p>
        </w:tc>
        <w:tc>
          <w:tcPr>
            <w:tcW w:w="1595" w:type="dxa"/>
            <w:shd w:val="clear" w:color="auto" w:fill="auto"/>
            <w:vAlign w:val="bottom"/>
          </w:tcPr>
          <w:p w14:paraId="46C88D0F" w14:textId="096C9782" w:rsidR="009E4F66" w:rsidRPr="00A06955" w:rsidRDefault="001C2887" w:rsidP="00A320C3">
            <w:pPr>
              <w:tabs>
                <w:tab w:val="decimal" w:pos="758"/>
              </w:tabs>
              <w:rPr>
                <w:color w:val="auto"/>
                <w:sz w:val="20"/>
                <w:szCs w:val="20"/>
              </w:rPr>
            </w:pPr>
            <w:r w:rsidRPr="00A06955">
              <w:rPr>
                <w:color w:val="auto"/>
                <w:sz w:val="20"/>
                <w:szCs w:val="20"/>
              </w:rPr>
              <w:t>7.9</w:t>
            </w:r>
          </w:p>
        </w:tc>
        <w:tc>
          <w:tcPr>
            <w:tcW w:w="1333" w:type="dxa"/>
            <w:shd w:val="clear" w:color="auto" w:fill="auto"/>
            <w:vAlign w:val="bottom"/>
          </w:tcPr>
          <w:p w14:paraId="16D84E3F" w14:textId="25FD110C" w:rsidR="009E4F66" w:rsidRPr="00A06955" w:rsidRDefault="001C2887" w:rsidP="00A320C3">
            <w:pPr>
              <w:tabs>
                <w:tab w:val="decimal" w:pos="693"/>
              </w:tabs>
              <w:rPr>
                <w:color w:val="auto"/>
                <w:sz w:val="20"/>
                <w:szCs w:val="20"/>
              </w:rPr>
            </w:pPr>
            <w:r w:rsidRPr="00A06955">
              <w:rPr>
                <w:color w:val="auto"/>
                <w:sz w:val="20"/>
                <w:szCs w:val="20"/>
              </w:rPr>
              <w:t>(5.7)</w:t>
            </w:r>
          </w:p>
        </w:tc>
        <w:tc>
          <w:tcPr>
            <w:tcW w:w="1596" w:type="dxa"/>
            <w:shd w:val="clear" w:color="auto" w:fill="auto"/>
            <w:vAlign w:val="bottom"/>
          </w:tcPr>
          <w:p w14:paraId="033E798B" w14:textId="7883C363" w:rsidR="009E4F66" w:rsidRPr="00A06955" w:rsidRDefault="001C2887" w:rsidP="00A320C3">
            <w:pPr>
              <w:tabs>
                <w:tab w:val="decimal" w:pos="895"/>
              </w:tabs>
              <w:rPr>
                <w:color w:val="auto"/>
                <w:sz w:val="20"/>
                <w:szCs w:val="20"/>
              </w:rPr>
            </w:pPr>
            <w:r w:rsidRPr="00A06955">
              <w:rPr>
                <w:color w:val="auto"/>
                <w:sz w:val="20"/>
                <w:szCs w:val="20"/>
              </w:rPr>
              <w:t>2.2</w:t>
            </w:r>
          </w:p>
        </w:tc>
        <w:tc>
          <w:tcPr>
            <w:tcW w:w="1596" w:type="dxa"/>
            <w:shd w:val="clear" w:color="auto" w:fill="auto"/>
            <w:vAlign w:val="bottom"/>
          </w:tcPr>
          <w:p w14:paraId="0EC974E2" w14:textId="77777777" w:rsidR="009E4F66" w:rsidRPr="00393976" w:rsidRDefault="00EF596C" w:rsidP="00A320C3">
            <w:pPr>
              <w:tabs>
                <w:tab w:val="decimal" w:pos="799"/>
              </w:tabs>
              <w:rPr>
                <w:color w:val="auto"/>
                <w:sz w:val="20"/>
                <w:szCs w:val="20"/>
              </w:rPr>
            </w:pPr>
            <w:r w:rsidRPr="00393976">
              <w:rPr>
                <w:color w:val="auto"/>
                <w:sz w:val="20"/>
                <w:szCs w:val="20"/>
              </w:rPr>
              <w:t>9.1</w:t>
            </w:r>
          </w:p>
        </w:tc>
        <w:tc>
          <w:tcPr>
            <w:tcW w:w="1338" w:type="dxa"/>
            <w:shd w:val="clear" w:color="auto" w:fill="auto"/>
            <w:vAlign w:val="bottom"/>
          </w:tcPr>
          <w:p w14:paraId="6195BC19" w14:textId="77777777" w:rsidR="009E4F66" w:rsidRPr="00393976" w:rsidRDefault="00EF596C" w:rsidP="00A320C3">
            <w:pPr>
              <w:tabs>
                <w:tab w:val="decimal" w:pos="628"/>
              </w:tabs>
              <w:rPr>
                <w:color w:val="auto"/>
                <w:sz w:val="20"/>
                <w:szCs w:val="20"/>
              </w:rPr>
            </w:pPr>
            <w:r w:rsidRPr="00393976">
              <w:rPr>
                <w:color w:val="auto"/>
                <w:sz w:val="20"/>
                <w:szCs w:val="20"/>
              </w:rPr>
              <w:t>(5.2)</w:t>
            </w:r>
          </w:p>
        </w:tc>
        <w:tc>
          <w:tcPr>
            <w:tcW w:w="1596" w:type="dxa"/>
            <w:tcBorders>
              <w:right w:val="single" w:sz="4" w:space="0" w:color="auto"/>
            </w:tcBorders>
            <w:shd w:val="clear" w:color="auto" w:fill="auto"/>
            <w:vAlign w:val="bottom"/>
          </w:tcPr>
          <w:p w14:paraId="485DEC30" w14:textId="77777777" w:rsidR="009E4F66" w:rsidRPr="009157E7" w:rsidRDefault="00EF596C" w:rsidP="00A320C3">
            <w:pPr>
              <w:tabs>
                <w:tab w:val="decimal" w:pos="815"/>
              </w:tabs>
              <w:rPr>
                <w:color w:val="auto"/>
                <w:sz w:val="20"/>
                <w:szCs w:val="20"/>
              </w:rPr>
            </w:pPr>
            <w:r w:rsidRPr="009157E7">
              <w:rPr>
                <w:color w:val="auto"/>
                <w:sz w:val="20"/>
                <w:szCs w:val="20"/>
              </w:rPr>
              <w:t>3.9</w:t>
            </w:r>
          </w:p>
        </w:tc>
      </w:tr>
      <w:tr w:rsidR="009E4F66" w:rsidRPr="00F13104" w14:paraId="6D4FB606" w14:textId="77777777" w:rsidTr="00D026A6">
        <w:trPr>
          <w:trHeight w:val="454"/>
        </w:trPr>
        <w:tc>
          <w:tcPr>
            <w:tcW w:w="6562" w:type="dxa"/>
            <w:tcBorders>
              <w:left w:val="single" w:sz="4" w:space="0" w:color="auto"/>
            </w:tcBorders>
            <w:shd w:val="clear" w:color="auto" w:fill="auto"/>
            <w:vAlign w:val="bottom"/>
          </w:tcPr>
          <w:p w14:paraId="2A51A591" w14:textId="77777777" w:rsidR="009E4F66" w:rsidRPr="00A06955" w:rsidRDefault="0043558B" w:rsidP="00F13104">
            <w:pPr>
              <w:jc w:val="left"/>
              <w:rPr>
                <w:color w:val="auto"/>
                <w:sz w:val="20"/>
                <w:szCs w:val="20"/>
              </w:rPr>
            </w:pPr>
            <w:r w:rsidRPr="00A06955">
              <w:rPr>
                <w:color w:val="auto"/>
                <w:sz w:val="20"/>
                <w:szCs w:val="20"/>
              </w:rPr>
              <w:t>Corporate and Democratic core</w:t>
            </w:r>
          </w:p>
        </w:tc>
        <w:tc>
          <w:tcPr>
            <w:tcW w:w="1595" w:type="dxa"/>
            <w:shd w:val="clear" w:color="auto" w:fill="auto"/>
            <w:vAlign w:val="bottom"/>
          </w:tcPr>
          <w:p w14:paraId="194977E1" w14:textId="71EB987C" w:rsidR="009E4F66" w:rsidRPr="00A06955" w:rsidRDefault="001C2887" w:rsidP="00A320C3">
            <w:pPr>
              <w:tabs>
                <w:tab w:val="decimal" w:pos="758"/>
              </w:tabs>
              <w:rPr>
                <w:color w:val="auto"/>
                <w:sz w:val="20"/>
                <w:szCs w:val="20"/>
              </w:rPr>
            </w:pPr>
            <w:r w:rsidRPr="00A06955">
              <w:rPr>
                <w:color w:val="auto"/>
                <w:sz w:val="20"/>
                <w:szCs w:val="20"/>
              </w:rPr>
              <w:t>12.9</w:t>
            </w:r>
          </w:p>
        </w:tc>
        <w:tc>
          <w:tcPr>
            <w:tcW w:w="1333" w:type="dxa"/>
            <w:shd w:val="clear" w:color="auto" w:fill="auto"/>
            <w:vAlign w:val="bottom"/>
          </w:tcPr>
          <w:p w14:paraId="3288C22A" w14:textId="7645C00F" w:rsidR="009E4F66" w:rsidRPr="00A06955" w:rsidRDefault="001C2887" w:rsidP="00A320C3">
            <w:pPr>
              <w:tabs>
                <w:tab w:val="decimal" w:pos="693"/>
              </w:tabs>
              <w:rPr>
                <w:color w:val="auto"/>
                <w:sz w:val="20"/>
                <w:szCs w:val="20"/>
              </w:rPr>
            </w:pPr>
            <w:r w:rsidRPr="00A06955">
              <w:rPr>
                <w:color w:val="auto"/>
                <w:sz w:val="20"/>
                <w:szCs w:val="20"/>
              </w:rPr>
              <w:t>(22.9)</w:t>
            </w:r>
          </w:p>
        </w:tc>
        <w:tc>
          <w:tcPr>
            <w:tcW w:w="1596" w:type="dxa"/>
            <w:shd w:val="clear" w:color="auto" w:fill="auto"/>
            <w:vAlign w:val="bottom"/>
          </w:tcPr>
          <w:p w14:paraId="438D8D6A" w14:textId="6CE5F8C1" w:rsidR="009E4F66" w:rsidRPr="00A06955" w:rsidRDefault="001C2887" w:rsidP="00A320C3">
            <w:pPr>
              <w:tabs>
                <w:tab w:val="decimal" w:pos="895"/>
              </w:tabs>
              <w:rPr>
                <w:color w:val="auto"/>
                <w:sz w:val="20"/>
                <w:szCs w:val="20"/>
              </w:rPr>
            </w:pPr>
            <w:r w:rsidRPr="00A06955">
              <w:rPr>
                <w:color w:val="auto"/>
                <w:sz w:val="20"/>
                <w:szCs w:val="20"/>
              </w:rPr>
              <w:t>(10.0)</w:t>
            </w:r>
          </w:p>
        </w:tc>
        <w:tc>
          <w:tcPr>
            <w:tcW w:w="1596" w:type="dxa"/>
            <w:shd w:val="clear" w:color="auto" w:fill="auto"/>
            <w:vAlign w:val="bottom"/>
          </w:tcPr>
          <w:p w14:paraId="2876F247" w14:textId="77777777" w:rsidR="009E4F66" w:rsidRPr="00393976" w:rsidRDefault="00EF596C" w:rsidP="00A320C3">
            <w:pPr>
              <w:tabs>
                <w:tab w:val="decimal" w:pos="799"/>
              </w:tabs>
              <w:rPr>
                <w:color w:val="auto"/>
                <w:sz w:val="20"/>
                <w:szCs w:val="20"/>
              </w:rPr>
            </w:pPr>
            <w:r w:rsidRPr="00393976">
              <w:rPr>
                <w:color w:val="auto"/>
                <w:sz w:val="20"/>
                <w:szCs w:val="20"/>
              </w:rPr>
              <w:t>14.2</w:t>
            </w:r>
          </w:p>
        </w:tc>
        <w:tc>
          <w:tcPr>
            <w:tcW w:w="1338" w:type="dxa"/>
            <w:shd w:val="clear" w:color="auto" w:fill="auto"/>
            <w:vAlign w:val="bottom"/>
          </w:tcPr>
          <w:p w14:paraId="76394E4E" w14:textId="77777777" w:rsidR="009E4F66" w:rsidRPr="00393976" w:rsidRDefault="00EF596C" w:rsidP="00A320C3">
            <w:pPr>
              <w:tabs>
                <w:tab w:val="decimal" w:pos="628"/>
              </w:tabs>
              <w:rPr>
                <w:color w:val="auto"/>
                <w:sz w:val="20"/>
                <w:szCs w:val="20"/>
              </w:rPr>
            </w:pPr>
            <w:r w:rsidRPr="00393976">
              <w:rPr>
                <w:color w:val="auto"/>
                <w:sz w:val="20"/>
                <w:szCs w:val="20"/>
              </w:rPr>
              <w:t>(10.6)</w:t>
            </w:r>
          </w:p>
        </w:tc>
        <w:tc>
          <w:tcPr>
            <w:tcW w:w="1596" w:type="dxa"/>
            <w:tcBorders>
              <w:right w:val="single" w:sz="4" w:space="0" w:color="auto"/>
            </w:tcBorders>
            <w:shd w:val="clear" w:color="auto" w:fill="auto"/>
            <w:vAlign w:val="bottom"/>
          </w:tcPr>
          <w:p w14:paraId="0F7DEF3D" w14:textId="77777777" w:rsidR="009E4F66" w:rsidRPr="009157E7" w:rsidRDefault="00EF596C" w:rsidP="00A320C3">
            <w:pPr>
              <w:tabs>
                <w:tab w:val="decimal" w:pos="815"/>
              </w:tabs>
              <w:rPr>
                <w:color w:val="auto"/>
                <w:sz w:val="20"/>
                <w:szCs w:val="20"/>
              </w:rPr>
            </w:pPr>
            <w:r w:rsidRPr="009157E7">
              <w:rPr>
                <w:color w:val="auto"/>
                <w:sz w:val="20"/>
                <w:szCs w:val="20"/>
              </w:rPr>
              <w:t>3.6</w:t>
            </w:r>
          </w:p>
        </w:tc>
      </w:tr>
      <w:tr w:rsidR="009E4F66" w:rsidRPr="00F13104" w14:paraId="72AF4D32" w14:textId="77777777" w:rsidTr="00D026A6">
        <w:trPr>
          <w:trHeight w:val="454"/>
        </w:trPr>
        <w:tc>
          <w:tcPr>
            <w:tcW w:w="6562" w:type="dxa"/>
            <w:tcBorders>
              <w:left w:val="single" w:sz="4" w:space="0" w:color="auto"/>
            </w:tcBorders>
            <w:shd w:val="clear" w:color="auto" w:fill="auto"/>
            <w:vAlign w:val="bottom"/>
          </w:tcPr>
          <w:p w14:paraId="2606ED3B" w14:textId="4EFC195D" w:rsidR="009E4F66" w:rsidRPr="00C358F9" w:rsidRDefault="0043558B" w:rsidP="00C45BA9">
            <w:pPr>
              <w:jc w:val="left"/>
              <w:rPr>
                <w:color w:val="auto"/>
                <w:sz w:val="20"/>
                <w:szCs w:val="20"/>
                <w:vertAlign w:val="superscript"/>
              </w:rPr>
            </w:pPr>
            <w:r w:rsidRPr="00A06955">
              <w:rPr>
                <w:color w:val="auto"/>
                <w:sz w:val="20"/>
                <w:szCs w:val="20"/>
              </w:rPr>
              <w:t>Non Distributed Costs</w:t>
            </w:r>
            <w:r w:rsidR="00F6551E">
              <w:rPr>
                <w:color w:val="auto"/>
                <w:sz w:val="20"/>
                <w:szCs w:val="20"/>
                <w:vertAlign w:val="superscript"/>
              </w:rPr>
              <w:t>2</w:t>
            </w:r>
          </w:p>
        </w:tc>
        <w:tc>
          <w:tcPr>
            <w:tcW w:w="1595" w:type="dxa"/>
            <w:shd w:val="clear" w:color="auto" w:fill="auto"/>
            <w:vAlign w:val="bottom"/>
          </w:tcPr>
          <w:p w14:paraId="72C7BD62" w14:textId="121B8B30" w:rsidR="009E4F66" w:rsidRPr="00A06955" w:rsidRDefault="001C2887" w:rsidP="00A06955">
            <w:pPr>
              <w:tabs>
                <w:tab w:val="decimal" w:pos="758"/>
              </w:tabs>
              <w:rPr>
                <w:color w:val="auto"/>
                <w:sz w:val="20"/>
                <w:szCs w:val="20"/>
              </w:rPr>
            </w:pPr>
            <w:r w:rsidRPr="00A06955">
              <w:rPr>
                <w:color w:val="auto"/>
                <w:sz w:val="20"/>
                <w:szCs w:val="20"/>
              </w:rPr>
              <w:t>11</w:t>
            </w:r>
            <w:r w:rsidR="00FF57DC">
              <w:rPr>
                <w:color w:val="auto"/>
                <w:sz w:val="20"/>
                <w:szCs w:val="20"/>
              </w:rPr>
              <w:t>7</w:t>
            </w:r>
            <w:r w:rsidRPr="00A06955">
              <w:rPr>
                <w:color w:val="auto"/>
                <w:sz w:val="20"/>
                <w:szCs w:val="20"/>
              </w:rPr>
              <w:t>.</w:t>
            </w:r>
            <w:r w:rsidR="00FF57DC">
              <w:rPr>
                <w:color w:val="auto"/>
                <w:sz w:val="20"/>
                <w:szCs w:val="20"/>
              </w:rPr>
              <w:t>2</w:t>
            </w:r>
          </w:p>
        </w:tc>
        <w:tc>
          <w:tcPr>
            <w:tcW w:w="1333" w:type="dxa"/>
            <w:shd w:val="clear" w:color="auto" w:fill="auto"/>
            <w:vAlign w:val="bottom"/>
          </w:tcPr>
          <w:p w14:paraId="73B94758" w14:textId="45B762DD" w:rsidR="009E4F66" w:rsidRPr="00A06955" w:rsidRDefault="001C2887">
            <w:pPr>
              <w:tabs>
                <w:tab w:val="decimal" w:pos="693"/>
              </w:tabs>
              <w:rPr>
                <w:color w:val="auto"/>
                <w:sz w:val="20"/>
                <w:szCs w:val="20"/>
              </w:rPr>
            </w:pPr>
            <w:r w:rsidRPr="00A06955">
              <w:rPr>
                <w:color w:val="auto"/>
                <w:sz w:val="20"/>
                <w:szCs w:val="20"/>
              </w:rPr>
              <w:t>(3</w:t>
            </w:r>
            <w:r w:rsidR="00E87D04">
              <w:rPr>
                <w:color w:val="auto"/>
                <w:sz w:val="20"/>
                <w:szCs w:val="20"/>
              </w:rPr>
              <w:t>7.2</w:t>
            </w:r>
            <w:r w:rsidRPr="00A06955">
              <w:rPr>
                <w:color w:val="auto"/>
                <w:sz w:val="20"/>
                <w:szCs w:val="20"/>
              </w:rPr>
              <w:t>)</w:t>
            </w:r>
          </w:p>
        </w:tc>
        <w:tc>
          <w:tcPr>
            <w:tcW w:w="1596" w:type="dxa"/>
            <w:shd w:val="clear" w:color="auto" w:fill="auto"/>
            <w:vAlign w:val="bottom"/>
          </w:tcPr>
          <w:p w14:paraId="25F2E6CB" w14:textId="1C829C56" w:rsidR="009E4F66" w:rsidRPr="00A06955" w:rsidRDefault="001C2887" w:rsidP="00A06955">
            <w:pPr>
              <w:tabs>
                <w:tab w:val="decimal" w:pos="895"/>
              </w:tabs>
              <w:rPr>
                <w:color w:val="auto"/>
                <w:sz w:val="20"/>
                <w:szCs w:val="20"/>
              </w:rPr>
            </w:pPr>
            <w:r w:rsidRPr="00A06955">
              <w:rPr>
                <w:color w:val="auto"/>
                <w:sz w:val="20"/>
                <w:szCs w:val="20"/>
              </w:rPr>
              <w:t>8</w:t>
            </w:r>
            <w:r w:rsidR="00FF57DC">
              <w:rPr>
                <w:color w:val="auto"/>
                <w:sz w:val="20"/>
                <w:szCs w:val="20"/>
              </w:rPr>
              <w:t>0</w:t>
            </w:r>
            <w:r w:rsidRPr="00A06955">
              <w:rPr>
                <w:color w:val="auto"/>
                <w:sz w:val="20"/>
                <w:szCs w:val="20"/>
              </w:rPr>
              <w:t>.</w:t>
            </w:r>
            <w:r w:rsidR="00FF57DC">
              <w:rPr>
                <w:color w:val="auto"/>
                <w:sz w:val="20"/>
                <w:szCs w:val="20"/>
              </w:rPr>
              <w:t>0</w:t>
            </w:r>
          </w:p>
        </w:tc>
        <w:tc>
          <w:tcPr>
            <w:tcW w:w="1596" w:type="dxa"/>
            <w:shd w:val="clear" w:color="auto" w:fill="auto"/>
            <w:vAlign w:val="bottom"/>
          </w:tcPr>
          <w:p w14:paraId="728CBBE8" w14:textId="5707CE5B" w:rsidR="009E4F66" w:rsidRPr="00393976" w:rsidRDefault="003813DE" w:rsidP="00A320C3">
            <w:pPr>
              <w:tabs>
                <w:tab w:val="decimal" w:pos="799"/>
              </w:tabs>
              <w:rPr>
                <w:color w:val="auto"/>
                <w:sz w:val="20"/>
                <w:szCs w:val="20"/>
              </w:rPr>
            </w:pPr>
            <w:r>
              <w:rPr>
                <w:color w:val="auto"/>
                <w:sz w:val="20"/>
                <w:szCs w:val="20"/>
              </w:rPr>
              <w:t>87.8</w:t>
            </w:r>
          </w:p>
        </w:tc>
        <w:tc>
          <w:tcPr>
            <w:tcW w:w="1338" w:type="dxa"/>
            <w:shd w:val="clear" w:color="auto" w:fill="auto"/>
            <w:vAlign w:val="bottom"/>
          </w:tcPr>
          <w:p w14:paraId="1C119C09" w14:textId="30106954" w:rsidR="009E4F66" w:rsidRPr="00393976" w:rsidRDefault="00EF596C" w:rsidP="00393976">
            <w:pPr>
              <w:tabs>
                <w:tab w:val="decimal" w:pos="628"/>
              </w:tabs>
              <w:rPr>
                <w:color w:val="auto"/>
                <w:sz w:val="20"/>
                <w:szCs w:val="20"/>
              </w:rPr>
            </w:pPr>
            <w:r w:rsidRPr="00393976">
              <w:rPr>
                <w:color w:val="auto"/>
                <w:sz w:val="20"/>
                <w:szCs w:val="20"/>
              </w:rPr>
              <w:t>(</w:t>
            </w:r>
            <w:r w:rsidR="003813DE">
              <w:rPr>
                <w:color w:val="auto"/>
                <w:sz w:val="20"/>
                <w:szCs w:val="20"/>
              </w:rPr>
              <w:t>70.9</w:t>
            </w:r>
            <w:r w:rsidRPr="00393976">
              <w:rPr>
                <w:color w:val="auto"/>
                <w:sz w:val="20"/>
                <w:szCs w:val="20"/>
              </w:rPr>
              <w:t>)</w:t>
            </w:r>
          </w:p>
        </w:tc>
        <w:tc>
          <w:tcPr>
            <w:tcW w:w="1596" w:type="dxa"/>
            <w:tcBorders>
              <w:right w:val="single" w:sz="4" w:space="0" w:color="auto"/>
            </w:tcBorders>
            <w:shd w:val="clear" w:color="auto" w:fill="auto"/>
            <w:vAlign w:val="bottom"/>
          </w:tcPr>
          <w:p w14:paraId="6A9BB658" w14:textId="66AE0BC9" w:rsidR="009E4F66" w:rsidRPr="009157E7" w:rsidRDefault="00EF596C" w:rsidP="00393976">
            <w:pPr>
              <w:tabs>
                <w:tab w:val="decimal" w:pos="815"/>
              </w:tabs>
              <w:rPr>
                <w:color w:val="auto"/>
                <w:sz w:val="20"/>
                <w:szCs w:val="20"/>
              </w:rPr>
            </w:pPr>
            <w:r w:rsidRPr="009157E7">
              <w:rPr>
                <w:color w:val="auto"/>
                <w:sz w:val="20"/>
                <w:szCs w:val="20"/>
              </w:rPr>
              <w:t>16.</w:t>
            </w:r>
            <w:r w:rsidR="003813DE">
              <w:rPr>
                <w:color w:val="auto"/>
                <w:sz w:val="20"/>
                <w:szCs w:val="20"/>
              </w:rPr>
              <w:t>9</w:t>
            </w:r>
          </w:p>
        </w:tc>
      </w:tr>
      <w:tr w:rsidR="009E4F66" w:rsidRPr="00F13104" w14:paraId="37EC02C0" w14:textId="77777777" w:rsidTr="00D026A6">
        <w:trPr>
          <w:trHeight w:val="454"/>
        </w:trPr>
        <w:tc>
          <w:tcPr>
            <w:tcW w:w="6562" w:type="dxa"/>
            <w:tcBorders>
              <w:left w:val="single" w:sz="4" w:space="0" w:color="auto"/>
            </w:tcBorders>
            <w:shd w:val="clear" w:color="auto" w:fill="auto"/>
            <w:vAlign w:val="bottom"/>
          </w:tcPr>
          <w:p w14:paraId="4A316156" w14:textId="77777777" w:rsidR="009E4F66" w:rsidRPr="00A06955" w:rsidRDefault="0043558B" w:rsidP="00F13104">
            <w:pPr>
              <w:jc w:val="left"/>
              <w:rPr>
                <w:color w:val="auto"/>
                <w:sz w:val="20"/>
                <w:szCs w:val="20"/>
              </w:rPr>
            </w:pPr>
            <w:r w:rsidRPr="00A06955">
              <w:rPr>
                <w:color w:val="auto"/>
                <w:sz w:val="20"/>
                <w:szCs w:val="20"/>
              </w:rPr>
              <w:t>Travellers’ Sites</w:t>
            </w:r>
          </w:p>
        </w:tc>
        <w:tc>
          <w:tcPr>
            <w:tcW w:w="1595" w:type="dxa"/>
            <w:shd w:val="clear" w:color="auto" w:fill="auto"/>
            <w:vAlign w:val="bottom"/>
          </w:tcPr>
          <w:p w14:paraId="637008EA" w14:textId="7DF520C0" w:rsidR="009E4F66" w:rsidRPr="00A06955" w:rsidRDefault="001C2887" w:rsidP="00A320C3">
            <w:pPr>
              <w:tabs>
                <w:tab w:val="decimal" w:pos="758"/>
              </w:tabs>
              <w:rPr>
                <w:color w:val="auto"/>
                <w:sz w:val="20"/>
                <w:szCs w:val="20"/>
              </w:rPr>
            </w:pPr>
            <w:r w:rsidRPr="00A06955">
              <w:rPr>
                <w:color w:val="auto"/>
                <w:sz w:val="20"/>
                <w:szCs w:val="20"/>
              </w:rPr>
              <w:t>0.2</w:t>
            </w:r>
          </w:p>
        </w:tc>
        <w:tc>
          <w:tcPr>
            <w:tcW w:w="1333" w:type="dxa"/>
            <w:shd w:val="clear" w:color="auto" w:fill="auto"/>
            <w:vAlign w:val="bottom"/>
          </w:tcPr>
          <w:p w14:paraId="5C12EFB1" w14:textId="77777777" w:rsidR="009E4F66" w:rsidRPr="00A06955" w:rsidRDefault="00150029" w:rsidP="00A320C3">
            <w:pPr>
              <w:tabs>
                <w:tab w:val="decimal" w:pos="693"/>
              </w:tabs>
              <w:rPr>
                <w:color w:val="auto"/>
                <w:sz w:val="20"/>
                <w:szCs w:val="20"/>
              </w:rPr>
            </w:pPr>
            <w:r w:rsidRPr="00A06955">
              <w:rPr>
                <w:color w:val="auto"/>
                <w:sz w:val="20"/>
                <w:szCs w:val="20"/>
              </w:rPr>
              <w:t>-</w:t>
            </w:r>
          </w:p>
        </w:tc>
        <w:tc>
          <w:tcPr>
            <w:tcW w:w="1596" w:type="dxa"/>
            <w:shd w:val="clear" w:color="auto" w:fill="auto"/>
            <w:vAlign w:val="bottom"/>
          </w:tcPr>
          <w:p w14:paraId="5D824EB6" w14:textId="3FF6594A" w:rsidR="009E4F66" w:rsidRPr="00A06955" w:rsidRDefault="001C2887" w:rsidP="00A320C3">
            <w:pPr>
              <w:tabs>
                <w:tab w:val="decimal" w:pos="895"/>
              </w:tabs>
              <w:rPr>
                <w:color w:val="auto"/>
                <w:sz w:val="20"/>
                <w:szCs w:val="20"/>
              </w:rPr>
            </w:pPr>
            <w:r w:rsidRPr="00A06955">
              <w:rPr>
                <w:color w:val="auto"/>
                <w:sz w:val="20"/>
                <w:szCs w:val="20"/>
              </w:rPr>
              <w:t>0.2</w:t>
            </w:r>
          </w:p>
        </w:tc>
        <w:tc>
          <w:tcPr>
            <w:tcW w:w="1596" w:type="dxa"/>
            <w:shd w:val="clear" w:color="auto" w:fill="auto"/>
            <w:vAlign w:val="bottom"/>
          </w:tcPr>
          <w:p w14:paraId="6B128E28" w14:textId="193DFFDA" w:rsidR="009E4F66" w:rsidRPr="00393976" w:rsidRDefault="00EF596C" w:rsidP="00FD637F">
            <w:pPr>
              <w:tabs>
                <w:tab w:val="decimal" w:pos="799"/>
              </w:tabs>
              <w:rPr>
                <w:color w:val="auto"/>
                <w:sz w:val="20"/>
                <w:szCs w:val="20"/>
              </w:rPr>
            </w:pPr>
            <w:r w:rsidRPr="00393976">
              <w:rPr>
                <w:color w:val="auto"/>
                <w:sz w:val="20"/>
                <w:szCs w:val="20"/>
              </w:rPr>
              <w:t>0.</w:t>
            </w:r>
            <w:r w:rsidR="00FD637F">
              <w:rPr>
                <w:color w:val="auto"/>
                <w:sz w:val="20"/>
                <w:szCs w:val="20"/>
              </w:rPr>
              <w:t>2</w:t>
            </w:r>
          </w:p>
        </w:tc>
        <w:tc>
          <w:tcPr>
            <w:tcW w:w="1338" w:type="dxa"/>
            <w:shd w:val="clear" w:color="auto" w:fill="auto"/>
            <w:vAlign w:val="bottom"/>
          </w:tcPr>
          <w:p w14:paraId="41E47FE7" w14:textId="77777777" w:rsidR="009E4F66" w:rsidRPr="00393976" w:rsidRDefault="00EF596C" w:rsidP="00A320C3">
            <w:pPr>
              <w:tabs>
                <w:tab w:val="decimal" w:pos="628"/>
              </w:tabs>
              <w:rPr>
                <w:color w:val="auto"/>
                <w:sz w:val="20"/>
                <w:szCs w:val="20"/>
              </w:rPr>
            </w:pPr>
            <w:r w:rsidRPr="00393976">
              <w:rPr>
                <w:color w:val="auto"/>
                <w:sz w:val="20"/>
                <w:szCs w:val="20"/>
              </w:rPr>
              <w:t>-</w:t>
            </w:r>
          </w:p>
        </w:tc>
        <w:tc>
          <w:tcPr>
            <w:tcW w:w="1596" w:type="dxa"/>
            <w:tcBorders>
              <w:right w:val="single" w:sz="4" w:space="0" w:color="auto"/>
            </w:tcBorders>
            <w:shd w:val="clear" w:color="auto" w:fill="auto"/>
            <w:vAlign w:val="bottom"/>
          </w:tcPr>
          <w:p w14:paraId="760BA5FE" w14:textId="77777777" w:rsidR="009E4F66" w:rsidRPr="009157E7" w:rsidRDefault="00EF596C" w:rsidP="00A320C3">
            <w:pPr>
              <w:tabs>
                <w:tab w:val="decimal" w:pos="815"/>
              </w:tabs>
              <w:rPr>
                <w:color w:val="auto"/>
                <w:sz w:val="20"/>
                <w:szCs w:val="20"/>
              </w:rPr>
            </w:pPr>
            <w:r w:rsidRPr="009157E7">
              <w:rPr>
                <w:color w:val="auto"/>
                <w:sz w:val="20"/>
                <w:szCs w:val="20"/>
              </w:rPr>
              <w:t>0.2</w:t>
            </w:r>
          </w:p>
        </w:tc>
      </w:tr>
      <w:tr w:rsidR="009E4F66" w:rsidRPr="00F13104" w14:paraId="5086D3C2" w14:textId="77777777" w:rsidTr="00D026A6">
        <w:trPr>
          <w:trHeight w:val="454"/>
        </w:trPr>
        <w:tc>
          <w:tcPr>
            <w:tcW w:w="6562" w:type="dxa"/>
            <w:tcBorders>
              <w:left w:val="single" w:sz="4" w:space="0" w:color="auto"/>
            </w:tcBorders>
            <w:shd w:val="clear" w:color="auto" w:fill="auto"/>
            <w:vAlign w:val="bottom"/>
          </w:tcPr>
          <w:p w14:paraId="29BC3721" w14:textId="059C6865" w:rsidR="009E4F66" w:rsidRPr="00A06955" w:rsidRDefault="00C72C12" w:rsidP="00F13104">
            <w:pPr>
              <w:jc w:val="left"/>
              <w:rPr>
                <w:b/>
                <w:color w:val="auto"/>
                <w:sz w:val="20"/>
                <w:szCs w:val="20"/>
              </w:rPr>
            </w:pPr>
            <w:r>
              <w:rPr>
                <w:b/>
                <w:color w:val="auto"/>
                <w:sz w:val="20"/>
                <w:szCs w:val="20"/>
              </w:rPr>
              <w:t xml:space="preserve">Total </w:t>
            </w:r>
            <w:r w:rsidR="00B3034E" w:rsidRPr="00B3034E">
              <w:rPr>
                <w:b/>
                <w:color w:val="auto"/>
                <w:sz w:val="20"/>
                <w:szCs w:val="20"/>
              </w:rPr>
              <w:t>C</w:t>
            </w:r>
            <w:r w:rsidR="0011254F">
              <w:rPr>
                <w:b/>
                <w:color w:val="auto"/>
                <w:sz w:val="20"/>
                <w:szCs w:val="20"/>
              </w:rPr>
              <w:t>ost of S</w:t>
            </w:r>
            <w:r w:rsidR="0043558B" w:rsidRPr="00A06955">
              <w:rPr>
                <w:b/>
                <w:color w:val="auto"/>
                <w:sz w:val="20"/>
                <w:szCs w:val="20"/>
              </w:rPr>
              <w:t>ervices</w:t>
            </w:r>
            <w:r w:rsidR="00C864F6">
              <w:rPr>
                <w:b/>
                <w:color w:val="auto"/>
                <w:sz w:val="20"/>
                <w:szCs w:val="20"/>
              </w:rPr>
              <w:t xml:space="preserve"> </w:t>
            </w:r>
            <w:r w:rsidR="00C864F6" w:rsidRPr="00C864F6">
              <w:rPr>
                <w:color w:val="auto"/>
                <w:sz w:val="20"/>
                <w:szCs w:val="20"/>
              </w:rPr>
              <w:t>(note 12)</w:t>
            </w:r>
          </w:p>
        </w:tc>
        <w:tc>
          <w:tcPr>
            <w:tcW w:w="1595" w:type="dxa"/>
            <w:shd w:val="clear" w:color="auto" w:fill="auto"/>
            <w:vAlign w:val="bottom"/>
          </w:tcPr>
          <w:p w14:paraId="349BAE1A" w14:textId="6B571294" w:rsidR="009E4F66" w:rsidRPr="00A06955" w:rsidRDefault="001C2887" w:rsidP="00A06955">
            <w:pPr>
              <w:tabs>
                <w:tab w:val="decimal" w:pos="758"/>
              </w:tabs>
              <w:rPr>
                <w:b/>
                <w:color w:val="auto"/>
                <w:sz w:val="20"/>
                <w:szCs w:val="20"/>
              </w:rPr>
            </w:pPr>
            <w:r w:rsidRPr="00A06955">
              <w:rPr>
                <w:b/>
                <w:color w:val="auto"/>
                <w:sz w:val="20"/>
                <w:szCs w:val="20"/>
              </w:rPr>
              <w:t>2</w:t>
            </w:r>
            <w:r w:rsidR="00EC0ABA">
              <w:rPr>
                <w:b/>
                <w:color w:val="auto"/>
                <w:sz w:val="20"/>
                <w:szCs w:val="20"/>
              </w:rPr>
              <w:t>,</w:t>
            </w:r>
            <w:r w:rsidRPr="00A06955">
              <w:rPr>
                <w:b/>
                <w:color w:val="auto"/>
                <w:sz w:val="20"/>
                <w:szCs w:val="20"/>
              </w:rPr>
              <w:t>1</w:t>
            </w:r>
            <w:r w:rsidR="003E6188">
              <w:rPr>
                <w:b/>
                <w:color w:val="auto"/>
                <w:sz w:val="20"/>
                <w:szCs w:val="20"/>
              </w:rPr>
              <w:t>50</w:t>
            </w:r>
            <w:r w:rsidRPr="00A06955">
              <w:rPr>
                <w:b/>
                <w:color w:val="auto"/>
                <w:sz w:val="20"/>
                <w:szCs w:val="20"/>
              </w:rPr>
              <w:t>.</w:t>
            </w:r>
            <w:r w:rsidR="003E6188">
              <w:rPr>
                <w:b/>
                <w:color w:val="auto"/>
                <w:sz w:val="20"/>
                <w:szCs w:val="20"/>
              </w:rPr>
              <w:t>2</w:t>
            </w:r>
          </w:p>
        </w:tc>
        <w:tc>
          <w:tcPr>
            <w:tcW w:w="1333" w:type="dxa"/>
            <w:shd w:val="clear" w:color="auto" w:fill="auto"/>
            <w:vAlign w:val="bottom"/>
          </w:tcPr>
          <w:p w14:paraId="5372EF5D" w14:textId="7EFB70F5" w:rsidR="009E4F66" w:rsidRPr="00A06955" w:rsidRDefault="001C2887">
            <w:pPr>
              <w:tabs>
                <w:tab w:val="decimal" w:pos="693"/>
              </w:tabs>
              <w:rPr>
                <w:b/>
                <w:color w:val="auto"/>
                <w:sz w:val="20"/>
                <w:szCs w:val="20"/>
              </w:rPr>
            </w:pPr>
            <w:r w:rsidRPr="00A06955">
              <w:rPr>
                <w:b/>
                <w:color w:val="auto"/>
                <w:sz w:val="20"/>
                <w:szCs w:val="20"/>
              </w:rPr>
              <w:t>(1</w:t>
            </w:r>
            <w:r w:rsidR="00EC0ABA">
              <w:rPr>
                <w:b/>
                <w:color w:val="auto"/>
                <w:sz w:val="20"/>
                <w:szCs w:val="20"/>
              </w:rPr>
              <w:t>,</w:t>
            </w:r>
            <w:r w:rsidRPr="00A06955">
              <w:rPr>
                <w:b/>
                <w:color w:val="auto"/>
                <w:sz w:val="20"/>
                <w:szCs w:val="20"/>
              </w:rPr>
              <w:t>2</w:t>
            </w:r>
            <w:r w:rsidR="003E6188">
              <w:rPr>
                <w:b/>
                <w:color w:val="auto"/>
                <w:sz w:val="20"/>
                <w:szCs w:val="20"/>
              </w:rPr>
              <w:t>7</w:t>
            </w:r>
            <w:r w:rsidR="00E87D04">
              <w:rPr>
                <w:b/>
                <w:color w:val="auto"/>
                <w:sz w:val="20"/>
                <w:szCs w:val="20"/>
              </w:rPr>
              <w:t>8.</w:t>
            </w:r>
            <w:r w:rsidR="00BF2543">
              <w:rPr>
                <w:b/>
                <w:color w:val="auto"/>
                <w:sz w:val="20"/>
                <w:szCs w:val="20"/>
              </w:rPr>
              <w:t>6</w:t>
            </w:r>
            <w:r w:rsidRPr="00A06955">
              <w:rPr>
                <w:b/>
                <w:color w:val="auto"/>
                <w:sz w:val="20"/>
                <w:szCs w:val="20"/>
              </w:rPr>
              <w:t>)</w:t>
            </w:r>
          </w:p>
        </w:tc>
        <w:tc>
          <w:tcPr>
            <w:tcW w:w="1596" w:type="dxa"/>
            <w:shd w:val="clear" w:color="auto" w:fill="auto"/>
            <w:vAlign w:val="bottom"/>
          </w:tcPr>
          <w:p w14:paraId="7B55AD68" w14:textId="52A1996F" w:rsidR="009E4F66" w:rsidRPr="00A06955" w:rsidRDefault="001C2887" w:rsidP="003E6188">
            <w:pPr>
              <w:tabs>
                <w:tab w:val="decimal" w:pos="895"/>
              </w:tabs>
              <w:rPr>
                <w:b/>
                <w:color w:val="auto"/>
                <w:sz w:val="20"/>
                <w:szCs w:val="20"/>
              </w:rPr>
            </w:pPr>
            <w:r w:rsidRPr="00A06955">
              <w:rPr>
                <w:b/>
                <w:color w:val="auto"/>
                <w:sz w:val="20"/>
                <w:szCs w:val="20"/>
              </w:rPr>
              <w:t>8</w:t>
            </w:r>
            <w:r w:rsidR="003E6188">
              <w:rPr>
                <w:b/>
                <w:color w:val="auto"/>
                <w:sz w:val="20"/>
                <w:szCs w:val="20"/>
              </w:rPr>
              <w:t>71</w:t>
            </w:r>
            <w:r w:rsidR="00E87D04">
              <w:rPr>
                <w:b/>
                <w:color w:val="auto"/>
                <w:sz w:val="20"/>
                <w:szCs w:val="20"/>
              </w:rPr>
              <w:t>.</w:t>
            </w:r>
            <w:r w:rsidR="00BF2543">
              <w:rPr>
                <w:b/>
                <w:color w:val="auto"/>
                <w:sz w:val="20"/>
                <w:szCs w:val="20"/>
              </w:rPr>
              <w:t>6</w:t>
            </w:r>
          </w:p>
        </w:tc>
        <w:tc>
          <w:tcPr>
            <w:tcW w:w="1596" w:type="dxa"/>
            <w:shd w:val="clear" w:color="auto" w:fill="auto"/>
            <w:vAlign w:val="bottom"/>
          </w:tcPr>
          <w:p w14:paraId="20EA5AD5" w14:textId="317E5516" w:rsidR="009E4F66" w:rsidRPr="00393976" w:rsidRDefault="00EF596C" w:rsidP="00393976">
            <w:pPr>
              <w:tabs>
                <w:tab w:val="decimal" w:pos="799"/>
              </w:tabs>
              <w:rPr>
                <w:b/>
                <w:color w:val="auto"/>
                <w:sz w:val="20"/>
                <w:szCs w:val="20"/>
              </w:rPr>
            </w:pPr>
            <w:r w:rsidRPr="00393976">
              <w:rPr>
                <w:b/>
                <w:color w:val="auto"/>
                <w:sz w:val="20"/>
                <w:szCs w:val="20"/>
              </w:rPr>
              <w:t>2,07</w:t>
            </w:r>
            <w:r w:rsidR="003813DE">
              <w:rPr>
                <w:b/>
                <w:color w:val="auto"/>
                <w:sz w:val="20"/>
                <w:szCs w:val="20"/>
              </w:rPr>
              <w:t>0.2</w:t>
            </w:r>
          </w:p>
        </w:tc>
        <w:tc>
          <w:tcPr>
            <w:tcW w:w="1338" w:type="dxa"/>
            <w:shd w:val="clear" w:color="auto" w:fill="auto"/>
            <w:vAlign w:val="bottom"/>
          </w:tcPr>
          <w:p w14:paraId="59AB4E28" w14:textId="2B0AF894" w:rsidR="009E4F66" w:rsidRPr="00393976" w:rsidRDefault="00AB202F" w:rsidP="00E45E0A">
            <w:pPr>
              <w:tabs>
                <w:tab w:val="decimal" w:pos="628"/>
              </w:tabs>
              <w:rPr>
                <w:b/>
                <w:color w:val="auto"/>
                <w:sz w:val="20"/>
                <w:szCs w:val="20"/>
              </w:rPr>
            </w:pPr>
            <w:r w:rsidRPr="00393976">
              <w:rPr>
                <w:b/>
                <w:color w:val="auto"/>
                <w:sz w:val="20"/>
                <w:szCs w:val="20"/>
              </w:rPr>
              <w:t>(1,2</w:t>
            </w:r>
            <w:r w:rsidR="008E40DA">
              <w:rPr>
                <w:b/>
                <w:color w:val="auto"/>
                <w:sz w:val="20"/>
                <w:szCs w:val="20"/>
              </w:rPr>
              <w:t>62</w:t>
            </w:r>
            <w:r w:rsidR="003813DE">
              <w:rPr>
                <w:b/>
                <w:color w:val="auto"/>
                <w:sz w:val="20"/>
                <w:szCs w:val="20"/>
              </w:rPr>
              <w:t>.</w:t>
            </w:r>
            <w:r w:rsidR="00E45E0A">
              <w:rPr>
                <w:b/>
                <w:color w:val="auto"/>
                <w:sz w:val="20"/>
                <w:szCs w:val="20"/>
              </w:rPr>
              <w:t>5</w:t>
            </w:r>
            <w:r w:rsidRPr="00393976">
              <w:rPr>
                <w:b/>
                <w:color w:val="auto"/>
                <w:sz w:val="20"/>
                <w:szCs w:val="20"/>
              </w:rPr>
              <w:t>)</w:t>
            </w:r>
          </w:p>
        </w:tc>
        <w:tc>
          <w:tcPr>
            <w:tcW w:w="1596" w:type="dxa"/>
            <w:tcBorders>
              <w:right w:val="single" w:sz="4" w:space="0" w:color="auto"/>
            </w:tcBorders>
            <w:shd w:val="clear" w:color="auto" w:fill="auto"/>
            <w:vAlign w:val="bottom"/>
          </w:tcPr>
          <w:p w14:paraId="1BE237E4" w14:textId="50FD9BC7" w:rsidR="009E4F66" w:rsidRPr="009157E7" w:rsidRDefault="008E40DA" w:rsidP="00DB6790">
            <w:pPr>
              <w:tabs>
                <w:tab w:val="decimal" w:pos="815"/>
              </w:tabs>
              <w:rPr>
                <w:b/>
                <w:color w:val="auto"/>
                <w:sz w:val="20"/>
                <w:szCs w:val="20"/>
              </w:rPr>
            </w:pPr>
            <w:r>
              <w:rPr>
                <w:b/>
                <w:color w:val="auto"/>
                <w:sz w:val="20"/>
                <w:szCs w:val="20"/>
              </w:rPr>
              <w:t>8</w:t>
            </w:r>
            <w:r w:rsidR="00CB199D">
              <w:rPr>
                <w:b/>
                <w:color w:val="auto"/>
                <w:sz w:val="20"/>
                <w:szCs w:val="20"/>
              </w:rPr>
              <w:t>07.7</w:t>
            </w:r>
          </w:p>
        </w:tc>
      </w:tr>
      <w:tr w:rsidR="009E4F66" w:rsidRPr="00F13104" w14:paraId="4D76D170" w14:textId="77777777" w:rsidTr="00D026A6">
        <w:trPr>
          <w:trHeight w:val="454"/>
        </w:trPr>
        <w:tc>
          <w:tcPr>
            <w:tcW w:w="6562" w:type="dxa"/>
            <w:tcBorders>
              <w:left w:val="single" w:sz="4" w:space="0" w:color="auto"/>
            </w:tcBorders>
            <w:shd w:val="clear" w:color="auto" w:fill="auto"/>
            <w:vAlign w:val="bottom"/>
          </w:tcPr>
          <w:p w14:paraId="5F76A094" w14:textId="0CA9CEA5" w:rsidR="009E4F66" w:rsidRPr="00A06955" w:rsidRDefault="0043558B" w:rsidP="00F13104">
            <w:pPr>
              <w:jc w:val="left"/>
              <w:rPr>
                <w:color w:val="auto"/>
                <w:sz w:val="20"/>
                <w:szCs w:val="20"/>
              </w:rPr>
            </w:pPr>
            <w:r w:rsidRPr="00A06955">
              <w:rPr>
                <w:color w:val="auto"/>
                <w:sz w:val="20"/>
                <w:szCs w:val="20"/>
              </w:rPr>
              <w:t>Other Operating Income and Expenditure (note 9)</w:t>
            </w:r>
          </w:p>
        </w:tc>
        <w:tc>
          <w:tcPr>
            <w:tcW w:w="1595" w:type="dxa"/>
            <w:shd w:val="clear" w:color="auto" w:fill="auto"/>
            <w:vAlign w:val="bottom"/>
          </w:tcPr>
          <w:p w14:paraId="64FB2534" w14:textId="40F2476A" w:rsidR="009E4F66" w:rsidRPr="00A06955" w:rsidRDefault="001C2887" w:rsidP="00A320C3">
            <w:pPr>
              <w:tabs>
                <w:tab w:val="decimal" w:pos="758"/>
              </w:tabs>
              <w:rPr>
                <w:color w:val="auto"/>
                <w:sz w:val="20"/>
                <w:szCs w:val="20"/>
              </w:rPr>
            </w:pPr>
            <w:r w:rsidRPr="00A06955">
              <w:rPr>
                <w:color w:val="auto"/>
                <w:sz w:val="20"/>
                <w:szCs w:val="20"/>
              </w:rPr>
              <w:t>7.1</w:t>
            </w:r>
          </w:p>
        </w:tc>
        <w:tc>
          <w:tcPr>
            <w:tcW w:w="1333" w:type="dxa"/>
            <w:shd w:val="clear" w:color="auto" w:fill="auto"/>
            <w:vAlign w:val="bottom"/>
          </w:tcPr>
          <w:p w14:paraId="11CF3B1F" w14:textId="29AA94C3" w:rsidR="009E4F66" w:rsidRPr="00A06955" w:rsidRDefault="001C2887">
            <w:pPr>
              <w:tabs>
                <w:tab w:val="decimal" w:pos="693"/>
              </w:tabs>
              <w:rPr>
                <w:color w:val="auto"/>
                <w:sz w:val="20"/>
                <w:szCs w:val="20"/>
              </w:rPr>
            </w:pPr>
            <w:r w:rsidRPr="00A06955">
              <w:rPr>
                <w:color w:val="auto"/>
                <w:sz w:val="20"/>
                <w:szCs w:val="20"/>
              </w:rPr>
              <w:t>(</w:t>
            </w:r>
            <w:r w:rsidR="00E87D04">
              <w:rPr>
                <w:color w:val="auto"/>
                <w:sz w:val="20"/>
                <w:szCs w:val="20"/>
              </w:rPr>
              <w:t>13.4</w:t>
            </w:r>
            <w:r w:rsidRPr="00A06955">
              <w:rPr>
                <w:color w:val="auto"/>
                <w:sz w:val="20"/>
                <w:szCs w:val="20"/>
              </w:rPr>
              <w:t>)</w:t>
            </w:r>
          </w:p>
        </w:tc>
        <w:tc>
          <w:tcPr>
            <w:tcW w:w="1596" w:type="dxa"/>
            <w:shd w:val="clear" w:color="auto" w:fill="auto"/>
            <w:vAlign w:val="bottom"/>
          </w:tcPr>
          <w:p w14:paraId="561BD812" w14:textId="66ACE626" w:rsidR="009E4F66" w:rsidRPr="00A06955" w:rsidRDefault="00E87D04" w:rsidP="009B3761">
            <w:pPr>
              <w:tabs>
                <w:tab w:val="decimal" w:pos="895"/>
              </w:tabs>
              <w:rPr>
                <w:color w:val="auto"/>
                <w:sz w:val="20"/>
                <w:szCs w:val="20"/>
              </w:rPr>
            </w:pPr>
            <w:r>
              <w:rPr>
                <w:color w:val="auto"/>
                <w:sz w:val="20"/>
                <w:szCs w:val="20"/>
              </w:rPr>
              <w:t>(6.</w:t>
            </w:r>
            <w:r w:rsidR="009B3761">
              <w:rPr>
                <w:color w:val="auto"/>
                <w:sz w:val="20"/>
                <w:szCs w:val="20"/>
              </w:rPr>
              <w:t>3</w:t>
            </w:r>
            <w:r>
              <w:rPr>
                <w:color w:val="auto"/>
                <w:sz w:val="20"/>
                <w:szCs w:val="20"/>
              </w:rPr>
              <w:t>)</w:t>
            </w:r>
          </w:p>
        </w:tc>
        <w:tc>
          <w:tcPr>
            <w:tcW w:w="1596" w:type="dxa"/>
            <w:shd w:val="clear" w:color="auto" w:fill="auto"/>
            <w:vAlign w:val="bottom"/>
          </w:tcPr>
          <w:p w14:paraId="053D1325" w14:textId="77777777" w:rsidR="009E4F66" w:rsidRPr="00393976" w:rsidRDefault="00EF596C" w:rsidP="00A320C3">
            <w:pPr>
              <w:tabs>
                <w:tab w:val="decimal" w:pos="799"/>
              </w:tabs>
              <w:rPr>
                <w:color w:val="auto"/>
                <w:sz w:val="20"/>
                <w:szCs w:val="20"/>
              </w:rPr>
            </w:pPr>
            <w:r w:rsidRPr="00393976">
              <w:rPr>
                <w:color w:val="auto"/>
                <w:sz w:val="20"/>
                <w:szCs w:val="20"/>
              </w:rPr>
              <w:t>36.8</w:t>
            </w:r>
          </w:p>
        </w:tc>
        <w:tc>
          <w:tcPr>
            <w:tcW w:w="1338" w:type="dxa"/>
            <w:shd w:val="clear" w:color="auto" w:fill="auto"/>
            <w:vAlign w:val="bottom"/>
          </w:tcPr>
          <w:p w14:paraId="13141570" w14:textId="04524306" w:rsidR="009E4F66" w:rsidRPr="00393976" w:rsidRDefault="00AB202F" w:rsidP="003813DE">
            <w:pPr>
              <w:tabs>
                <w:tab w:val="decimal" w:pos="628"/>
              </w:tabs>
              <w:rPr>
                <w:color w:val="auto"/>
                <w:sz w:val="20"/>
                <w:szCs w:val="20"/>
              </w:rPr>
            </w:pPr>
            <w:r w:rsidRPr="00393976">
              <w:rPr>
                <w:color w:val="auto"/>
                <w:sz w:val="20"/>
                <w:szCs w:val="20"/>
              </w:rPr>
              <w:t>(</w:t>
            </w:r>
            <w:r w:rsidR="00D8105D">
              <w:rPr>
                <w:color w:val="auto"/>
                <w:sz w:val="20"/>
                <w:szCs w:val="20"/>
              </w:rPr>
              <w:t>4.</w:t>
            </w:r>
            <w:r w:rsidR="003813DE">
              <w:rPr>
                <w:color w:val="auto"/>
                <w:sz w:val="20"/>
                <w:szCs w:val="20"/>
              </w:rPr>
              <w:t>7</w:t>
            </w:r>
            <w:r w:rsidRPr="00393976">
              <w:rPr>
                <w:color w:val="auto"/>
                <w:sz w:val="20"/>
                <w:szCs w:val="20"/>
              </w:rPr>
              <w:t>)</w:t>
            </w:r>
          </w:p>
        </w:tc>
        <w:tc>
          <w:tcPr>
            <w:tcW w:w="1596" w:type="dxa"/>
            <w:tcBorders>
              <w:right w:val="single" w:sz="4" w:space="0" w:color="auto"/>
            </w:tcBorders>
            <w:shd w:val="clear" w:color="auto" w:fill="auto"/>
            <w:vAlign w:val="bottom"/>
          </w:tcPr>
          <w:p w14:paraId="04871680" w14:textId="11306AD4" w:rsidR="009E4F66" w:rsidRPr="009157E7" w:rsidRDefault="00AB202F" w:rsidP="00D8105D">
            <w:pPr>
              <w:tabs>
                <w:tab w:val="decimal" w:pos="815"/>
              </w:tabs>
              <w:rPr>
                <w:color w:val="auto"/>
                <w:sz w:val="20"/>
                <w:szCs w:val="20"/>
              </w:rPr>
            </w:pPr>
            <w:r w:rsidRPr="009157E7">
              <w:rPr>
                <w:color w:val="auto"/>
                <w:sz w:val="20"/>
                <w:szCs w:val="20"/>
              </w:rPr>
              <w:t>32.</w:t>
            </w:r>
            <w:r w:rsidR="003813DE">
              <w:rPr>
                <w:color w:val="auto"/>
                <w:sz w:val="20"/>
                <w:szCs w:val="20"/>
              </w:rPr>
              <w:t>1</w:t>
            </w:r>
          </w:p>
        </w:tc>
      </w:tr>
      <w:tr w:rsidR="009E4F66" w:rsidRPr="00F13104" w14:paraId="204C6BE0" w14:textId="77777777" w:rsidTr="00D026A6">
        <w:trPr>
          <w:trHeight w:val="454"/>
        </w:trPr>
        <w:tc>
          <w:tcPr>
            <w:tcW w:w="6562" w:type="dxa"/>
            <w:tcBorders>
              <w:left w:val="single" w:sz="4" w:space="0" w:color="auto"/>
            </w:tcBorders>
            <w:shd w:val="clear" w:color="auto" w:fill="auto"/>
            <w:vAlign w:val="bottom"/>
          </w:tcPr>
          <w:p w14:paraId="624DA494" w14:textId="53183468" w:rsidR="009E4F66" w:rsidRPr="00A06955" w:rsidRDefault="0043558B" w:rsidP="00C45BA9">
            <w:pPr>
              <w:jc w:val="left"/>
              <w:rPr>
                <w:color w:val="auto"/>
                <w:sz w:val="20"/>
                <w:szCs w:val="20"/>
              </w:rPr>
            </w:pPr>
            <w:r w:rsidRPr="00A06955">
              <w:rPr>
                <w:color w:val="auto"/>
                <w:sz w:val="20"/>
                <w:szCs w:val="20"/>
              </w:rPr>
              <w:t>Financing and Investment Income &amp; Expenditure (note 10)</w:t>
            </w:r>
          </w:p>
        </w:tc>
        <w:tc>
          <w:tcPr>
            <w:tcW w:w="1595" w:type="dxa"/>
            <w:shd w:val="clear" w:color="auto" w:fill="auto"/>
            <w:vAlign w:val="bottom"/>
          </w:tcPr>
          <w:p w14:paraId="57AFBB60" w14:textId="6C2113A8" w:rsidR="009E4F66" w:rsidRPr="00A06955" w:rsidRDefault="00697D15" w:rsidP="00A320C3">
            <w:pPr>
              <w:tabs>
                <w:tab w:val="decimal" w:pos="758"/>
              </w:tabs>
              <w:rPr>
                <w:color w:val="auto"/>
                <w:sz w:val="20"/>
                <w:szCs w:val="20"/>
              </w:rPr>
            </w:pPr>
            <w:r>
              <w:rPr>
                <w:color w:val="auto"/>
                <w:sz w:val="20"/>
                <w:szCs w:val="20"/>
              </w:rPr>
              <w:t>106.0</w:t>
            </w:r>
          </w:p>
        </w:tc>
        <w:tc>
          <w:tcPr>
            <w:tcW w:w="1333" w:type="dxa"/>
            <w:shd w:val="clear" w:color="auto" w:fill="auto"/>
            <w:vAlign w:val="bottom"/>
          </w:tcPr>
          <w:p w14:paraId="0BB42426" w14:textId="1831EB96" w:rsidR="009E4F66" w:rsidRPr="00A06955" w:rsidRDefault="001C2887" w:rsidP="00A320C3">
            <w:pPr>
              <w:tabs>
                <w:tab w:val="decimal" w:pos="693"/>
              </w:tabs>
              <w:rPr>
                <w:color w:val="auto"/>
                <w:sz w:val="20"/>
                <w:szCs w:val="20"/>
              </w:rPr>
            </w:pPr>
            <w:r w:rsidRPr="00A06955">
              <w:rPr>
                <w:color w:val="auto"/>
                <w:sz w:val="20"/>
                <w:szCs w:val="20"/>
              </w:rPr>
              <w:t>(82.4)</w:t>
            </w:r>
          </w:p>
        </w:tc>
        <w:tc>
          <w:tcPr>
            <w:tcW w:w="1596" w:type="dxa"/>
            <w:shd w:val="clear" w:color="auto" w:fill="auto"/>
            <w:vAlign w:val="bottom"/>
          </w:tcPr>
          <w:p w14:paraId="18DB8A38" w14:textId="4BFBF2AA" w:rsidR="009E4F66" w:rsidRPr="00A06955" w:rsidRDefault="00697D15" w:rsidP="00A320C3">
            <w:pPr>
              <w:tabs>
                <w:tab w:val="decimal" w:pos="895"/>
              </w:tabs>
              <w:rPr>
                <w:color w:val="auto"/>
                <w:sz w:val="20"/>
                <w:szCs w:val="20"/>
              </w:rPr>
            </w:pPr>
            <w:r>
              <w:rPr>
                <w:color w:val="auto"/>
                <w:sz w:val="20"/>
                <w:szCs w:val="20"/>
              </w:rPr>
              <w:t>23.6</w:t>
            </w:r>
          </w:p>
        </w:tc>
        <w:tc>
          <w:tcPr>
            <w:tcW w:w="1596" w:type="dxa"/>
            <w:shd w:val="clear" w:color="auto" w:fill="auto"/>
            <w:vAlign w:val="bottom"/>
          </w:tcPr>
          <w:p w14:paraId="3952339A" w14:textId="660394F6" w:rsidR="009E4F66" w:rsidRPr="00393976" w:rsidRDefault="00EF596C" w:rsidP="00393976">
            <w:pPr>
              <w:tabs>
                <w:tab w:val="decimal" w:pos="799"/>
              </w:tabs>
              <w:rPr>
                <w:color w:val="auto"/>
                <w:sz w:val="20"/>
                <w:szCs w:val="20"/>
              </w:rPr>
            </w:pPr>
            <w:r w:rsidRPr="00393976">
              <w:rPr>
                <w:color w:val="auto"/>
                <w:sz w:val="20"/>
                <w:szCs w:val="20"/>
              </w:rPr>
              <w:t>11</w:t>
            </w:r>
            <w:r w:rsidR="003813DE">
              <w:rPr>
                <w:color w:val="auto"/>
                <w:sz w:val="20"/>
                <w:szCs w:val="20"/>
              </w:rPr>
              <w:t>9.5</w:t>
            </w:r>
          </w:p>
        </w:tc>
        <w:tc>
          <w:tcPr>
            <w:tcW w:w="1338" w:type="dxa"/>
            <w:shd w:val="clear" w:color="auto" w:fill="auto"/>
            <w:vAlign w:val="bottom"/>
          </w:tcPr>
          <w:p w14:paraId="219269B2" w14:textId="0B6EF7BC" w:rsidR="009E4F66" w:rsidRPr="00393976" w:rsidRDefault="00AB202F" w:rsidP="00393976">
            <w:pPr>
              <w:tabs>
                <w:tab w:val="decimal" w:pos="628"/>
              </w:tabs>
              <w:rPr>
                <w:color w:val="auto"/>
                <w:sz w:val="20"/>
                <w:szCs w:val="20"/>
              </w:rPr>
            </w:pPr>
            <w:r w:rsidRPr="00393976">
              <w:rPr>
                <w:color w:val="auto"/>
                <w:sz w:val="20"/>
                <w:szCs w:val="20"/>
              </w:rPr>
              <w:t>(</w:t>
            </w:r>
            <w:r w:rsidR="003813DE">
              <w:rPr>
                <w:color w:val="auto"/>
                <w:sz w:val="20"/>
                <w:szCs w:val="20"/>
              </w:rPr>
              <w:t>28.9</w:t>
            </w:r>
            <w:r w:rsidRPr="00393976">
              <w:rPr>
                <w:color w:val="auto"/>
                <w:sz w:val="20"/>
                <w:szCs w:val="20"/>
              </w:rPr>
              <w:t>)</w:t>
            </w:r>
          </w:p>
        </w:tc>
        <w:tc>
          <w:tcPr>
            <w:tcW w:w="1596" w:type="dxa"/>
            <w:tcBorders>
              <w:right w:val="single" w:sz="4" w:space="0" w:color="auto"/>
            </w:tcBorders>
            <w:shd w:val="clear" w:color="auto" w:fill="auto"/>
            <w:vAlign w:val="bottom"/>
          </w:tcPr>
          <w:p w14:paraId="08EDA7D6" w14:textId="379306E2" w:rsidR="009E4F66" w:rsidRPr="009157E7" w:rsidRDefault="00AB202F" w:rsidP="00393976">
            <w:pPr>
              <w:tabs>
                <w:tab w:val="decimal" w:pos="815"/>
              </w:tabs>
              <w:rPr>
                <w:color w:val="auto"/>
                <w:sz w:val="20"/>
                <w:szCs w:val="20"/>
              </w:rPr>
            </w:pPr>
            <w:r w:rsidRPr="009157E7">
              <w:rPr>
                <w:color w:val="auto"/>
                <w:sz w:val="20"/>
                <w:szCs w:val="20"/>
              </w:rPr>
              <w:t>90.</w:t>
            </w:r>
            <w:r w:rsidR="003813DE">
              <w:rPr>
                <w:color w:val="auto"/>
                <w:sz w:val="20"/>
                <w:szCs w:val="20"/>
              </w:rPr>
              <w:t>6</w:t>
            </w:r>
          </w:p>
        </w:tc>
      </w:tr>
      <w:tr w:rsidR="009E4F66" w:rsidRPr="00F13104" w14:paraId="107D15FB" w14:textId="77777777" w:rsidTr="00D026A6">
        <w:trPr>
          <w:trHeight w:val="454"/>
        </w:trPr>
        <w:tc>
          <w:tcPr>
            <w:tcW w:w="6562" w:type="dxa"/>
            <w:tcBorders>
              <w:left w:val="single" w:sz="4" w:space="0" w:color="auto"/>
            </w:tcBorders>
            <w:shd w:val="clear" w:color="auto" w:fill="auto"/>
            <w:vAlign w:val="bottom"/>
          </w:tcPr>
          <w:p w14:paraId="2ED32D85" w14:textId="77777777" w:rsidR="009E4F66" w:rsidRPr="00A06955" w:rsidRDefault="0043558B" w:rsidP="00F13104">
            <w:pPr>
              <w:jc w:val="left"/>
              <w:rPr>
                <w:color w:val="auto"/>
                <w:sz w:val="20"/>
                <w:szCs w:val="20"/>
              </w:rPr>
            </w:pPr>
            <w:r w:rsidRPr="00A06955">
              <w:rPr>
                <w:color w:val="auto"/>
                <w:sz w:val="20"/>
                <w:szCs w:val="20"/>
              </w:rPr>
              <w:t>Taxation and Non Specific Grant</w:t>
            </w:r>
            <w:r w:rsidR="008574B3" w:rsidRPr="00A06955">
              <w:rPr>
                <w:color w:val="auto"/>
                <w:sz w:val="20"/>
                <w:szCs w:val="20"/>
              </w:rPr>
              <w:t>s</w:t>
            </w:r>
            <w:r w:rsidRPr="00A06955">
              <w:rPr>
                <w:color w:val="auto"/>
                <w:sz w:val="20"/>
                <w:szCs w:val="20"/>
              </w:rPr>
              <w:t xml:space="preserve"> Income (note 11)</w:t>
            </w:r>
          </w:p>
        </w:tc>
        <w:tc>
          <w:tcPr>
            <w:tcW w:w="1595" w:type="dxa"/>
            <w:tcBorders>
              <w:bottom w:val="single" w:sz="4" w:space="0" w:color="auto"/>
            </w:tcBorders>
            <w:shd w:val="clear" w:color="auto" w:fill="auto"/>
            <w:vAlign w:val="bottom"/>
          </w:tcPr>
          <w:p w14:paraId="7686032E" w14:textId="77777777" w:rsidR="009E4F66" w:rsidRPr="00A06955" w:rsidRDefault="00150029" w:rsidP="00A320C3">
            <w:pPr>
              <w:tabs>
                <w:tab w:val="decimal" w:pos="758"/>
              </w:tabs>
              <w:rPr>
                <w:color w:val="auto"/>
                <w:sz w:val="20"/>
                <w:szCs w:val="20"/>
              </w:rPr>
            </w:pPr>
            <w:r w:rsidRPr="00A06955">
              <w:rPr>
                <w:color w:val="auto"/>
                <w:sz w:val="20"/>
                <w:szCs w:val="20"/>
              </w:rPr>
              <w:t>-</w:t>
            </w:r>
          </w:p>
        </w:tc>
        <w:tc>
          <w:tcPr>
            <w:tcW w:w="1333" w:type="dxa"/>
            <w:tcBorders>
              <w:bottom w:val="single" w:sz="4" w:space="0" w:color="auto"/>
            </w:tcBorders>
            <w:shd w:val="clear" w:color="auto" w:fill="auto"/>
            <w:vAlign w:val="bottom"/>
          </w:tcPr>
          <w:p w14:paraId="0E3500F0" w14:textId="2AE7AB5B" w:rsidR="009E4F66" w:rsidRPr="00A06955" w:rsidRDefault="001C2887" w:rsidP="00BF2543">
            <w:pPr>
              <w:tabs>
                <w:tab w:val="decimal" w:pos="693"/>
              </w:tabs>
              <w:rPr>
                <w:color w:val="auto"/>
                <w:sz w:val="20"/>
                <w:szCs w:val="20"/>
              </w:rPr>
            </w:pPr>
            <w:r w:rsidRPr="00A06955">
              <w:rPr>
                <w:color w:val="auto"/>
                <w:sz w:val="20"/>
                <w:szCs w:val="20"/>
              </w:rPr>
              <w:t>(9</w:t>
            </w:r>
            <w:r w:rsidR="003E6188">
              <w:rPr>
                <w:color w:val="auto"/>
                <w:sz w:val="20"/>
                <w:szCs w:val="20"/>
              </w:rPr>
              <w:t>37</w:t>
            </w:r>
            <w:r w:rsidR="00E87D04">
              <w:rPr>
                <w:color w:val="auto"/>
                <w:sz w:val="20"/>
                <w:szCs w:val="20"/>
              </w:rPr>
              <w:t>.</w:t>
            </w:r>
            <w:r w:rsidR="00BF2543">
              <w:rPr>
                <w:color w:val="auto"/>
                <w:sz w:val="20"/>
                <w:szCs w:val="20"/>
              </w:rPr>
              <w:t>5</w:t>
            </w:r>
            <w:r w:rsidRPr="00A06955">
              <w:rPr>
                <w:color w:val="auto"/>
                <w:sz w:val="20"/>
                <w:szCs w:val="20"/>
              </w:rPr>
              <w:t>)</w:t>
            </w:r>
          </w:p>
        </w:tc>
        <w:tc>
          <w:tcPr>
            <w:tcW w:w="1596" w:type="dxa"/>
            <w:tcBorders>
              <w:bottom w:val="single" w:sz="4" w:space="0" w:color="auto"/>
            </w:tcBorders>
            <w:shd w:val="clear" w:color="auto" w:fill="auto"/>
            <w:vAlign w:val="bottom"/>
          </w:tcPr>
          <w:p w14:paraId="2271A92B" w14:textId="2B94EF31" w:rsidR="009E4F66" w:rsidRPr="00A06955" w:rsidRDefault="001C2887" w:rsidP="00A06955">
            <w:pPr>
              <w:tabs>
                <w:tab w:val="decimal" w:pos="895"/>
              </w:tabs>
              <w:rPr>
                <w:color w:val="auto"/>
                <w:sz w:val="20"/>
                <w:szCs w:val="20"/>
              </w:rPr>
            </w:pPr>
            <w:r w:rsidRPr="00A06955">
              <w:rPr>
                <w:color w:val="auto"/>
                <w:sz w:val="20"/>
                <w:szCs w:val="20"/>
              </w:rPr>
              <w:t>(9</w:t>
            </w:r>
            <w:r w:rsidR="003E6188">
              <w:rPr>
                <w:color w:val="auto"/>
                <w:sz w:val="20"/>
                <w:szCs w:val="20"/>
              </w:rPr>
              <w:t>3</w:t>
            </w:r>
            <w:r w:rsidR="00FF57DC">
              <w:rPr>
                <w:color w:val="auto"/>
                <w:sz w:val="20"/>
                <w:szCs w:val="20"/>
              </w:rPr>
              <w:t>7</w:t>
            </w:r>
            <w:r w:rsidR="00E87D04">
              <w:rPr>
                <w:color w:val="auto"/>
                <w:sz w:val="20"/>
                <w:szCs w:val="20"/>
              </w:rPr>
              <w:t>.</w:t>
            </w:r>
            <w:r w:rsidR="00BF2543">
              <w:rPr>
                <w:color w:val="auto"/>
                <w:sz w:val="20"/>
                <w:szCs w:val="20"/>
              </w:rPr>
              <w:t>5</w:t>
            </w:r>
            <w:r w:rsidRPr="00A06955">
              <w:rPr>
                <w:color w:val="auto"/>
                <w:sz w:val="20"/>
                <w:szCs w:val="20"/>
              </w:rPr>
              <w:t>)</w:t>
            </w:r>
          </w:p>
        </w:tc>
        <w:tc>
          <w:tcPr>
            <w:tcW w:w="1596" w:type="dxa"/>
            <w:tcBorders>
              <w:bottom w:val="single" w:sz="4" w:space="0" w:color="auto"/>
            </w:tcBorders>
            <w:shd w:val="clear" w:color="auto" w:fill="auto"/>
            <w:vAlign w:val="bottom"/>
          </w:tcPr>
          <w:p w14:paraId="7D739003" w14:textId="77777777" w:rsidR="009E4F66" w:rsidRPr="00393976" w:rsidRDefault="00EF596C" w:rsidP="00A320C3">
            <w:pPr>
              <w:tabs>
                <w:tab w:val="decimal" w:pos="799"/>
              </w:tabs>
              <w:rPr>
                <w:color w:val="auto"/>
                <w:sz w:val="20"/>
                <w:szCs w:val="20"/>
              </w:rPr>
            </w:pPr>
            <w:r w:rsidRPr="00393976">
              <w:rPr>
                <w:color w:val="auto"/>
                <w:sz w:val="20"/>
                <w:szCs w:val="20"/>
              </w:rPr>
              <w:t>-</w:t>
            </w:r>
          </w:p>
        </w:tc>
        <w:tc>
          <w:tcPr>
            <w:tcW w:w="1338" w:type="dxa"/>
            <w:tcBorders>
              <w:bottom w:val="single" w:sz="4" w:space="0" w:color="auto"/>
            </w:tcBorders>
            <w:shd w:val="clear" w:color="auto" w:fill="auto"/>
            <w:vAlign w:val="bottom"/>
          </w:tcPr>
          <w:p w14:paraId="5568C889" w14:textId="2C4E1057" w:rsidR="009E4F66" w:rsidRPr="00393976" w:rsidRDefault="00AB202F" w:rsidP="00927834">
            <w:pPr>
              <w:tabs>
                <w:tab w:val="decimal" w:pos="628"/>
              </w:tabs>
              <w:rPr>
                <w:color w:val="auto"/>
                <w:sz w:val="20"/>
                <w:szCs w:val="20"/>
              </w:rPr>
            </w:pPr>
            <w:r w:rsidRPr="00393976">
              <w:rPr>
                <w:color w:val="auto"/>
                <w:sz w:val="20"/>
                <w:szCs w:val="20"/>
              </w:rPr>
              <w:t>(</w:t>
            </w:r>
            <w:r w:rsidR="003813DE">
              <w:rPr>
                <w:color w:val="auto"/>
                <w:sz w:val="20"/>
                <w:szCs w:val="20"/>
              </w:rPr>
              <w:t>910.</w:t>
            </w:r>
            <w:r w:rsidR="00E45E0A">
              <w:rPr>
                <w:color w:val="auto"/>
                <w:sz w:val="20"/>
                <w:szCs w:val="20"/>
              </w:rPr>
              <w:t>5</w:t>
            </w:r>
            <w:r w:rsidRPr="00393976">
              <w:rPr>
                <w:color w:val="auto"/>
                <w:sz w:val="20"/>
                <w:szCs w:val="20"/>
              </w:rPr>
              <w:t>)</w:t>
            </w:r>
          </w:p>
        </w:tc>
        <w:tc>
          <w:tcPr>
            <w:tcW w:w="1596" w:type="dxa"/>
            <w:tcBorders>
              <w:bottom w:val="single" w:sz="4" w:space="0" w:color="auto"/>
              <w:right w:val="single" w:sz="4" w:space="0" w:color="auto"/>
            </w:tcBorders>
            <w:shd w:val="clear" w:color="auto" w:fill="auto"/>
            <w:vAlign w:val="bottom"/>
          </w:tcPr>
          <w:p w14:paraId="2FE21CF1" w14:textId="49D5946D" w:rsidR="009E4F66" w:rsidRPr="009157E7" w:rsidRDefault="00AB202F" w:rsidP="00DB6790">
            <w:pPr>
              <w:tabs>
                <w:tab w:val="decimal" w:pos="815"/>
              </w:tabs>
              <w:rPr>
                <w:color w:val="auto"/>
                <w:sz w:val="20"/>
                <w:szCs w:val="20"/>
              </w:rPr>
            </w:pPr>
            <w:r w:rsidRPr="009157E7">
              <w:rPr>
                <w:color w:val="auto"/>
                <w:sz w:val="20"/>
                <w:szCs w:val="20"/>
              </w:rPr>
              <w:t>(</w:t>
            </w:r>
            <w:r w:rsidR="003813DE">
              <w:rPr>
                <w:color w:val="auto"/>
                <w:sz w:val="20"/>
                <w:szCs w:val="20"/>
              </w:rPr>
              <w:t>910.</w:t>
            </w:r>
            <w:r w:rsidR="00DB6790">
              <w:rPr>
                <w:color w:val="auto"/>
                <w:sz w:val="20"/>
                <w:szCs w:val="20"/>
              </w:rPr>
              <w:t>5</w:t>
            </w:r>
            <w:r w:rsidRPr="009157E7">
              <w:rPr>
                <w:color w:val="auto"/>
                <w:sz w:val="20"/>
                <w:szCs w:val="20"/>
              </w:rPr>
              <w:t>)</w:t>
            </w:r>
          </w:p>
        </w:tc>
      </w:tr>
      <w:tr w:rsidR="009E4F66" w:rsidRPr="00F13104" w14:paraId="4D56E013" w14:textId="77777777" w:rsidTr="00D026A6">
        <w:trPr>
          <w:trHeight w:val="454"/>
        </w:trPr>
        <w:tc>
          <w:tcPr>
            <w:tcW w:w="6562" w:type="dxa"/>
            <w:tcBorders>
              <w:left w:val="single" w:sz="4" w:space="0" w:color="auto"/>
            </w:tcBorders>
            <w:shd w:val="clear" w:color="auto" w:fill="auto"/>
            <w:vAlign w:val="bottom"/>
          </w:tcPr>
          <w:p w14:paraId="29C0FC27" w14:textId="77777777" w:rsidR="009E4F66" w:rsidRPr="00747B0B" w:rsidRDefault="0043558B" w:rsidP="00F13104">
            <w:pPr>
              <w:jc w:val="left"/>
              <w:rPr>
                <w:b/>
                <w:color w:val="auto"/>
                <w:sz w:val="20"/>
                <w:szCs w:val="20"/>
                <w:highlight w:val="yellow"/>
              </w:rPr>
            </w:pPr>
            <w:r w:rsidRPr="00A06955">
              <w:rPr>
                <w:b/>
                <w:color w:val="auto"/>
                <w:sz w:val="20"/>
                <w:szCs w:val="20"/>
              </w:rPr>
              <w:t>(Surplus) or Deficit</w:t>
            </w:r>
            <w:r w:rsidR="00C91FFD" w:rsidRPr="00A06955">
              <w:rPr>
                <w:b/>
                <w:color w:val="auto"/>
                <w:sz w:val="20"/>
                <w:szCs w:val="20"/>
              </w:rPr>
              <w:t xml:space="preserve"> on Provision of Services</w:t>
            </w:r>
          </w:p>
        </w:tc>
        <w:tc>
          <w:tcPr>
            <w:tcW w:w="1595" w:type="dxa"/>
            <w:tcBorders>
              <w:top w:val="single" w:sz="4" w:space="0" w:color="auto"/>
            </w:tcBorders>
            <w:shd w:val="clear" w:color="auto" w:fill="auto"/>
            <w:vAlign w:val="bottom"/>
          </w:tcPr>
          <w:p w14:paraId="6B961FF5" w14:textId="703AE921" w:rsidR="009E4F66" w:rsidRPr="00A06955" w:rsidRDefault="00D12F0B" w:rsidP="003E6188">
            <w:pPr>
              <w:tabs>
                <w:tab w:val="decimal" w:pos="758"/>
              </w:tabs>
              <w:rPr>
                <w:b/>
                <w:color w:val="auto"/>
                <w:sz w:val="20"/>
                <w:szCs w:val="20"/>
                <w:highlight w:val="lightGray"/>
              </w:rPr>
            </w:pPr>
            <w:r w:rsidRPr="00A06955">
              <w:rPr>
                <w:b/>
                <w:color w:val="auto"/>
                <w:sz w:val="20"/>
                <w:szCs w:val="20"/>
              </w:rPr>
              <w:t>2,</w:t>
            </w:r>
            <w:r w:rsidR="003E6188">
              <w:rPr>
                <w:b/>
                <w:color w:val="auto"/>
                <w:sz w:val="20"/>
                <w:szCs w:val="20"/>
              </w:rPr>
              <w:t>263.3</w:t>
            </w:r>
          </w:p>
        </w:tc>
        <w:tc>
          <w:tcPr>
            <w:tcW w:w="1333" w:type="dxa"/>
            <w:tcBorders>
              <w:top w:val="single" w:sz="4" w:space="0" w:color="auto"/>
            </w:tcBorders>
            <w:shd w:val="clear" w:color="auto" w:fill="auto"/>
            <w:vAlign w:val="bottom"/>
          </w:tcPr>
          <w:p w14:paraId="7954F841" w14:textId="0AB431A1" w:rsidR="009E4F66" w:rsidRPr="00A06955" w:rsidRDefault="00393976" w:rsidP="00A06955">
            <w:pPr>
              <w:tabs>
                <w:tab w:val="decimal" w:pos="693"/>
              </w:tabs>
              <w:rPr>
                <w:b/>
                <w:color w:val="auto"/>
                <w:sz w:val="20"/>
                <w:szCs w:val="20"/>
                <w:highlight w:val="lightGray"/>
              </w:rPr>
            </w:pPr>
            <w:r w:rsidRPr="00A06955">
              <w:rPr>
                <w:b/>
                <w:color w:val="auto"/>
                <w:sz w:val="20"/>
                <w:szCs w:val="20"/>
              </w:rPr>
              <w:t>(2,</w:t>
            </w:r>
            <w:r w:rsidR="00E87D04">
              <w:rPr>
                <w:b/>
                <w:color w:val="auto"/>
                <w:sz w:val="20"/>
                <w:szCs w:val="20"/>
              </w:rPr>
              <w:t>31</w:t>
            </w:r>
            <w:r w:rsidR="00FF57DC">
              <w:rPr>
                <w:b/>
                <w:color w:val="auto"/>
                <w:sz w:val="20"/>
                <w:szCs w:val="20"/>
              </w:rPr>
              <w:t>1</w:t>
            </w:r>
            <w:r w:rsidR="00E87D04">
              <w:rPr>
                <w:b/>
                <w:color w:val="auto"/>
                <w:sz w:val="20"/>
                <w:szCs w:val="20"/>
              </w:rPr>
              <w:t>.</w:t>
            </w:r>
            <w:r w:rsidR="00BA2DD1">
              <w:rPr>
                <w:b/>
                <w:color w:val="auto"/>
                <w:sz w:val="20"/>
                <w:szCs w:val="20"/>
              </w:rPr>
              <w:t>9</w:t>
            </w:r>
            <w:r w:rsidR="00D12F0B" w:rsidRPr="00A06955">
              <w:rPr>
                <w:b/>
                <w:color w:val="auto"/>
                <w:sz w:val="20"/>
                <w:szCs w:val="20"/>
              </w:rPr>
              <w:t>)</w:t>
            </w:r>
          </w:p>
        </w:tc>
        <w:tc>
          <w:tcPr>
            <w:tcW w:w="1596" w:type="dxa"/>
            <w:tcBorders>
              <w:top w:val="single" w:sz="4" w:space="0" w:color="auto"/>
            </w:tcBorders>
            <w:shd w:val="clear" w:color="auto" w:fill="auto"/>
            <w:vAlign w:val="bottom"/>
          </w:tcPr>
          <w:p w14:paraId="4BC4D85D" w14:textId="09B20A39" w:rsidR="009E4F66" w:rsidRPr="00A06955" w:rsidRDefault="00D12F0B">
            <w:pPr>
              <w:tabs>
                <w:tab w:val="decimal" w:pos="895"/>
              </w:tabs>
              <w:rPr>
                <w:b/>
                <w:color w:val="auto"/>
                <w:sz w:val="20"/>
                <w:szCs w:val="20"/>
              </w:rPr>
            </w:pPr>
            <w:r w:rsidRPr="00A06955">
              <w:rPr>
                <w:b/>
                <w:color w:val="auto"/>
                <w:sz w:val="20"/>
                <w:szCs w:val="20"/>
              </w:rPr>
              <w:t>(</w:t>
            </w:r>
            <w:r w:rsidR="003E6188">
              <w:rPr>
                <w:b/>
                <w:color w:val="auto"/>
                <w:sz w:val="20"/>
                <w:szCs w:val="20"/>
              </w:rPr>
              <w:t>48.6</w:t>
            </w:r>
            <w:r w:rsidRPr="00A06955">
              <w:rPr>
                <w:b/>
                <w:color w:val="auto"/>
                <w:sz w:val="20"/>
                <w:szCs w:val="20"/>
              </w:rPr>
              <w:t>)</w:t>
            </w:r>
          </w:p>
        </w:tc>
        <w:tc>
          <w:tcPr>
            <w:tcW w:w="1596" w:type="dxa"/>
            <w:tcBorders>
              <w:top w:val="single" w:sz="4" w:space="0" w:color="auto"/>
            </w:tcBorders>
            <w:shd w:val="clear" w:color="auto" w:fill="auto"/>
            <w:vAlign w:val="bottom"/>
          </w:tcPr>
          <w:p w14:paraId="59AD4046" w14:textId="6375D1AE" w:rsidR="009E4F66" w:rsidRPr="00A06955" w:rsidRDefault="00EF596C" w:rsidP="00393976">
            <w:pPr>
              <w:tabs>
                <w:tab w:val="decimal" w:pos="799"/>
              </w:tabs>
              <w:rPr>
                <w:b/>
                <w:color w:val="auto"/>
                <w:sz w:val="20"/>
                <w:szCs w:val="20"/>
                <w:highlight w:val="cyan"/>
              </w:rPr>
            </w:pPr>
            <w:r w:rsidRPr="00393976">
              <w:rPr>
                <w:b/>
                <w:color w:val="auto"/>
                <w:sz w:val="20"/>
                <w:szCs w:val="20"/>
              </w:rPr>
              <w:t>2,22</w:t>
            </w:r>
            <w:r w:rsidR="00895575">
              <w:rPr>
                <w:b/>
                <w:color w:val="auto"/>
                <w:sz w:val="20"/>
                <w:szCs w:val="20"/>
              </w:rPr>
              <w:t>6</w:t>
            </w:r>
            <w:r w:rsidRPr="00393976">
              <w:rPr>
                <w:b/>
                <w:color w:val="auto"/>
                <w:sz w:val="20"/>
                <w:szCs w:val="20"/>
              </w:rPr>
              <w:t>.5</w:t>
            </w:r>
          </w:p>
        </w:tc>
        <w:tc>
          <w:tcPr>
            <w:tcW w:w="1338" w:type="dxa"/>
            <w:tcBorders>
              <w:top w:val="single" w:sz="4" w:space="0" w:color="auto"/>
            </w:tcBorders>
            <w:shd w:val="clear" w:color="auto" w:fill="auto"/>
            <w:vAlign w:val="bottom"/>
          </w:tcPr>
          <w:p w14:paraId="6687AB1F" w14:textId="419391DE" w:rsidR="009E4F66" w:rsidRPr="00393976" w:rsidRDefault="00AB202F" w:rsidP="00393976">
            <w:pPr>
              <w:tabs>
                <w:tab w:val="decimal" w:pos="628"/>
              </w:tabs>
              <w:rPr>
                <w:b/>
                <w:color w:val="auto"/>
                <w:sz w:val="20"/>
                <w:szCs w:val="20"/>
              </w:rPr>
            </w:pPr>
            <w:r w:rsidRPr="00393976">
              <w:rPr>
                <w:b/>
                <w:color w:val="auto"/>
                <w:sz w:val="20"/>
                <w:szCs w:val="20"/>
              </w:rPr>
              <w:t>(2,20</w:t>
            </w:r>
            <w:r w:rsidR="00895575">
              <w:rPr>
                <w:b/>
                <w:color w:val="auto"/>
                <w:sz w:val="20"/>
                <w:szCs w:val="20"/>
              </w:rPr>
              <w:t>6</w:t>
            </w:r>
            <w:r w:rsidRPr="00393976">
              <w:rPr>
                <w:b/>
                <w:color w:val="auto"/>
                <w:sz w:val="20"/>
                <w:szCs w:val="20"/>
              </w:rPr>
              <w:t>.6)</w:t>
            </w:r>
          </w:p>
        </w:tc>
        <w:tc>
          <w:tcPr>
            <w:tcW w:w="1596" w:type="dxa"/>
            <w:tcBorders>
              <w:top w:val="single" w:sz="4" w:space="0" w:color="auto"/>
              <w:right w:val="single" w:sz="4" w:space="0" w:color="auto"/>
            </w:tcBorders>
            <w:shd w:val="clear" w:color="auto" w:fill="auto"/>
            <w:vAlign w:val="bottom"/>
          </w:tcPr>
          <w:p w14:paraId="7DBCC177" w14:textId="77777777" w:rsidR="009E4F66" w:rsidRPr="009157E7" w:rsidRDefault="00AB202F" w:rsidP="00A320C3">
            <w:pPr>
              <w:tabs>
                <w:tab w:val="decimal" w:pos="815"/>
              </w:tabs>
              <w:rPr>
                <w:b/>
                <w:color w:val="auto"/>
                <w:sz w:val="20"/>
                <w:szCs w:val="20"/>
              </w:rPr>
            </w:pPr>
            <w:r w:rsidRPr="009157E7">
              <w:rPr>
                <w:b/>
                <w:color w:val="auto"/>
                <w:sz w:val="20"/>
                <w:szCs w:val="20"/>
              </w:rPr>
              <w:t>19.9</w:t>
            </w:r>
          </w:p>
        </w:tc>
      </w:tr>
      <w:tr w:rsidR="009E4F66" w:rsidRPr="00F13104" w14:paraId="21E4BC9F" w14:textId="77777777" w:rsidTr="00D026A6">
        <w:trPr>
          <w:trHeight w:val="454"/>
        </w:trPr>
        <w:tc>
          <w:tcPr>
            <w:tcW w:w="6562" w:type="dxa"/>
            <w:tcBorders>
              <w:left w:val="single" w:sz="4" w:space="0" w:color="auto"/>
            </w:tcBorders>
            <w:shd w:val="clear" w:color="auto" w:fill="auto"/>
            <w:vAlign w:val="bottom"/>
          </w:tcPr>
          <w:p w14:paraId="18DF1DD5" w14:textId="77777777" w:rsidR="009E4F66" w:rsidRPr="00747B0B" w:rsidRDefault="00EF596C" w:rsidP="00F13104">
            <w:pPr>
              <w:jc w:val="left"/>
              <w:rPr>
                <w:b/>
                <w:color w:val="auto"/>
                <w:sz w:val="20"/>
                <w:szCs w:val="20"/>
                <w:highlight w:val="yellow"/>
              </w:rPr>
            </w:pPr>
            <w:r w:rsidRPr="00A06955">
              <w:rPr>
                <w:b/>
                <w:color w:val="auto"/>
                <w:sz w:val="20"/>
                <w:szCs w:val="20"/>
              </w:rPr>
              <w:lastRenderedPageBreak/>
              <w:t>Items that will not be reclassified to the (Surplus) or Deficit on the Provision of Services</w:t>
            </w:r>
          </w:p>
        </w:tc>
        <w:tc>
          <w:tcPr>
            <w:tcW w:w="1595" w:type="dxa"/>
            <w:shd w:val="clear" w:color="auto" w:fill="auto"/>
            <w:vAlign w:val="bottom"/>
          </w:tcPr>
          <w:p w14:paraId="4288418E" w14:textId="77777777" w:rsidR="009E4F66" w:rsidRPr="00747B0B" w:rsidRDefault="009E4F66" w:rsidP="00A320C3">
            <w:pPr>
              <w:tabs>
                <w:tab w:val="decimal" w:pos="758"/>
              </w:tabs>
              <w:rPr>
                <w:b/>
                <w:color w:val="auto"/>
                <w:sz w:val="20"/>
                <w:szCs w:val="20"/>
                <w:highlight w:val="yellow"/>
              </w:rPr>
            </w:pPr>
          </w:p>
        </w:tc>
        <w:tc>
          <w:tcPr>
            <w:tcW w:w="1333" w:type="dxa"/>
            <w:shd w:val="clear" w:color="auto" w:fill="auto"/>
            <w:vAlign w:val="bottom"/>
          </w:tcPr>
          <w:p w14:paraId="0047C1E0" w14:textId="77777777" w:rsidR="009E4F66" w:rsidRPr="00747B0B" w:rsidRDefault="009E4F66" w:rsidP="00A320C3">
            <w:pPr>
              <w:tabs>
                <w:tab w:val="decimal" w:pos="693"/>
              </w:tabs>
              <w:rPr>
                <w:b/>
                <w:color w:val="auto"/>
                <w:sz w:val="20"/>
                <w:szCs w:val="20"/>
                <w:highlight w:val="yellow"/>
              </w:rPr>
            </w:pPr>
          </w:p>
        </w:tc>
        <w:tc>
          <w:tcPr>
            <w:tcW w:w="1596" w:type="dxa"/>
            <w:shd w:val="clear" w:color="auto" w:fill="auto"/>
            <w:vAlign w:val="bottom"/>
          </w:tcPr>
          <w:p w14:paraId="5BE56752" w14:textId="77777777" w:rsidR="009E4F66" w:rsidRPr="00747B0B" w:rsidRDefault="009E4F66" w:rsidP="00A320C3">
            <w:pPr>
              <w:tabs>
                <w:tab w:val="decimal" w:pos="895"/>
              </w:tabs>
              <w:rPr>
                <w:b/>
                <w:color w:val="auto"/>
                <w:sz w:val="20"/>
                <w:szCs w:val="20"/>
                <w:highlight w:val="yellow"/>
              </w:rPr>
            </w:pPr>
          </w:p>
        </w:tc>
        <w:tc>
          <w:tcPr>
            <w:tcW w:w="1596" w:type="dxa"/>
            <w:shd w:val="clear" w:color="auto" w:fill="auto"/>
            <w:vAlign w:val="bottom"/>
          </w:tcPr>
          <w:p w14:paraId="0AB9906E" w14:textId="77777777" w:rsidR="009E4F66" w:rsidRPr="00F13104" w:rsidRDefault="009E4F66" w:rsidP="00A320C3">
            <w:pPr>
              <w:tabs>
                <w:tab w:val="decimal" w:pos="799"/>
              </w:tabs>
              <w:rPr>
                <w:b/>
                <w:color w:val="auto"/>
                <w:sz w:val="20"/>
                <w:szCs w:val="20"/>
              </w:rPr>
            </w:pPr>
          </w:p>
        </w:tc>
        <w:tc>
          <w:tcPr>
            <w:tcW w:w="1338" w:type="dxa"/>
            <w:shd w:val="clear" w:color="auto" w:fill="auto"/>
            <w:vAlign w:val="bottom"/>
          </w:tcPr>
          <w:p w14:paraId="0BE69372" w14:textId="77777777" w:rsidR="009E4F66" w:rsidRPr="00F13104" w:rsidRDefault="009E4F66" w:rsidP="00A320C3">
            <w:pPr>
              <w:tabs>
                <w:tab w:val="decimal" w:pos="628"/>
              </w:tabs>
              <w:rPr>
                <w:b/>
                <w:color w:val="auto"/>
                <w:sz w:val="20"/>
                <w:szCs w:val="20"/>
              </w:rPr>
            </w:pPr>
          </w:p>
        </w:tc>
        <w:tc>
          <w:tcPr>
            <w:tcW w:w="1596" w:type="dxa"/>
            <w:tcBorders>
              <w:right w:val="single" w:sz="4" w:space="0" w:color="auto"/>
            </w:tcBorders>
            <w:shd w:val="clear" w:color="auto" w:fill="auto"/>
            <w:vAlign w:val="bottom"/>
          </w:tcPr>
          <w:p w14:paraId="27B33AD5" w14:textId="77777777" w:rsidR="009E4F66" w:rsidRPr="00F13104" w:rsidRDefault="009E4F66" w:rsidP="00A320C3">
            <w:pPr>
              <w:tabs>
                <w:tab w:val="decimal" w:pos="815"/>
              </w:tabs>
              <w:rPr>
                <w:b/>
                <w:color w:val="auto"/>
                <w:sz w:val="20"/>
                <w:szCs w:val="20"/>
              </w:rPr>
            </w:pPr>
          </w:p>
        </w:tc>
      </w:tr>
      <w:tr w:rsidR="009E4F66" w:rsidRPr="00F13104" w14:paraId="14791E4F" w14:textId="77777777" w:rsidTr="00D026A6">
        <w:trPr>
          <w:trHeight w:val="454"/>
        </w:trPr>
        <w:tc>
          <w:tcPr>
            <w:tcW w:w="6562" w:type="dxa"/>
            <w:tcBorders>
              <w:left w:val="single" w:sz="4" w:space="0" w:color="auto"/>
            </w:tcBorders>
            <w:shd w:val="clear" w:color="auto" w:fill="auto"/>
            <w:vAlign w:val="bottom"/>
          </w:tcPr>
          <w:p w14:paraId="5F24DEED" w14:textId="6AA67DBC" w:rsidR="009E4F66" w:rsidRPr="00A06955" w:rsidRDefault="00D3460F" w:rsidP="000A0396">
            <w:pPr>
              <w:jc w:val="left"/>
              <w:rPr>
                <w:color w:val="auto"/>
                <w:sz w:val="20"/>
                <w:szCs w:val="20"/>
              </w:rPr>
            </w:pPr>
            <w:r>
              <w:rPr>
                <w:color w:val="auto"/>
                <w:sz w:val="20"/>
                <w:szCs w:val="20"/>
              </w:rPr>
              <w:t>(</w:t>
            </w:r>
            <w:r w:rsidR="00EF596C" w:rsidRPr="00A06955">
              <w:rPr>
                <w:color w:val="auto"/>
                <w:sz w:val="20"/>
                <w:szCs w:val="20"/>
              </w:rPr>
              <w:t>Surplus</w:t>
            </w:r>
            <w:r>
              <w:rPr>
                <w:color w:val="auto"/>
                <w:sz w:val="20"/>
                <w:szCs w:val="20"/>
              </w:rPr>
              <w:t>)</w:t>
            </w:r>
            <w:r w:rsidR="00EF596C" w:rsidRPr="00A06955">
              <w:rPr>
                <w:color w:val="auto"/>
                <w:sz w:val="20"/>
                <w:szCs w:val="20"/>
              </w:rPr>
              <w:t xml:space="preserve"> or deficit on revaluation of </w:t>
            </w:r>
            <w:r w:rsidR="00B3034E" w:rsidRPr="00A06955">
              <w:rPr>
                <w:color w:val="auto"/>
                <w:sz w:val="20"/>
                <w:szCs w:val="20"/>
              </w:rPr>
              <w:t>Property, Plant and Equ</w:t>
            </w:r>
            <w:r w:rsidR="002B2843" w:rsidRPr="00A06955">
              <w:rPr>
                <w:color w:val="auto"/>
                <w:sz w:val="20"/>
                <w:szCs w:val="20"/>
              </w:rPr>
              <w:t>ipment</w:t>
            </w:r>
            <w:r w:rsidR="00EF596C" w:rsidRPr="00A06955">
              <w:rPr>
                <w:color w:val="auto"/>
                <w:sz w:val="20"/>
                <w:szCs w:val="20"/>
              </w:rPr>
              <w:t xml:space="preserve"> assets (note 3</w:t>
            </w:r>
            <w:r w:rsidR="000A0396">
              <w:rPr>
                <w:color w:val="auto"/>
                <w:sz w:val="20"/>
                <w:szCs w:val="20"/>
              </w:rPr>
              <w:t>2</w:t>
            </w:r>
            <w:r w:rsidR="00EF596C" w:rsidRPr="00A06955">
              <w:rPr>
                <w:color w:val="auto"/>
                <w:sz w:val="20"/>
                <w:szCs w:val="20"/>
              </w:rPr>
              <w:t>)</w:t>
            </w:r>
          </w:p>
        </w:tc>
        <w:tc>
          <w:tcPr>
            <w:tcW w:w="1595" w:type="dxa"/>
            <w:shd w:val="clear" w:color="auto" w:fill="auto"/>
            <w:vAlign w:val="bottom"/>
          </w:tcPr>
          <w:p w14:paraId="248908A9" w14:textId="6B01A7E5" w:rsidR="009E4F66" w:rsidRPr="00747B0B" w:rsidRDefault="009E4F66" w:rsidP="00A320C3">
            <w:pPr>
              <w:tabs>
                <w:tab w:val="decimal" w:pos="758"/>
              </w:tabs>
              <w:rPr>
                <w:color w:val="auto"/>
                <w:sz w:val="20"/>
                <w:szCs w:val="20"/>
                <w:highlight w:val="yellow"/>
              </w:rPr>
            </w:pPr>
          </w:p>
        </w:tc>
        <w:tc>
          <w:tcPr>
            <w:tcW w:w="1333" w:type="dxa"/>
            <w:shd w:val="clear" w:color="auto" w:fill="auto"/>
            <w:vAlign w:val="bottom"/>
          </w:tcPr>
          <w:p w14:paraId="381DF7B6" w14:textId="77777777" w:rsidR="009E4F66" w:rsidRPr="00747B0B" w:rsidRDefault="009E4F66" w:rsidP="00A320C3">
            <w:pPr>
              <w:tabs>
                <w:tab w:val="decimal" w:pos="693"/>
              </w:tabs>
              <w:rPr>
                <w:color w:val="auto"/>
                <w:sz w:val="20"/>
                <w:szCs w:val="20"/>
                <w:highlight w:val="yellow"/>
              </w:rPr>
            </w:pPr>
          </w:p>
        </w:tc>
        <w:tc>
          <w:tcPr>
            <w:tcW w:w="1596" w:type="dxa"/>
            <w:shd w:val="clear" w:color="auto" w:fill="auto"/>
            <w:vAlign w:val="bottom"/>
          </w:tcPr>
          <w:p w14:paraId="70B4E36C" w14:textId="0D6D4AC2" w:rsidR="009E4F66" w:rsidRPr="00A06955" w:rsidRDefault="00D12F0B" w:rsidP="00383EFD">
            <w:pPr>
              <w:tabs>
                <w:tab w:val="decimal" w:pos="895"/>
              </w:tabs>
              <w:rPr>
                <w:color w:val="auto"/>
                <w:sz w:val="20"/>
                <w:szCs w:val="20"/>
              </w:rPr>
            </w:pPr>
            <w:r w:rsidRPr="00A06955">
              <w:rPr>
                <w:color w:val="auto"/>
                <w:sz w:val="20"/>
                <w:szCs w:val="20"/>
              </w:rPr>
              <w:t>(</w:t>
            </w:r>
            <w:r w:rsidR="005F7CD3" w:rsidRPr="00A06955">
              <w:rPr>
                <w:color w:val="auto"/>
                <w:sz w:val="20"/>
                <w:szCs w:val="20"/>
              </w:rPr>
              <w:t>20.</w:t>
            </w:r>
            <w:r w:rsidR="00383EFD">
              <w:rPr>
                <w:color w:val="auto"/>
                <w:sz w:val="20"/>
                <w:szCs w:val="20"/>
              </w:rPr>
              <w:t>5</w:t>
            </w:r>
            <w:r w:rsidRPr="00A06955">
              <w:rPr>
                <w:color w:val="auto"/>
                <w:sz w:val="20"/>
                <w:szCs w:val="20"/>
              </w:rPr>
              <w:t>)</w:t>
            </w:r>
          </w:p>
        </w:tc>
        <w:tc>
          <w:tcPr>
            <w:tcW w:w="1596" w:type="dxa"/>
            <w:shd w:val="clear" w:color="auto" w:fill="auto"/>
            <w:vAlign w:val="bottom"/>
          </w:tcPr>
          <w:p w14:paraId="66858C0F" w14:textId="77777777" w:rsidR="009E4F66" w:rsidRPr="00F13104" w:rsidRDefault="009E4F66" w:rsidP="00A320C3">
            <w:pPr>
              <w:tabs>
                <w:tab w:val="decimal" w:pos="799"/>
              </w:tabs>
              <w:rPr>
                <w:color w:val="auto"/>
                <w:sz w:val="20"/>
                <w:szCs w:val="20"/>
              </w:rPr>
            </w:pPr>
          </w:p>
        </w:tc>
        <w:tc>
          <w:tcPr>
            <w:tcW w:w="1338" w:type="dxa"/>
            <w:shd w:val="clear" w:color="auto" w:fill="auto"/>
            <w:vAlign w:val="bottom"/>
          </w:tcPr>
          <w:p w14:paraId="2C5B15F5" w14:textId="77777777" w:rsidR="009E4F66" w:rsidRPr="00F13104" w:rsidRDefault="009E4F66" w:rsidP="00A320C3">
            <w:pPr>
              <w:tabs>
                <w:tab w:val="decimal" w:pos="628"/>
              </w:tabs>
              <w:rPr>
                <w:color w:val="auto"/>
                <w:sz w:val="20"/>
                <w:szCs w:val="20"/>
              </w:rPr>
            </w:pPr>
          </w:p>
        </w:tc>
        <w:tc>
          <w:tcPr>
            <w:tcW w:w="1596" w:type="dxa"/>
            <w:tcBorders>
              <w:right w:val="single" w:sz="4" w:space="0" w:color="auto"/>
            </w:tcBorders>
            <w:shd w:val="clear" w:color="auto" w:fill="auto"/>
            <w:vAlign w:val="bottom"/>
          </w:tcPr>
          <w:p w14:paraId="3D66312B" w14:textId="77777777" w:rsidR="009E4F66" w:rsidRPr="00F13104" w:rsidRDefault="00AB202F" w:rsidP="00A320C3">
            <w:pPr>
              <w:tabs>
                <w:tab w:val="decimal" w:pos="815"/>
              </w:tabs>
              <w:rPr>
                <w:color w:val="auto"/>
                <w:sz w:val="20"/>
                <w:szCs w:val="20"/>
              </w:rPr>
            </w:pPr>
            <w:r w:rsidRPr="00F13104">
              <w:rPr>
                <w:color w:val="auto"/>
                <w:sz w:val="20"/>
                <w:szCs w:val="20"/>
              </w:rPr>
              <w:t>(14.7)</w:t>
            </w:r>
          </w:p>
        </w:tc>
      </w:tr>
      <w:tr w:rsidR="009E4F66" w:rsidRPr="00F13104" w14:paraId="1BF93D63" w14:textId="77777777" w:rsidTr="00D026A6">
        <w:trPr>
          <w:trHeight w:val="454"/>
        </w:trPr>
        <w:tc>
          <w:tcPr>
            <w:tcW w:w="6562" w:type="dxa"/>
            <w:tcBorders>
              <w:left w:val="single" w:sz="4" w:space="0" w:color="auto"/>
            </w:tcBorders>
            <w:shd w:val="clear" w:color="auto" w:fill="auto"/>
            <w:vAlign w:val="bottom"/>
          </w:tcPr>
          <w:p w14:paraId="058C6E75" w14:textId="0A296E70" w:rsidR="009E4F66" w:rsidRPr="00A06955" w:rsidRDefault="003338D2" w:rsidP="000A0396">
            <w:pPr>
              <w:jc w:val="left"/>
              <w:rPr>
                <w:color w:val="auto"/>
                <w:sz w:val="20"/>
                <w:szCs w:val="20"/>
              </w:rPr>
            </w:pPr>
            <w:r w:rsidRPr="008D0533">
              <w:rPr>
                <w:color w:val="auto"/>
                <w:sz w:val="20"/>
                <w:szCs w:val="20"/>
              </w:rPr>
              <w:t>Re-measurements of the net defined benefit liability/(asset)</w:t>
            </w:r>
            <w:r w:rsidRPr="00A06955" w:rsidDel="003338D2">
              <w:rPr>
                <w:color w:val="auto"/>
                <w:sz w:val="20"/>
                <w:szCs w:val="20"/>
              </w:rPr>
              <w:t xml:space="preserve"> </w:t>
            </w:r>
            <w:r w:rsidR="00EF596C" w:rsidRPr="00E957DA">
              <w:rPr>
                <w:color w:val="auto"/>
                <w:sz w:val="20"/>
                <w:szCs w:val="20"/>
              </w:rPr>
              <w:t>(note</w:t>
            </w:r>
            <w:r w:rsidR="00B80B3B">
              <w:rPr>
                <w:color w:val="auto"/>
                <w:sz w:val="20"/>
                <w:szCs w:val="20"/>
              </w:rPr>
              <w:t xml:space="preserve"> </w:t>
            </w:r>
            <w:r w:rsidR="00EF596C" w:rsidRPr="00E957DA">
              <w:rPr>
                <w:color w:val="auto"/>
                <w:sz w:val="20"/>
                <w:szCs w:val="20"/>
              </w:rPr>
              <w:t>3</w:t>
            </w:r>
            <w:r w:rsidR="000A0396">
              <w:rPr>
                <w:color w:val="auto"/>
                <w:sz w:val="20"/>
                <w:szCs w:val="20"/>
              </w:rPr>
              <w:t>2</w:t>
            </w:r>
            <w:r w:rsidR="00EF596C" w:rsidRPr="00E957DA">
              <w:rPr>
                <w:color w:val="auto"/>
                <w:sz w:val="20"/>
                <w:szCs w:val="20"/>
              </w:rPr>
              <w:t>)</w:t>
            </w:r>
          </w:p>
        </w:tc>
        <w:tc>
          <w:tcPr>
            <w:tcW w:w="1595" w:type="dxa"/>
            <w:shd w:val="clear" w:color="auto" w:fill="auto"/>
            <w:vAlign w:val="bottom"/>
          </w:tcPr>
          <w:p w14:paraId="777622FE" w14:textId="77777777" w:rsidR="009E4F66" w:rsidRPr="00747B0B" w:rsidRDefault="009E4F66" w:rsidP="00A320C3">
            <w:pPr>
              <w:tabs>
                <w:tab w:val="decimal" w:pos="758"/>
              </w:tabs>
              <w:rPr>
                <w:color w:val="auto"/>
                <w:sz w:val="20"/>
                <w:szCs w:val="20"/>
                <w:highlight w:val="yellow"/>
              </w:rPr>
            </w:pPr>
          </w:p>
        </w:tc>
        <w:tc>
          <w:tcPr>
            <w:tcW w:w="1333" w:type="dxa"/>
            <w:shd w:val="clear" w:color="auto" w:fill="auto"/>
            <w:vAlign w:val="bottom"/>
          </w:tcPr>
          <w:p w14:paraId="0A2955B9" w14:textId="77777777" w:rsidR="009E4F66" w:rsidRPr="00747B0B" w:rsidRDefault="009E4F66" w:rsidP="00A320C3">
            <w:pPr>
              <w:tabs>
                <w:tab w:val="decimal" w:pos="693"/>
              </w:tabs>
              <w:rPr>
                <w:color w:val="auto"/>
                <w:sz w:val="20"/>
                <w:szCs w:val="20"/>
                <w:highlight w:val="yellow"/>
              </w:rPr>
            </w:pPr>
          </w:p>
        </w:tc>
        <w:tc>
          <w:tcPr>
            <w:tcW w:w="1596" w:type="dxa"/>
            <w:shd w:val="clear" w:color="auto" w:fill="auto"/>
            <w:vAlign w:val="bottom"/>
          </w:tcPr>
          <w:p w14:paraId="6ECA5FF6" w14:textId="55037FB6" w:rsidR="009E4F66" w:rsidRPr="00A06955" w:rsidRDefault="005F7CD3" w:rsidP="00A372F6">
            <w:pPr>
              <w:tabs>
                <w:tab w:val="decimal" w:pos="895"/>
              </w:tabs>
              <w:rPr>
                <w:color w:val="auto"/>
                <w:sz w:val="20"/>
                <w:szCs w:val="20"/>
              </w:rPr>
            </w:pPr>
            <w:r w:rsidRPr="00A06955">
              <w:rPr>
                <w:color w:val="auto"/>
                <w:sz w:val="20"/>
                <w:szCs w:val="20"/>
              </w:rPr>
              <w:t>301.</w:t>
            </w:r>
            <w:r w:rsidR="0075556B">
              <w:rPr>
                <w:color w:val="auto"/>
                <w:sz w:val="20"/>
                <w:szCs w:val="20"/>
              </w:rPr>
              <w:t>9</w:t>
            </w:r>
          </w:p>
        </w:tc>
        <w:tc>
          <w:tcPr>
            <w:tcW w:w="1596" w:type="dxa"/>
            <w:shd w:val="clear" w:color="auto" w:fill="auto"/>
            <w:vAlign w:val="bottom"/>
          </w:tcPr>
          <w:p w14:paraId="64D064B0" w14:textId="77777777" w:rsidR="009E4F66" w:rsidRPr="00F13104" w:rsidRDefault="009E4F66" w:rsidP="00A320C3">
            <w:pPr>
              <w:tabs>
                <w:tab w:val="decimal" w:pos="799"/>
              </w:tabs>
              <w:rPr>
                <w:color w:val="auto"/>
                <w:sz w:val="20"/>
                <w:szCs w:val="20"/>
              </w:rPr>
            </w:pPr>
          </w:p>
        </w:tc>
        <w:tc>
          <w:tcPr>
            <w:tcW w:w="1338" w:type="dxa"/>
            <w:shd w:val="clear" w:color="auto" w:fill="auto"/>
            <w:vAlign w:val="bottom"/>
          </w:tcPr>
          <w:p w14:paraId="29B3ABC0" w14:textId="77777777" w:rsidR="009E4F66" w:rsidRPr="00F13104" w:rsidRDefault="009E4F66" w:rsidP="00A320C3">
            <w:pPr>
              <w:tabs>
                <w:tab w:val="decimal" w:pos="628"/>
              </w:tabs>
              <w:rPr>
                <w:color w:val="auto"/>
                <w:sz w:val="20"/>
                <w:szCs w:val="20"/>
              </w:rPr>
            </w:pPr>
          </w:p>
        </w:tc>
        <w:tc>
          <w:tcPr>
            <w:tcW w:w="1596" w:type="dxa"/>
            <w:tcBorders>
              <w:right w:val="single" w:sz="4" w:space="0" w:color="auto"/>
            </w:tcBorders>
            <w:shd w:val="clear" w:color="auto" w:fill="auto"/>
            <w:vAlign w:val="bottom"/>
          </w:tcPr>
          <w:p w14:paraId="6CD0A93B" w14:textId="77777777" w:rsidR="009E4F66" w:rsidRPr="00F13104" w:rsidRDefault="00AB202F" w:rsidP="00A320C3">
            <w:pPr>
              <w:tabs>
                <w:tab w:val="decimal" w:pos="815"/>
              </w:tabs>
              <w:rPr>
                <w:color w:val="auto"/>
                <w:sz w:val="20"/>
                <w:szCs w:val="20"/>
              </w:rPr>
            </w:pPr>
            <w:r w:rsidRPr="00F13104">
              <w:rPr>
                <w:color w:val="auto"/>
                <w:sz w:val="20"/>
                <w:szCs w:val="20"/>
              </w:rPr>
              <w:t>(273.8)</w:t>
            </w:r>
          </w:p>
        </w:tc>
      </w:tr>
      <w:tr w:rsidR="009E4F66" w:rsidRPr="00F13104" w14:paraId="614F15D6" w14:textId="77777777" w:rsidTr="00D026A6">
        <w:trPr>
          <w:trHeight w:val="454"/>
        </w:trPr>
        <w:tc>
          <w:tcPr>
            <w:tcW w:w="6562" w:type="dxa"/>
            <w:tcBorders>
              <w:left w:val="single" w:sz="4" w:space="0" w:color="auto"/>
            </w:tcBorders>
            <w:shd w:val="clear" w:color="auto" w:fill="auto"/>
            <w:vAlign w:val="bottom"/>
          </w:tcPr>
          <w:p w14:paraId="43B4C9AB" w14:textId="77777777" w:rsidR="009E4F66" w:rsidRPr="00A06955" w:rsidRDefault="00EF596C" w:rsidP="00F13104">
            <w:pPr>
              <w:jc w:val="left"/>
              <w:rPr>
                <w:color w:val="auto"/>
                <w:sz w:val="20"/>
                <w:szCs w:val="20"/>
              </w:rPr>
            </w:pPr>
            <w:r w:rsidRPr="00A06955">
              <w:rPr>
                <w:color w:val="auto"/>
                <w:sz w:val="20"/>
                <w:szCs w:val="20"/>
              </w:rPr>
              <w:t>Other Adjustments</w:t>
            </w:r>
          </w:p>
        </w:tc>
        <w:tc>
          <w:tcPr>
            <w:tcW w:w="1595" w:type="dxa"/>
            <w:shd w:val="clear" w:color="auto" w:fill="auto"/>
            <w:vAlign w:val="bottom"/>
          </w:tcPr>
          <w:p w14:paraId="09A982A3" w14:textId="77777777" w:rsidR="009E4F66" w:rsidRPr="00747B0B" w:rsidRDefault="009E4F66" w:rsidP="00A320C3">
            <w:pPr>
              <w:tabs>
                <w:tab w:val="decimal" w:pos="758"/>
              </w:tabs>
              <w:rPr>
                <w:color w:val="auto"/>
                <w:sz w:val="20"/>
                <w:szCs w:val="20"/>
                <w:highlight w:val="yellow"/>
              </w:rPr>
            </w:pPr>
          </w:p>
        </w:tc>
        <w:tc>
          <w:tcPr>
            <w:tcW w:w="1333" w:type="dxa"/>
            <w:shd w:val="clear" w:color="auto" w:fill="auto"/>
            <w:vAlign w:val="bottom"/>
          </w:tcPr>
          <w:p w14:paraId="47054EB4" w14:textId="77777777" w:rsidR="009E4F66" w:rsidRPr="00747B0B" w:rsidRDefault="009E4F66" w:rsidP="00A320C3">
            <w:pPr>
              <w:tabs>
                <w:tab w:val="decimal" w:pos="693"/>
              </w:tabs>
              <w:rPr>
                <w:color w:val="auto"/>
                <w:sz w:val="20"/>
                <w:szCs w:val="20"/>
                <w:highlight w:val="yellow"/>
              </w:rPr>
            </w:pPr>
          </w:p>
        </w:tc>
        <w:tc>
          <w:tcPr>
            <w:tcW w:w="1596" w:type="dxa"/>
            <w:shd w:val="clear" w:color="auto" w:fill="auto"/>
            <w:vAlign w:val="bottom"/>
          </w:tcPr>
          <w:p w14:paraId="31A91EAA" w14:textId="727E8498" w:rsidR="009E4F66" w:rsidRPr="00A06955" w:rsidRDefault="00697D15" w:rsidP="00BD7307">
            <w:pPr>
              <w:tabs>
                <w:tab w:val="decimal" w:pos="895"/>
              </w:tabs>
              <w:rPr>
                <w:color w:val="auto"/>
                <w:sz w:val="20"/>
                <w:szCs w:val="20"/>
              </w:rPr>
            </w:pPr>
            <w:r>
              <w:rPr>
                <w:color w:val="auto"/>
                <w:sz w:val="20"/>
                <w:szCs w:val="20"/>
              </w:rPr>
              <w:t>5.</w:t>
            </w:r>
            <w:r w:rsidR="00BD7307">
              <w:rPr>
                <w:color w:val="auto"/>
                <w:sz w:val="20"/>
                <w:szCs w:val="20"/>
              </w:rPr>
              <w:t>1</w:t>
            </w:r>
          </w:p>
        </w:tc>
        <w:tc>
          <w:tcPr>
            <w:tcW w:w="1596" w:type="dxa"/>
            <w:shd w:val="clear" w:color="auto" w:fill="auto"/>
            <w:vAlign w:val="bottom"/>
          </w:tcPr>
          <w:p w14:paraId="400A4057" w14:textId="77777777" w:rsidR="009E4F66" w:rsidRPr="00F13104" w:rsidRDefault="009E4F66" w:rsidP="00A320C3">
            <w:pPr>
              <w:tabs>
                <w:tab w:val="decimal" w:pos="799"/>
              </w:tabs>
              <w:rPr>
                <w:color w:val="auto"/>
                <w:sz w:val="20"/>
                <w:szCs w:val="20"/>
              </w:rPr>
            </w:pPr>
          </w:p>
        </w:tc>
        <w:tc>
          <w:tcPr>
            <w:tcW w:w="1338" w:type="dxa"/>
            <w:shd w:val="clear" w:color="auto" w:fill="auto"/>
            <w:vAlign w:val="bottom"/>
          </w:tcPr>
          <w:p w14:paraId="6453289D" w14:textId="77777777" w:rsidR="009E4F66" w:rsidRPr="00F13104" w:rsidRDefault="009E4F66" w:rsidP="00A320C3">
            <w:pPr>
              <w:tabs>
                <w:tab w:val="decimal" w:pos="628"/>
              </w:tabs>
              <w:rPr>
                <w:color w:val="auto"/>
                <w:sz w:val="20"/>
                <w:szCs w:val="20"/>
              </w:rPr>
            </w:pPr>
          </w:p>
        </w:tc>
        <w:tc>
          <w:tcPr>
            <w:tcW w:w="1596" w:type="dxa"/>
            <w:tcBorders>
              <w:right w:val="single" w:sz="4" w:space="0" w:color="auto"/>
            </w:tcBorders>
            <w:shd w:val="clear" w:color="auto" w:fill="auto"/>
            <w:vAlign w:val="bottom"/>
          </w:tcPr>
          <w:p w14:paraId="6549F529" w14:textId="77777777" w:rsidR="009E4F66" w:rsidRPr="00F13104" w:rsidRDefault="00AB202F" w:rsidP="00A320C3">
            <w:pPr>
              <w:tabs>
                <w:tab w:val="decimal" w:pos="815"/>
              </w:tabs>
              <w:rPr>
                <w:color w:val="auto"/>
                <w:sz w:val="20"/>
                <w:szCs w:val="20"/>
              </w:rPr>
            </w:pPr>
            <w:r w:rsidRPr="00F13104">
              <w:rPr>
                <w:color w:val="auto"/>
                <w:sz w:val="20"/>
                <w:szCs w:val="20"/>
              </w:rPr>
              <w:t>2.8</w:t>
            </w:r>
          </w:p>
        </w:tc>
      </w:tr>
      <w:tr w:rsidR="009E4F66" w:rsidRPr="00F13104" w14:paraId="1D86EA21" w14:textId="77777777" w:rsidTr="00D026A6">
        <w:trPr>
          <w:trHeight w:val="454"/>
        </w:trPr>
        <w:tc>
          <w:tcPr>
            <w:tcW w:w="6562" w:type="dxa"/>
            <w:tcBorders>
              <w:left w:val="single" w:sz="4" w:space="0" w:color="auto"/>
            </w:tcBorders>
            <w:shd w:val="clear" w:color="auto" w:fill="auto"/>
            <w:vAlign w:val="bottom"/>
          </w:tcPr>
          <w:p w14:paraId="03782DD1" w14:textId="77777777" w:rsidR="009E4F66" w:rsidRPr="00A06955" w:rsidRDefault="00EF596C" w:rsidP="00F13104">
            <w:pPr>
              <w:jc w:val="left"/>
              <w:rPr>
                <w:b/>
                <w:color w:val="auto"/>
                <w:sz w:val="20"/>
                <w:szCs w:val="20"/>
              </w:rPr>
            </w:pPr>
            <w:r w:rsidRPr="00A06955">
              <w:rPr>
                <w:b/>
                <w:color w:val="auto"/>
                <w:sz w:val="20"/>
                <w:szCs w:val="20"/>
              </w:rPr>
              <w:t>Items that may be reclassified to the (Surplus) or Deficit on the Provision of Services</w:t>
            </w:r>
          </w:p>
        </w:tc>
        <w:tc>
          <w:tcPr>
            <w:tcW w:w="1595" w:type="dxa"/>
            <w:shd w:val="clear" w:color="auto" w:fill="auto"/>
            <w:vAlign w:val="bottom"/>
          </w:tcPr>
          <w:p w14:paraId="34825B68" w14:textId="77777777" w:rsidR="009E4F66" w:rsidRPr="00747B0B" w:rsidRDefault="009E4F66" w:rsidP="00A320C3">
            <w:pPr>
              <w:tabs>
                <w:tab w:val="decimal" w:pos="758"/>
              </w:tabs>
              <w:rPr>
                <w:b/>
                <w:color w:val="auto"/>
                <w:sz w:val="20"/>
                <w:szCs w:val="20"/>
                <w:highlight w:val="yellow"/>
              </w:rPr>
            </w:pPr>
          </w:p>
        </w:tc>
        <w:tc>
          <w:tcPr>
            <w:tcW w:w="1333" w:type="dxa"/>
            <w:shd w:val="clear" w:color="auto" w:fill="auto"/>
            <w:vAlign w:val="bottom"/>
          </w:tcPr>
          <w:p w14:paraId="07F96C44" w14:textId="77777777" w:rsidR="009E4F66" w:rsidRPr="00747B0B" w:rsidRDefault="009E4F66" w:rsidP="00A320C3">
            <w:pPr>
              <w:tabs>
                <w:tab w:val="decimal" w:pos="693"/>
              </w:tabs>
              <w:rPr>
                <w:b/>
                <w:color w:val="auto"/>
                <w:sz w:val="20"/>
                <w:szCs w:val="20"/>
                <w:highlight w:val="yellow"/>
              </w:rPr>
            </w:pPr>
          </w:p>
        </w:tc>
        <w:tc>
          <w:tcPr>
            <w:tcW w:w="1596" w:type="dxa"/>
            <w:shd w:val="clear" w:color="auto" w:fill="auto"/>
            <w:vAlign w:val="bottom"/>
          </w:tcPr>
          <w:p w14:paraId="06BB2B1F" w14:textId="77777777" w:rsidR="009E4F66" w:rsidRPr="00A06955" w:rsidRDefault="009E4F66" w:rsidP="00A320C3">
            <w:pPr>
              <w:tabs>
                <w:tab w:val="decimal" w:pos="895"/>
              </w:tabs>
              <w:rPr>
                <w:b/>
                <w:color w:val="auto"/>
                <w:sz w:val="20"/>
                <w:szCs w:val="20"/>
              </w:rPr>
            </w:pPr>
          </w:p>
        </w:tc>
        <w:tc>
          <w:tcPr>
            <w:tcW w:w="1596" w:type="dxa"/>
            <w:shd w:val="clear" w:color="auto" w:fill="auto"/>
            <w:vAlign w:val="bottom"/>
          </w:tcPr>
          <w:p w14:paraId="55720380" w14:textId="77777777" w:rsidR="009E4F66" w:rsidRPr="00F13104" w:rsidRDefault="009E4F66" w:rsidP="00A320C3">
            <w:pPr>
              <w:tabs>
                <w:tab w:val="decimal" w:pos="799"/>
              </w:tabs>
              <w:rPr>
                <w:b/>
                <w:color w:val="auto"/>
                <w:sz w:val="20"/>
                <w:szCs w:val="20"/>
              </w:rPr>
            </w:pPr>
          </w:p>
        </w:tc>
        <w:tc>
          <w:tcPr>
            <w:tcW w:w="1338" w:type="dxa"/>
            <w:shd w:val="clear" w:color="auto" w:fill="auto"/>
            <w:vAlign w:val="bottom"/>
          </w:tcPr>
          <w:p w14:paraId="11FD2B08" w14:textId="77777777" w:rsidR="009E4F66" w:rsidRPr="00F13104" w:rsidRDefault="009E4F66" w:rsidP="00A320C3">
            <w:pPr>
              <w:tabs>
                <w:tab w:val="decimal" w:pos="628"/>
              </w:tabs>
              <w:rPr>
                <w:b/>
                <w:color w:val="auto"/>
                <w:sz w:val="20"/>
                <w:szCs w:val="20"/>
              </w:rPr>
            </w:pPr>
          </w:p>
        </w:tc>
        <w:tc>
          <w:tcPr>
            <w:tcW w:w="1596" w:type="dxa"/>
            <w:tcBorders>
              <w:right w:val="single" w:sz="4" w:space="0" w:color="auto"/>
            </w:tcBorders>
            <w:shd w:val="clear" w:color="auto" w:fill="auto"/>
            <w:vAlign w:val="bottom"/>
          </w:tcPr>
          <w:p w14:paraId="38688A1A" w14:textId="77777777" w:rsidR="009E4F66" w:rsidRPr="00F13104" w:rsidRDefault="009E4F66" w:rsidP="00A320C3">
            <w:pPr>
              <w:tabs>
                <w:tab w:val="decimal" w:pos="815"/>
              </w:tabs>
              <w:rPr>
                <w:b/>
                <w:color w:val="auto"/>
                <w:sz w:val="20"/>
                <w:szCs w:val="20"/>
              </w:rPr>
            </w:pPr>
          </w:p>
        </w:tc>
      </w:tr>
      <w:tr w:rsidR="009E4F66" w:rsidRPr="00F13104" w14:paraId="3F68A637" w14:textId="77777777" w:rsidTr="00D026A6">
        <w:trPr>
          <w:trHeight w:val="454"/>
        </w:trPr>
        <w:tc>
          <w:tcPr>
            <w:tcW w:w="6562" w:type="dxa"/>
            <w:tcBorders>
              <w:left w:val="single" w:sz="4" w:space="0" w:color="auto"/>
            </w:tcBorders>
            <w:shd w:val="clear" w:color="auto" w:fill="auto"/>
            <w:vAlign w:val="bottom"/>
          </w:tcPr>
          <w:p w14:paraId="5BD0AFEE" w14:textId="7AB1A71D" w:rsidR="009E4F66" w:rsidRPr="00A06955" w:rsidRDefault="00D3460F" w:rsidP="00D3460F">
            <w:pPr>
              <w:jc w:val="left"/>
              <w:rPr>
                <w:color w:val="auto"/>
                <w:sz w:val="20"/>
                <w:szCs w:val="20"/>
              </w:rPr>
            </w:pPr>
            <w:r>
              <w:rPr>
                <w:color w:val="auto"/>
                <w:sz w:val="20"/>
                <w:szCs w:val="20"/>
              </w:rPr>
              <w:t>(</w:t>
            </w:r>
            <w:r w:rsidR="00EF596C" w:rsidRPr="00A06955">
              <w:rPr>
                <w:color w:val="auto"/>
                <w:sz w:val="20"/>
                <w:szCs w:val="20"/>
              </w:rPr>
              <w:t>Surplus</w:t>
            </w:r>
            <w:r>
              <w:rPr>
                <w:color w:val="auto"/>
                <w:sz w:val="20"/>
                <w:szCs w:val="20"/>
              </w:rPr>
              <w:t>)</w:t>
            </w:r>
            <w:r w:rsidR="00EF596C" w:rsidRPr="00A06955">
              <w:rPr>
                <w:color w:val="auto"/>
                <w:sz w:val="20"/>
                <w:szCs w:val="20"/>
              </w:rPr>
              <w:t xml:space="preserve">or deficit on revaluation of available for sale assets </w:t>
            </w:r>
            <w:r w:rsidR="00EF596C" w:rsidRPr="00E957DA">
              <w:rPr>
                <w:color w:val="auto"/>
                <w:sz w:val="20"/>
                <w:szCs w:val="20"/>
              </w:rPr>
              <w:t>(note 3</w:t>
            </w:r>
            <w:r w:rsidR="000A0396">
              <w:rPr>
                <w:color w:val="auto"/>
                <w:sz w:val="20"/>
                <w:szCs w:val="20"/>
              </w:rPr>
              <w:t>2</w:t>
            </w:r>
            <w:r w:rsidR="00EF596C" w:rsidRPr="00E957DA">
              <w:rPr>
                <w:color w:val="auto"/>
                <w:sz w:val="20"/>
                <w:szCs w:val="20"/>
              </w:rPr>
              <w:t>)</w:t>
            </w:r>
          </w:p>
        </w:tc>
        <w:tc>
          <w:tcPr>
            <w:tcW w:w="1595" w:type="dxa"/>
            <w:tcBorders>
              <w:bottom w:val="single" w:sz="4" w:space="0" w:color="auto"/>
            </w:tcBorders>
            <w:shd w:val="clear" w:color="auto" w:fill="auto"/>
            <w:vAlign w:val="bottom"/>
          </w:tcPr>
          <w:p w14:paraId="6FFA2349" w14:textId="77777777" w:rsidR="009E4F66" w:rsidRPr="00747B0B" w:rsidRDefault="009E4F66" w:rsidP="00A320C3">
            <w:pPr>
              <w:tabs>
                <w:tab w:val="decimal" w:pos="758"/>
              </w:tabs>
              <w:rPr>
                <w:color w:val="auto"/>
                <w:sz w:val="20"/>
                <w:szCs w:val="20"/>
                <w:highlight w:val="yellow"/>
              </w:rPr>
            </w:pPr>
          </w:p>
        </w:tc>
        <w:tc>
          <w:tcPr>
            <w:tcW w:w="1333" w:type="dxa"/>
            <w:tcBorders>
              <w:bottom w:val="single" w:sz="4" w:space="0" w:color="auto"/>
            </w:tcBorders>
            <w:shd w:val="clear" w:color="auto" w:fill="auto"/>
            <w:vAlign w:val="bottom"/>
          </w:tcPr>
          <w:p w14:paraId="6A28A1F3" w14:textId="77777777" w:rsidR="009E4F66" w:rsidRPr="00747B0B" w:rsidRDefault="009E4F66" w:rsidP="00A320C3">
            <w:pPr>
              <w:tabs>
                <w:tab w:val="decimal" w:pos="693"/>
              </w:tabs>
              <w:rPr>
                <w:color w:val="auto"/>
                <w:sz w:val="20"/>
                <w:szCs w:val="20"/>
                <w:highlight w:val="yellow"/>
              </w:rPr>
            </w:pPr>
          </w:p>
        </w:tc>
        <w:tc>
          <w:tcPr>
            <w:tcW w:w="1596" w:type="dxa"/>
            <w:tcBorders>
              <w:bottom w:val="single" w:sz="4" w:space="0" w:color="auto"/>
            </w:tcBorders>
            <w:shd w:val="clear" w:color="auto" w:fill="auto"/>
            <w:vAlign w:val="bottom"/>
          </w:tcPr>
          <w:p w14:paraId="33D9DFFD" w14:textId="2A452FCF" w:rsidR="009E4F66" w:rsidRPr="00A06955" w:rsidRDefault="005F7CD3" w:rsidP="00B73FC4">
            <w:pPr>
              <w:tabs>
                <w:tab w:val="decimal" w:pos="895"/>
              </w:tabs>
              <w:rPr>
                <w:color w:val="auto"/>
                <w:sz w:val="20"/>
                <w:szCs w:val="20"/>
              </w:rPr>
            </w:pPr>
            <w:r w:rsidRPr="00A06955">
              <w:rPr>
                <w:color w:val="auto"/>
                <w:sz w:val="20"/>
                <w:szCs w:val="20"/>
              </w:rPr>
              <w:t>(20.</w:t>
            </w:r>
            <w:r w:rsidR="00B73FC4">
              <w:rPr>
                <w:color w:val="auto"/>
                <w:sz w:val="20"/>
                <w:szCs w:val="20"/>
              </w:rPr>
              <w:t>8</w:t>
            </w:r>
            <w:r w:rsidRPr="00A06955">
              <w:rPr>
                <w:color w:val="auto"/>
                <w:sz w:val="20"/>
                <w:szCs w:val="20"/>
              </w:rPr>
              <w:t>)</w:t>
            </w:r>
          </w:p>
        </w:tc>
        <w:tc>
          <w:tcPr>
            <w:tcW w:w="1596" w:type="dxa"/>
            <w:tcBorders>
              <w:bottom w:val="single" w:sz="4" w:space="0" w:color="auto"/>
            </w:tcBorders>
            <w:shd w:val="clear" w:color="auto" w:fill="auto"/>
            <w:vAlign w:val="bottom"/>
          </w:tcPr>
          <w:p w14:paraId="4872B84A" w14:textId="77777777" w:rsidR="009E4F66" w:rsidRPr="00F13104" w:rsidRDefault="009E4F66" w:rsidP="00A320C3">
            <w:pPr>
              <w:tabs>
                <w:tab w:val="decimal" w:pos="799"/>
              </w:tabs>
              <w:rPr>
                <w:color w:val="auto"/>
                <w:sz w:val="20"/>
                <w:szCs w:val="20"/>
              </w:rPr>
            </w:pPr>
          </w:p>
        </w:tc>
        <w:tc>
          <w:tcPr>
            <w:tcW w:w="1338" w:type="dxa"/>
            <w:tcBorders>
              <w:bottom w:val="single" w:sz="4" w:space="0" w:color="auto"/>
            </w:tcBorders>
            <w:shd w:val="clear" w:color="auto" w:fill="auto"/>
            <w:vAlign w:val="bottom"/>
          </w:tcPr>
          <w:p w14:paraId="7414BE61" w14:textId="77777777" w:rsidR="009E4F66" w:rsidRPr="00F13104" w:rsidRDefault="009E4F66" w:rsidP="00A320C3">
            <w:pPr>
              <w:tabs>
                <w:tab w:val="decimal" w:pos="628"/>
              </w:tabs>
              <w:rPr>
                <w:color w:val="auto"/>
                <w:sz w:val="20"/>
                <w:szCs w:val="20"/>
              </w:rPr>
            </w:pPr>
          </w:p>
        </w:tc>
        <w:tc>
          <w:tcPr>
            <w:tcW w:w="1596" w:type="dxa"/>
            <w:tcBorders>
              <w:bottom w:val="single" w:sz="4" w:space="0" w:color="auto"/>
              <w:right w:val="single" w:sz="4" w:space="0" w:color="auto"/>
            </w:tcBorders>
            <w:shd w:val="clear" w:color="auto" w:fill="auto"/>
            <w:vAlign w:val="bottom"/>
          </w:tcPr>
          <w:p w14:paraId="5AD884B9" w14:textId="77777777" w:rsidR="009E4F66" w:rsidRPr="00F13104" w:rsidRDefault="00AB202F" w:rsidP="00A320C3">
            <w:pPr>
              <w:tabs>
                <w:tab w:val="decimal" w:pos="815"/>
              </w:tabs>
              <w:rPr>
                <w:color w:val="auto"/>
                <w:sz w:val="20"/>
                <w:szCs w:val="20"/>
              </w:rPr>
            </w:pPr>
            <w:r w:rsidRPr="00F13104">
              <w:rPr>
                <w:color w:val="auto"/>
                <w:sz w:val="20"/>
                <w:szCs w:val="20"/>
              </w:rPr>
              <w:t>26.3</w:t>
            </w:r>
          </w:p>
        </w:tc>
      </w:tr>
      <w:tr w:rsidR="009E4F66" w:rsidRPr="00F13104" w14:paraId="02278F13" w14:textId="77777777" w:rsidTr="00D026A6">
        <w:trPr>
          <w:trHeight w:val="454"/>
        </w:trPr>
        <w:tc>
          <w:tcPr>
            <w:tcW w:w="6562" w:type="dxa"/>
            <w:tcBorders>
              <w:left w:val="single" w:sz="4" w:space="0" w:color="auto"/>
              <w:bottom w:val="single" w:sz="4" w:space="0" w:color="auto"/>
            </w:tcBorders>
            <w:shd w:val="clear" w:color="auto" w:fill="auto"/>
            <w:vAlign w:val="bottom"/>
          </w:tcPr>
          <w:p w14:paraId="2CBD733C" w14:textId="77777777" w:rsidR="009E4F66" w:rsidRPr="00A06955" w:rsidRDefault="00EF596C" w:rsidP="00F13104">
            <w:pPr>
              <w:jc w:val="left"/>
              <w:rPr>
                <w:b/>
                <w:color w:val="auto"/>
                <w:sz w:val="20"/>
                <w:szCs w:val="20"/>
              </w:rPr>
            </w:pPr>
            <w:r w:rsidRPr="00A06955">
              <w:rPr>
                <w:b/>
                <w:color w:val="auto"/>
                <w:sz w:val="20"/>
                <w:szCs w:val="20"/>
              </w:rPr>
              <w:t>Other Comprehensive Income and Expenditure</w:t>
            </w:r>
          </w:p>
        </w:tc>
        <w:tc>
          <w:tcPr>
            <w:tcW w:w="1595" w:type="dxa"/>
            <w:tcBorders>
              <w:top w:val="single" w:sz="4" w:space="0" w:color="auto"/>
              <w:bottom w:val="single" w:sz="4" w:space="0" w:color="auto"/>
            </w:tcBorders>
            <w:shd w:val="clear" w:color="auto" w:fill="auto"/>
            <w:vAlign w:val="bottom"/>
          </w:tcPr>
          <w:p w14:paraId="7AFA83CF" w14:textId="77777777" w:rsidR="009E4F66" w:rsidRPr="00747B0B" w:rsidRDefault="009E4F66" w:rsidP="00A320C3">
            <w:pPr>
              <w:tabs>
                <w:tab w:val="decimal" w:pos="758"/>
              </w:tabs>
              <w:rPr>
                <w:b/>
                <w:color w:val="auto"/>
                <w:sz w:val="20"/>
                <w:szCs w:val="20"/>
                <w:highlight w:val="yellow"/>
              </w:rPr>
            </w:pPr>
          </w:p>
        </w:tc>
        <w:tc>
          <w:tcPr>
            <w:tcW w:w="1333" w:type="dxa"/>
            <w:tcBorders>
              <w:top w:val="single" w:sz="4" w:space="0" w:color="auto"/>
              <w:bottom w:val="single" w:sz="4" w:space="0" w:color="auto"/>
            </w:tcBorders>
            <w:shd w:val="clear" w:color="auto" w:fill="auto"/>
            <w:vAlign w:val="bottom"/>
          </w:tcPr>
          <w:p w14:paraId="779F932F" w14:textId="77777777" w:rsidR="009E4F66" w:rsidRPr="00747B0B" w:rsidRDefault="009E4F66" w:rsidP="00A320C3">
            <w:pPr>
              <w:tabs>
                <w:tab w:val="decimal" w:pos="693"/>
              </w:tabs>
              <w:rPr>
                <w:b/>
                <w:color w:val="auto"/>
                <w:sz w:val="20"/>
                <w:szCs w:val="20"/>
                <w:highlight w:val="yellow"/>
              </w:rPr>
            </w:pPr>
          </w:p>
        </w:tc>
        <w:tc>
          <w:tcPr>
            <w:tcW w:w="1596" w:type="dxa"/>
            <w:tcBorders>
              <w:top w:val="single" w:sz="4" w:space="0" w:color="auto"/>
              <w:bottom w:val="single" w:sz="4" w:space="0" w:color="auto"/>
            </w:tcBorders>
            <w:shd w:val="clear" w:color="auto" w:fill="auto"/>
            <w:vAlign w:val="bottom"/>
          </w:tcPr>
          <w:p w14:paraId="3FDE5CFF" w14:textId="0C64F2F5" w:rsidR="009E4F66" w:rsidRPr="00A06955" w:rsidRDefault="00DC6733" w:rsidP="00BD7307">
            <w:pPr>
              <w:tabs>
                <w:tab w:val="decimal" w:pos="895"/>
              </w:tabs>
              <w:rPr>
                <w:b/>
                <w:color w:val="auto"/>
                <w:sz w:val="20"/>
                <w:szCs w:val="20"/>
              </w:rPr>
            </w:pPr>
            <w:r>
              <w:rPr>
                <w:b/>
                <w:color w:val="auto"/>
                <w:sz w:val="20"/>
                <w:szCs w:val="20"/>
              </w:rPr>
              <w:t>265.</w:t>
            </w:r>
            <w:r w:rsidR="00BD7307">
              <w:rPr>
                <w:b/>
                <w:color w:val="auto"/>
                <w:sz w:val="20"/>
                <w:szCs w:val="20"/>
              </w:rPr>
              <w:t>7</w:t>
            </w:r>
          </w:p>
        </w:tc>
        <w:tc>
          <w:tcPr>
            <w:tcW w:w="1596" w:type="dxa"/>
            <w:tcBorders>
              <w:top w:val="single" w:sz="4" w:space="0" w:color="auto"/>
              <w:bottom w:val="single" w:sz="4" w:space="0" w:color="auto"/>
            </w:tcBorders>
            <w:shd w:val="clear" w:color="auto" w:fill="auto"/>
            <w:vAlign w:val="bottom"/>
          </w:tcPr>
          <w:p w14:paraId="50A28445" w14:textId="77777777" w:rsidR="009E4F66" w:rsidRPr="00F13104" w:rsidRDefault="009E4F66" w:rsidP="00A320C3">
            <w:pPr>
              <w:tabs>
                <w:tab w:val="decimal" w:pos="799"/>
              </w:tabs>
              <w:rPr>
                <w:b/>
                <w:color w:val="auto"/>
                <w:sz w:val="20"/>
                <w:szCs w:val="20"/>
              </w:rPr>
            </w:pPr>
          </w:p>
        </w:tc>
        <w:tc>
          <w:tcPr>
            <w:tcW w:w="1338" w:type="dxa"/>
            <w:tcBorders>
              <w:top w:val="single" w:sz="4" w:space="0" w:color="auto"/>
              <w:bottom w:val="single" w:sz="4" w:space="0" w:color="auto"/>
            </w:tcBorders>
            <w:shd w:val="clear" w:color="auto" w:fill="auto"/>
            <w:vAlign w:val="bottom"/>
          </w:tcPr>
          <w:p w14:paraId="05B9188C" w14:textId="77777777" w:rsidR="009E4F66" w:rsidRPr="00F13104" w:rsidRDefault="009E4F66" w:rsidP="00A320C3">
            <w:pPr>
              <w:tabs>
                <w:tab w:val="decimal" w:pos="628"/>
              </w:tabs>
              <w:rPr>
                <w:b/>
                <w:color w:val="auto"/>
                <w:sz w:val="20"/>
                <w:szCs w:val="20"/>
              </w:rPr>
            </w:pPr>
          </w:p>
        </w:tc>
        <w:tc>
          <w:tcPr>
            <w:tcW w:w="1596" w:type="dxa"/>
            <w:tcBorders>
              <w:top w:val="single" w:sz="4" w:space="0" w:color="auto"/>
              <w:bottom w:val="single" w:sz="4" w:space="0" w:color="auto"/>
              <w:right w:val="single" w:sz="4" w:space="0" w:color="auto"/>
            </w:tcBorders>
            <w:shd w:val="clear" w:color="auto" w:fill="auto"/>
            <w:vAlign w:val="bottom"/>
          </w:tcPr>
          <w:p w14:paraId="28EF5F4B" w14:textId="4BD82517" w:rsidR="009E4F66" w:rsidRPr="00F13104" w:rsidRDefault="00661B7F" w:rsidP="00C45BA9">
            <w:pPr>
              <w:tabs>
                <w:tab w:val="decimal" w:pos="815"/>
              </w:tabs>
              <w:rPr>
                <w:b/>
                <w:color w:val="auto"/>
                <w:sz w:val="20"/>
                <w:szCs w:val="20"/>
              </w:rPr>
            </w:pPr>
            <w:r>
              <w:rPr>
                <w:b/>
                <w:color w:val="auto"/>
                <w:sz w:val="20"/>
                <w:szCs w:val="20"/>
              </w:rPr>
              <w:t>(</w:t>
            </w:r>
            <w:r w:rsidR="00DB322F">
              <w:rPr>
                <w:b/>
                <w:color w:val="auto"/>
                <w:sz w:val="20"/>
                <w:szCs w:val="20"/>
              </w:rPr>
              <w:t>259.4</w:t>
            </w:r>
            <w:r>
              <w:rPr>
                <w:b/>
                <w:color w:val="auto"/>
                <w:sz w:val="20"/>
                <w:szCs w:val="20"/>
              </w:rPr>
              <w:t>)</w:t>
            </w:r>
          </w:p>
        </w:tc>
      </w:tr>
      <w:tr w:rsidR="009E4F66" w:rsidRPr="00F13104" w14:paraId="47379447" w14:textId="77777777" w:rsidTr="00D026A6">
        <w:trPr>
          <w:trHeight w:val="454"/>
        </w:trPr>
        <w:tc>
          <w:tcPr>
            <w:tcW w:w="6562" w:type="dxa"/>
            <w:tcBorders>
              <w:top w:val="single" w:sz="4" w:space="0" w:color="auto"/>
              <w:left w:val="single" w:sz="4" w:space="0" w:color="auto"/>
              <w:bottom w:val="single" w:sz="4" w:space="0" w:color="auto"/>
            </w:tcBorders>
            <w:shd w:val="clear" w:color="auto" w:fill="auto"/>
            <w:vAlign w:val="bottom"/>
          </w:tcPr>
          <w:p w14:paraId="42A882AD" w14:textId="77777777" w:rsidR="009E4F66" w:rsidRPr="00747B0B" w:rsidRDefault="00EF596C" w:rsidP="00F13104">
            <w:pPr>
              <w:jc w:val="left"/>
              <w:rPr>
                <w:b/>
                <w:color w:val="auto"/>
                <w:sz w:val="20"/>
                <w:szCs w:val="20"/>
                <w:highlight w:val="yellow"/>
              </w:rPr>
            </w:pPr>
            <w:r w:rsidRPr="00A06955">
              <w:rPr>
                <w:b/>
                <w:color w:val="auto"/>
                <w:sz w:val="20"/>
                <w:szCs w:val="20"/>
              </w:rPr>
              <w:t>Total Comprehensive Income and Expenditure</w:t>
            </w:r>
          </w:p>
        </w:tc>
        <w:tc>
          <w:tcPr>
            <w:tcW w:w="1595" w:type="dxa"/>
            <w:tcBorders>
              <w:top w:val="single" w:sz="4" w:space="0" w:color="auto"/>
              <w:bottom w:val="single" w:sz="4" w:space="0" w:color="auto"/>
            </w:tcBorders>
            <w:shd w:val="clear" w:color="auto" w:fill="auto"/>
            <w:vAlign w:val="bottom"/>
          </w:tcPr>
          <w:p w14:paraId="55A9F839" w14:textId="77777777" w:rsidR="009E4F66" w:rsidRPr="00747B0B" w:rsidRDefault="009E4F66" w:rsidP="00A320C3">
            <w:pPr>
              <w:tabs>
                <w:tab w:val="decimal" w:pos="758"/>
              </w:tabs>
              <w:rPr>
                <w:b/>
                <w:color w:val="auto"/>
                <w:sz w:val="20"/>
                <w:szCs w:val="20"/>
                <w:highlight w:val="yellow"/>
              </w:rPr>
            </w:pPr>
          </w:p>
        </w:tc>
        <w:tc>
          <w:tcPr>
            <w:tcW w:w="1333" w:type="dxa"/>
            <w:tcBorders>
              <w:top w:val="single" w:sz="4" w:space="0" w:color="auto"/>
              <w:bottom w:val="single" w:sz="4" w:space="0" w:color="auto"/>
            </w:tcBorders>
            <w:shd w:val="clear" w:color="auto" w:fill="auto"/>
            <w:vAlign w:val="bottom"/>
          </w:tcPr>
          <w:p w14:paraId="74A47739" w14:textId="77777777" w:rsidR="009E4F66" w:rsidRPr="00747B0B" w:rsidRDefault="009E4F66" w:rsidP="00A320C3">
            <w:pPr>
              <w:tabs>
                <w:tab w:val="decimal" w:pos="693"/>
              </w:tabs>
              <w:rPr>
                <w:b/>
                <w:color w:val="auto"/>
                <w:sz w:val="20"/>
                <w:szCs w:val="20"/>
                <w:highlight w:val="yellow"/>
              </w:rPr>
            </w:pPr>
          </w:p>
        </w:tc>
        <w:tc>
          <w:tcPr>
            <w:tcW w:w="1596" w:type="dxa"/>
            <w:tcBorders>
              <w:top w:val="single" w:sz="4" w:space="0" w:color="auto"/>
              <w:bottom w:val="single" w:sz="4" w:space="0" w:color="auto"/>
            </w:tcBorders>
            <w:shd w:val="clear" w:color="auto" w:fill="auto"/>
            <w:vAlign w:val="bottom"/>
          </w:tcPr>
          <w:p w14:paraId="647EC1B6" w14:textId="17C95861" w:rsidR="009E4F66" w:rsidRPr="00A06955" w:rsidRDefault="003E6188" w:rsidP="00BD7307">
            <w:pPr>
              <w:tabs>
                <w:tab w:val="decimal" w:pos="895"/>
              </w:tabs>
              <w:rPr>
                <w:b/>
                <w:color w:val="auto"/>
                <w:sz w:val="20"/>
                <w:szCs w:val="20"/>
              </w:rPr>
            </w:pPr>
            <w:r>
              <w:rPr>
                <w:b/>
                <w:color w:val="auto"/>
                <w:sz w:val="20"/>
                <w:szCs w:val="20"/>
              </w:rPr>
              <w:t>217.</w:t>
            </w:r>
            <w:r w:rsidR="00BD7307">
              <w:rPr>
                <w:b/>
                <w:color w:val="auto"/>
                <w:sz w:val="20"/>
                <w:szCs w:val="20"/>
              </w:rPr>
              <w:t>1</w:t>
            </w:r>
          </w:p>
        </w:tc>
        <w:tc>
          <w:tcPr>
            <w:tcW w:w="1596" w:type="dxa"/>
            <w:tcBorders>
              <w:top w:val="single" w:sz="4" w:space="0" w:color="auto"/>
              <w:bottom w:val="single" w:sz="4" w:space="0" w:color="auto"/>
            </w:tcBorders>
            <w:shd w:val="clear" w:color="auto" w:fill="auto"/>
            <w:vAlign w:val="bottom"/>
          </w:tcPr>
          <w:p w14:paraId="6DDA54A2" w14:textId="77777777" w:rsidR="009E4F66" w:rsidRPr="00F13104" w:rsidRDefault="009E4F66" w:rsidP="00A320C3">
            <w:pPr>
              <w:tabs>
                <w:tab w:val="decimal" w:pos="799"/>
              </w:tabs>
              <w:rPr>
                <w:b/>
                <w:color w:val="auto"/>
                <w:sz w:val="20"/>
                <w:szCs w:val="20"/>
              </w:rPr>
            </w:pPr>
          </w:p>
        </w:tc>
        <w:tc>
          <w:tcPr>
            <w:tcW w:w="1338" w:type="dxa"/>
            <w:tcBorders>
              <w:top w:val="single" w:sz="4" w:space="0" w:color="auto"/>
              <w:bottom w:val="single" w:sz="4" w:space="0" w:color="auto"/>
            </w:tcBorders>
            <w:shd w:val="clear" w:color="auto" w:fill="auto"/>
            <w:vAlign w:val="bottom"/>
          </w:tcPr>
          <w:p w14:paraId="6BEDABCE" w14:textId="77777777" w:rsidR="009E4F66" w:rsidRPr="00F13104" w:rsidRDefault="009E4F66" w:rsidP="00A320C3">
            <w:pPr>
              <w:tabs>
                <w:tab w:val="decimal" w:pos="628"/>
              </w:tabs>
              <w:rPr>
                <w:b/>
                <w:color w:val="auto"/>
                <w:sz w:val="20"/>
                <w:szCs w:val="20"/>
              </w:rPr>
            </w:pPr>
          </w:p>
        </w:tc>
        <w:tc>
          <w:tcPr>
            <w:tcW w:w="1596" w:type="dxa"/>
            <w:tcBorders>
              <w:top w:val="single" w:sz="4" w:space="0" w:color="auto"/>
              <w:bottom w:val="single" w:sz="4" w:space="0" w:color="auto"/>
              <w:right w:val="single" w:sz="4" w:space="0" w:color="auto"/>
            </w:tcBorders>
            <w:shd w:val="clear" w:color="auto" w:fill="auto"/>
            <w:vAlign w:val="bottom"/>
          </w:tcPr>
          <w:p w14:paraId="17E4FFD7" w14:textId="77777777" w:rsidR="009E4F66" w:rsidRPr="00F13104" w:rsidRDefault="00AB202F" w:rsidP="00A320C3">
            <w:pPr>
              <w:tabs>
                <w:tab w:val="decimal" w:pos="815"/>
              </w:tabs>
              <w:rPr>
                <w:b/>
                <w:color w:val="auto"/>
                <w:sz w:val="20"/>
                <w:szCs w:val="20"/>
              </w:rPr>
            </w:pPr>
            <w:r w:rsidRPr="00F13104">
              <w:rPr>
                <w:b/>
                <w:color w:val="auto"/>
                <w:sz w:val="20"/>
                <w:szCs w:val="20"/>
              </w:rPr>
              <w:t>(239.5)</w:t>
            </w:r>
          </w:p>
        </w:tc>
      </w:tr>
    </w:tbl>
    <w:p w14:paraId="1DAB108A" w14:textId="05FFFFAC" w:rsidR="00D671D4" w:rsidRDefault="003F774D" w:rsidP="005C06B4">
      <w:pPr>
        <w:jc w:val="left"/>
        <w:rPr>
          <w:sz w:val="20"/>
          <w:szCs w:val="20"/>
          <w:lang w:eastAsia="en-GB"/>
        </w:rPr>
      </w:pPr>
      <w:r>
        <w:rPr>
          <w:sz w:val="20"/>
          <w:szCs w:val="20"/>
          <w:vertAlign w:val="superscript"/>
          <w:lang w:eastAsia="en-GB"/>
        </w:rPr>
        <w:t>1</w:t>
      </w:r>
      <w:r w:rsidR="005C06B4">
        <w:rPr>
          <w:sz w:val="20"/>
          <w:szCs w:val="20"/>
          <w:lang w:eastAsia="en-GB"/>
        </w:rPr>
        <w:t>Compar</w:t>
      </w:r>
      <w:r w:rsidR="008779E1">
        <w:rPr>
          <w:sz w:val="20"/>
          <w:szCs w:val="20"/>
          <w:lang w:eastAsia="en-GB"/>
        </w:rPr>
        <w:t>a</w:t>
      </w:r>
      <w:r w:rsidR="005C06B4">
        <w:rPr>
          <w:sz w:val="20"/>
          <w:szCs w:val="20"/>
          <w:lang w:eastAsia="en-GB"/>
        </w:rPr>
        <w:t xml:space="preserve">tives have been restated to </w:t>
      </w:r>
      <w:r>
        <w:rPr>
          <w:sz w:val="20"/>
          <w:szCs w:val="20"/>
          <w:lang w:eastAsia="en-GB"/>
        </w:rPr>
        <w:t>ref</w:t>
      </w:r>
      <w:r w:rsidRPr="00211FCA">
        <w:rPr>
          <w:sz w:val="20"/>
          <w:szCs w:val="20"/>
          <w:lang w:eastAsia="en-GB"/>
        </w:rPr>
        <w:t>lect the</w:t>
      </w:r>
      <w:r w:rsidR="005C06B4">
        <w:rPr>
          <w:sz w:val="20"/>
          <w:szCs w:val="20"/>
          <w:lang w:eastAsia="en-GB"/>
        </w:rPr>
        <w:t xml:space="preserve"> </w:t>
      </w:r>
      <w:r w:rsidRPr="00211FCA">
        <w:rPr>
          <w:sz w:val="20"/>
          <w:szCs w:val="20"/>
          <w:lang w:eastAsia="en-GB"/>
        </w:rPr>
        <w:t>2014/15 SE</w:t>
      </w:r>
      <w:r w:rsidR="00E95E0F">
        <w:rPr>
          <w:sz w:val="20"/>
          <w:szCs w:val="20"/>
          <w:lang w:eastAsia="en-GB"/>
        </w:rPr>
        <w:t>R</w:t>
      </w:r>
      <w:r w:rsidRPr="00211FCA">
        <w:rPr>
          <w:sz w:val="20"/>
          <w:szCs w:val="20"/>
          <w:lang w:eastAsia="en-GB"/>
        </w:rPr>
        <w:t>COP changes</w:t>
      </w:r>
      <w:r w:rsidR="005C06B4">
        <w:rPr>
          <w:sz w:val="20"/>
          <w:szCs w:val="20"/>
          <w:lang w:eastAsia="en-GB"/>
        </w:rPr>
        <w:t xml:space="preserve"> in relation to the</w:t>
      </w:r>
      <w:r>
        <w:rPr>
          <w:sz w:val="20"/>
          <w:szCs w:val="20"/>
          <w:lang w:eastAsia="en-GB"/>
        </w:rPr>
        <w:t xml:space="preserve"> </w:t>
      </w:r>
      <w:r w:rsidR="005C06B4">
        <w:rPr>
          <w:sz w:val="20"/>
          <w:szCs w:val="20"/>
          <w:lang w:eastAsia="en-GB"/>
        </w:rPr>
        <w:t>m</w:t>
      </w:r>
      <w:r>
        <w:rPr>
          <w:sz w:val="20"/>
          <w:szCs w:val="20"/>
          <w:lang w:eastAsia="en-GB"/>
        </w:rPr>
        <w:t>ovement</w:t>
      </w:r>
      <w:r w:rsidR="005C06B4">
        <w:rPr>
          <w:sz w:val="20"/>
          <w:szCs w:val="20"/>
          <w:lang w:eastAsia="en-GB"/>
        </w:rPr>
        <w:t xml:space="preserve"> of </w:t>
      </w:r>
      <w:r>
        <w:rPr>
          <w:sz w:val="20"/>
          <w:szCs w:val="20"/>
          <w:lang w:eastAsia="en-GB"/>
        </w:rPr>
        <w:t>c</w:t>
      </w:r>
      <w:r w:rsidRPr="00211FCA">
        <w:rPr>
          <w:sz w:val="20"/>
          <w:szCs w:val="20"/>
          <w:lang w:eastAsia="en-GB"/>
        </w:rPr>
        <w:t>hi</w:t>
      </w:r>
      <w:r>
        <w:rPr>
          <w:sz w:val="20"/>
          <w:szCs w:val="20"/>
          <w:lang w:eastAsia="en-GB"/>
        </w:rPr>
        <w:t>ldren's 'centres</w:t>
      </w:r>
      <w:r w:rsidR="005C06B4">
        <w:rPr>
          <w:sz w:val="20"/>
          <w:szCs w:val="20"/>
          <w:lang w:eastAsia="en-GB"/>
        </w:rPr>
        <w:t>, targeted services for young people and universal services for young people</w:t>
      </w:r>
      <w:r w:rsidR="00EB68A7">
        <w:rPr>
          <w:sz w:val="20"/>
          <w:szCs w:val="20"/>
          <w:lang w:eastAsia="en-GB"/>
        </w:rPr>
        <w:t xml:space="preserve">; </w:t>
      </w:r>
      <w:r w:rsidR="005C06B4">
        <w:rPr>
          <w:sz w:val="20"/>
          <w:szCs w:val="20"/>
          <w:lang w:eastAsia="en-GB"/>
        </w:rPr>
        <w:t xml:space="preserve">moving </w:t>
      </w:r>
      <w:r>
        <w:rPr>
          <w:sz w:val="20"/>
          <w:szCs w:val="20"/>
          <w:lang w:eastAsia="en-GB"/>
        </w:rPr>
        <w:t xml:space="preserve">from Children's </w:t>
      </w:r>
      <w:r w:rsidRPr="00211FCA">
        <w:rPr>
          <w:sz w:val="20"/>
          <w:szCs w:val="20"/>
          <w:lang w:eastAsia="en-GB"/>
        </w:rPr>
        <w:t xml:space="preserve">and Education Services to Children's Social </w:t>
      </w:r>
      <w:r>
        <w:rPr>
          <w:sz w:val="20"/>
          <w:szCs w:val="20"/>
          <w:lang w:eastAsia="en-GB"/>
        </w:rPr>
        <w:t>Care</w:t>
      </w:r>
      <w:r w:rsidR="005C06B4">
        <w:rPr>
          <w:sz w:val="20"/>
          <w:szCs w:val="20"/>
          <w:lang w:eastAsia="en-GB"/>
        </w:rPr>
        <w:t>.</w:t>
      </w:r>
      <w:r>
        <w:rPr>
          <w:sz w:val="20"/>
          <w:szCs w:val="20"/>
          <w:lang w:eastAsia="en-GB"/>
        </w:rPr>
        <w:t xml:space="preserve"> </w:t>
      </w:r>
      <w:r w:rsidR="005C06B4">
        <w:rPr>
          <w:sz w:val="20"/>
          <w:szCs w:val="20"/>
          <w:lang w:eastAsia="en-GB"/>
        </w:rPr>
        <w:t>Whilst these changes result in movements across services they do not affect the 'Total Cost of Services'</w:t>
      </w:r>
      <w:r w:rsidR="005C06B4" w:rsidRPr="00211FCA">
        <w:rPr>
          <w:sz w:val="20"/>
          <w:szCs w:val="20"/>
          <w:lang w:eastAsia="en-GB"/>
        </w:rPr>
        <w:t>.</w:t>
      </w:r>
    </w:p>
    <w:p w14:paraId="3FDC11CA" w14:textId="62FF2EF3" w:rsidR="004A03A3" w:rsidRPr="004A03A3" w:rsidRDefault="004A03A3" w:rsidP="005C06B4">
      <w:pPr>
        <w:jc w:val="left"/>
        <w:rPr>
          <w:color w:val="auto"/>
          <w:highlight w:val="yellow"/>
          <w:vertAlign w:val="superscript"/>
        </w:rPr>
        <w:sectPr w:rsidR="004A03A3" w:rsidRPr="004A03A3" w:rsidSect="00A14003">
          <w:footerReference w:type="default" r:id="rId15"/>
          <w:pgSz w:w="16840" w:h="11900" w:orient="landscape" w:code="9"/>
          <w:pgMar w:top="720" w:right="720" w:bottom="720" w:left="720" w:header="284" w:footer="284" w:gutter="0"/>
          <w:cols w:space="292"/>
          <w:docGrid w:linePitch="326"/>
        </w:sectPr>
      </w:pPr>
      <w:r w:rsidRPr="004A03A3">
        <w:rPr>
          <w:sz w:val="20"/>
          <w:szCs w:val="20"/>
          <w:vertAlign w:val="superscript"/>
          <w:lang w:eastAsia="en-GB"/>
        </w:rPr>
        <w:t>2</w:t>
      </w:r>
      <w:r>
        <w:rPr>
          <w:sz w:val="20"/>
          <w:szCs w:val="20"/>
          <w:lang w:eastAsia="en-GB"/>
        </w:rPr>
        <w:t xml:space="preserve">Comparatives have been restated </w:t>
      </w:r>
      <w:r w:rsidR="00447CBB">
        <w:rPr>
          <w:sz w:val="20"/>
          <w:szCs w:val="20"/>
          <w:lang w:eastAsia="en-GB"/>
        </w:rPr>
        <w:t>since the presentation of the of the Educat</w:t>
      </w:r>
      <w:r w:rsidR="004F1DA7">
        <w:rPr>
          <w:sz w:val="20"/>
          <w:szCs w:val="20"/>
          <w:lang w:eastAsia="en-GB"/>
        </w:rPr>
        <w:t>ion S</w:t>
      </w:r>
      <w:r w:rsidR="00447CBB">
        <w:rPr>
          <w:sz w:val="20"/>
          <w:szCs w:val="20"/>
          <w:lang w:eastAsia="en-GB"/>
        </w:rPr>
        <w:t>ervice</w:t>
      </w:r>
      <w:r w:rsidR="004F1DA7">
        <w:rPr>
          <w:sz w:val="20"/>
          <w:szCs w:val="20"/>
          <w:lang w:eastAsia="en-GB"/>
        </w:rPr>
        <w:t>s</w:t>
      </w:r>
      <w:r w:rsidR="00447CBB">
        <w:rPr>
          <w:sz w:val="20"/>
          <w:szCs w:val="20"/>
          <w:lang w:eastAsia="en-GB"/>
        </w:rPr>
        <w:t xml:space="preserve"> Grant has changed to reflect the nonspecific nature of the grant</w:t>
      </w:r>
      <w:r>
        <w:rPr>
          <w:sz w:val="20"/>
          <w:szCs w:val="20"/>
          <w:lang w:eastAsia="en-GB"/>
        </w:rPr>
        <w:t xml:space="preserve"> </w:t>
      </w:r>
      <w:r>
        <w:rPr>
          <w:sz w:val="20"/>
          <w:szCs w:val="20"/>
          <w:vertAlign w:val="superscript"/>
          <w:lang w:eastAsia="en-GB"/>
        </w:rPr>
        <w:t xml:space="preserve"> </w:t>
      </w:r>
    </w:p>
    <w:p w14:paraId="46A630C9" w14:textId="77777777" w:rsidR="001D219D" w:rsidRPr="00A06955" w:rsidRDefault="0064475E" w:rsidP="007A5E4E">
      <w:pPr>
        <w:pStyle w:val="Heading2"/>
      </w:pPr>
      <w:r w:rsidRPr="00A06955">
        <w:lastRenderedPageBreak/>
        <w:t>Balance Sheet</w:t>
      </w:r>
    </w:p>
    <w:p w14:paraId="70AA60C3" w14:textId="14648715" w:rsidR="0064475E" w:rsidRDefault="0064475E" w:rsidP="0064475E">
      <w:pPr>
        <w:rPr>
          <w:color w:val="auto"/>
        </w:rPr>
      </w:pPr>
      <w:r w:rsidRPr="00A06955">
        <w:rPr>
          <w:color w:val="auto"/>
        </w:rPr>
        <w:t xml:space="preserve">The balance sheet shows the value as at </w:t>
      </w:r>
      <w:r w:rsidR="00984A45">
        <w:rPr>
          <w:color w:val="auto"/>
        </w:rPr>
        <w:t>31</w:t>
      </w:r>
      <w:r w:rsidR="00984A45" w:rsidRPr="00984A45">
        <w:rPr>
          <w:color w:val="auto"/>
          <w:vertAlign w:val="superscript"/>
        </w:rPr>
        <w:t>st</w:t>
      </w:r>
      <w:r w:rsidR="00984A45">
        <w:rPr>
          <w:color w:val="auto"/>
        </w:rPr>
        <w:t xml:space="preserve"> </w:t>
      </w:r>
      <w:r w:rsidR="00656B78">
        <w:rPr>
          <w:color w:val="auto"/>
        </w:rPr>
        <w:t xml:space="preserve">March </w:t>
      </w:r>
      <w:r w:rsidRPr="00A06955">
        <w:rPr>
          <w:color w:val="auto"/>
        </w:rPr>
        <w:t>of assets and liabilities recognised by the county council. The net assets of the council (assets less liabilities) are matched by the reserves held by the council.</w:t>
      </w:r>
    </w:p>
    <w:p w14:paraId="534F1F8F" w14:textId="77777777" w:rsidR="008B0D8D" w:rsidRPr="00A06955" w:rsidRDefault="008B0D8D" w:rsidP="0064475E">
      <w:pPr>
        <w:rPr>
          <w:color w:val="auto"/>
        </w:rPr>
      </w:pPr>
    </w:p>
    <w:p w14:paraId="1D7AA192" w14:textId="319BCB82" w:rsidR="0064475E" w:rsidRDefault="0064475E" w:rsidP="0064475E">
      <w:pPr>
        <w:rPr>
          <w:color w:val="auto"/>
        </w:rPr>
      </w:pPr>
      <w:r w:rsidRPr="00A06955">
        <w:rPr>
          <w:color w:val="auto"/>
        </w:rPr>
        <w:t>Reserves are reported in two categories. The first category of reserves are usable reserves (i</w:t>
      </w:r>
      <w:r w:rsidR="008B0D8D">
        <w:rPr>
          <w:color w:val="auto"/>
        </w:rPr>
        <w:t>.</w:t>
      </w:r>
      <w:r w:rsidRPr="00A06955">
        <w:rPr>
          <w:color w:val="auto"/>
        </w:rPr>
        <w:t>e</w:t>
      </w:r>
      <w:r w:rsidR="008B0D8D">
        <w:rPr>
          <w:color w:val="auto"/>
        </w:rPr>
        <w:t>.</w:t>
      </w:r>
      <w:r w:rsidRPr="00A06955">
        <w:rPr>
          <w:color w:val="auto"/>
        </w:rPr>
        <w:t xml:space="preserve"> those reserves that the county council may use to provide services, subject to the need to maintain a prudent level of reserves and any statutory limitation on their use)</w:t>
      </w:r>
      <w:r w:rsidR="008B0D8D">
        <w:rPr>
          <w:color w:val="auto"/>
        </w:rPr>
        <w:t xml:space="preserve">. </w:t>
      </w:r>
      <w:r w:rsidRPr="00A06955">
        <w:rPr>
          <w:color w:val="auto"/>
        </w:rPr>
        <w:t xml:space="preserve"> An example of this is the Capital Receipts Reserve that may only be used to fund capital expenditure or repay debt.</w:t>
      </w:r>
    </w:p>
    <w:p w14:paraId="049511BE" w14:textId="77777777" w:rsidR="008B0D8D" w:rsidRPr="00A06955" w:rsidRDefault="008B0D8D" w:rsidP="0064475E">
      <w:pPr>
        <w:rPr>
          <w:color w:val="auto"/>
        </w:rPr>
      </w:pPr>
    </w:p>
    <w:p w14:paraId="65D6663C" w14:textId="77777777" w:rsidR="0064475E" w:rsidRDefault="0064475E" w:rsidP="0064475E">
      <w:pPr>
        <w:rPr>
          <w:color w:val="auto"/>
        </w:rPr>
      </w:pPr>
      <w:r w:rsidRPr="00A06955">
        <w:rPr>
          <w:color w:val="auto"/>
        </w:rPr>
        <w:t>The second category of reserves is those that the council is not able to use to provide services (unusable reserves). This category of reserves includes reserves that hold unrealised gains and losses, for example the Revaluation Reserve, where amounts would only become available to provide services if the assets are sold; and reserves that hold timing differences shown in the Movement in Reserves Statement line 'Adjustments between accounting basis and funding basis under regulations'.</w:t>
      </w:r>
    </w:p>
    <w:p w14:paraId="6D1CFF2F" w14:textId="77777777" w:rsidR="0064475E" w:rsidRDefault="0064475E" w:rsidP="0064475E">
      <w:pPr>
        <w:rPr>
          <w:color w:val="auto"/>
        </w:rPr>
      </w:pPr>
    </w:p>
    <w:p w14:paraId="0C76A3CA" w14:textId="77777777" w:rsidR="0064475E" w:rsidRPr="0064475E" w:rsidRDefault="0064475E" w:rsidP="0064475E">
      <w:pPr>
        <w:rPr>
          <w:color w:val="auto"/>
        </w:rPr>
      </w:pPr>
      <w:r>
        <w:rPr>
          <w:color w:val="auto"/>
        </w:rPr>
        <w:br w:type="page"/>
      </w:r>
    </w:p>
    <w:tbl>
      <w:tblPr>
        <w:tblW w:w="499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3"/>
        <w:gridCol w:w="1384"/>
        <w:gridCol w:w="2330"/>
        <w:gridCol w:w="2330"/>
      </w:tblGrid>
      <w:tr w:rsidR="00AD74BB" w:rsidRPr="008D3771" w14:paraId="792DB133" w14:textId="77777777" w:rsidTr="00A06955">
        <w:trPr>
          <w:trHeight w:hRule="exact" w:val="369"/>
          <w:tblHeader/>
        </w:trPr>
        <w:tc>
          <w:tcPr>
            <w:tcW w:w="2105" w:type="pct"/>
            <w:shd w:val="clear" w:color="auto" w:fill="D0CECE"/>
            <w:vAlign w:val="bottom"/>
          </w:tcPr>
          <w:p w14:paraId="3E763DA5" w14:textId="77777777" w:rsidR="0064475E" w:rsidRPr="00747B0B" w:rsidRDefault="0064475E" w:rsidP="008D3771">
            <w:pPr>
              <w:jc w:val="left"/>
              <w:rPr>
                <w:color w:val="auto"/>
                <w:highlight w:val="yellow"/>
              </w:rPr>
            </w:pPr>
          </w:p>
        </w:tc>
        <w:tc>
          <w:tcPr>
            <w:tcW w:w="663" w:type="pct"/>
            <w:shd w:val="clear" w:color="auto" w:fill="D0CECE"/>
            <w:vAlign w:val="bottom"/>
          </w:tcPr>
          <w:p w14:paraId="5927C4CC" w14:textId="77777777" w:rsidR="0064475E" w:rsidRPr="00A06955" w:rsidRDefault="0043385F" w:rsidP="008D3771">
            <w:pPr>
              <w:jc w:val="right"/>
              <w:rPr>
                <w:b/>
                <w:color w:val="auto"/>
              </w:rPr>
            </w:pPr>
            <w:r w:rsidRPr="00A06955">
              <w:rPr>
                <w:b/>
                <w:color w:val="auto"/>
              </w:rPr>
              <w:t>Notes</w:t>
            </w:r>
          </w:p>
        </w:tc>
        <w:tc>
          <w:tcPr>
            <w:tcW w:w="1116" w:type="pct"/>
            <w:shd w:val="clear" w:color="auto" w:fill="D0CECE"/>
            <w:vAlign w:val="bottom"/>
          </w:tcPr>
          <w:p w14:paraId="65B5A87D" w14:textId="40DB1484" w:rsidR="0064475E" w:rsidRPr="00A06955" w:rsidRDefault="0064101C" w:rsidP="008D3771">
            <w:pPr>
              <w:jc w:val="center"/>
              <w:rPr>
                <w:b/>
                <w:color w:val="auto"/>
              </w:rPr>
            </w:pPr>
            <w:r>
              <w:rPr>
                <w:b/>
                <w:color w:val="auto"/>
              </w:rPr>
              <w:t>31/03/15</w:t>
            </w:r>
          </w:p>
        </w:tc>
        <w:tc>
          <w:tcPr>
            <w:tcW w:w="1116" w:type="pct"/>
            <w:shd w:val="clear" w:color="auto" w:fill="D0CECE"/>
            <w:vAlign w:val="bottom"/>
          </w:tcPr>
          <w:p w14:paraId="050DB036" w14:textId="2FAEE113" w:rsidR="0064475E" w:rsidRPr="008D3771" w:rsidRDefault="0064101C" w:rsidP="008D3771">
            <w:pPr>
              <w:jc w:val="center"/>
              <w:rPr>
                <w:b/>
                <w:color w:val="auto"/>
              </w:rPr>
            </w:pPr>
            <w:r>
              <w:rPr>
                <w:b/>
                <w:color w:val="auto"/>
              </w:rPr>
              <w:t>31/03/14</w:t>
            </w:r>
          </w:p>
        </w:tc>
      </w:tr>
      <w:tr w:rsidR="00AD74BB" w:rsidRPr="008D3771" w14:paraId="164BAAB9" w14:textId="77777777" w:rsidTr="00A06955">
        <w:trPr>
          <w:trHeight w:hRule="exact" w:val="369"/>
          <w:tblHeader/>
        </w:trPr>
        <w:tc>
          <w:tcPr>
            <w:tcW w:w="2105" w:type="pct"/>
            <w:shd w:val="clear" w:color="auto" w:fill="D0CECE"/>
            <w:vAlign w:val="bottom"/>
          </w:tcPr>
          <w:p w14:paraId="68F3EA76" w14:textId="45639811" w:rsidR="0064475E" w:rsidRPr="00424AFC" w:rsidRDefault="00424AFC" w:rsidP="008D3771">
            <w:pPr>
              <w:jc w:val="left"/>
              <w:rPr>
                <w:b/>
                <w:color w:val="auto"/>
                <w:highlight w:val="yellow"/>
              </w:rPr>
            </w:pPr>
            <w:r w:rsidRPr="00424AFC">
              <w:rPr>
                <w:b/>
                <w:color w:val="auto"/>
              </w:rPr>
              <w:t>Balance Sheet</w:t>
            </w:r>
          </w:p>
        </w:tc>
        <w:tc>
          <w:tcPr>
            <w:tcW w:w="663" w:type="pct"/>
            <w:shd w:val="clear" w:color="auto" w:fill="D0CECE"/>
            <w:vAlign w:val="bottom"/>
          </w:tcPr>
          <w:p w14:paraId="7076914C" w14:textId="77777777" w:rsidR="0064475E" w:rsidRPr="00A06955" w:rsidRDefault="0064475E" w:rsidP="008D3771">
            <w:pPr>
              <w:jc w:val="right"/>
              <w:rPr>
                <w:b/>
                <w:color w:val="auto"/>
              </w:rPr>
            </w:pPr>
          </w:p>
        </w:tc>
        <w:tc>
          <w:tcPr>
            <w:tcW w:w="1116" w:type="pct"/>
            <w:shd w:val="clear" w:color="auto" w:fill="D0CECE"/>
            <w:vAlign w:val="bottom"/>
          </w:tcPr>
          <w:p w14:paraId="0FB1080C" w14:textId="77777777" w:rsidR="0064475E" w:rsidRPr="00A06955" w:rsidRDefault="00775A39" w:rsidP="008D3771">
            <w:pPr>
              <w:jc w:val="center"/>
              <w:rPr>
                <w:b/>
                <w:color w:val="auto"/>
              </w:rPr>
            </w:pPr>
            <w:r w:rsidRPr="00A06955">
              <w:rPr>
                <w:b/>
                <w:color w:val="auto"/>
              </w:rPr>
              <w:t>£m</w:t>
            </w:r>
          </w:p>
        </w:tc>
        <w:tc>
          <w:tcPr>
            <w:tcW w:w="1116" w:type="pct"/>
            <w:shd w:val="clear" w:color="auto" w:fill="D0CECE"/>
            <w:vAlign w:val="bottom"/>
          </w:tcPr>
          <w:p w14:paraId="158E7C85" w14:textId="77777777" w:rsidR="0064475E" w:rsidRPr="008D3771" w:rsidRDefault="00775A39" w:rsidP="008D3771">
            <w:pPr>
              <w:jc w:val="center"/>
              <w:rPr>
                <w:b/>
                <w:color w:val="auto"/>
              </w:rPr>
            </w:pPr>
            <w:r w:rsidRPr="008D3771">
              <w:rPr>
                <w:b/>
                <w:color w:val="auto"/>
              </w:rPr>
              <w:t>£m</w:t>
            </w:r>
          </w:p>
        </w:tc>
      </w:tr>
      <w:tr w:rsidR="00AD74BB" w:rsidRPr="008D3771" w14:paraId="27A636C7" w14:textId="77777777" w:rsidTr="008D3771">
        <w:trPr>
          <w:trHeight w:hRule="exact" w:val="369"/>
        </w:trPr>
        <w:tc>
          <w:tcPr>
            <w:tcW w:w="2105" w:type="pct"/>
            <w:shd w:val="clear" w:color="auto" w:fill="auto"/>
            <w:vAlign w:val="bottom"/>
          </w:tcPr>
          <w:p w14:paraId="6FE13BB8" w14:textId="77777777" w:rsidR="0064475E" w:rsidRPr="00747B0B" w:rsidRDefault="0064475E" w:rsidP="008D3771">
            <w:pPr>
              <w:jc w:val="left"/>
              <w:rPr>
                <w:color w:val="auto"/>
                <w:highlight w:val="yellow"/>
              </w:rPr>
            </w:pPr>
          </w:p>
        </w:tc>
        <w:tc>
          <w:tcPr>
            <w:tcW w:w="663" w:type="pct"/>
            <w:shd w:val="clear" w:color="auto" w:fill="auto"/>
            <w:vAlign w:val="bottom"/>
          </w:tcPr>
          <w:p w14:paraId="2EBCEABF" w14:textId="77777777" w:rsidR="0064475E" w:rsidRPr="00747B0B" w:rsidRDefault="0064475E" w:rsidP="008D3771">
            <w:pPr>
              <w:jc w:val="right"/>
              <w:rPr>
                <w:color w:val="auto"/>
                <w:highlight w:val="yellow"/>
              </w:rPr>
            </w:pPr>
          </w:p>
        </w:tc>
        <w:tc>
          <w:tcPr>
            <w:tcW w:w="1116" w:type="pct"/>
            <w:shd w:val="clear" w:color="auto" w:fill="auto"/>
            <w:vAlign w:val="bottom"/>
          </w:tcPr>
          <w:p w14:paraId="20866041" w14:textId="77777777" w:rsidR="0064475E" w:rsidRPr="00A06955" w:rsidRDefault="0064475E" w:rsidP="008D3771">
            <w:pPr>
              <w:tabs>
                <w:tab w:val="decimal" w:pos="1192"/>
              </w:tabs>
              <w:rPr>
                <w:color w:val="auto"/>
                <w:highlight w:val="lightGray"/>
              </w:rPr>
            </w:pPr>
          </w:p>
        </w:tc>
        <w:tc>
          <w:tcPr>
            <w:tcW w:w="1116" w:type="pct"/>
            <w:shd w:val="clear" w:color="auto" w:fill="auto"/>
            <w:vAlign w:val="bottom"/>
          </w:tcPr>
          <w:p w14:paraId="5E27604C" w14:textId="77777777" w:rsidR="0064475E" w:rsidRPr="008D3771" w:rsidRDefault="0064475E" w:rsidP="008D3771">
            <w:pPr>
              <w:tabs>
                <w:tab w:val="decimal" w:pos="1152"/>
              </w:tabs>
              <w:rPr>
                <w:color w:val="auto"/>
              </w:rPr>
            </w:pPr>
          </w:p>
        </w:tc>
      </w:tr>
      <w:tr w:rsidR="001477BC" w:rsidRPr="008D3771" w14:paraId="5DF9C296" w14:textId="77777777" w:rsidTr="00A06955">
        <w:trPr>
          <w:trHeight w:hRule="exact" w:val="369"/>
        </w:trPr>
        <w:tc>
          <w:tcPr>
            <w:tcW w:w="2105" w:type="pct"/>
            <w:shd w:val="clear" w:color="auto" w:fill="auto"/>
            <w:vAlign w:val="bottom"/>
          </w:tcPr>
          <w:p w14:paraId="2E902ABD" w14:textId="77777777" w:rsidR="001477BC" w:rsidRPr="00A06955" w:rsidRDefault="001477BC" w:rsidP="001477BC">
            <w:pPr>
              <w:jc w:val="left"/>
              <w:rPr>
                <w:color w:val="auto"/>
              </w:rPr>
            </w:pPr>
            <w:r w:rsidRPr="00A06955">
              <w:rPr>
                <w:rFonts w:eastAsia="Times New Roman" w:cs="Arial"/>
                <w:lang w:eastAsia="en-GB"/>
              </w:rPr>
              <w:t>Property Plant and Equipment</w:t>
            </w:r>
          </w:p>
        </w:tc>
        <w:tc>
          <w:tcPr>
            <w:tcW w:w="663" w:type="pct"/>
            <w:shd w:val="clear" w:color="auto" w:fill="auto"/>
            <w:vAlign w:val="bottom"/>
          </w:tcPr>
          <w:p w14:paraId="6BC46235" w14:textId="62FD5690" w:rsidR="001477BC" w:rsidRPr="00A06955" w:rsidRDefault="001477BC" w:rsidP="001477BC">
            <w:pPr>
              <w:jc w:val="right"/>
              <w:rPr>
                <w:color w:val="auto"/>
              </w:rPr>
            </w:pPr>
            <w:r w:rsidRPr="00A06955">
              <w:rPr>
                <w:color w:val="auto"/>
              </w:rPr>
              <w:t>21</w:t>
            </w:r>
          </w:p>
        </w:tc>
        <w:tc>
          <w:tcPr>
            <w:tcW w:w="1116" w:type="pct"/>
            <w:tcBorders>
              <w:top w:val="nil"/>
              <w:left w:val="nil"/>
              <w:bottom w:val="nil"/>
              <w:right w:val="nil"/>
            </w:tcBorders>
            <w:shd w:val="clear" w:color="auto" w:fill="auto"/>
            <w:vAlign w:val="center"/>
          </w:tcPr>
          <w:p w14:paraId="67F88B61" w14:textId="0643C58F" w:rsidR="001477BC" w:rsidRPr="00A06955" w:rsidRDefault="001477BC" w:rsidP="00BE3088">
            <w:pPr>
              <w:tabs>
                <w:tab w:val="decimal" w:pos="1192"/>
              </w:tabs>
              <w:rPr>
                <w:color w:val="auto"/>
              </w:rPr>
            </w:pPr>
            <w:r w:rsidRPr="00A06955">
              <w:rPr>
                <w:rFonts w:cs="Arial"/>
              </w:rPr>
              <w:t>2,</w:t>
            </w:r>
            <w:r w:rsidR="00BE3088">
              <w:rPr>
                <w:rFonts w:cs="Arial"/>
              </w:rPr>
              <w:t>638.2</w:t>
            </w:r>
          </w:p>
        </w:tc>
        <w:tc>
          <w:tcPr>
            <w:tcW w:w="1116" w:type="pct"/>
            <w:shd w:val="clear" w:color="auto" w:fill="auto"/>
            <w:vAlign w:val="bottom"/>
          </w:tcPr>
          <w:p w14:paraId="4507F974" w14:textId="59F7E9E6" w:rsidR="001477BC" w:rsidRPr="00F87055" w:rsidRDefault="001477BC" w:rsidP="001477BC">
            <w:pPr>
              <w:tabs>
                <w:tab w:val="decimal" w:pos="1152"/>
              </w:tabs>
              <w:rPr>
                <w:color w:val="auto"/>
              </w:rPr>
            </w:pPr>
            <w:r w:rsidRPr="00F87055">
              <w:rPr>
                <w:color w:val="auto"/>
              </w:rPr>
              <w:t>2,640.0</w:t>
            </w:r>
          </w:p>
        </w:tc>
      </w:tr>
      <w:tr w:rsidR="001477BC" w:rsidRPr="008D3771" w14:paraId="36F68C64" w14:textId="77777777" w:rsidTr="00A06955">
        <w:trPr>
          <w:trHeight w:hRule="exact" w:val="369"/>
        </w:trPr>
        <w:tc>
          <w:tcPr>
            <w:tcW w:w="2105" w:type="pct"/>
            <w:shd w:val="clear" w:color="auto" w:fill="auto"/>
            <w:vAlign w:val="bottom"/>
          </w:tcPr>
          <w:p w14:paraId="51AAE077" w14:textId="77777777" w:rsidR="001477BC" w:rsidRPr="00A06955" w:rsidRDefault="001477BC" w:rsidP="001477BC">
            <w:pPr>
              <w:jc w:val="left"/>
              <w:rPr>
                <w:color w:val="auto"/>
              </w:rPr>
            </w:pPr>
            <w:r w:rsidRPr="00A06955">
              <w:rPr>
                <w:rFonts w:eastAsia="Times New Roman" w:cs="Arial"/>
                <w:lang w:eastAsia="en-GB"/>
              </w:rPr>
              <w:t>Heritage Assets</w:t>
            </w:r>
          </w:p>
        </w:tc>
        <w:tc>
          <w:tcPr>
            <w:tcW w:w="663" w:type="pct"/>
            <w:shd w:val="clear" w:color="auto" w:fill="auto"/>
            <w:vAlign w:val="bottom"/>
          </w:tcPr>
          <w:p w14:paraId="23720542" w14:textId="1A302E0E" w:rsidR="001477BC" w:rsidRPr="00A06955" w:rsidRDefault="00424AFC" w:rsidP="001477BC">
            <w:pPr>
              <w:jc w:val="right"/>
              <w:rPr>
                <w:color w:val="auto"/>
              </w:rPr>
            </w:pPr>
            <w:r>
              <w:rPr>
                <w:color w:val="auto"/>
              </w:rPr>
              <w:t>22</w:t>
            </w:r>
          </w:p>
        </w:tc>
        <w:tc>
          <w:tcPr>
            <w:tcW w:w="1116" w:type="pct"/>
            <w:tcBorders>
              <w:top w:val="nil"/>
              <w:left w:val="nil"/>
              <w:bottom w:val="nil"/>
              <w:right w:val="nil"/>
            </w:tcBorders>
            <w:shd w:val="clear" w:color="auto" w:fill="auto"/>
            <w:vAlign w:val="center"/>
          </w:tcPr>
          <w:p w14:paraId="68406827" w14:textId="5CD74ED5" w:rsidR="001477BC" w:rsidRPr="00A06955" w:rsidRDefault="001477BC" w:rsidP="001477BC">
            <w:pPr>
              <w:tabs>
                <w:tab w:val="decimal" w:pos="1192"/>
              </w:tabs>
              <w:rPr>
                <w:color w:val="auto"/>
              </w:rPr>
            </w:pPr>
            <w:r w:rsidRPr="00265B66">
              <w:rPr>
                <w:rFonts w:cs="Arial"/>
              </w:rPr>
              <w:t>28.7</w:t>
            </w:r>
          </w:p>
        </w:tc>
        <w:tc>
          <w:tcPr>
            <w:tcW w:w="1116" w:type="pct"/>
            <w:shd w:val="clear" w:color="auto" w:fill="auto"/>
            <w:vAlign w:val="bottom"/>
          </w:tcPr>
          <w:p w14:paraId="09E87C55" w14:textId="77777777" w:rsidR="001477BC" w:rsidRPr="00F87055" w:rsidRDefault="001477BC" w:rsidP="001477BC">
            <w:pPr>
              <w:tabs>
                <w:tab w:val="decimal" w:pos="1152"/>
              </w:tabs>
              <w:rPr>
                <w:color w:val="auto"/>
              </w:rPr>
            </w:pPr>
            <w:r w:rsidRPr="00F87055">
              <w:rPr>
                <w:color w:val="auto"/>
              </w:rPr>
              <w:t>28.4</w:t>
            </w:r>
          </w:p>
        </w:tc>
      </w:tr>
      <w:tr w:rsidR="001477BC" w:rsidRPr="008D3771" w14:paraId="6935D74D" w14:textId="77777777" w:rsidTr="00A06955">
        <w:trPr>
          <w:trHeight w:hRule="exact" w:val="369"/>
        </w:trPr>
        <w:tc>
          <w:tcPr>
            <w:tcW w:w="2105" w:type="pct"/>
            <w:shd w:val="clear" w:color="auto" w:fill="auto"/>
            <w:vAlign w:val="bottom"/>
          </w:tcPr>
          <w:p w14:paraId="2B74A50E" w14:textId="77777777" w:rsidR="001477BC" w:rsidRPr="00A06955" w:rsidRDefault="001477BC" w:rsidP="001477BC">
            <w:pPr>
              <w:jc w:val="left"/>
              <w:rPr>
                <w:color w:val="auto"/>
              </w:rPr>
            </w:pPr>
            <w:r w:rsidRPr="00A06955">
              <w:rPr>
                <w:rFonts w:eastAsia="Times New Roman" w:cs="Arial"/>
                <w:lang w:eastAsia="en-GB"/>
              </w:rPr>
              <w:t>Investment Property</w:t>
            </w:r>
          </w:p>
        </w:tc>
        <w:tc>
          <w:tcPr>
            <w:tcW w:w="663" w:type="pct"/>
            <w:shd w:val="clear" w:color="auto" w:fill="auto"/>
            <w:vAlign w:val="bottom"/>
          </w:tcPr>
          <w:p w14:paraId="34ECE3ED" w14:textId="77777777" w:rsidR="001477BC" w:rsidRPr="00A06955" w:rsidRDefault="001477BC" w:rsidP="001477BC">
            <w:pPr>
              <w:jc w:val="right"/>
              <w:rPr>
                <w:color w:val="auto"/>
              </w:rPr>
            </w:pPr>
          </w:p>
        </w:tc>
        <w:tc>
          <w:tcPr>
            <w:tcW w:w="1116" w:type="pct"/>
            <w:tcBorders>
              <w:top w:val="nil"/>
              <w:left w:val="nil"/>
              <w:bottom w:val="nil"/>
              <w:right w:val="nil"/>
            </w:tcBorders>
            <w:shd w:val="clear" w:color="auto" w:fill="auto"/>
            <w:vAlign w:val="center"/>
          </w:tcPr>
          <w:p w14:paraId="7EF0CCC4" w14:textId="63F45F68" w:rsidR="001477BC" w:rsidRPr="00A06955" w:rsidRDefault="00075F6C" w:rsidP="001477BC">
            <w:pPr>
              <w:tabs>
                <w:tab w:val="decimal" w:pos="1192"/>
              </w:tabs>
              <w:rPr>
                <w:color w:val="auto"/>
              </w:rPr>
            </w:pPr>
            <w:r>
              <w:rPr>
                <w:rFonts w:cs="Arial"/>
              </w:rPr>
              <w:t>2.8</w:t>
            </w:r>
          </w:p>
        </w:tc>
        <w:tc>
          <w:tcPr>
            <w:tcW w:w="1116" w:type="pct"/>
            <w:shd w:val="clear" w:color="auto" w:fill="auto"/>
            <w:vAlign w:val="bottom"/>
          </w:tcPr>
          <w:p w14:paraId="76EC7AF4" w14:textId="0478C14C" w:rsidR="001477BC" w:rsidRPr="00F87055" w:rsidRDefault="001477BC" w:rsidP="001477BC">
            <w:pPr>
              <w:tabs>
                <w:tab w:val="decimal" w:pos="1152"/>
              </w:tabs>
              <w:rPr>
                <w:color w:val="auto"/>
              </w:rPr>
            </w:pPr>
            <w:r w:rsidRPr="00F87055">
              <w:rPr>
                <w:color w:val="auto"/>
              </w:rPr>
              <w:t>2.7</w:t>
            </w:r>
          </w:p>
        </w:tc>
      </w:tr>
      <w:tr w:rsidR="001477BC" w:rsidRPr="008D3771" w14:paraId="56C22EC0" w14:textId="77777777" w:rsidTr="00A06955">
        <w:trPr>
          <w:trHeight w:hRule="exact" w:val="369"/>
        </w:trPr>
        <w:tc>
          <w:tcPr>
            <w:tcW w:w="2105" w:type="pct"/>
            <w:shd w:val="clear" w:color="auto" w:fill="auto"/>
            <w:vAlign w:val="bottom"/>
          </w:tcPr>
          <w:p w14:paraId="51919E22" w14:textId="77777777" w:rsidR="001477BC" w:rsidRPr="00A06955" w:rsidRDefault="001477BC" w:rsidP="001477BC">
            <w:pPr>
              <w:jc w:val="left"/>
              <w:rPr>
                <w:color w:val="auto"/>
              </w:rPr>
            </w:pPr>
            <w:r w:rsidRPr="00A06955">
              <w:rPr>
                <w:rFonts w:eastAsia="Times New Roman" w:cs="Arial"/>
                <w:lang w:eastAsia="en-GB"/>
              </w:rPr>
              <w:t>Intangible Assets</w:t>
            </w:r>
          </w:p>
        </w:tc>
        <w:tc>
          <w:tcPr>
            <w:tcW w:w="663" w:type="pct"/>
            <w:shd w:val="clear" w:color="auto" w:fill="auto"/>
            <w:vAlign w:val="bottom"/>
          </w:tcPr>
          <w:p w14:paraId="5A6C4D2D" w14:textId="77777777" w:rsidR="001477BC" w:rsidRPr="00A06955" w:rsidRDefault="001477BC" w:rsidP="001477BC">
            <w:pPr>
              <w:jc w:val="right"/>
              <w:rPr>
                <w:color w:val="auto"/>
              </w:rPr>
            </w:pPr>
          </w:p>
        </w:tc>
        <w:tc>
          <w:tcPr>
            <w:tcW w:w="1116" w:type="pct"/>
            <w:tcBorders>
              <w:top w:val="nil"/>
              <w:left w:val="nil"/>
              <w:bottom w:val="nil"/>
              <w:right w:val="nil"/>
            </w:tcBorders>
            <w:shd w:val="clear" w:color="auto" w:fill="auto"/>
            <w:vAlign w:val="center"/>
          </w:tcPr>
          <w:p w14:paraId="07D9947D" w14:textId="2F499633" w:rsidR="001477BC" w:rsidRPr="00A06955" w:rsidRDefault="00F87055" w:rsidP="001477BC">
            <w:pPr>
              <w:tabs>
                <w:tab w:val="decimal" w:pos="1192"/>
              </w:tabs>
              <w:rPr>
                <w:color w:val="auto"/>
              </w:rPr>
            </w:pPr>
            <w:r>
              <w:rPr>
                <w:rFonts w:cs="Arial"/>
              </w:rPr>
              <w:t>21.7</w:t>
            </w:r>
          </w:p>
        </w:tc>
        <w:tc>
          <w:tcPr>
            <w:tcW w:w="1116" w:type="pct"/>
            <w:shd w:val="clear" w:color="auto" w:fill="auto"/>
            <w:vAlign w:val="bottom"/>
          </w:tcPr>
          <w:p w14:paraId="41222A6B" w14:textId="77777777" w:rsidR="001477BC" w:rsidRPr="00F87055" w:rsidRDefault="001477BC" w:rsidP="001477BC">
            <w:pPr>
              <w:tabs>
                <w:tab w:val="decimal" w:pos="1152"/>
              </w:tabs>
              <w:rPr>
                <w:color w:val="auto"/>
              </w:rPr>
            </w:pPr>
            <w:r w:rsidRPr="00F87055">
              <w:rPr>
                <w:color w:val="auto"/>
              </w:rPr>
              <w:t>23.2</w:t>
            </w:r>
          </w:p>
        </w:tc>
      </w:tr>
      <w:tr w:rsidR="001477BC" w:rsidRPr="001C3D64" w14:paraId="3F91E8B9" w14:textId="77777777" w:rsidTr="00A06955">
        <w:trPr>
          <w:trHeight w:hRule="exact" w:val="369"/>
        </w:trPr>
        <w:tc>
          <w:tcPr>
            <w:tcW w:w="2105" w:type="pct"/>
            <w:shd w:val="clear" w:color="auto" w:fill="auto"/>
            <w:vAlign w:val="bottom"/>
          </w:tcPr>
          <w:p w14:paraId="72885A75" w14:textId="77777777" w:rsidR="001477BC" w:rsidRPr="00A06955" w:rsidRDefault="001477BC" w:rsidP="001477BC">
            <w:pPr>
              <w:jc w:val="left"/>
              <w:rPr>
                <w:color w:val="auto"/>
              </w:rPr>
            </w:pPr>
            <w:r w:rsidRPr="00A06955">
              <w:rPr>
                <w:rFonts w:eastAsia="Times New Roman" w:cs="Arial"/>
                <w:lang w:eastAsia="en-GB"/>
              </w:rPr>
              <w:t>Assets Held for Sale</w:t>
            </w:r>
          </w:p>
        </w:tc>
        <w:tc>
          <w:tcPr>
            <w:tcW w:w="663" w:type="pct"/>
            <w:shd w:val="clear" w:color="auto" w:fill="auto"/>
            <w:vAlign w:val="bottom"/>
          </w:tcPr>
          <w:p w14:paraId="74032B1E" w14:textId="77777777" w:rsidR="001477BC" w:rsidRPr="00A06955" w:rsidRDefault="001477BC" w:rsidP="001477BC">
            <w:pPr>
              <w:jc w:val="right"/>
              <w:rPr>
                <w:color w:val="auto"/>
              </w:rPr>
            </w:pPr>
          </w:p>
        </w:tc>
        <w:tc>
          <w:tcPr>
            <w:tcW w:w="1116" w:type="pct"/>
            <w:tcBorders>
              <w:top w:val="nil"/>
              <w:left w:val="nil"/>
              <w:bottom w:val="nil"/>
              <w:right w:val="nil"/>
            </w:tcBorders>
            <w:shd w:val="clear" w:color="auto" w:fill="auto"/>
            <w:vAlign w:val="center"/>
          </w:tcPr>
          <w:p w14:paraId="389A1E67" w14:textId="5C74A8E0" w:rsidR="001477BC" w:rsidRPr="00A06955" w:rsidRDefault="00184C22" w:rsidP="001477BC">
            <w:pPr>
              <w:tabs>
                <w:tab w:val="decimal" w:pos="1192"/>
              </w:tabs>
              <w:rPr>
                <w:color w:val="auto"/>
              </w:rPr>
            </w:pPr>
            <w:r>
              <w:rPr>
                <w:color w:val="auto"/>
              </w:rPr>
              <w:t>-</w:t>
            </w:r>
          </w:p>
        </w:tc>
        <w:tc>
          <w:tcPr>
            <w:tcW w:w="1116" w:type="pct"/>
            <w:shd w:val="clear" w:color="auto" w:fill="auto"/>
            <w:vAlign w:val="bottom"/>
          </w:tcPr>
          <w:p w14:paraId="0B8D1CAE" w14:textId="77777777" w:rsidR="001477BC" w:rsidRPr="00F87055" w:rsidRDefault="001477BC" w:rsidP="001477BC">
            <w:pPr>
              <w:tabs>
                <w:tab w:val="decimal" w:pos="1152"/>
              </w:tabs>
              <w:rPr>
                <w:color w:val="auto"/>
              </w:rPr>
            </w:pPr>
            <w:r w:rsidRPr="00F87055">
              <w:rPr>
                <w:color w:val="auto"/>
              </w:rPr>
              <w:t>0.1</w:t>
            </w:r>
          </w:p>
        </w:tc>
      </w:tr>
      <w:tr w:rsidR="001477BC" w:rsidRPr="008D3771" w14:paraId="6C321F62" w14:textId="77777777" w:rsidTr="00A06955">
        <w:trPr>
          <w:trHeight w:hRule="exact" w:val="369"/>
        </w:trPr>
        <w:tc>
          <w:tcPr>
            <w:tcW w:w="2105" w:type="pct"/>
            <w:shd w:val="clear" w:color="auto" w:fill="auto"/>
            <w:vAlign w:val="bottom"/>
          </w:tcPr>
          <w:p w14:paraId="5B99CCCF" w14:textId="77777777" w:rsidR="001477BC" w:rsidRPr="00A06955" w:rsidRDefault="001477BC" w:rsidP="001477BC">
            <w:pPr>
              <w:jc w:val="left"/>
              <w:rPr>
                <w:color w:val="auto"/>
              </w:rPr>
            </w:pPr>
            <w:r w:rsidRPr="00A06955">
              <w:rPr>
                <w:rFonts w:eastAsia="Times New Roman" w:cs="Arial"/>
                <w:lang w:eastAsia="en-GB"/>
              </w:rPr>
              <w:t>Long Term Investment</w:t>
            </w:r>
          </w:p>
        </w:tc>
        <w:tc>
          <w:tcPr>
            <w:tcW w:w="663" w:type="pct"/>
            <w:shd w:val="clear" w:color="auto" w:fill="auto"/>
            <w:vAlign w:val="bottom"/>
          </w:tcPr>
          <w:p w14:paraId="3653059B" w14:textId="58AF8A76" w:rsidR="001477BC" w:rsidRPr="00A06955" w:rsidRDefault="001477BC" w:rsidP="000A0396">
            <w:pPr>
              <w:jc w:val="right"/>
              <w:rPr>
                <w:color w:val="auto"/>
              </w:rPr>
            </w:pPr>
            <w:r w:rsidRPr="00A06955">
              <w:rPr>
                <w:color w:val="auto"/>
              </w:rPr>
              <w:t>2</w:t>
            </w:r>
            <w:r w:rsidR="000A0396">
              <w:rPr>
                <w:color w:val="auto"/>
              </w:rPr>
              <w:t>3</w:t>
            </w:r>
          </w:p>
        </w:tc>
        <w:tc>
          <w:tcPr>
            <w:tcW w:w="1116" w:type="pct"/>
            <w:tcBorders>
              <w:top w:val="nil"/>
              <w:left w:val="nil"/>
              <w:bottom w:val="nil"/>
              <w:right w:val="nil"/>
            </w:tcBorders>
            <w:shd w:val="clear" w:color="auto" w:fill="auto"/>
            <w:vAlign w:val="center"/>
          </w:tcPr>
          <w:p w14:paraId="2A0ACE12" w14:textId="22503DA2" w:rsidR="001477BC" w:rsidRPr="00A06955" w:rsidRDefault="001477BC" w:rsidP="00D307EE">
            <w:pPr>
              <w:tabs>
                <w:tab w:val="decimal" w:pos="1192"/>
              </w:tabs>
              <w:rPr>
                <w:color w:val="auto"/>
              </w:rPr>
            </w:pPr>
            <w:r w:rsidRPr="00A06955">
              <w:rPr>
                <w:rFonts w:cs="Arial"/>
              </w:rPr>
              <w:t>2</w:t>
            </w:r>
            <w:r w:rsidR="00D307EE">
              <w:rPr>
                <w:rFonts w:cs="Arial"/>
              </w:rPr>
              <w:t>62.2</w:t>
            </w:r>
          </w:p>
        </w:tc>
        <w:tc>
          <w:tcPr>
            <w:tcW w:w="1116" w:type="pct"/>
            <w:shd w:val="clear" w:color="auto" w:fill="auto"/>
            <w:vAlign w:val="bottom"/>
          </w:tcPr>
          <w:p w14:paraId="7B905C4E" w14:textId="77777777" w:rsidR="001477BC" w:rsidRPr="00F87055" w:rsidRDefault="001477BC" w:rsidP="001477BC">
            <w:pPr>
              <w:tabs>
                <w:tab w:val="decimal" w:pos="1152"/>
              </w:tabs>
              <w:rPr>
                <w:color w:val="auto"/>
              </w:rPr>
            </w:pPr>
            <w:r w:rsidRPr="00F87055">
              <w:rPr>
                <w:color w:val="auto"/>
              </w:rPr>
              <w:t>487.9</w:t>
            </w:r>
          </w:p>
        </w:tc>
      </w:tr>
      <w:tr w:rsidR="001477BC" w:rsidRPr="008D3771" w14:paraId="0D9CCEC9" w14:textId="77777777" w:rsidTr="00A06955">
        <w:trPr>
          <w:trHeight w:hRule="exact" w:val="369"/>
        </w:trPr>
        <w:tc>
          <w:tcPr>
            <w:tcW w:w="2105" w:type="pct"/>
            <w:shd w:val="clear" w:color="auto" w:fill="auto"/>
            <w:vAlign w:val="bottom"/>
          </w:tcPr>
          <w:p w14:paraId="59EAE6F7" w14:textId="77777777" w:rsidR="001477BC" w:rsidRPr="00A06955" w:rsidRDefault="001477BC" w:rsidP="001477BC">
            <w:pPr>
              <w:jc w:val="left"/>
              <w:rPr>
                <w:color w:val="auto"/>
              </w:rPr>
            </w:pPr>
            <w:r w:rsidRPr="00A06955">
              <w:rPr>
                <w:rFonts w:eastAsia="Times New Roman" w:cs="Arial"/>
                <w:lang w:eastAsia="en-GB"/>
              </w:rPr>
              <w:t>Long Term Debtors</w:t>
            </w:r>
          </w:p>
        </w:tc>
        <w:tc>
          <w:tcPr>
            <w:tcW w:w="663" w:type="pct"/>
            <w:shd w:val="clear" w:color="auto" w:fill="auto"/>
            <w:vAlign w:val="bottom"/>
          </w:tcPr>
          <w:p w14:paraId="23AB6F05" w14:textId="2D305E6B" w:rsidR="001477BC" w:rsidRPr="00A06955" w:rsidRDefault="001477BC" w:rsidP="000A0396">
            <w:pPr>
              <w:jc w:val="right"/>
              <w:rPr>
                <w:color w:val="auto"/>
              </w:rPr>
            </w:pPr>
            <w:r w:rsidRPr="00A06955">
              <w:rPr>
                <w:color w:val="auto"/>
              </w:rPr>
              <w:t>3</w:t>
            </w:r>
            <w:r w:rsidR="000A0396">
              <w:rPr>
                <w:color w:val="auto"/>
              </w:rPr>
              <w:t>3</w:t>
            </w:r>
          </w:p>
        </w:tc>
        <w:tc>
          <w:tcPr>
            <w:tcW w:w="1116" w:type="pct"/>
            <w:tcBorders>
              <w:top w:val="nil"/>
              <w:left w:val="nil"/>
              <w:bottom w:val="single" w:sz="8" w:space="0" w:color="auto"/>
              <w:right w:val="nil"/>
            </w:tcBorders>
            <w:shd w:val="clear" w:color="auto" w:fill="auto"/>
            <w:vAlign w:val="center"/>
          </w:tcPr>
          <w:p w14:paraId="02CECBC4" w14:textId="7B5932C2" w:rsidR="001477BC" w:rsidRPr="00A06955" w:rsidRDefault="00D307EE" w:rsidP="00D307EE">
            <w:pPr>
              <w:tabs>
                <w:tab w:val="decimal" w:pos="1192"/>
              </w:tabs>
              <w:rPr>
                <w:color w:val="auto"/>
              </w:rPr>
            </w:pPr>
            <w:r>
              <w:rPr>
                <w:rFonts w:cs="Arial"/>
              </w:rPr>
              <w:t>74.2</w:t>
            </w:r>
          </w:p>
        </w:tc>
        <w:tc>
          <w:tcPr>
            <w:tcW w:w="1116" w:type="pct"/>
            <w:tcBorders>
              <w:bottom w:val="single" w:sz="4" w:space="0" w:color="auto"/>
            </w:tcBorders>
            <w:shd w:val="clear" w:color="auto" w:fill="auto"/>
            <w:vAlign w:val="bottom"/>
          </w:tcPr>
          <w:p w14:paraId="526BD37A" w14:textId="77777777" w:rsidR="001477BC" w:rsidRPr="00F87055" w:rsidRDefault="001477BC" w:rsidP="001477BC">
            <w:pPr>
              <w:tabs>
                <w:tab w:val="decimal" w:pos="1152"/>
              </w:tabs>
              <w:rPr>
                <w:color w:val="auto"/>
              </w:rPr>
            </w:pPr>
            <w:r w:rsidRPr="00F87055">
              <w:rPr>
                <w:color w:val="auto"/>
              </w:rPr>
              <w:t>41.1</w:t>
            </w:r>
          </w:p>
        </w:tc>
      </w:tr>
      <w:tr w:rsidR="00AD74BB" w:rsidRPr="008D3771" w14:paraId="66F7EBF7" w14:textId="77777777" w:rsidTr="008D3771">
        <w:trPr>
          <w:trHeight w:hRule="exact" w:val="369"/>
        </w:trPr>
        <w:tc>
          <w:tcPr>
            <w:tcW w:w="2105" w:type="pct"/>
            <w:shd w:val="clear" w:color="auto" w:fill="auto"/>
            <w:vAlign w:val="bottom"/>
          </w:tcPr>
          <w:p w14:paraId="53B5A8DE" w14:textId="77777777" w:rsidR="0064475E" w:rsidRPr="00A06955" w:rsidRDefault="00E37580" w:rsidP="008D3771">
            <w:pPr>
              <w:jc w:val="left"/>
              <w:rPr>
                <w:color w:val="auto"/>
              </w:rPr>
            </w:pPr>
            <w:r w:rsidRPr="00A06955">
              <w:rPr>
                <w:rFonts w:eastAsia="Times New Roman" w:cs="Arial"/>
                <w:b/>
                <w:bCs/>
                <w:lang w:eastAsia="en-GB"/>
              </w:rPr>
              <w:t>Long Term Assets</w:t>
            </w:r>
          </w:p>
        </w:tc>
        <w:tc>
          <w:tcPr>
            <w:tcW w:w="663" w:type="pct"/>
            <w:shd w:val="clear" w:color="auto" w:fill="auto"/>
            <w:vAlign w:val="bottom"/>
          </w:tcPr>
          <w:p w14:paraId="7B1C4129" w14:textId="77777777" w:rsidR="0064475E" w:rsidRPr="00A06955" w:rsidRDefault="0064475E" w:rsidP="008D3771">
            <w:pPr>
              <w:jc w:val="right"/>
              <w:rPr>
                <w:color w:val="auto"/>
              </w:rPr>
            </w:pPr>
          </w:p>
        </w:tc>
        <w:tc>
          <w:tcPr>
            <w:tcW w:w="1116" w:type="pct"/>
            <w:tcBorders>
              <w:top w:val="single" w:sz="4" w:space="0" w:color="auto"/>
              <w:bottom w:val="nil"/>
            </w:tcBorders>
            <w:shd w:val="clear" w:color="auto" w:fill="auto"/>
            <w:vAlign w:val="bottom"/>
          </w:tcPr>
          <w:p w14:paraId="05FCAD0C" w14:textId="78E9F06B" w:rsidR="0064475E" w:rsidRPr="00A06955" w:rsidRDefault="00BE3088" w:rsidP="008D3771">
            <w:pPr>
              <w:tabs>
                <w:tab w:val="decimal" w:pos="1192"/>
              </w:tabs>
              <w:rPr>
                <w:b/>
                <w:color w:val="auto"/>
              </w:rPr>
            </w:pPr>
            <w:r>
              <w:rPr>
                <w:b/>
                <w:color w:val="auto"/>
              </w:rPr>
              <w:t>3,027.8</w:t>
            </w:r>
          </w:p>
        </w:tc>
        <w:tc>
          <w:tcPr>
            <w:tcW w:w="1116" w:type="pct"/>
            <w:tcBorders>
              <w:top w:val="single" w:sz="4" w:space="0" w:color="auto"/>
              <w:bottom w:val="nil"/>
            </w:tcBorders>
            <w:shd w:val="clear" w:color="auto" w:fill="auto"/>
            <w:vAlign w:val="bottom"/>
          </w:tcPr>
          <w:p w14:paraId="49874F3E" w14:textId="77777777" w:rsidR="0064475E" w:rsidRPr="00F87055" w:rsidRDefault="00234DBE" w:rsidP="008D3771">
            <w:pPr>
              <w:tabs>
                <w:tab w:val="decimal" w:pos="1152"/>
              </w:tabs>
              <w:rPr>
                <w:b/>
                <w:color w:val="auto"/>
              </w:rPr>
            </w:pPr>
            <w:r w:rsidRPr="00F87055">
              <w:rPr>
                <w:b/>
                <w:color w:val="auto"/>
              </w:rPr>
              <w:t>3,223.4</w:t>
            </w:r>
          </w:p>
        </w:tc>
      </w:tr>
      <w:tr w:rsidR="00AD74BB" w:rsidRPr="008D3771" w14:paraId="7706815F" w14:textId="77777777" w:rsidTr="008D3771">
        <w:trPr>
          <w:trHeight w:hRule="exact" w:val="369"/>
        </w:trPr>
        <w:tc>
          <w:tcPr>
            <w:tcW w:w="2105" w:type="pct"/>
            <w:shd w:val="clear" w:color="auto" w:fill="auto"/>
            <w:vAlign w:val="bottom"/>
          </w:tcPr>
          <w:p w14:paraId="502458E4" w14:textId="77777777" w:rsidR="0064475E" w:rsidRPr="00A06955" w:rsidRDefault="0064475E" w:rsidP="008D3771">
            <w:pPr>
              <w:jc w:val="left"/>
              <w:rPr>
                <w:color w:val="auto"/>
              </w:rPr>
            </w:pPr>
          </w:p>
        </w:tc>
        <w:tc>
          <w:tcPr>
            <w:tcW w:w="663" w:type="pct"/>
            <w:shd w:val="clear" w:color="auto" w:fill="auto"/>
            <w:vAlign w:val="bottom"/>
          </w:tcPr>
          <w:p w14:paraId="1D730DD4" w14:textId="77777777" w:rsidR="0064475E" w:rsidRPr="00A06955" w:rsidRDefault="0064475E" w:rsidP="008D3771">
            <w:pPr>
              <w:jc w:val="right"/>
              <w:rPr>
                <w:color w:val="auto"/>
              </w:rPr>
            </w:pPr>
          </w:p>
        </w:tc>
        <w:tc>
          <w:tcPr>
            <w:tcW w:w="1116" w:type="pct"/>
            <w:tcBorders>
              <w:top w:val="nil"/>
            </w:tcBorders>
            <w:shd w:val="clear" w:color="auto" w:fill="auto"/>
            <w:vAlign w:val="bottom"/>
          </w:tcPr>
          <w:p w14:paraId="61E6402D" w14:textId="77777777" w:rsidR="0064475E" w:rsidRPr="00A06955" w:rsidRDefault="0064475E" w:rsidP="008D3771">
            <w:pPr>
              <w:tabs>
                <w:tab w:val="decimal" w:pos="1192"/>
              </w:tabs>
              <w:rPr>
                <w:color w:val="auto"/>
              </w:rPr>
            </w:pPr>
          </w:p>
        </w:tc>
        <w:tc>
          <w:tcPr>
            <w:tcW w:w="1116" w:type="pct"/>
            <w:tcBorders>
              <w:top w:val="nil"/>
            </w:tcBorders>
            <w:shd w:val="clear" w:color="auto" w:fill="auto"/>
            <w:vAlign w:val="bottom"/>
          </w:tcPr>
          <w:p w14:paraId="5938E719" w14:textId="77777777" w:rsidR="0064475E" w:rsidRPr="00F87055" w:rsidRDefault="0064475E" w:rsidP="008D3771">
            <w:pPr>
              <w:tabs>
                <w:tab w:val="decimal" w:pos="1152"/>
              </w:tabs>
              <w:rPr>
                <w:color w:val="auto"/>
              </w:rPr>
            </w:pPr>
          </w:p>
        </w:tc>
      </w:tr>
      <w:tr w:rsidR="001477BC" w:rsidRPr="008D3771" w14:paraId="501E4369" w14:textId="77777777" w:rsidTr="00A06955">
        <w:trPr>
          <w:trHeight w:hRule="exact" w:val="369"/>
        </w:trPr>
        <w:tc>
          <w:tcPr>
            <w:tcW w:w="2105" w:type="pct"/>
            <w:shd w:val="clear" w:color="auto" w:fill="auto"/>
            <w:vAlign w:val="bottom"/>
          </w:tcPr>
          <w:p w14:paraId="4F9E0ACD" w14:textId="77777777" w:rsidR="001477BC" w:rsidRPr="00A06955" w:rsidRDefault="001477BC" w:rsidP="001477BC">
            <w:pPr>
              <w:jc w:val="left"/>
              <w:rPr>
                <w:color w:val="auto"/>
              </w:rPr>
            </w:pPr>
            <w:r w:rsidRPr="00A06955">
              <w:rPr>
                <w:rFonts w:eastAsia="Times New Roman" w:cs="Arial"/>
                <w:lang w:eastAsia="en-GB"/>
              </w:rPr>
              <w:t>Short Term Investments</w:t>
            </w:r>
          </w:p>
        </w:tc>
        <w:tc>
          <w:tcPr>
            <w:tcW w:w="663" w:type="pct"/>
            <w:shd w:val="clear" w:color="auto" w:fill="auto"/>
            <w:vAlign w:val="bottom"/>
          </w:tcPr>
          <w:p w14:paraId="7D114CE2" w14:textId="114157E7" w:rsidR="001477BC" w:rsidRPr="00A06955" w:rsidRDefault="001477BC" w:rsidP="000A0396">
            <w:pPr>
              <w:jc w:val="right"/>
              <w:rPr>
                <w:color w:val="auto"/>
              </w:rPr>
            </w:pPr>
            <w:r w:rsidRPr="00A06955">
              <w:rPr>
                <w:color w:val="auto"/>
              </w:rPr>
              <w:t>2</w:t>
            </w:r>
            <w:r w:rsidR="000A0396">
              <w:rPr>
                <w:color w:val="auto"/>
              </w:rPr>
              <w:t>3</w:t>
            </w:r>
          </w:p>
        </w:tc>
        <w:tc>
          <w:tcPr>
            <w:tcW w:w="1116" w:type="pct"/>
            <w:tcBorders>
              <w:top w:val="nil"/>
              <w:left w:val="nil"/>
              <w:bottom w:val="nil"/>
              <w:right w:val="nil"/>
            </w:tcBorders>
            <w:shd w:val="clear" w:color="auto" w:fill="auto"/>
            <w:vAlign w:val="center"/>
          </w:tcPr>
          <w:p w14:paraId="1BBF8851" w14:textId="1AA11BB7" w:rsidR="001477BC" w:rsidRPr="00A06955" w:rsidRDefault="001477BC">
            <w:pPr>
              <w:tabs>
                <w:tab w:val="decimal" w:pos="1192"/>
              </w:tabs>
              <w:rPr>
                <w:color w:val="auto"/>
              </w:rPr>
            </w:pPr>
            <w:r w:rsidRPr="00A06955">
              <w:rPr>
                <w:rFonts w:cs="Arial"/>
              </w:rPr>
              <w:t>267.</w:t>
            </w:r>
            <w:r w:rsidR="00F87055" w:rsidRPr="00A06955">
              <w:rPr>
                <w:rFonts w:cs="Arial"/>
              </w:rPr>
              <w:t>8</w:t>
            </w:r>
          </w:p>
        </w:tc>
        <w:tc>
          <w:tcPr>
            <w:tcW w:w="1116" w:type="pct"/>
            <w:shd w:val="clear" w:color="auto" w:fill="auto"/>
            <w:vAlign w:val="bottom"/>
          </w:tcPr>
          <w:p w14:paraId="1DDD5BFA" w14:textId="77777777" w:rsidR="001477BC" w:rsidRPr="00F87055" w:rsidRDefault="001477BC" w:rsidP="001477BC">
            <w:pPr>
              <w:tabs>
                <w:tab w:val="decimal" w:pos="1152"/>
              </w:tabs>
              <w:rPr>
                <w:color w:val="auto"/>
              </w:rPr>
            </w:pPr>
            <w:r w:rsidRPr="00F87055">
              <w:rPr>
                <w:color w:val="auto"/>
              </w:rPr>
              <w:t>24.7</w:t>
            </w:r>
          </w:p>
        </w:tc>
      </w:tr>
      <w:tr w:rsidR="001477BC" w:rsidRPr="008D3771" w14:paraId="2702F89B" w14:textId="77777777" w:rsidTr="00A06955">
        <w:trPr>
          <w:trHeight w:hRule="exact" w:val="369"/>
        </w:trPr>
        <w:tc>
          <w:tcPr>
            <w:tcW w:w="2105" w:type="pct"/>
            <w:shd w:val="clear" w:color="auto" w:fill="auto"/>
            <w:vAlign w:val="bottom"/>
          </w:tcPr>
          <w:p w14:paraId="340CF8D3" w14:textId="77777777" w:rsidR="001477BC" w:rsidRPr="00A06955" w:rsidRDefault="001477BC" w:rsidP="001477BC">
            <w:pPr>
              <w:jc w:val="left"/>
              <w:rPr>
                <w:color w:val="auto"/>
              </w:rPr>
            </w:pPr>
            <w:r w:rsidRPr="00A06955">
              <w:rPr>
                <w:rFonts w:eastAsia="Times New Roman" w:cs="Arial"/>
                <w:lang w:eastAsia="en-GB"/>
              </w:rPr>
              <w:t>Inventories</w:t>
            </w:r>
          </w:p>
        </w:tc>
        <w:tc>
          <w:tcPr>
            <w:tcW w:w="663" w:type="pct"/>
            <w:shd w:val="clear" w:color="auto" w:fill="auto"/>
            <w:vAlign w:val="bottom"/>
          </w:tcPr>
          <w:p w14:paraId="70B27CC8" w14:textId="77777777" w:rsidR="001477BC" w:rsidRPr="00A06955" w:rsidRDefault="001477BC" w:rsidP="001477BC">
            <w:pPr>
              <w:jc w:val="right"/>
              <w:rPr>
                <w:color w:val="auto"/>
              </w:rPr>
            </w:pPr>
          </w:p>
        </w:tc>
        <w:tc>
          <w:tcPr>
            <w:tcW w:w="1116" w:type="pct"/>
            <w:tcBorders>
              <w:top w:val="nil"/>
              <w:left w:val="nil"/>
              <w:bottom w:val="nil"/>
              <w:right w:val="nil"/>
            </w:tcBorders>
            <w:shd w:val="clear" w:color="auto" w:fill="auto"/>
            <w:vAlign w:val="center"/>
          </w:tcPr>
          <w:p w14:paraId="0A6A0576" w14:textId="27FD448C" w:rsidR="001477BC" w:rsidRPr="00A06955" w:rsidRDefault="001477BC" w:rsidP="00BD7307">
            <w:pPr>
              <w:tabs>
                <w:tab w:val="decimal" w:pos="1192"/>
              </w:tabs>
              <w:rPr>
                <w:color w:val="auto"/>
              </w:rPr>
            </w:pPr>
            <w:r w:rsidRPr="00A06955">
              <w:rPr>
                <w:rFonts w:cs="Arial"/>
              </w:rPr>
              <w:t>3.</w:t>
            </w:r>
            <w:r w:rsidR="00BD7307">
              <w:rPr>
                <w:rFonts w:cs="Arial"/>
              </w:rPr>
              <w:t>0</w:t>
            </w:r>
          </w:p>
        </w:tc>
        <w:tc>
          <w:tcPr>
            <w:tcW w:w="1116" w:type="pct"/>
            <w:shd w:val="clear" w:color="auto" w:fill="auto"/>
            <w:vAlign w:val="bottom"/>
          </w:tcPr>
          <w:p w14:paraId="20603CA3" w14:textId="77777777" w:rsidR="001477BC" w:rsidRPr="00F87055" w:rsidRDefault="001477BC" w:rsidP="001477BC">
            <w:pPr>
              <w:tabs>
                <w:tab w:val="decimal" w:pos="1152"/>
              </w:tabs>
              <w:rPr>
                <w:color w:val="auto"/>
              </w:rPr>
            </w:pPr>
            <w:r w:rsidRPr="00F87055">
              <w:rPr>
                <w:color w:val="auto"/>
              </w:rPr>
              <w:t>3.1</w:t>
            </w:r>
          </w:p>
        </w:tc>
      </w:tr>
      <w:tr w:rsidR="001477BC" w:rsidRPr="008D3771" w14:paraId="69B49EFD" w14:textId="77777777" w:rsidTr="00A06955">
        <w:trPr>
          <w:trHeight w:hRule="exact" w:val="369"/>
        </w:trPr>
        <w:tc>
          <w:tcPr>
            <w:tcW w:w="2105" w:type="pct"/>
            <w:shd w:val="clear" w:color="auto" w:fill="auto"/>
            <w:vAlign w:val="bottom"/>
          </w:tcPr>
          <w:p w14:paraId="38081F69" w14:textId="77777777" w:rsidR="001477BC" w:rsidRPr="00A06955" w:rsidRDefault="001477BC" w:rsidP="001477BC">
            <w:pPr>
              <w:jc w:val="left"/>
              <w:rPr>
                <w:color w:val="auto"/>
              </w:rPr>
            </w:pPr>
            <w:r w:rsidRPr="00A06955">
              <w:rPr>
                <w:rFonts w:eastAsia="Times New Roman" w:cs="Arial"/>
                <w:lang w:eastAsia="en-GB"/>
              </w:rPr>
              <w:t>Short term Debtors</w:t>
            </w:r>
          </w:p>
        </w:tc>
        <w:tc>
          <w:tcPr>
            <w:tcW w:w="663" w:type="pct"/>
            <w:shd w:val="clear" w:color="auto" w:fill="auto"/>
            <w:vAlign w:val="bottom"/>
          </w:tcPr>
          <w:p w14:paraId="2AA9D577" w14:textId="365BB386" w:rsidR="001477BC" w:rsidRPr="00A06955" w:rsidRDefault="001477BC" w:rsidP="000A0396">
            <w:pPr>
              <w:jc w:val="right"/>
              <w:rPr>
                <w:color w:val="auto"/>
              </w:rPr>
            </w:pPr>
            <w:r w:rsidRPr="00A06955">
              <w:rPr>
                <w:color w:val="auto"/>
              </w:rPr>
              <w:t>2</w:t>
            </w:r>
            <w:r w:rsidR="000A0396">
              <w:rPr>
                <w:color w:val="auto"/>
              </w:rPr>
              <w:t>7</w:t>
            </w:r>
          </w:p>
        </w:tc>
        <w:tc>
          <w:tcPr>
            <w:tcW w:w="1116" w:type="pct"/>
            <w:tcBorders>
              <w:top w:val="nil"/>
              <w:left w:val="nil"/>
              <w:bottom w:val="nil"/>
              <w:right w:val="nil"/>
            </w:tcBorders>
            <w:shd w:val="clear" w:color="auto" w:fill="auto"/>
            <w:vAlign w:val="center"/>
          </w:tcPr>
          <w:p w14:paraId="506EF34C" w14:textId="4D089B60" w:rsidR="001477BC" w:rsidRPr="00A06955" w:rsidRDefault="001477BC" w:rsidP="001477BC">
            <w:pPr>
              <w:tabs>
                <w:tab w:val="decimal" w:pos="1192"/>
              </w:tabs>
              <w:rPr>
                <w:color w:val="auto"/>
              </w:rPr>
            </w:pPr>
            <w:r w:rsidRPr="00A06955">
              <w:rPr>
                <w:rFonts w:cs="Arial"/>
              </w:rPr>
              <w:t>135.8</w:t>
            </w:r>
          </w:p>
        </w:tc>
        <w:tc>
          <w:tcPr>
            <w:tcW w:w="1116" w:type="pct"/>
            <w:shd w:val="clear" w:color="auto" w:fill="auto"/>
            <w:vAlign w:val="bottom"/>
          </w:tcPr>
          <w:p w14:paraId="4B7885DF" w14:textId="77777777" w:rsidR="001477BC" w:rsidRPr="00F87055" w:rsidRDefault="001477BC" w:rsidP="001477BC">
            <w:pPr>
              <w:tabs>
                <w:tab w:val="decimal" w:pos="1152"/>
              </w:tabs>
              <w:rPr>
                <w:color w:val="auto"/>
              </w:rPr>
            </w:pPr>
            <w:r w:rsidRPr="00F87055">
              <w:rPr>
                <w:color w:val="auto"/>
              </w:rPr>
              <w:t>109.9</w:t>
            </w:r>
          </w:p>
        </w:tc>
      </w:tr>
      <w:tr w:rsidR="001477BC" w:rsidRPr="008D3771" w14:paraId="0C7EAA6A" w14:textId="77777777" w:rsidTr="00A06955">
        <w:trPr>
          <w:trHeight w:hRule="exact" w:val="369"/>
        </w:trPr>
        <w:tc>
          <w:tcPr>
            <w:tcW w:w="2105" w:type="pct"/>
            <w:shd w:val="clear" w:color="auto" w:fill="auto"/>
            <w:vAlign w:val="bottom"/>
          </w:tcPr>
          <w:p w14:paraId="51444E17" w14:textId="77777777" w:rsidR="001477BC" w:rsidRPr="00A06955" w:rsidRDefault="001477BC" w:rsidP="001477BC">
            <w:pPr>
              <w:jc w:val="left"/>
              <w:rPr>
                <w:color w:val="auto"/>
              </w:rPr>
            </w:pPr>
            <w:r w:rsidRPr="00A06955">
              <w:rPr>
                <w:rFonts w:eastAsia="Times New Roman" w:cs="Arial"/>
                <w:lang w:eastAsia="en-GB"/>
              </w:rPr>
              <w:t>Payments in Advance</w:t>
            </w:r>
          </w:p>
        </w:tc>
        <w:tc>
          <w:tcPr>
            <w:tcW w:w="663" w:type="pct"/>
            <w:shd w:val="clear" w:color="auto" w:fill="auto"/>
            <w:vAlign w:val="bottom"/>
          </w:tcPr>
          <w:p w14:paraId="44749DB3" w14:textId="77777777" w:rsidR="001477BC" w:rsidRPr="00A06955" w:rsidRDefault="001477BC" w:rsidP="001477BC">
            <w:pPr>
              <w:jc w:val="right"/>
              <w:rPr>
                <w:color w:val="auto"/>
              </w:rPr>
            </w:pPr>
          </w:p>
        </w:tc>
        <w:tc>
          <w:tcPr>
            <w:tcW w:w="1116" w:type="pct"/>
            <w:tcBorders>
              <w:top w:val="nil"/>
              <w:left w:val="nil"/>
              <w:bottom w:val="nil"/>
              <w:right w:val="nil"/>
            </w:tcBorders>
            <w:shd w:val="clear" w:color="auto" w:fill="auto"/>
            <w:vAlign w:val="center"/>
          </w:tcPr>
          <w:p w14:paraId="48D2B198" w14:textId="5E3D9501" w:rsidR="001477BC" w:rsidRPr="00A06955" w:rsidRDefault="00F87055" w:rsidP="001477BC">
            <w:pPr>
              <w:tabs>
                <w:tab w:val="decimal" w:pos="1192"/>
              </w:tabs>
              <w:rPr>
                <w:color w:val="auto"/>
              </w:rPr>
            </w:pPr>
            <w:r>
              <w:rPr>
                <w:rFonts w:cs="Arial"/>
              </w:rPr>
              <w:t>12.3</w:t>
            </w:r>
          </w:p>
        </w:tc>
        <w:tc>
          <w:tcPr>
            <w:tcW w:w="1116" w:type="pct"/>
            <w:shd w:val="clear" w:color="auto" w:fill="auto"/>
            <w:vAlign w:val="bottom"/>
          </w:tcPr>
          <w:p w14:paraId="55F3FEB1" w14:textId="77777777" w:rsidR="001477BC" w:rsidRPr="00F87055" w:rsidRDefault="001477BC" w:rsidP="001477BC">
            <w:pPr>
              <w:tabs>
                <w:tab w:val="decimal" w:pos="1152"/>
              </w:tabs>
              <w:rPr>
                <w:color w:val="auto"/>
              </w:rPr>
            </w:pPr>
            <w:r w:rsidRPr="00F87055">
              <w:rPr>
                <w:color w:val="auto"/>
              </w:rPr>
              <w:t>16.0</w:t>
            </w:r>
          </w:p>
        </w:tc>
      </w:tr>
      <w:tr w:rsidR="001477BC" w:rsidRPr="008D3771" w14:paraId="7C67EDC7" w14:textId="77777777" w:rsidTr="009C1D66">
        <w:trPr>
          <w:trHeight w:hRule="exact" w:val="369"/>
        </w:trPr>
        <w:tc>
          <w:tcPr>
            <w:tcW w:w="2105" w:type="pct"/>
            <w:shd w:val="clear" w:color="auto" w:fill="auto"/>
            <w:vAlign w:val="bottom"/>
          </w:tcPr>
          <w:p w14:paraId="725C5D60" w14:textId="77777777" w:rsidR="001477BC" w:rsidRPr="00A06955" w:rsidRDefault="001477BC" w:rsidP="001477BC">
            <w:pPr>
              <w:jc w:val="left"/>
              <w:rPr>
                <w:color w:val="auto"/>
              </w:rPr>
            </w:pPr>
            <w:r w:rsidRPr="00A06955">
              <w:rPr>
                <w:rFonts w:eastAsia="Times New Roman" w:cs="Arial"/>
                <w:lang w:eastAsia="en-GB"/>
              </w:rPr>
              <w:t>Cash and Cash Equivalents</w:t>
            </w:r>
          </w:p>
        </w:tc>
        <w:tc>
          <w:tcPr>
            <w:tcW w:w="663" w:type="pct"/>
            <w:shd w:val="clear" w:color="auto" w:fill="auto"/>
            <w:vAlign w:val="bottom"/>
          </w:tcPr>
          <w:p w14:paraId="5C7726E8" w14:textId="47C29ECA" w:rsidR="001477BC" w:rsidRPr="00A06955" w:rsidRDefault="001477BC" w:rsidP="000A0396">
            <w:pPr>
              <w:jc w:val="right"/>
              <w:rPr>
                <w:color w:val="auto"/>
              </w:rPr>
            </w:pPr>
            <w:r w:rsidRPr="00A06955">
              <w:rPr>
                <w:color w:val="auto"/>
              </w:rPr>
              <w:t>2</w:t>
            </w:r>
            <w:r w:rsidR="000A0396">
              <w:rPr>
                <w:color w:val="auto"/>
              </w:rPr>
              <w:t>9</w:t>
            </w:r>
          </w:p>
        </w:tc>
        <w:tc>
          <w:tcPr>
            <w:tcW w:w="1116" w:type="pct"/>
            <w:tcBorders>
              <w:top w:val="nil"/>
              <w:left w:val="nil"/>
              <w:bottom w:val="nil"/>
              <w:right w:val="nil"/>
            </w:tcBorders>
            <w:shd w:val="clear" w:color="auto" w:fill="auto"/>
            <w:vAlign w:val="center"/>
          </w:tcPr>
          <w:p w14:paraId="621C7602" w14:textId="7EF1A4FF" w:rsidR="001477BC" w:rsidRPr="00A06955" w:rsidRDefault="001477BC" w:rsidP="001477BC">
            <w:pPr>
              <w:tabs>
                <w:tab w:val="decimal" w:pos="1192"/>
              </w:tabs>
              <w:rPr>
                <w:color w:val="auto"/>
              </w:rPr>
            </w:pPr>
            <w:r w:rsidRPr="00A06955">
              <w:rPr>
                <w:rFonts w:cs="Arial"/>
              </w:rPr>
              <w:t>130.3</w:t>
            </w:r>
          </w:p>
        </w:tc>
        <w:tc>
          <w:tcPr>
            <w:tcW w:w="1116" w:type="pct"/>
            <w:tcBorders>
              <w:bottom w:val="nil"/>
            </w:tcBorders>
            <w:shd w:val="clear" w:color="auto" w:fill="auto"/>
            <w:vAlign w:val="bottom"/>
          </w:tcPr>
          <w:p w14:paraId="78E821DC" w14:textId="77777777" w:rsidR="001477BC" w:rsidRPr="00F87055" w:rsidRDefault="001477BC" w:rsidP="001477BC">
            <w:pPr>
              <w:tabs>
                <w:tab w:val="decimal" w:pos="1152"/>
              </w:tabs>
              <w:rPr>
                <w:color w:val="auto"/>
              </w:rPr>
            </w:pPr>
            <w:r w:rsidRPr="00F87055">
              <w:rPr>
                <w:color w:val="auto"/>
              </w:rPr>
              <w:t>91.4</w:t>
            </w:r>
          </w:p>
        </w:tc>
      </w:tr>
      <w:tr w:rsidR="001477BC" w:rsidRPr="008D3771" w14:paraId="7024EE5E" w14:textId="77777777" w:rsidTr="009C1D66">
        <w:trPr>
          <w:trHeight w:hRule="exact" w:val="369"/>
        </w:trPr>
        <w:tc>
          <w:tcPr>
            <w:tcW w:w="2105" w:type="pct"/>
            <w:shd w:val="clear" w:color="auto" w:fill="auto"/>
            <w:vAlign w:val="bottom"/>
          </w:tcPr>
          <w:p w14:paraId="3A19EB0C" w14:textId="77777777" w:rsidR="001477BC" w:rsidRPr="00A06955" w:rsidRDefault="001477BC" w:rsidP="001477BC">
            <w:pPr>
              <w:jc w:val="left"/>
              <w:rPr>
                <w:color w:val="auto"/>
              </w:rPr>
            </w:pPr>
            <w:r w:rsidRPr="00A06955">
              <w:rPr>
                <w:rFonts w:eastAsia="Times New Roman" w:cs="Arial"/>
                <w:lang w:eastAsia="en-GB"/>
              </w:rPr>
              <w:t>Assets Held for Sale</w:t>
            </w:r>
          </w:p>
        </w:tc>
        <w:tc>
          <w:tcPr>
            <w:tcW w:w="663" w:type="pct"/>
            <w:shd w:val="clear" w:color="auto" w:fill="auto"/>
            <w:vAlign w:val="bottom"/>
          </w:tcPr>
          <w:p w14:paraId="0F5AF9AA" w14:textId="77777777" w:rsidR="001477BC" w:rsidRPr="00A06955" w:rsidRDefault="001477BC" w:rsidP="001477BC">
            <w:pPr>
              <w:jc w:val="right"/>
              <w:rPr>
                <w:color w:val="auto"/>
              </w:rPr>
            </w:pPr>
          </w:p>
        </w:tc>
        <w:tc>
          <w:tcPr>
            <w:tcW w:w="1116" w:type="pct"/>
            <w:tcBorders>
              <w:top w:val="nil"/>
              <w:left w:val="nil"/>
              <w:bottom w:val="single" w:sz="4" w:space="0" w:color="auto"/>
              <w:right w:val="nil"/>
            </w:tcBorders>
            <w:shd w:val="clear" w:color="auto" w:fill="auto"/>
            <w:vAlign w:val="center"/>
          </w:tcPr>
          <w:p w14:paraId="30289B1E" w14:textId="041531CE" w:rsidR="001477BC" w:rsidRPr="00A06955" w:rsidRDefault="00E46B9B" w:rsidP="001477BC">
            <w:pPr>
              <w:tabs>
                <w:tab w:val="decimal" w:pos="1192"/>
              </w:tabs>
              <w:rPr>
                <w:color w:val="auto"/>
              </w:rPr>
            </w:pPr>
            <w:r>
              <w:rPr>
                <w:rFonts w:cs="Arial"/>
              </w:rPr>
              <w:t>5</w:t>
            </w:r>
            <w:r w:rsidR="001477BC" w:rsidRPr="00A06955">
              <w:rPr>
                <w:rFonts w:cs="Arial"/>
              </w:rPr>
              <w:t>.2</w:t>
            </w:r>
          </w:p>
        </w:tc>
        <w:tc>
          <w:tcPr>
            <w:tcW w:w="1116" w:type="pct"/>
            <w:tcBorders>
              <w:top w:val="nil"/>
              <w:bottom w:val="single" w:sz="4" w:space="0" w:color="auto"/>
            </w:tcBorders>
            <w:shd w:val="clear" w:color="auto" w:fill="auto"/>
            <w:vAlign w:val="bottom"/>
          </w:tcPr>
          <w:p w14:paraId="20D395C2" w14:textId="77777777" w:rsidR="001477BC" w:rsidRPr="00F87055" w:rsidRDefault="001477BC" w:rsidP="001477BC">
            <w:pPr>
              <w:tabs>
                <w:tab w:val="decimal" w:pos="1152"/>
              </w:tabs>
              <w:rPr>
                <w:color w:val="auto"/>
              </w:rPr>
            </w:pPr>
            <w:r w:rsidRPr="00F87055">
              <w:rPr>
                <w:color w:val="auto"/>
              </w:rPr>
              <w:t>9.3</w:t>
            </w:r>
          </w:p>
        </w:tc>
      </w:tr>
      <w:tr w:rsidR="001477BC" w:rsidRPr="008D3771" w14:paraId="39D124E9" w14:textId="77777777" w:rsidTr="009C1D66">
        <w:trPr>
          <w:trHeight w:hRule="exact" w:val="369"/>
        </w:trPr>
        <w:tc>
          <w:tcPr>
            <w:tcW w:w="2105" w:type="pct"/>
            <w:shd w:val="clear" w:color="auto" w:fill="auto"/>
            <w:vAlign w:val="bottom"/>
          </w:tcPr>
          <w:p w14:paraId="53D98382" w14:textId="77777777" w:rsidR="001477BC" w:rsidRPr="00A06955" w:rsidRDefault="001477BC" w:rsidP="001477BC">
            <w:pPr>
              <w:jc w:val="left"/>
              <w:rPr>
                <w:color w:val="auto"/>
              </w:rPr>
            </w:pPr>
            <w:r w:rsidRPr="00A06955">
              <w:rPr>
                <w:rFonts w:eastAsia="Times New Roman" w:cs="Arial"/>
                <w:b/>
                <w:bCs/>
                <w:lang w:eastAsia="en-GB"/>
              </w:rPr>
              <w:t>Current Assets</w:t>
            </w:r>
          </w:p>
        </w:tc>
        <w:tc>
          <w:tcPr>
            <w:tcW w:w="663" w:type="pct"/>
            <w:shd w:val="clear" w:color="auto" w:fill="auto"/>
            <w:vAlign w:val="bottom"/>
          </w:tcPr>
          <w:p w14:paraId="5A96F9B4" w14:textId="77777777" w:rsidR="001477BC" w:rsidRPr="00A06955" w:rsidRDefault="001477BC" w:rsidP="001477BC">
            <w:pPr>
              <w:jc w:val="right"/>
              <w:rPr>
                <w:color w:val="auto"/>
              </w:rPr>
            </w:pPr>
          </w:p>
        </w:tc>
        <w:tc>
          <w:tcPr>
            <w:tcW w:w="1116" w:type="pct"/>
            <w:tcBorders>
              <w:top w:val="single" w:sz="4" w:space="0" w:color="auto"/>
              <w:left w:val="nil"/>
              <w:bottom w:val="nil"/>
              <w:right w:val="nil"/>
            </w:tcBorders>
            <w:shd w:val="clear" w:color="auto" w:fill="auto"/>
            <w:vAlign w:val="center"/>
          </w:tcPr>
          <w:p w14:paraId="6CF6424F" w14:textId="3A3B834E" w:rsidR="001477BC" w:rsidRPr="00A06955" w:rsidRDefault="001477BC" w:rsidP="00BD7307">
            <w:pPr>
              <w:tabs>
                <w:tab w:val="decimal" w:pos="1192"/>
              </w:tabs>
              <w:rPr>
                <w:b/>
                <w:color w:val="auto"/>
              </w:rPr>
            </w:pPr>
            <w:r w:rsidRPr="00A06955">
              <w:rPr>
                <w:rFonts w:cs="Arial"/>
                <w:b/>
                <w:bCs/>
              </w:rPr>
              <w:t>55</w:t>
            </w:r>
            <w:r w:rsidR="00E46B9B">
              <w:rPr>
                <w:rFonts w:cs="Arial"/>
                <w:b/>
                <w:bCs/>
              </w:rPr>
              <w:t>4</w:t>
            </w:r>
            <w:r w:rsidRPr="00A06955">
              <w:rPr>
                <w:rFonts w:cs="Arial"/>
                <w:b/>
                <w:bCs/>
              </w:rPr>
              <w:t>.</w:t>
            </w:r>
            <w:r w:rsidR="00BD7307">
              <w:rPr>
                <w:rFonts w:cs="Arial"/>
                <w:b/>
                <w:bCs/>
              </w:rPr>
              <w:t>4</w:t>
            </w:r>
          </w:p>
        </w:tc>
        <w:tc>
          <w:tcPr>
            <w:tcW w:w="1116" w:type="pct"/>
            <w:tcBorders>
              <w:top w:val="single" w:sz="4" w:space="0" w:color="auto"/>
              <w:bottom w:val="nil"/>
            </w:tcBorders>
            <w:shd w:val="clear" w:color="auto" w:fill="auto"/>
            <w:vAlign w:val="bottom"/>
          </w:tcPr>
          <w:p w14:paraId="3E5ABB53" w14:textId="77777777" w:rsidR="001477BC" w:rsidRPr="00F87055" w:rsidRDefault="001477BC" w:rsidP="001477BC">
            <w:pPr>
              <w:tabs>
                <w:tab w:val="decimal" w:pos="1152"/>
              </w:tabs>
              <w:rPr>
                <w:b/>
                <w:color w:val="auto"/>
              </w:rPr>
            </w:pPr>
            <w:r w:rsidRPr="00F87055">
              <w:rPr>
                <w:b/>
                <w:color w:val="auto"/>
              </w:rPr>
              <w:t>254.4</w:t>
            </w:r>
          </w:p>
        </w:tc>
      </w:tr>
      <w:tr w:rsidR="00AD74BB" w:rsidRPr="008D3771" w14:paraId="797E3539" w14:textId="77777777" w:rsidTr="008D3771">
        <w:trPr>
          <w:trHeight w:hRule="exact" w:val="369"/>
        </w:trPr>
        <w:tc>
          <w:tcPr>
            <w:tcW w:w="2105" w:type="pct"/>
            <w:shd w:val="clear" w:color="auto" w:fill="auto"/>
            <w:vAlign w:val="bottom"/>
          </w:tcPr>
          <w:p w14:paraId="2781DC9B" w14:textId="77777777" w:rsidR="0064475E" w:rsidRPr="00A06955" w:rsidRDefault="0064475E" w:rsidP="008D3771">
            <w:pPr>
              <w:jc w:val="left"/>
              <w:rPr>
                <w:color w:val="auto"/>
              </w:rPr>
            </w:pPr>
          </w:p>
        </w:tc>
        <w:tc>
          <w:tcPr>
            <w:tcW w:w="663" w:type="pct"/>
            <w:shd w:val="clear" w:color="auto" w:fill="auto"/>
            <w:vAlign w:val="bottom"/>
          </w:tcPr>
          <w:p w14:paraId="3BF8F79B" w14:textId="77777777" w:rsidR="0064475E" w:rsidRPr="00A06955" w:rsidRDefault="0064475E" w:rsidP="008D3771">
            <w:pPr>
              <w:jc w:val="right"/>
              <w:rPr>
                <w:color w:val="auto"/>
              </w:rPr>
            </w:pPr>
          </w:p>
        </w:tc>
        <w:tc>
          <w:tcPr>
            <w:tcW w:w="1116" w:type="pct"/>
            <w:tcBorders>
              <w:top w:val="nil"/>
            </w:tcBorders>
            <w:shd w:val="clear" w:color="auto" w:fill="auto"/>
            <w:vAlign w:val="bottom"/>
          </w:tcPr>
          <w:p w14:paraId="593FD238" w14:textId="77777777" w:rsidR="0064475E" w:rsidRPr="00A06955" w:rsidRDefault="0064475E" w:rsidP="008D3771">
            <w:pPr>
              <w:tabs>
                <w:tab w:val="decimal" w:pos="1192"/>
              </w:tabs>
              <w:rPr>
                <w:color w:val="auto"/>
              </w:rPr>
            </w:pPr>
          </w:p>
        </w:tc>
        <w:tc>
          <w:tcPr>
            <w:tcW w:w="1116" w:type="pct"/>
            <w:tcBorders>
              <w:top w:val="nil"/>
            </w:tcBorders>
            <w:shd w:val="clear" w:color="auto" w:fill="auto"/>
            <w:vAlign w:val="bottom"/>
          </w:tcPr>
          <w:p w14:paraId="0070912E" w14:textId="77777777" w:rsidR="0064475E" w:rsidRPr="00F87055" w:rsidRDefault="0064475E" w:rsidP="008D3771">
            <w:pPr>
              <w:tabs>
                <w:tab w:val="decimal" w:pos="1152"/>
              </w:tabs>
              <w:rPr>
                <w:color w:val="auto"/>
              </w:rPr>
            </w:pPr>
          </w:p>
        </w:tc>
      </w:tr>
      <w:tr w:rsidR="001477BC" w:rsidRPr="008D3771" w14:paraId="791690B0" w14:textId="77777777" w:rsidTr="00A06955">
        <w:trPr>
          <w:trHeight w:hRule="exact" w:val="369"/>
        </w:trPr>
        <w:tc>
          <w:tcPr>
            <w:tcW w:w="2105" w:type="pct"/>
            <w:shd w:val="clear" w:color="auto" w:fill="auto"/>
            <w:vAlign w:val="bottom"/>
          </w:tcPr>
          <w:p w14:paraId="79CCCFA7" w14:textId="77777777" w:rsidR="001477BC" w:rsidRPr="00A06955" w:rsidRDefault="001477BC" w:rsidP="001477BC">
            <w:pPr>
              <w:jc w:val="left"/>
              <w:rPr>
                <w:color w:val="auto"/>
              </w:rPr>
            </w:pPr>
            <w:r w:rsidRPr="00A06955">
              <w:rPr>
                <w:color w:val="auto"/>
              </w:rPr>
              <w:t>Short Term Borrowing</w:t>
            </w:r>
          </w:p>
        </w:tc>
        <w:tc>
          <w:tcPr>
            <w:tcW w:w="663" w:type="pct"/>
            <w:shd w:val="clear" w:color="auto" w:fill="auto"/>
            <w:vAlign w:val="bottom"/>
          </w:tcPr>
          <w:p w14:paraId="41474077" w14:textId="49BF2284" w:rsidR="001477BC" w:rsidRPr="00A06955" w:rsidRDefault="001477BC" w:rsidP="000A0396">
            <w:pPr>
              <w:jc w:val="right"/>
              <w:rPr>
                <w:color w:val="auto"/>
              </w:rPr>
            </w:pPr>
            <w:r w:rsidRPr="00A06955">
              <w:rPr>
                <w:color w:val="auto"/>
              </w:rPr>
              <w:t>2</w:t>
            </w:r>
            <w:r w:rsidR="000A0396">
              <w:rPr>
                <w:color w:val="auto"/>
              </w:rPr>
              <w:t>3</w:t>
            </w:r>
          </w:p>
        </w:tc>
        <w:tc>
          <w:tcPr>
            <w:tcW w:w="1116" w:type="pct"/>
            <w:tcBorders>
              <w:top w:val="nil"/>
              <w:left w:val="nil"/>
              <w:bottom w:val="nil"/>
              <w:right w:val="nil"/>
            </w:tcBorders>
            <w:shd w:val="clear" w:color="auto" w:fill="auto"/>
            <w:vAlign w:val="center"/>
          </w:tcPr>
          <w:p w14:paraId="6580E660" w14:textId="18291603" w:rsidR="001477BC" w:rsidRPr="00A06955" w:rsidRDefault="00811C47" w:rsidP="001477BC">
            <w:pPr>
              <w:tabs>
                <w:tab w:val="decimal" w:pos="1192"/>
              </w:tabs>
              <w:rPr>
                <w:color w:val="auto"/>
              </w:rPr>
            </w:pPr>
            <w:r>
              <w:rPr>
                <w:rFonts w:cs="Arial"/>
              </w:rPr>
              <w:t>(</w:t>
            </w:r>
            <w:r w:rsidR="001477BC" w:rsidRPr="00A06955">
              <w:rPr>
                <w:rFonts w:cs="Arial"/>
              </w:rPr>
              <w:t>57</w:t>
            </w:r>
            <w:r w:rsidR="00427F9B">
              <w:rPr>
                <w:rFonts w:cs="Arial"/>
              </w:rPr>
              <w:t>4.2</w:t>
            </w:r>
            <w:r>
              <w:rPr>
                <w:rFonts w:cs="Arial"/>
              </w:rPr>
              <w:t>)</w:t>
            </w:r>
          </w:p>
        </w:tc>
        <w:tc>
          <w:tcPr>
            <w:tcW w:w="1116" w:type="pct"/>
            <w:shd w:val="clear" w:color="auto" w:fill="auto"/>
            <w:vAlign w:val="bottom"/>
          </w:tcPr>
          <w:p w14:paraId="1D12E637" w14:textId="2998277B" w:rsidR="001477BC" w:rsidRPr="00F87055" w:rsidRDefault="00811C47" w:rsidP="001477BC">
            <w:pPr>
              <w:tabs>
                <w:tab w:val="decimal" w:pos="1152"/>
              </w:tabs>
              <w:rPr>
                <w:color w:val="auto"/>
              </w:rPr>
            </w:pPr>
            <w:r>
              <w:rPr>
                <w:color w:val="auto"/>
              </w:rPr>
              <w:t>(</w:t>
            </w:r>
            <w:r w:rsidR="001477BC" w:rsidRPr="00F87055">
              <w:rPr>
                <w:color w:val="auto"/>
              </w:rPr>
              <w:t>384.0</w:t>
            </w:r>
            <w:r>
              <w:rPr>
                <w:color w:val="auto"/>
              </w:rPr>
              <w:t>)</w:t>
            </w:r>
          </w:p>
        </w:tc>
      </w:tr>
      <w:tr w:rsidR="001477BC" w:rsidRPr="008D3771" w14:paraId="4D794690" w14:textId="77777777" w:rsidTr="00A06955">
        <w:trPr>
          <w:trHeight w:hRule="exact" w:val="369"/>
        </w:trPr>
        <w:tc>
          <w:tcPr>
            <w:tcW w:w="2105" w:type="pct"/>
            <w:shd w:val="clear" w:color="auto" w:fill="auto"/>
            <w:vAlign w:val="bottom"/>
          </w:tcPr>
          <w:p w14:paraId="71B99F6E" w14:textId="77777777" w:rsidR="001477BC" w:rsidRPr="00A06955" w:rsidRDefault="001477BC" w:rsidP="001477BC">
            <w:pPr>
              <w:jc w:val="left"/>
              <w:rPr>
                <w:color w:val="auto"/>
              </w:rPr>
            </w:pPr>
            <w:r w:rsidRPr="00A06955">
              <w:rPr>
                <w:color w:val="auto"/>
              </w:rPr>
              <w:t>Short Term Creditors</w:t>
            </w:r>
          </w:p>
        </w:tc>
        <w:tc>
          <w:tcPr>
            <w:tcW w:w="663" w:type="pct"/>
            <w:shd w:val="clear" w:color="auto" w:fill="auto"/>
            <w:vAlign w:val="bottom"/>
          </w:tcPr>
          <w:p w14:paraId="79262396" w14:textId="2EE3AEBF" w:rsidR="001477BC" w:rsidRPr="00A06955" w:rsidRDefault="001477BC" w:rsidP="000A0396">
            <w:pPr>
              <w:jc w:val="right"/>
              <w:rPr>
                <w:color w:val="auto"/>
              </w:rPr>
            </w:pPr>
            <w:r w:rsidRPr="00A06955">
              <w:rPr>
                <w:color w:val="auto"/>
              </w:rPr>
              <w:t>2</w:t>
            </w:r>
            <w:r w:rsidR="000A0396">
              <w:rPr>
                <w:color w:val="auto"/>
              </w:rPr>
              <w:t>8</w:t>
            </w:r>
          </w:p>
        </w:tc>
        <w:tc>
          <w:tcPr>
            <w:tcW w:w="1116" w:type="pct"/>
            <w:tcBorders>
              <w:top w:val="nil"/>
              <w:left w:val="nil"/>
              <w:bottom w:val="nil"/>
              <w:right w:val="nil"/>
            </w:tcBorders>
            <w:shd w:val="clear" w:color="auto" w:fill="auto"/>
            <w:vAlign w:val="center"/>
          </w:tcPr>
          <w:p w14:paraId="47302F99" w14:textId="7D4F0072" w:rsidR="001477BC" w:rsidRPr="00A06955" w:rsidRDefault="00811C47">
            <w:pPr>
              <w:tabs>
                <w:tab w:val="decimal" w:pos="1192"/>
              </w:tabs>
              <w:rPr>
                <w:color w:val="auto"/>
              </w:rPr>
            </w:pPr>
            <w:r>
              <w:rPr>
                <w:rFonts w:cs="Arial"/>
              </w:rPr>
              <w:t>(</w:t>
            </w:r>
            <w:r w:rsidR="001477BC" w:rsidRPr="000727B1">
              <w:rPr>
                <w:rFonts w:cs="Arial"/>
              </w:rPr>
              <w:t>204.</w:t>
            </w:r>
            <w:r w:rsidR="009527CC" w:rsidRPr="000727B1">
              <w:rPr>
                <w:rFonts w:cs="Arial"/>
              </w:rPr>
              <w:t>5</w:t>
            </w:r>
            <w:r>
              <w:rPr>
                <w:rFonts w:cs="Arial"/>
              </w:rPr>
              <w:t>)</w:t>
            </w:r>
          </w:p>
        </w:tc>
        <w:tc>
          <w:tcPr>
            <w:tcW w:w="1116" w:type="pct"/>
            <w:shd w:val="clear" w:color="auto" w:fill="auto"/>
            <w:vAlign w:val="bottom"/>
          </w:tcPr>
          <w:p w14:paraId="1E9ECF09" w14:textId="2D986E13" w:rsidR="001477BC" w:rsidRPr="00F87055" w:rsidRDefault="00811C47" w:rsidP="001477BC">
            <w:pPr>
              <w:tabs>
                <w:tab w:val="decimal" w:pos="1152"/>
              </w:tabs>
              <w:rPr>
                <w:color w:val="auto"/>
              </w:rPr>
            </w:pPr>
            <w:r>
              <w:rPr>
                <w:color w:val="auto"/>
              </w:rPr>
              <w:t>(</w:t>
            </w:r>
            <w:r w:rsidR="001477BC" w:rsidRPr="00F87055">
              <w:rPr>
                <w:color w:val="auto"/>
              </w:rPr>
              <w:t>211.1</w:t>
            </w:r>
            <w:r>
              <w:rPr>
                <w:color w:val="auto"/>
              </w:rPr>
              <w:t>)</w:t>
            </w:r>
          </w:p>
        </w:tc>
      </w:tr>
      <w:tr w:rsidR="001477BC" w:rsidRPr="008D3771" w14:paraId="30980551" w14:textId="77777777" w:rsidTr="00A06955">
        <w:trPr>
          <w:trHeight w:hRule="exact" w:val="369"/>
        </w:trPr>
        <w:tc>
          <w:tcPr>
            <w:tcW w:w="2105" w:type="pct"/>
            <w:shd w:val="clear" w:color="auto" w:fill="auto"/>
            <w:vAlign w:val="bottom"/>
          </w:tcPr>
          <w:p w14:paraId="4094E84A" w14:textId="77777777" w:rsidR="001477BC" w:rsidRPr="00A06955" w:rsidRDefault="001477BC" w:rsidP="001477BC">
            <w:pPr>
              <w:jc w:val="left"/>
              <w:rPr>
                <w:color w:val="auto"/>
              </w:rPr>
            </w:pPr>
            <w:r w:rsidRPr="00A06955">
              <w:rPr>
                <w:color w:val="auto"/>
              </w:rPr>
              <w:t>Receipts in Advance</w:t>
            </w:r>
          </w:p>
        </w:tc>
        <w:tc>
          <w:tcPr>
            <w:tcW w:w="663" w:type="pct"/>
            <w:shd w:val="clear" w:color="auto" w:fill="auto"/>
            <w:vAlign w:val="bottom"/>
          </w:tcPr>
          <w:p w14:paraId="2BA040E4" w14:textId="77777777" w:rsidR="001477BC" w:rsidRPr="00A06955" w:rsidRDefault="001477BC" w:rsidP="001477BC">
            <w:pPr>
              <w:jc w:val="right"/>
              <w:rPr>
                <w:color w:val="auto"/>
              </w:rPr>
            </w:pPr>
          </w:p>
        </w:tc>
        <w:tc>
          <w:tcPr>
            <w:tcW w:w="1116" w:type="pct"/>
            <w:tcBorders>
              <w:top w:val="nil"/>
              <w:left w:val="nil"/>
              <w:bottom w:val="nil"/>
              <w:right w:val="nil"/>
            </w:tcBorders>
            <w:shd w:val="clear" w:color="auto" w:fill="auto"/>
            <w:vAlign w:val="center"/>
          </w:tcPr>
          <w:p w14:paraId="3DE634C8" w14:textId="1FFB19CF" w:rsidR="001477BC" w:rsidRPr="00A06955" w:rsidRDefault="00811C47" w:rsidP="001477BC">
            <w:pPr>
              <w:tabs>
                <w:tab w:val="decimal" w:pos="1192"/>
              </w:tabs>
              <w:rPr>
                <w:color w:val="auto"/>
              </w:rPr>
            </w:pPr>
            <w:r>
              <w:rPr>
                <w:rFonts w:cs="Arial"/>
              </w:rPr>
              <w:t>(</w:t>
            </w:r>
            <w:r w:rsidR="001477BC" w:rsidRPr="00A06955">
              <w:rPr>
                <w:rFonts w:cs="Arial"/>
              </w:rPr>
              <w:t>7.3</w:t>
            </w:r>
            <w:r>
              <w:rPr>
                <w:rFonts w:cs="Arial"/>
              </w:rPr>
              <w:t>)</w:t>
            </w:r>
          </w:p>
        </w:tc>
        <w:tc>
          <w:tcPr>
            <w:tcW w:w="1116" w:type="pct"/>
            <w:shd w:val="clear" w:color="auto" w:fill="auto"/>
            <w:vAlign w:val="bottom"/>
          </w:tcPr>
          <w:p w14:paraId="4383C136" w14:textId="2761E9EB" w:rsidR="001477BC" w:rsidRPr="00F87055" w:rsidRDefault="00811C47" w:rsidP="001477BC">
            <w:pPr>
              <w:tabs>
                <w:tab w:val="decimal" w:pos="1152"/>
              </w:tabs>
              <w:rPr>
                <w:color w:val="auto"/>
              </w:rPr>
            </w:pPr>
            <w:r>
              <w:rPr>
                <w:color w:val="auto"/>
              </w:rPr>
              <w:t>(</w:t>
            </w:r>
            <w:r w:rsidR="001477BC" w:rsidRPr="00F87055">
              <w:rPr>
                <w:color w:val="auto"/>
              </w:rPr>
              <w:t>8.3</w:t>
            </w:r>
            <w:r>
              <w:rPr>
                <w:color w:val="auto"/>
              </w:rPr>
              <w:t>)</w:t>
            </w:r>
          </w:p>
        </w:tc>
      </w:tr>
      <w:tr w:rsidR="001477BC" w:rsidRPr="008D3771" w14:paraId="0C8960BD" w14:textId="77777777" w:rsidTr="00A06955">
        <w:trPr>
          <w:trHeight w:hRule="exact" w:val="369"/>
        </w:trPr>
        <w:tc>
          <w:tcPr>
            <w:tcW w:w="2105" w:type="pct"/>
            <w:shd w:val="clear" w:color="auto" w:fill="auto"/>
            <w:vAlign w:val="bottom"/>
          </w:tcPr>
          <w:p w14:paraId="5310BFF4" w14:textId="77777777" w:rsidR="001477BC" w:rsidRPr="00A06955" w:rsidRDefault="001477BC" w:rsidP="001477BC">
            <w:pPr>
              <w:jc w:val="left"/>
              <w:rPr>
                <w:color w:val="auto"/>
              </w:rPr>
            </w:pPr>
            <w:r w:rsidRPr="00A06955">
              <w:rPr>
                <w:color w:val="auto"/>
              </w:rPr>
              <w:t>Short Term Provisions</w:t>
            </w:r>
          </w:p>
        </w:tc>
        <w:tc>
          <w:tcPr>
            <w:tcW w:w="663" w:type="pct"/>
            <w:shd w:val="clear" w:color="auto" w:fill="auto"/>
            <w:vAlign w:val="bottom"/>
          </w:tcPr>
          <w:p w14:paraId="44A0D114" w14:textId="558C67EF" w:rsidR="001477BC" w:rsidRPr="00A06955" w:rsidRDefault="000A0396" w:rsidP="001477BC">
            <w:pPr>
              <w:jc w:val="right"/>
              <w:rPr>
                <w:color w:val="auto"/>
              </w:rPr>
            </w:pPr>
            <w:r>
              <w:rPr>
                <w:color w:val="auto"/>
              </w:rPr>
              <w:t>30</w:t>
            </w:r>
          </w:p>
        </w:tc>
        <w:tc>
          <w:tcPr>
            <w:tcW w:w="1116" w:type="pct"/>
            <w:tcBorders>
              <w:top w:val="nil"/>
              <w:left w:val="nil"/>
              <w:bottom w:val="nil"/>
              <w:right w:val="nil"/>
            </w:tcBorders>
            <w:shd w:val="clear" w:color="auto" w:fill="auto"/>
            <w:vAlign w:val="center"/>
          </w:tcPr>
          <w:p w14:paraId="6881B325" w14:textId="1E0DBF57" w:rsidR="001477BC" w:rsidRPr="00A06955" w:rsidRDefault="00811C47" w:rsidP="001477BC">
            <w:pPr>
              <w:tabs>
                <w:tab w:val="decimal" w:pos="1192"/>
              </w:tabs>
              <w:rPr>
                <w:color w:val="auto"/>
              </w:rPr>
            </w:pPr>
            <w:r>
              <w:rPr>
                <w:rFonts w:cs="Arial"/>
              </w:rPr>
              <w:t>(</w:t>
            </w:r>
            <w:r w:rsidR="001477BC" w:rsidRPr="00A06955">
              <w:rPr>
                <w:rFonts w:cs="Arial"/>
              </w:rPr>
              <w:t>18.0</w:t>
            </w:r>
            <w:r>
              <w:rPr>
                <w:rFonts w:cs="Arial"/>
              </w:rPr>
              <w:t>)</w:t>
            </w:r>
          </w:p>
        </w:tc>
        <w:tc>
          <w:tcPr>
            <w:tcW w:w="1116" w:type="pct"/>
            <w:shd w:val="clear" w:color="auto" w:fill="auto"/>
            <w:vAlign w:val="bottom"/>
          </w:tcPr>
          <w:p w14:paraId="52C28C33" w14:textId="292430BB" w:rsidR="001477BC" w:rsidRPr="00F87055" w:rsidRDefault="00811C47" w:rsidP="001477BC">
            <w:pPr>
              <w:tabs>
                <w:tab w:val="decimal" w:pos="1152"/>
              </w:tabs>
              <w:rPr>
                <w:color w:val="auto"/>
              </w:rPr>
            </w:pPr>
            <w:r>
              <w:rPr>
                <w:color w:val="auto"/>
              </w:rPr>
              <w:t>(</w:t>
            </w:r>
            <w:r w:rsidR="001477BC" w:rsidRPr="00F87055">
              <w:rPr>
                <w:color w:val="auto"/>
              </w:rPr>
              <w:t>8.1</w:t>
            </w:r>
            <w:r>
              <w:rPr>
                <w:color w:val="auto"/>
              </w:rPr>
              <w:t>)</w:t>
            </w:r>
          </w:p>
        </w:tc>
      </w:tr>
      <w:tr w:rsidR="001477BC" w:rsidRPr="008D3771" w14:paraId="2ABCBCF3" w14:textId="77777777" w:rsidTr="00A06955">
        <w:trPr>
          <w:trHeight w:hRule="exact" w:val="369"/>
        </w:trPr>
        <w:tc>
          <w:tcPr>
            <w:tcW w:w="2105" w:type="pct"/>
            <w:shd w:val="clear" w:color="auto" w:fill="auto"/>
            <w:vAlign w:val="bottom"/>
          </w:tcPr>
          <w:p w14:paraId="0D50EED5" w14:textId="77777777" w:rsidR="001477BC" w:rsidRPr="00A06955" w:rsidRDefault="001477BC" w:rsidP="001477BC">
            <w:pPr>
              <w:jc w:val="left"/>
              <w:rPr>
                <w:color w:val="auto"/>
              </w:rPr>
            </w:pPr>
            <w:r w:rsidRPr="00A06955">
              <w:rPr>
                <w:color w:val="auto"/>
              </w:rPr>
              <w:t>Other Current Liabilities</w:t>
            </w:r>
          </w:p>
        </w:tc>
        <w:tc>
          <w:tcPr>
            <w:tcW w:w="663" w:type="pct"/>
            <w:shd w:val="clear" w:color="auto" w:fill="auto"/>
            <w:vAlign w:val="bottom"/>
          </w:tcPr>
          <w:p w14:paraId="74E70F62" w14:textId="6531E012" w:rsidR="001477BC" w:rsidRPr="00A06955" w:rsidRDefault="001477BC" w:rsidP="000A0396">
            <w:pPr>
              <w:jc w:val="right"/>
              <w:rPr>
                <w:color w:val="auto"/>
              </w:rPr>
            </w:pPr>
            <w:r w:rsidRPr="00A06955">
              <w:rPr>
                <w:color w:val="auto"/>
              </w:rPr>
              <w:t>2</w:t>
            </w:r>
            <w:r w:rsidR="000A0396">
              <w:rPr>
                <w:color w:val="auto"/>
              </w:rPr>
              <w:t>3</w:t>
            </w:r>
          </w:p>
        </w:tc>
        <w:tc>
          <w:tcPr>
            <w:tcW w:w="1116" w:type="pct"/>
            <w:tcBorders>
              <w:top w:val="nil"/>
              <w:left w:val="nil"/>
              <w:bottom w:val="single" w:sz="8" w:space="0" w:color="auto"/>
              <w:right w:val="nil"/>
            </w:tcBorders>
            <w:shd w:val="clear" w:color="auto" w:fill="auto"/>
            <w:vAlign w:val="center"/>
          </w:tcPr>
          <w:p w14:paraId="5F4610AB" w14:textId="04B5DDC5" w:rsidR="001477BC" w:rsidRPr="00A06955" w:rsidRDefault="00811C47" w:rsidP="001477BC">
            <w:pPr>
              <w:tabs>
                <w:tab w:val="decimal" w:pos="1192"/>
              </w:tabs>
              <w:rPr>
                <w:color w:val="auto"/>
              </w:rPr>
            </w:pPr>
            <w:r>
              <w:rPr>
                <w:rFonts w:cs="Arial"/>
              </w:rPr>
              <w:t>(</w:t>
            </w:r>
            <w:r w:rsidR="001477BC" w:rsidRPr="00493E3A">
              <w:rPr>
                <w:rFonts w:cs="Arial"/>
              </w:rPr>
              <w:t>4.6</w:t>
            </w:r>
            <w:r>
              <w:rPr>
                <w:rFonts w:cs="Arial"/>
              </w:rPr>
              <w:t>)</w:t>
            </w:r>
          </w:p>
        </w:tc>
        <w:tc>
          <w:tcPr>
            <w:tcW w:w="1116" w:type="pct"/>
            <w:tcBorders>
              <w:bottom w:val="single" w:sz="4" w:space="0" w:color="auto"/>
            </w:tcBorders>
            <w:shd w:val="clear" w:color="auto" w:fill="auto"/>
            <w:vAlign w:val="bottom"/>
          </w:tcPr>
          <w:p w14:paraId="1DFA69E2" w14:textId="5DFFFBB9" w:rsidR="001477BC" w:rsidRPr="00F87055" w:rsidRDefault="00811C47" w:rsidP="001477BC">
            <w:pPr>
              <w:tabs>
                <w:tab w:val="decimal" w:pos="1152"/>
              </w:tabs>
              <w:rPr>
                <w:color w:val="auto"/>
              </w:rPr>
            </w:pPr>
            <w:r>
              <w:rPr>
                <w:color w:val="auto"/>
              </w:rPr>
              <w:t>(</w:t>
            </w:r>
            <w:r w:rsidR="001477BC" w:rsidRPr="00F87055">
              <w:rPr>
                <w:color w:val="auto"/>
              </w:rPr>
              <w:t>7.5</w:t>
            </w:r>
            <w:r>
              <w:rPr>
                <w:color w:val="auto"/>
              </w:rPr>
              <w:t>)</w:t>
            </w:r>
          </w:p>
        </w:tc>
      </w:tr>
      <w:tr w:rsidR="001477BC" w:rsidRPr="008D3771" w14:paraId="3AB4C2F0" w14:textId="77777777" w:rsidTr="00A06955">
        <w:trPr>
          <w:trHeight w:hRule="exact" w:val="369"/>
        </w:trPr>
        <w:tc>
          <w:tcPr>
            <w:tcW w:w="2105" w:type="pct"/>
            <w:shd w:val="clear" w:color="auto" w:fill="auto"/>
            <w:vAlign w:val="bottom"/>
          </w:tcPr>
          <w:p w14:paraId="25A97272" w14:textId="77777777" w:rsidR="001477BC" w:rsidRPr="00A06955" w:rsidRDefault="001477BC" w:rsidP="001477BC">
            <w:pPr>
              <w:jc w:val="left"/>
              <w:rPr>
                <w:b/>
                <w:color w:val="auto"/>
              </w:rPr>
            </w:pPr>
            <w:r w:rsidRPr="00A06955">
              <w:rPr>
                <w:b/>
                <w:color w:val="auto"/>
              </w:rPr>
              <w:t>Current Liabilities</w:t>
            </w:r>
          </w:p>
        </w:tc>
        <w:tc>
          <w:tcPr>
            <w:tcW w:w="663" w:type="pct"/>
            <w:shd w:val="clear" w:color="auto" w:fill="auto"/>
            <w:vAlign w:val="bottom"/>
          </w:tcPr>
          <w:p w14:paraId="709853C8" w14:textId="77777777" w:rsidR="001477BC" w:rsidRPr="00A06955" w:rsidRDefault="001477BC" w:rsidP="001477BC">
            <w:pPr>
              <w:jc w:val="right"/>
              <w:rPr>
                <w:color w:val="auto"/>
              </w:rPr>
            </w:pPr>
          </w:p>
        </w:tc>
        <w:tc>
          <w:tcPr>
            <w:tcW w:w="1116" w:type="pct"/>
            <w:tcBorders>
              <w:top w:val="nil"/>
              <w:left w:val="nil"/>
              <w:bottom w:val="nil"/>
              <w:right w:val="nil"/>
            </w:tcBorders>
            <w:shd w:val="clear" w:color="auto" w:fill="auto"/>
            <w:vAlign w:val="center"/>
          </w:tcPr>
          <w:p w14:paraId="1ED30DBA" w14:textId="7B3E4049" w:rsidR="001477BC" w:rsidRPr="00A06955" w:rsidRDefault="00811C47" w:rsidP="00427F9B">
            <w:pPr>
              <w:tabs>
                <w:tab w:val="decimal" w:pos="1192"/>
              </w:tabs>
              <w:rPr>
                <w:b/>
                <w:color w:val="auto"/>
              </w:rPr>
            </w:pPr>
            <w:r>
              <w:rPr>
                <w:rFonts w:cs="Arial"/>
                <w:b/>
                <w:bCs/>
              </w:rPr>
              <w:t>(</w:t>
            </w:r>
            <w:r w:rsidR="001477BC" w:rsidRPr="00A06955">
              <w:rPr>
                <w:rFonts w:cs="Arial"/>
                <w:b/>
                <w:bCs/>
              </w:rPr>
              <w:t>80</w:t>
            </w:r>
            <w:r w:rsidR="00427F9B">
              <w:rPr>
                <w:rFonts w:cs="Arial"/>
                <w:b/>
                <w:bCs/>
              </w:rPr>
              <w:t>8.6</w:t>
            </w:r>
            <w:r>
              <w:rPr>
                <w:rFonts w:cs="Arial"/>
                <w:b/>
                <w:bCs/>
              </w:rPr>
              <w:t>)</w:t>
            </w:r>
          </w:p>
        </w:tc>
        <w:tc>
          <w:tcPr>
            <w:tcW w:w="1116" w:type="pct"/>
            <w:tcBorders>
              <w:top w:val="single" w:sz="4" w:space="0" w:color="auto"/>
              <w:bottom w:val="nil"/>
            </w:tcBorders>
            <w:shd w:val="clear" w:color="auto" w:fill="auto"/>
            <w:vAlign w:val="bottom"/>
          </w:tcPr>
          <w:p w14:paraId="21C26BF8" w14:textId="2639B30E" w:rsidR="001477BC" w:rsidRPr="00F87055" w:rsidRDefault="00811C47" w:rsidP="001477BC">
            <w:pPr>
              <w:tabs>
                <w:tab w:val="decimal" w:pos="1152"/>
              </w:tabs>
              <w:rPr>
                <w:b/>
                <w:color w:val="auto"/>
              </w:rPr>
            </w:pPr>
            <w:r>
              <w:rPr>
                <w:b/>
                <w:color w:val="auto"/>
              </w:rPr>
              <w:t>(</w:t>
            </w:r>
            <w:r w:rsidR="001477BC" w:rsidRPr="00F87055">
              <w:rPr>
                <w:b/>
                <w:color w:val="auto"/>
              </w:rPr>
              <w:t>619.0</w:t>
            </w:r>
            <w:r>
              <w:rPr>
                <w:b/>
                <w:color w:val="auto"/>
              </w:rPr>
              <w:t>)</w:t>
            </w:r>
          </w:p>
        </w:tc>
      </w:tr>
      <w:tr w:rsidR="00AD74BB" w:rsidRPr="008D3771" w14:paraId="3859F738" w14:textId="77777777" w:rsidTr="008D3771">
        <w:trPr>
          <w:trHeight w:hRule="exact" w:val="369"/>
        </w:trPr>
        <w:tc>
          <w:tcPr>
            <w:tcW w:w="2105" w:type="pct"/>
            <w:shd w:val="clear" w:color="auto" w:fill="auto"/>
            <w:vAlign w:val="bottom"/>
          </w:tcPr>
          <w:p w14:paraId="43A753B8" w14:textId="77777777" w:rsidR="0064475E" w:rsidRPr="00A06955" w:rsidRDefault="0064475E" w:rsidP="008D3771">
            <w:pPr>
              <w:jc w:val="left"/>
              <w:rPr>
                <w:color w:val="auto"/>
              </w:rPr>
            </w:pPr>
          </w:p>
        </w:tc>
        <w:tc>
          <w:tcPr>
            <w:tcW w:w="663" w:type="pct"/>
            <w:shd w:val="clear" w:color="auto" w:fill="auto"/>
            <w:vAlign w:val="bottom"/>
          </w:tcPr>
          <w:p w14:paraId="05438E38" w14:textId="77777777" w:rsidR="0064475E" w:rsidRPr="00A06955" w:rsidRDefault="0064475E" w:rsidP="008D3771">
            <w:pPr>
              <w:jc w:val="right"/>
              <w:rPr>
                <w:color w:val="auto"/>
              </w:rPr>
            </w:pPr>
          </w:p>
        </w:tc>
        <w:tc>
          <w:tcPr>
            <w:tcW w:w="1116" w:type="pct"/>
            <w:tcBorders>
              <w:top w:val="nil"/>
            </w:tcBorders>
            <w:shd w:val="clear" w:color="auto" w:fill="auto"/>
            <w:vAlign w:val="bottom"/>
          </w:tcPr>
          <w:p w14:paraId="0BB39BB1" w14:textId="77777777" w:rsidR="0064475E" w:rsidRPr="00A06955" w:rsidRDefault="0064475E" w:rsidP="008D3771">
            <w:pPr>
              <w:tabs>
                <w:tab w:val="decimal" w:pos="1192"/>
              </w:tabs>
              <w:rPr>
                <w:color w:val="auto"/>
              </w:rPr>
            </w:pPr>
          </w:p>
        </w:tc>
        <w:tc>
          <w:tcPr>
            <w:tcW w:w="1116" w:type="pct"/>
            <w:tcBorders>
              <w:top w:val="nil"/>
            </w:tcBorders>
            <w:shd w:val="clear" w:color="auto" w:fill="auto"/>
            <w:vAlign w:val="bottom"/>
          </w:tcPr>
          <w:p w14:paraId="04688243" w14:textId="77777777" w:rsidR="0064475E" w:rsidRPr="00F87055" w:rsidRDefault="0064475E" w:rsidP="008D3771">
            <w:pPr>
              <w:tabs>
                <w:tab w:val="decimal" w:pos="1152"/>
              </w:tabs>
              <w:rPr>
                <w:color w:val="auto"/>
              </w:rPr>
            </w:pPr>
          </w:p>
        </w:tc>
      </w:tr>
      <w:tr w:rsidR="001477BC" w:rsidRPr="008D3771" w14:paraId="46C63022" w14:textId="77777777" w:rsidTr="00A06955">
        <w:trPr>
          <w:trHeight w:hRule="exact" w:val="369"/>
        </w:trPr>
        <w:tc>
          <w:tcPr>
            <w:tcW w:w="2105" w:type="pct"/>
            <w:shd w:val="clear" w:color="auto" w:fill="auto"/>
            <w:vAlign w:val="bottom"/>
          </w:tcPr>
          <w:p w14:paraId="6E6DDFA1" w14:textId="77777777" w:rsidR="001477BC" w:rsidRPr="00A06955" w:rsidRDefault="001477BC" w:rsidP="001477BC">
            <w:pPr>
              <w:jc w:val="left"/>
              <w:rPr>
                <w:color w:val="auto"/>
              </w:rPr>
            </w:pPr>
            <w:r w:rsidRPr="00A06955">
              <w:rPr>
                <w:color w:val="auto"/>
              </w:rPr>
              <w:lastRenderedPageBreak/>
              <w:t>Long Term Provisions</w:t>
            </w:r>
          </w:p>
        </w:tc>
        <w:tc>
          <w:tcPr>
            <w:tcW w:w="663" w:type="pct"/>
            <w:shd w:val="clear" w:color="auto" w:fill="auto"/>
            <w:vAlign w:val="bottom"/>
          </w:tcPr>
          <w:p w14:paraId="08291DDA" w14:textId="3419F40E" w:rsidR="001477BC" w:rsidRPr="00A06955" w:rsidRDefault="000A0396" w:rsidP="001477BC">
            <w:pPr>
              <w:jc w:val="right"/>
              <w:rPr>
                <w:color w:val="auto"/>
              </w:rPr>
            </w:pPr>
            <w:r>
              <w:rPr>
                <w:color w:val="auto"/>
              </w:rPr>
              <w:t>30</w:t>
            </w:r>
          </w:p>
        </w:tc>
        <w:tc>
          <w:tcPr>
            <w:tcW w:w="1116" w:type="pct"/>
            <w:tcBorders>
              <w:top w:val="nil"/>
              <w:left w:val="nil"/>
              <w:bottom w:val="nil"/>
              <w:right w:val="nil"/>
            </w:tcBorders>
            <w:shd w:val="clear" w:color="auto" w:fill="auto"/>
            <w:vAlign w:val="center"/>
          </w:tcPr>
          <w:p w14:paraId="2C6AD923" w14:textId="29A383FA" w:rsidR="001477BC" w:rsidRPr="00A06955" w:rsidRDefault="00811C47" w:rsidP="001477BC">
            <w:pPr>
              <w:tabs>
                <w:tab w:val="decimal" w:pos="1192"/>
              </w:tabs>
              <w:rPr>
                <w:color w:val="auto"/>
              </w:rPr>
            </w:pPr>
            <w:r>
              <w:rPr>
                <w:rFonts w:cs="Arial"/>
              </w:rPr>
              <w:t>(</w:t>
            </w:r>
            <w:r w:rsidR="001477BC" w:rsidRPr="00A06955">
              <w:rPr>
                <w:rFonts w:cs="Arial"/>
              </w:rPr>
              <w:t>13.8</w:t>
            </w:r>
            <w:r>
              <w:rPr>
                <w:rFonts w:cs="Arial"/>
              </w:rPr>
              <w:t>)</w:t>
            </w:r>
          </w:p>
        </w:tc>
        <w:tc>
          <w:tcPr>
            <w:tcW w:w="1116" w:type="pct"/>
            <w:shd w:val="clear" w:color="auto" w:fill="auto"/>
            <w:vAlign w:val="bottom"/>
          </w:tcPr>
          <w:p w14:paraId="1A18DC40" w14:textId="0F368908" w:rsidR="001477BC" w:rsidRPr="00F87055" w:rsidRDefault="00811C47" w:rsidP="001477BC">
            <w:pPr>
              <w:tabs>
                <w:tab w:val="decimal" w:pos="1152"/>
              </w:tabs>
              <w:rPr>
                <w:color w:val="auto"/>
              </w:rPr>
            </w:pPr>
            <w:r>
              <w:rPr>
                <w:color w:val="auto"/>
              </w:rPr>
              <w:t>(</w:t>
            </w:r>
            <w:r w:rsidR="001477BC" w:rsidRPr="00F87055">
              <w:rPr>
                <w:color w:val="auto"/>
              </w:rPr>
              <w:t>18.8</w:t>
            </w:r>
            <w:r>
              <w:rPr>
                <w:color w:val="auto"/>
              </w:rPr>
              <w:t>)</w:t>
            </w:r>
          </w:p>
        </w:tc>
      </w:tr>
      <w:tr w:rsidR="001477BC" w:rsidRPr="008D3771" w14:paraId="7C52376E" w14:textId="77777777" w:rsidTr="00A06955">
        <w:trPr>
          <w:trHeight w:hRule="exact" w:val="369"/>
        </w:trPr>
        <w:tc>
          <w:tcPr>
            <w:tcW w:w="2105" w:type="pct"/>
            <w:shd w:val="clear" w:color="auto" w:fill="auto"/>
            <w:vAlign w:val="bottom"/>
          </w:tcPr>
          <w:p w14:paraId="3C315AA0" w14:textId="77777777" w:rsidR="001477BC" w:rsidRPr="00A06955" w:rsidRDefault="001477BC" w:rsidP="001477BC">
            <w:pPr>
              <w:jc w:val="left"/>
              <w:rPr>
                <w:color w:val="auto"/>
              </w:rPr>
            </w:pPr>
            <w:r w:rsidRPr="00A06955">
              <w:rPr>
                <w:color w:val="auto"/>
              </w:rPr>
              <w:t>Long term Borrowing</w:t>
            </w:r>
          </w:p>
        </w:tc>
        <w:tc>
          <w:tcPr>
            <w:tcW w:w="663" w:type="pct"/>
            <w:shd w:val="clear" w:color="auto" w:fill="auto"/>
            <w:vAlign w:val="bottom"/>
          </w:tcPr>
          <w:p w14:paraId="4C6E7089" w14:textId="41AABAD3" w:rsidR="001477BC" w:rsidRPr="00A06955" w:rsidRDefault="001477BC" w:rsidP="001477BC">
            <w:pPr>
              <w:jc w:val="right"/>
              <w:rPr>
                <w:color w:val="auto"/>
              </w:rPr>
            </w:pPr>
            <w:r w:rsidRPr="00A06955">
              <w:rPr>
                <w:color w:val="auto"/>
              </w:rPr>
              <w:t>2</w:t>
            </w:r>
            <w:r w:rsidR="000A0396">
              <w:rPr>
                <w:color w:val="auto"/>
              </w:rPr>
              <w:t>3</w:t>
            </w:r>
          </w:p>
        </w:tc>
        <w:tc>
          <w:tcPr>
            <w:tcW w:w="1116" w:type="pct"/>
            <w:tcBorders>
              <w:top w:val="nil"/>
              <w:left w:val="nil"/>
              <w:bottom w:val="nil"/>
              <w:right w:val="nil"/>
            </w:tcBorders>
            <w:shd w:val="clear" w:color="auto" w:fill="auto"/>
            <w:vAlign w:val="center"/>
          </w:tcPr>
          <w:p w14:paraId="43E00B64" w14:textId="1E353080" w:rsidR="001477BC" w:rsidRPr="00A06955" w:rsidRDefault="00811C47" w:rsidP="001477BC">
            <w:pPr>
              <w:tabs>
                <w:tab w:val="decimal" w:pos="1192"/>
              </w:tabs>
              <w:rPr>
                <w:color w:val="auto"/>
              </w:rPr>
            </w:pPr>
            <w:r>
              <w:rPr>
                <w:rFonts w:cs="Arial"/>
              </w:rPr>
              <w:t>(</w:t>
            </w:r>
            <w:r w:rsidR="001477BC" w:rsidRPr="00A06955">
              <w:rPr>
                <w:rFonts w:cs="Arial"/>
              </w:rPr>
              <w:t>4</w:t>
            </w:r>
            <w:r w:rsidR="00427F9B">
              <w:rPr>
                <w:rFonts w:cs="Arial"/>
              </w:rPr>
              <w:t>67.6</w:t>
            </w:r>
            <w:r>
              <w:rPr>
                <w:rFonts w:cs="Arial"/>
              </w:rPr>
              <w:t>)</w:t>
            </w:r>
          </w:p>
        </w:tc>
        <w:tc>
          <w:tcPr>
            <w:tcW w:w="1116" w:type="pct"/>
            <w:shd w:val="clear" w:color="auto" w:fill="auto"/>
            <w:vAlign w:val="bottom"/>
          </w:tcPr>
          <w:p w14:paraId="0521CA15" w14:textId="6E4ABD5A" w:rsidR="001477BC" w:rsidRPr="00F87055" w:rsidRDefault="00811C47" w:rsidP="001477BC">
            <w:pPr>
              <w:tabs>
                <w:tab w:val="decimal" w:pos="1152"/>
              </w:tabs>
              <w:rPr>
                <w:color w:val="auto"/>
              </w:rPr>
            </w:pPr>
            <w:r>
              <w:rPr>
                <w:color w:val="auto"/>
              </w:rPr>
              <w:t>(</w:t>
            </w:r>
            <w:r w:rsidR="001477BC" w:rsidRPr="00F87055">
              <w:rPr>
                <w:color w:val="auto"/>
              </w:rPr>
              <w:t>436.1</w:t>
            </w:r>
            <w:r>
              <w:rPr>
                <w:color w:val="auto"/>
              </w:rPr>
              <w:t>)</w:t>
            </w:r>
          </w:p>
        </w:tc>
      </w:tr>
      <w:tr w:rsidR="001477BC" w:rsidRPr="008D3771" w14:paraId="763E6CAD" w14:textId="77777777" w:rsidTr="00A06955">
        <w:trPr>
          <w:trHeight w:hRule="exact" w:val="369"/>
        </w:trPr>
        <w:tc>
          <w:tcPr>
            <w:tcW w:w="2105" w:type="pct"/>
            <w:shd w:val="clear" w:color="auto" w:fill="auto"/>
            <w:vAlign w:val="bottom"/>
          </w:tcPr>
          <w:p w14:paraId="792572D0" w14:textId="77777777" w:rsidR="001477BC" w:rsidRPr="00A06955" w:rsidRDefault="001477BC" w:rsidP="001477BC">
            <w:pPr>
              <w:jc w:val="left"/>
              <w:rPr>
                <w:color w:val="auto"/>
              </w:rPr>
            </w:pPr>
            <w:r w:rsidRPr="00A06955">
              <w:rPr>
                <w:color w:val="auto"/>
              </w:rPr>
              <w:t>Other Long Term Liabilities</w:t>
            </w:r>
          </w:p>
        </w:tc>
        <w:tc>
          <w:tcPr>
            <w:tcW w:w="663" w:type="pct"/>
            <w:shd w:val="clear" w:color="auto" w:fill="auto"/>
            <w:vAlign w:val="bottom"/>
          </w:tcPr>
          <w:p w14:paraId="2CB29F82" w14:textId="2DFEF001" w:rsidR="001477BC" w:rsidRPr="00A06955" w:rsidRDefault="001477BC" w:rsidP="00AB2F90">
            <w:pPr>
              <w:jc w:val="right"/>
              <w:rPr>
                <w:color w:val="auto"/>
              </w:rPr>
            </w:pPr>
            <w:r w:rsidRPr="00A06955">
              <w:rPr>
                <w:color w:val="auto"/>
              </w:rPr>
              <w:t>2</w:t>
            </w:r>
            <w:r w:rsidR="000A0396">
              <w:rPr>
                <w:color w:val="auto"/>
              </w:rPr>
              <w:t>3</w:t>
            </w:r>
            <w:r w:rsidR="00160E22">
              <w:rPr>
                <w:color w:val="auto"/>
                <w:vertAlign w:val="superscript"/>
              </w:rPr>
              <w:t>1</w:t>
            </w:r>
            <w:r w:rsidR="00103032" w:rsidRPr="00A06955">
              <w:rPr>
                <w:color w:val="auto"/>
              </w:rPr>
              <w:t>,</w:t>
            </w:r>
            <w:r w:rsidR="00103032">
              <w:rPr>
                <w:color w:val="auto"/>
              </w:rPr>
              <w:t xml:space="preserve"> </w:t>
            </w:r>
            <w:r w:rsidR="00AB2F90">
              <w:rPr>
                <w:color w:val="auto"/>
              </w:rPr>
              <w:t>41</w:t>
            </w:r>
          </w:p>
        </w:tc>
        <w:tc>
          <w:tcPr>
            <w:tcW w:w="1116" w:type="pct"/>
            <w:tcBorders>
              <w:top w:val="nil"/>
              <w:left w:val="nil"/>
              <w:bottom w:val="single" w:sz="8" w:space="0" w:color="auto"/>
              <w:right w:val="nil"/>
            </w:tcBorders>
            <w:shd w:val="clear" w:color="auto" w:fill="auto"/>
            <w:vAlign w:val="center"/>
          </w:tcPr>
          <w:p w14:paraId="5B9E0123" w14:textId="3FAD5F06" w:rsidR="001477BC" w:rsidRPr="00A06955" w:rsidRDefault="00811C47" w:rsidP="001477BC">
            <w:pPr>
              <w:tabs>
                <w:tab w:val="decimal" w:pos="1192"/>
              </w:tabs>
              <w:rPr>
                <w:color w:val="auto"/>
              </w:rPr>
            </w:pPr>
            <w:r>
              <w:rPr>
                <w:rFonts w:cs="Arial"/>
              </w:rPr>
              <w:t>(</w:t>
            </w:r>
            <w:r w:rsidR="001477BC" w:rsidRPr="00A06955">
              <w:rPr>
                <w:rFonts w:cs="Arial"/>
              </w:rPr>
              <w:t>1,406.1</w:t>
            </w:r>
            <w:r>
              <w:rPr>
                <w:rFonts w:cs="Arial"/>
              </w:rPr>
              <w:t>)</w:t>
            </w:r>
          </w:p>
        </w:tc>
        <w:tc>
          <w:tcPr>
            <w:tcW w:w="1116" w:type="pct"/>
            <w:tcBorders>
              <w:bottom w:val="single" w:sz="4" w:space="0" w:color="auto"/>
            </w:tcBorders>
            <w:shd w:val="clear" w:color="auto" w:fill="auto"/>
            <w:vAlign w:val="bottom"/>
          </w:tcPr>
          <w:p w14:paraId="579E7D6C" w14:textId="2B56BB56" w:rsidR="001477BC" w:rsidRPr="00F87055" w:rsidRDefault="00811C47" w:rsidP="001477BC">
            <w:pPr>
              <w:tabs>
                <w:tab w:val="decimal" w:pos="1152"/>
              </w:tabs>
              <w:rPr>
                <w:color w:val="auto"/>
              </w:rPr>
            </w:pPr>
            <w:r>
              <w:rPr>
                <w:color w:val="auto"/>
              </w:rPr>
              <w:t>(</w:t>
            </w:r>
            <w:r w:rsidR="001477BC" w:rsidRPr="00F87055">
              <w:rPr>
                <w:color w:val="auto"/>
              </w:rPr>
              <w:t>1,300.7</w:t>
            </w:r>
            <w:r>
              <w:rPr>
                <w:color w:val="auto"/>
              </w:rPr>
              <w:t>)</w:t>
            </w:r>
          </w:p>
        </w:tc>
      </w:tr>
      <w:tr w:rsidR="001477BC" w:rsidRPr="008D3771" w14:paraId="36B153BD" w14:textId="77777777" w:rsidTr="00A06955">
        <w:trPr>
          <w:trHeight w:hRule="exact" w:val="369"/>
        </w:trPr>
        <w:tc>
          <w:tcPr>
            <w:tcW w:w="2105" w:type="pct"/>
            <w:shd w:val="clear" w:color="auto" w:fill="auto"/>
            <w:vAlign w:val="bottom"/>
          </w:tcPr>
          <w:p w14:paraId="53DC1DE3" w14:textId="77777777" w:rsidR="001477BC" w:rsidRPr="00A06955" w:rsidRDefault="001477BC" w:rsidP="001477BC">
            <w:pPr>
              <w:jc w:val="left"/>
              <w:rPr>
                <w:b/>
                <w:color w:val="auto"/>
              </w:rPr>
            </w:pPr>
            <w:r w:rsidRPr="00A06955">
              <w:rPr>
                <w:b/>
                <w:color w:val="auto"/>
              </w:rPr>
              <w:t>Long Term Liabilities</w:t>
            </w:r>
          </w:p>
        </w:tc>
        <w:tc>
          <w:tcPr>
            <w:tcW w:w="663" w:type="pct"/>
            <w:shd w:val="clear" w:color="auto" w:fill="auto"/>
            <w:vAlign w:val="bottom"/>
          </w:tcPr>
          <w:p w14:paraId="3E735CD0" w14:textId="77777777" w:rsidR="001477BC" w:rsidRPr="00A06955" w:rsidRDefault="001477BC" w:rsidP="001477BC">
            <w:pPr>
              <w:jc w:val="right"/>
              <w:rPr>
                <w:color w:val="auto"/>
              </w:rPr>
            </w:pPr>
          </w:p>
        </w:tc>
        <w:tc>
          <w:tcPr>
            <w:tcW w:w="1116" w:type="pct"/>
            <w:tcBorders>
              <w:top w:val="nil"/>
              <w:left w:val="nil"/>
              <w:bottom w:val="nil"/>
              <w:right w:val="nil"/>
            </w:tcBorders>
            <w:shd w:val="clear" w:color="auto" w:fill="auto"/>
            <w:vAlign w:val="center"/>
          </w:tcPr>
          <w:p w14:paraId="6ABC7F1C" w14:textId="79925B43" w:rsidR="001477BC" w:rsidRPr="00A06955" w:rsidRDefault="00811C47" w:rsidP="00427F9B">
            <w:pPr>
              <w:tabs>
                <w:tab w:val="decimal" w:pos="1192"/>
              </w:tabs>
              <w:rPr>
                <w:b/>
                <w:color w:val="auto"/>
              </w:rPr>
            </w:pPr>
            <w:r>
              <w:rPr>
                <w:rFonts w:cs="Arial"/>
                <w:b/>
                <w:bCs/>
              </w:rPr>
              <w:t>(</w:t>
            </w:r>
            <w:r w:rsidR="001477BC" w:rsidRPr="00A06955">
              <w:rPr>
                <w:rFonts w:cs="Arial"/>
                <w:b/>
                <w:bCs/>
              </w:rPr>
              <w:t>1,8</w:t>
            </w:r>
            <w:r w:rsidR="00427F9B">
              <w:rPr>
                <w:rFonts w:cs="Arial"/>
                <w:b/>
                <w:bCs/>
              </w:rPr>
              <w:t>87.5</w:t>
            </w:r>
            <w:r>
              <w:rPr>
                <w:rFonts w:cs="Arial"/>
                <w:b/>
                <w:bCs/>
              </w:rPr>
              <w:t>)</w:t>
            </w:r>
          </w:p>
        </w:tc>
        <w:tc>
          <w:tcPr>
            <w:tcW w:w="1116" w:type="pct"/>
            <w:tcBorders>
              <w:top w:val="single" w:sz="4" w:space="0" w:color="auto"/>
              <w:bottom w:val="nil"/>
            </w:tcBorders>
            <w:shd w:val="clear" w:color="auto" w:fill="auto"/>
            <w:vAlign w:val="bottom"/>
          </w:tcPr>
          <w:p w14:paraId="5C65566C" w14:textId="59CA915C" w:rsidR="001477BC" w:rsidRPr="00F87055" w:rsidRDefault="00811C47" w:rsidP="001477BC">
            <w:pPr>
              <w:tabs>
                <w:tab w:val="decimal" w:pos="1152"/>
              </w:tabs>
              <w:rPr>
                <w:b/>
                <w:color w:val="auto"/>
              </w:rPr>
            </w:pPr>
            <w:r>
              <w:rPr>
                <w:b/>
                <w:color w:val="auto"/>
              </w:rPr>
              <w:t>(</w:t>
            </w:r>
            <w:r w:rsidR="001477BC" w:rsidRPr="00F87055">
              <w:rPr>
                <w:b/>
                <w:color w:val="auto"/>
              </w:rPr>
              <w:t>1,755.6</w:t>
            </w:r>
            <w:r>
              <w:rPr>
                <w:b/>
                <w:color w:val="auto"/>
              </w:rPr>
              <w:t>)</w:t>
            </w:r>
          </w:p>
        </w:tc>
      </w:tr>
      <w:tr w:rsidR="00AD74BB" w:rsidRPr="008D3771" w14:paraId="1D18E0C9" w14:textId="77777777" w:rsidTr="008D3771">
        <w:trPr>
          <w:trHeight w:hRule="exact" w:val="369"/>
        </w:trPr>
        <w:tc>
          <w:tcPr>
            <w:tcW w:w="2105" w:type="pct"/>
            <w:shd w:val="clear" w:color="auto" w:fill="auto"/>
            <w:vAlign w:val="bottom"/>
          </w:tcPr>
          <w:p w14:paraId="4BE63FB8" w14:textId="77777777" w:rsidR="0064475E" w:rsidRPr="00A06955" w:rsidRDefault="0064475E" w:rsidP="008D3771">
            <w:pPr>
              <w:jc w:val="left"/>
              <w:rPr>
                <w:color w:val="auto"/>
              </w:rPr>
            </w:pPr>
          </w:p>
        </w:tc>
        <w:tc>
          <w:tcPr>
            <w:tcW w:w="663" w:type="pct"/>
            <w:shd w:val="clear" w:color="auto" w:fill="auto"/>
            <w:vAlign w:val="bottom"/>
          </w:tcPr>
          <w:p w14:paraId="5B274950" w14:textId="77777777" w:rsidR="0064475E" w:rsidRPr="00A06955" w:rsidRDefault="0064475E" w:rsidP="008D3771">
            <w:pPr>
              <w:jc w:val="right"/>
              <w:rPr>
                <w:color w:val="auto"/>
              </w:rPr>
            </w:pPr>
          </w:p>
        </w:tc>
        <w:tc>
          <w:tcPr>
            <w:tcW w:w="1116" w:type="pct"/>
            <w:tcBorders>
              <w:top w:val="nil"/>
              <w:bottom w:val="single" w:sz="4" w:space="0" w:color="auto"/>
            </w:tcBorders>
            <w:shd w:val="clear" w:color="auto" w:fill="auto"/>
            <w:vAlign w:val="bottom"/>
          </w:tcPr>
          <w:p w14:paraId="0D34693E" w14:textId="77777777" w:rsidR="0064475E" w:rsidRPr="00A06955" w:rsidRDefault="0064475E" w:rsidP="008D3771">
            <w:pPr>
              <w:tabs>
                <w:tab w:val="decimal" w:pos="1192"/>
              </w:tabs>
              <w:rPr>
                <w:color w:val="auto"/>
              </w:rPr>
            </w:pPr>
          </w:p>
        </w:tc>
        <w:tc>
          <w:tcPr>
            <w:tcW w:w="1116" w:type="pct"/>
            <w:tcBorders>
              <w:top w:val="nil"/>
              <w:bottom w:val="single" w:sz="4" w:space="0" w:color="auto"/>
            </w:tcBorders>
            <w:shd w:val="clear" w:color="auto" w:fill="auto"/>
            <w:vAlign w:val="bottom"/>
          </w:tcPr>
          <w:p w14:paraId="2EB62792" w14:textId="77777777" w:rsidR="0064475E" w:rsidRPr="008D3771" w:rsidRDefault="0064475E" w:rsidP="008D3771">
            <w:pPr>
              <w:tabs>
                <w:tab w:val="decimal" w:pos="1152"/>
              </w:tabs>
              <w:rPr>
                <w:color w:val="auto"/>
              </w:rPr>
            </w:pPr>
          </w:p>
        </w:tc>
      </w:tr>
      <w:tr w:rsidR="00AD74BB" w:rsidRPr="008D3771" w14:paraId="3AFE3CBE" w14:textId="77777777" w:rsidTr="008D3771">
        <w:trPr>
          <w:trHeight w:hRule="exact" w:val="369"/>
        </w:trPr>
        <w:tc>
          <w:tcPr>
            <w:tcW w:w="2105" w:type="pct"/>
            <w:shd w:val="clear" w:color="auto" w:fill="auto"/>
            <w:vAlign w:val="bottom"/>
          </w:tcPr>
          <w:p w14:paraId="5E744334" w14:textId="77777777" w:rsidR="0064475E" w:rsidRPr="00A06955" w:rsidRDefault="00234DBE" w:rsidP="008D3771">
            <w:pPr>
              <w:jc w:val="left"/>
              <w:rPr>
                <w:color w:val="auto"/>
              </w:rPr>
            </w:pPr>
            <w:r w:rsidRPr="00A06955">
              <w:rPr>
                <w:b/>
                <w:bCs/>
                <w:color w:val="auto"/>
              </w:rPr>
              <w:t>Net Assets</w:t>
            </w:r>
          </w:p>
        </w:tc>
        <w:tc>
          <w:tcPr>
            <w:tcW w:w="663" w:type="pct"/>
            <w:shd w:val="clear" w:color="auto" w:fill="auto"/>
            <w:vAlign w:val="bottom"/>
          </w:tcPr>
          <w:p w14:paraId="2D4306F8" w14:textId="77777777" w:rsidR="0064475E" w:rsidRPr="00A06955" w:rsidRDefault="0064475E" w:rsidP="008D3771">
            <w:pPr>
              <w:jc w:val="right"/>
              <w:rPr>
                <w:color w:val="auto"/>
              </w:rPr>
            </w:pPr>
          </w:p>
        </w:tc>
        <w:tc>
          <w:tcPr>
            <w:tcW w:w="1116" w:type="pct"/>
            <w:tcBorders>
              <w:top w:val="single" w:sz="4" w:space="0" w:color="auto"/>
              <w:bottom w:val="nil"/>
            </w:tcBorders>
            <w:shd w:val="clear" w:color="auto" w:fill="auto"/>
            <w:vAlign w:val="bottom"/>
          </w:tcPr>
          <w:p w14:paraId="7F6F3334" w14:textId="7EC42574" w:rsidR="0064475E" w:rsidRPr="00A06955" w:rsidRDefault="00E80A5D" w:rsidP="00BD7307">
            <w:pPr>
              <w:tabs>
                <w:tab w:val="decimal" w:pos="1192"/>
              </w:tabs>
              <w:rPr>
                <w:b/>
                <w:color w:val="auto"/>
              </w:rPr>
            </w:pPr>
            <w:r>
              <w:rPr>
                <w:b/>
                <w:color w:val="auto"/>
              </w:rPr>
              <w:t>886.</w:t>
            </w:r>
            <w:r w:rsidR="00BD7307">
              <w:rPr>
                <w:b/>
                <w:color w:val="auto"/>
              </w:rPr>
              <w:t>1</w:t>
            </w:r>
          </w:p>
        </w:tc>
        <w:tc>
          <w:tcPr>
            <w:tcW w:w="1116" w:type="pct"/>
            <w:tcBorders>
              <w:top w:val="single" w:sz="4" w:space="0" w:color="auto"/>
              <w:bottom w:val="nil"/>
            </w:tcBorders>
            <w:shd w:val="clear" w:color="auto" w:fill="auto"/>
            <w:vAlign w:val="bottom"/>
          </w:tcPr>
          <w:p w14:paraId="680C4D4C" w14:textId="77777777" w:rsidR="0064475E" w:rsidRPr="008D3771" w:rsidRDefault="00AD74BB" w:rsidP="008D3771">
            <w:pPr>
              <w:tabs>
                <w:tab w:val="decimal" w:pos="1152"/>
              </w:tabs>
              <w:rPr>
                <w:b/>
                <w:color w:val="auto"/>
              </w:rPr>
            </w:pPr>
            <w:r w:rsidRPr="008D3771">
              <w:rPr>
                <w:b/>
                <w:color w:val="auto"/>
              </w:rPr>
              <w:t>1,103.2</w:t>
            </w:r>
          </w:p>
        </w:tc>
      </w:tr>
      <w:tr w:rsidR="00AD74BB" w:rsidRPr="008D3771" w14:paraId="2168C5B0" w14:textId="77777777" w:rsidTr="008D3771">
        <w:trPr>
          <w:trHeight w:hRule="exact" w:val="369"/>
        </w:trPr>
        <w:tc>
          <w:tcPr>
            <w:tcW w:w="2105" w:type="pct"/>
            <w:shd w:val="clear" w:color="auto" w:fill="auto"/>
            <w:vAlign w:val="bottom"/>
          </w:tcPr>
          <w:p w14:paraId="466D2096" w14:textId="77777777" w:rsidR="0064475E" w:rsidRPr="00A06955" w:rsidRDefault="0064475E" w:rsidP="008D3771">
            <w:pPr>
              <w:jc w:val="left"/>
              <w:rPr>
                <w:color w:val="auto"/>
              </w:rPr>
            </w:pPr>
          </w:p>
        </w:tc>
        <w:tc>
          <w:tcPr>
            <w:tcW w:w="663" w:type="pct"/>
            <w:shd w:val="clear" w:color="auto" w:fill="auto"/>
            <w:vAlign w:val="bottom"/>
          </w:tcPr>
          <w:p w14:paraId="6387F2FB" w14:textId="77777777" w:rsidR="0064475E" w:rsidRPr="00A06955" w:rsidRDefault="0064475E" w:rsidP="008D3771">
            <w:pPr>
              <w:jc w:val="right"/>
              <w:rPr>
                <w:color w:val="auto"/>
              </w:rPr>
            </w:pPr>
          </w:p>
        </w:tc>
        <w:tc>
          <w:tcPr>
            <w:tcW w:w="1116" w:type="pct"/>
            <w:tcBorders>
              <w:top w:val="nil"/>
            </w:tcBorders>
            <w:shd w:val="clear" w:color="auto" w:fill="auto"/>
            <w:vAlign w:val="bottom"/>
          </w:tcPr>
          <w:p w14:paraId="718174E0" w14:textId="77777777" w:rsidR="0064475E" w:rsidRPr="00A06955" w:rsidRDefault="0064475E" w:rsidP="008D3771">
            <w:pPr>
              <w:tabs>
                <w:tab w:val="decimal" w:pos="1192"/>
              </w:tabs>
              <w:rPr>
                <w:color w:val="auto"/>
              </w:rPr>
            </w:pPr>
          </w:p>
        </w:tc>
        <w:tc>
          <w:tcPr>
            <w:tcW w:w="1116" w:type="pct"/>
            <w:tcBorders>
              <w:top w:val="nil"/>
            </w:tcBorders>
            <w:shd w:val="clear" w:color="auto" w:fill="auto"/>
            <w:vAlign w:val="bottom"/>
          </w:tcPr>
          <w:p w14:paraId="0E6DB295" w14:textId="77777777" w:rsidR="0064475E" w:rsidRPr="008D3771" w:rsidRDefault="0064475E" w:rsidP="008D3771">
            <w:pPr>
              <w:tabs>
                <w:tab w:val="decimal" w:pos="1152"/>
              </w:tabs>
              <w:rPr>
                <w:color w:val="auto"/>
              </w:rPr>
            </w:pPr>
          </w:p>
        </w:tc>
      </w:tr>
      <w:tr w:rsidR="00AD74BB" w:rsidRPr="008D3771" w14:paraId="0B1E406E" w14:textId="77777777" w:rsidTr="008D3771">
        <w:trPr>
          <w:trHeight w:hRule="exact" w:val="369"/>
        </w:trPr>
        <w:tc>
          <w:tcPr>
            <w:tcW w:w="2105" w:type="pct"/>
            <w:shd w:val="clear" w:color="auto" w:fill="auto"/>
            <w:vAlign w:val="bottom"/>
          </w:tcPr>
          <w:p w14:paraId="4B74B652" w14:textId="77777777" w:rsidR="0064475E" w:rsidRPr="00A06955" w:rsidRDefault="00234DBE" w:rsidP="008D3771">
            <w:pPr>
              <w:jc w:val="left"/>
              <w:rPr>
                <w:color w:val="auto"/>
              </w:rPr>
            </w:pPr>
            <w:r w:rsidRPr="00A06955">
              <w:rPr>
                <w:color w:val="auto"/>
              </w:rPr>
              <w:t>Usable Reserves</w:t>
            </w:r>
          </w:p>
        </w:tc>
        <w:tc>
          <w:tcPr>
            <w:tcW w:w="663" w:type="pct"/>
            <w:shd w:val="clear" w:color="auto" w:fill="auto"/>
            <w:vAlign w:val="bottom"/>
          </w:tcPr>
          <w:p w14:paraId="57834945" w14:textId="77777777" w:rsidR="0064475E" w:rsidRPr="00A06955" w:rsidRDefault="0064475E" w:rsidP="008D3771">
            <w:pPr>
              <w:jc w:val="right"/>
              <w:rPr>
                <w:color w:val="auto"/>
              </w:rPr>
            </w:pPr>
          </w:p>
        </w:tc>
        <w:tc>
          <w:tcPr>
            <w:tcW w:w="1116" w:type="pct"/>
            <w:shd w:val="clear" w:color="auto" w:fill="auto"/>
            <w:vAlign w:val="bottom"/>
          </w:tcPr>
          <w:p w14:paraId="629EC1F8" w14:textId="597E4099" w:rsidR="0064475E" w:rsidRPr="00A06955" w:rsidRDefault="00811C47" w:rsidP="008D3771">
            <w:pPr>
              <w:tabs>
                <w:tab w:val="decimal" w:pos="1192"/>
              </w:tabs>
              <w:rPr>
                <w:color w:val="auto"/>
              </w:rPr>
            </w:pPr>
            <w:r>
              <w:rPr>
                <w:color w:val="auto"/>
              </w:rPr>
              <w:t>(</w:t>
            </w:r>
            <w:r w:rsidR="001477BC" w:rsidRPr="00A06955">
              <w:rPr>
                <w:color w:val="auto"/>
              </w:rPr>
              <w:t>501.</w:t>
            </w:r>
            <w:r w:rsidR="009527CC" w:rsidRPr="009C1D66">
              <w:rPr>
                <w:color w:val="auto"/>
              </w:rPr>
              <w:t>7</w:t>
            </w:r>
            <w:r>
              <w:rPr>
                <w:color w:val="auto"/>
              </w:rPr>
              <w:t>)</w:t>
            </w:r>
          </w:p>
        </w:tc>
        <w:tc>
          <w:tcPr>
            <w:tcW w:w="1116" w:type="pct"/>
            <w:shd w:val="clear" w:color="auto" w:fill="auto"/>
            <w:vAlign w:val="bottom"/>
          </w:tcPr>
          <w:p w14:paraId="7F842221" w14:textId="4CB79C0B" w:rsidR="0064475E" w:rsidRPr="008D3771" w:rsidRDefault="00811C47" w:rsidP="008D3771">
            <w:pPr>
              <w:tabs>
                <w:tab w:val="decimal" w:pos="1152"/>
              </w:tabs>
              <w:rPr>
                <w:color w:val="auto"/>
              </w:rPr>
            </w:pPr>
            <w:r>
              <w:rPr>
                <w:color w:val="auto"/>
              </w:rPr>
              <w:t>(</w:t>
            </w:r>
            <w:r w:rsidR="00AD74BB" w:rsidRPr="008D3771">
              <w:rPr>
                <w:color w:val="auto"/>
              </w:rPr>
              <w:t>424.9</w:t>
            </w:r>
            <w:r>
              <w:rPr>
                <w:color w:val="auto"/>
              </w:rPr>
              <w:t>)</w:t>
            </w:r>
          </w:p>
        </w:tc>
      </w:tr>
      <w:tr w:rsidR="00AD74BB" w:rsidRPr="008D3771" w14:paraId="493520CB" w14:textId="77777777" w:rsidTr="008D3771">
        <w:trPr>
          <w:trHeight w:hRule="exact" w:val="369"/>
        </w:trPr>
        <w:tc>
          <w:tcPr>
            <w:tcW w:w="2105" w:type="pct"/>
            <w:shd w:val="clear" w:color="auto" w:fill="auto"/>
            <w:vAlign w:val="bottom"/>
          </w:tcPr>
          <w:p w14:paraId="229A79EE" w14:textId="77777777" w:rsidR="0064475E" w:rsidRPr="00A06955" w:rsidRDefault="00234DBE" w:rsidP="008D3771">
            <w:pPr>
              <w:jc w:val="left"/>
              <w:rPr>
                <w:color w:val="auto"/>
              </w:rPr>
            </w:pPr>
            <w:r w:rsidRPr="00A06955">
              <w:rPr>
                <w:color w:val="auto"/>
              </w:rPr>
              <w:t>Unusable Reserves</w:t>
            </w:r>
          </w:p>
        </w:tc>
        <w:tc>
          <w:tcPr>
            <w:tcW w:w="663" w:type="pct"/>
            <w:shd w:val="clear" w:color="auto" w:fill="auto"/>
            <w:vAlign w:val="bottom"/>
          </w:tcPr>
          <w:p w14:paraId="1B445B42" w14:textId="520FE0BC" w:rsidR="0064475E" w:rsidRPr="00A06955" w:rsidRDefault="00234DBE" w:rsidP="000A0396">
            <w:pPr>
              <w:jc w:val="right"/>
              <w:rPr>
                <w:color w:val="auto"/>
              </w:rPr>
            </w:pPr>
            <w:r w:rsidRPr="00A06955">
              <w:rPr>
                <w:color w:val="auto"/>
              </w:rPr>
              <w:t>3</w:t>
            </w:r>
            <w:r w:rsidR="000A0396">
              <w:rPr>
                <w:color w:val="auto"/>
              </w:rPr>
              <w:t>2</w:t>
            </w:r>
          </w:p>
        </w:tc>
        <w:tc>
          <w:tcPr>
            <w:tcW w:w="1116" w:type="pct"/>
            <w:shd w:val="clear" w:color="auto" w:fill="auto"/>
            <w:vAlign w:val="bottom"/>
          </w:tcPr>
          <w:p w14:paraId="286DA482" w14:textId="45DDC6C1" w:rsidR="0064475E" w:rsidRPr="00A06955" w:rsidRDefault="00811C47" w:rsidP="00BD7307">
            <w:pPr>
              <w:tabs>
                <w:tab w:val="decimal" w:pos="1192"/>
              </w:tabs>
              <w:rPr>
                <w:color w:val="auto"/>
              </w:rPr>
            </w:pPr>
            <w:r>
              <w:rPr>
                <w:color w:val="auto"/>
              </w:rPr>
              <w:t>(</w:t>
            </w:r>
            <w:r w:rsidR="00BE3088">
              <w:rPr>
                <w:color w:val="auto"/>
              </w:rPr>
              <w:t>384.</w:t>
            </w:r>
            <w:r w:rsidR="00BD7307">
              <w:rPr>
                <w:color w:val="auto"/>
              </w:rPr>
              <w:t>4</w:t>
            </w:r>
            <w:r>
              <w:rPr>
                <w:color w:val="auto"/>
              </w:rPr>
              <w:t>)</w:t>
            </w:r>
          </w:p>
        </w:tc>
        <w:tc>
          <w:tcPr>
            <w:tcW w:w="1116" w:type="pct"/>
            <w:shd w:val="clear" w:color="auto" w:fill="auto"/>
            <w:vAlign w:val="bottom"/>
          </w:tcPr>
          <w:p w14:paraId="114CC52E" w14:textId="4424E7FA" w:rsidR="0064475E" w:rsidRPr="008D3771" w:rsidRDefault="00811C47" w:rsidP="008D3771">
            <w:pPr>
              <w:tabs>
                <w:tab w:val="decimal" w:pos="1152"/>
              </w:tabs>
              <w:rPr>
                <w:color w:val="auto"/>
              </w:rPr>
            </w:pPr>
            <w:r>
              <w:rPr>
                <w:color w:val="auto"/>
              </w:rPr>
              <w:t>(</w:t>
            </w:r>
            <w:r w:rsidR="00AD74BB" w:rsidRPr="008D3771">
              <w:rPr>
                <w:color w:val="auto"/>
              </w:rPr>
              <w:t>678.3</w:t>
            </w:r>
            <w:r>
              <w:rPr>
                <w:color w:val="auto"/>
              </w:rPr>
              <w:t>)</w:t>
            </w:r>
          </w:p>
        </w:tc>
      </w:tr>
      <w:tr w:rsidR="00234DBE" w:rsidRPr="008D3771" w14:paraId="2FB510EC" w14:textId="77777777" w:rsidTr="008D3771">
        <w:trPr>
          <w:trHeight w:hRule="exact" w:val="369"/>
        </w:trPr>
        <w:tc>
          <w:tcPr>
            <w:tcW w:w="2105" w:type="pct"/>
            <w:shd w:val="clear" w:color="auto" w:fill="auto"/>
            <w:vAlign w:val="bottom"/>
          </w:tcPr>
          <w:p w14:paraId="1637F699" w14:textId="77777777" w:rsidR="00234DBE" w:rsidRPr="00A06955" w:rsidRDefault="00234DBE" w:rsidP="008D3771">
            <w:pPr>
              <w:jc w:val="left"/>
              <w:rPr>
                <w:color w:val="auto"/>
              </w:rPr>
            </w:pPr>
          </w:p>
        </w:tc>
        <w:tc>
          <w:tcPr>
            <w:tcW w:w="663" w:type="pct"/>
            <w:shd w:val="clear" w:color="auto" w:fill="auto"/>
            <w:vAlign w:val="bottom"/>
          </w:tcPr>
          <w:p w14:paraId="7BFBFFCE" w14:textId="77777777" w:rsidR="00234DBE" w:rsidRPr="00A06955" w:rsidRDefault="00234DBE" w:rsidP="008D3771">
            <w:pPr>
              <w:jc w:val="right"/>
              <w:rPr>
                <w:color w:val="auto"/>
                <w:highlight w:val="cyan"/>
              </w:rPr>
            </w:pPr>
          </w:p>
        </w:tc>
        <w:tc>
          <w:tcPr>
            <w:tcW w:w="1116" w:type="pct"/>
            <w:tcBorders>
              <w:bottom w:val="single" w:sz="4" w:space="0" w:color="auto"/>
            </w:tcBorders>
            <w:shd w:val="clear" w:color="auto" w:fill="auto"/>
            <w:vAlign w:val="bottom"/>
          </w:tcPr>
          <w:p w14:paraId="0D9172D5" w14:textId="77777777" w:rsidR="00234DBE" w:rsidRPr="00A06955" w:rsidRDefault="00234DBE" w:rsidP="008D3771">
            <w:pPr>
              <w:tabs>
                <w:tab w:val="decimal" w:pos="1192"/>
              </w:tabs>
              <w:rPr>
                <w:color w:val="auto"/>
              </w:rPr>
            </w:pPr>
          </w:p>
        </w:tc>
        <w:tc>
          <w:tcPr>
            <w:tcW w:w="1116" w:type="pct"/>
            <w:tcBorders>
              <w:bottom w:val="single" w:sz="4" w:space="0" w:color="auto"/>
            </w:tcBorders>
            <w:shd w:val="clear" w:color="auto" w:fill="auto"/>
            <w:vAlign w:val="bottom"/>
          </w:tcPr>
          <w:p w14:paraId="1FEF058F" w14:textId="77777777" w:rsidR="00234DBE" w:rsidRPr="008D3771" w:rsidRDefault="00234DBE" w:rsidP="008D3771">
            <w:pPr>
              <w:tabs>
                <w:tab w:val="decimal" w:pos="1152"/>
              </w:tabs>
              <w:rPr>
                <w:color w:val="auto"/>
              </w:rPr>
            </w:pPr>
          </w:p>
        </w:tc>
      </w:tr>
      <w:tr w:rsidR="00234DBE" w:rsidRPr="008D3771" w14:paraId="7792CED5" w14:textId="77777777" w:rsidTr="008D3771">
        <w:trPr>
          <w:trHeight w:hRule="exact" w:val="369"/>
        </w:trPr>
        <w:tc>
          <w:tcPr>
            <w:tcW w:w="2105" w:type="pct"/>
            <w:shd w:val="clear" w:color="auto" w:fill="auto"/>
            <w:vAlign w:val="bottom"/>
          </w:tcPr>
          <w:p w14:paraId="5056FCA2" w14:textId="77777777" w:rsidR="00234DBE" w:rsidRPr="00A06955" w:rsidRDefault="00234DBE" w:rsidP="008D3771">
            <w:pPr>
              <w:jc w:val="left"/>
              <w:rPr>
                <w:color w:val="auto"/>
              </w:rPr>
            </w:pPr>
            <w:r w:rsidRPr="00A06955">
              <w:rPr>
                <w:b/>
                <w:bCs/>
                <w:color w:val="auto"/>
              </w:rPr>
              <w:t>Total Reserves</w:t>
            </w:r>
          </w:p>
        </w:tc>
        <w:tc>
          <w:tcPr>
            <w:tcW w:w="663" w:type="pct"/>
            <w:shd w:val="clear" w:color="auto" w:fill="auto"/>
            <w:vAlign w:val="bottom"/>
          </w:tcPr>
          <w:p w14:paraId="3426B6F5" w14:textId="77777777" w:rsidR="00234DBE" w:rsidRPr="00A06955" w:rsidRDefault="00234DBE" w:rsidP="008D3771">
            <w:pPr>
              <w:jc w:val="right"/>
              <w:rPr>
                <w:color w:val="auto"/>
                <w:highlight w:val="cyan"/>
              </w:rPr>
            </w:pPr>
          </w:p>
        </w:tc>
        <w:tc>
          <w:tcPr>
            <w:tcW w:w="1116" w:type="pct"/>
            <w:tcBorders>
              <w:top w:val="single" w:sz="4" w:space="0" w:color="auto"/>
              <w:bottom w:val="single" w:sz="4" w:space="0" w:color="auto"/>
            </w:tcBorders>
            <w:shd w:val="clear" w:color="auto" w:fill="auto"/>
            <w:vAlign w:val="bottom"/>
          </w:tcPr>
          <w:p w14:paraId="4C45A241" w14:textId="681EBE71" w:rsidR="00234DBE" w:rsidRPr="00A06955" w:rsidRDefault="00811C47" w:rsidP="00BD7307">
            <w:pPr>
              <w:tabs>
                <w:tab w:val="decimal" w:pos="1192"/>
              </w:tabs>
              <w:rPr>
                <w:b/>
                <w:color w:val="auto"/>
              </w:rPr>
            </w:pPr>
            <w:r>
              <w:rPr>
                <w:b/>
                <w:color w:val="auto"/>
              </w:rPr>
              <w:t>(</w:t>
            </w:r>
            <w:r w:rsidR="00BE3088">
              <w:rPr>
                <w:b/>
                <w:color w:val="auto"/>
              </w:rPr>
              <w:t>886.</w:t>
            </w:r>
            <w:r w:rsidR="00BD7307">
              <w:rPr>
                <w:b/>
                <w:color w:val="auto"/>
              </w:rPr>
              <w:t>1</w:t>
            </w:r>
            <w:r>
              <w:rPr>
                <w:b/>
                <w:color w:val="auto"/>
              </w:rPr>
              <w:t>)</w:t>
            </w:r>
          </w:p>
        </w:tc>
        <w:tc>
          <w:tcPr>
            <w:tcW w:w="1116" w:type="pct"/>
            <w:tcBorders>
              <w:top w:val="single" w:sz="4" w:space="0" w:color="auto"/>
              <w:bottom w:val="single" w:sz="4" w:space="0" w:color="auto"/>
            </w:tcBorders>
            <w:shd w:val="clear" w:color="auto" w:fill="auto"/>
            <w:vAlign w:val="bottom"/>
          </w:tcPr>
          <w:p w14:paraId="266E7BDF" w14:textId="0A8FCE11" w:rsidR="00234DBE" w:rsidRPr="008D3771" w:rsidRDefault="00811C47" w:rsidP="008D3771">
            <w:pPr>
              <w:tabs>
                <w:tab w:val="decimal" w:pos="1152"/>
              </w:tabs>
              <w:rPr>
                <w:b/>
                <w:color w:val="auto"/>
              </w:rPr>
            </w:pPr>
            <w:r>
              <w:rPr>
                <w:b/>
                <w:color w:val="auto"/>
              </w:rPr>
              <w:t>(</w:t>
            </w:r>
            <w:r w:rsidR="00AD74BB" w:rsidRPr="008D3771">
              <w:rPr>
                <w:b/>
                <w:color w:val="auto"/>
              </w:rPr>
              <w:t>1,103.2</w:t>
            </w:r>
            <w:r>
              <w:rPr>
                <w:b/>
                <w:color w:val="auto"/>
              </w:rPr>
              <w:t>)</w:t>
            </w:r>
          </w:p>
        </w:tc>
      </w:tr>
    </w:tbl>
    <w:p w14:paraId="5615C3C1" w14:textId="77654A1C" w:rsidR="00C53D94" w:rsidRPr="00160E22" w:rsidRDefault="00160E22" w:rsidP="0064475E">
      <w:pPr>
        <w:rPr>
          <w:color w:val="auto"/>
          <w:sz w:val="20"/>
          <w:szCs w:val="20"/>
        </w:rPr>
      </w:pPr>
      <w:r w:rsidRPr="00160E22">
        <w:rPr>
          <w:color w:val="auto"/>
          <w:sz w:val="20"/>
          <w:szCs w:val="20"/>
          <w:vertAlign w:val="superscript"/>
        </w:rPr>
        <w:t xml:space="preserve">1 </w:t>
      </w:r>
      <w:r w:rsidRPr="00160E22">
        <w:rPr>
          <w:color w:val="auto"/>
          <w:sz w:val="20"/>
          <w:szCs w:val="20"/>
        </w:rPr>
        <w:t>Note 23 only includes financial liabilities that meet the definition of a financial instrument</w:t>
      </w:r>
    </w:p>
    <w:p w14:paraId="1C039F0E" w14:textId="77777777" w:rsidR="0064475E" w:rsidRPr="00A06955" w:rsidRDefault="00C53D94" w:rsidP="007A5E4E">
      <w:pPr>
        <w:pStyle w:val="Heading2"/>
      </w:pPr>
      <w:r>
        <w:br w:type="page"/>
      </w:r>
      <w:r w:rsidRPr="00A06955">
        <w:lastRenderedPageBreak/>
        <w:t>Cash Flow Statement</w:t>
      </w:r>
    </w:p>
    <w:p w14:paraId="51F98AB1" w14:textId="77777777" w:rsidR="00C53D94" w:rsidRDefault="00C53D94" w:rsidP="0064475E">
      <w:pPr>
        <w:rPr>
          <w:color w:val="auto"/>
        </w:rPr>
      </w:pPr>
      <w:r w:rsidRPr="00A06955">
        <w:rPr>
          <w:color w:val="auto"/>
        </w:rPr>
        <w:t>This statement shows the changes in cash and cash equivalents of the council during the reporting period.</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07"/>
        <w:gridCol w:w="1528"/>
        <w:gridCol w:w="2220"/>
        <w:gridCol w:w="2295"/>
      </w:tblGrid>
      <w:tr w:rsidR="005C4EC9" w:rsidRPr="008D3771" w14:paraId="07624346" w14:textId="77777777" w:rsidTr="00A06955">
        <w:trPr>
          <w:trHeight w:val="454"/>
          <w:tblHeader/>
        </w:trPr>
        <w:tc>
          <w:tcPr>
            <w:tcW w:w="2109" w:type="pct"/>
            <w:shd w:val="clear" w:color="auto" w:fill="D0CECE"/>
            <w:vAlign w:val="bottom"/>
          </w:tcPr>
          <w:p w14:paraId="5E52B20B" w14:textId="77777777" w:rsidR="005C4EC9" w:rsidRPr="00747B0B" w:rsidRDefault="005C4EC9" w:rsidP="008D3771">
            <w:pPr>
              <w:jc w:val="left"/>
              <w:rPr>
                <w:color w:val="auto"/>
                <w:highlight w:val="yellow"/>
              </w:rPr>
            </w:pPr>
          </w:p>
        </w:tc>
        <w:tc>
          <w:tcPr>
            <w:tcW w:w="731" w:type="pct"/>
            <w:shd w:val="clear" w:color="auto" w:fill="D0CECE"/>
            <w:vAlign w:val="bottom"/>
          </w:tcPr>
          <w:p w14:paraId="25852C3C" w14:textId="77777777" w:rsidR="005C4EC9" w:rsidRPr="00A06955" w:rsidRDefault="005C4EC9" w:rsidP="008D3771">
            <w:pPr>
              <w:jc w:val="center"/>
              <w:rPr>
                <w:b/>
                <w:color w:val="auto"/>
              </w:rPr>
            </w:pPr>
            <w:r w:rsidRPr="00A06955">
              <w:rPr>
                <w:b/>
                <w:color w:val="auto"/>
              </w:rPr>
              <w:t>Notes</w:t>
            </w:r>
          </w:p>
        </w:tc>
        <w:tc>
          <w:tcPr>
            <w:tcW w:w="1062" w:type="pct"/>
            <w:shd w:val="clear" w:color="auto" w:fill="D0CECE"/>
            <w:vAlign w:val="bottom"/>
          </w:tcPr>
          <w:p w14:paraId="00FEC448" w14:textId="7F479F90" w:rsidR="005C4EC9" w:rsidRPr="00A06955" w:rsidRDefault="0064101C" w:rsidP="008D3771">
            <w:pPr>
              <w:jc w:val="center"/>
              <w:rPr>
                <w:b/>
                <w:color w:val="auto"/>
              </w:rPr>
            </w:pPr>
            <w:r>
              <w:rPr>
                <w:b/>
                <w:color w:val="auto"/>
              </w:rPr>
              <w:t>2014/15</w:t>
            </w:r>
          </w:p>
        </w:tc>
        <w:tc>
          <w:tcPr>
            <w:tcW w:w="1098" w:type="pct"/>
            <w:shd w:val="clear" w:color="auto" w:fill="D0CECE"/>
            <w:vAlign w:val="bottom"/>
          </w:tcPr>
          <w:p w14:paraId="48BCA066" w14:textId="79C146BA" w:rsidR="005C4EC9" w:rsidRPr="00103032" w:rsidRDefault="0064101C" w:rsidP="008D3771">
            <w:pPr>
              <w:jc w:val="center"/>
              <w:rPr>
                <w:b/>
                <w:color w:val="auto"/>
              </w:rPr>
            </w:pPr>
            <w:r>
              <w:rPr>
                <w:b/>
                <w:color w:val="auto"/>
              </w:rPr>
              <w:t>2013/14</w:t>
            </w:r>
          </w:p>
        </w:tc>
      </w:tr>
      <w:tr w:rsidR="005C4EC9" w:rsidRPr="008D3771" w14:paraId="593A14FF" w14:textId="77777777" w:rsidTr="00A06955">
        <w:trPr>
          <w:trHeight w:val="454"/>
          <w:tblHeader/>
        </w:trPr>
        <w:tc>
          <w:tcPr>
            <w:tcW w:w="2109" w:type="pct"/>
            <w:shd w:val="clear" w:color="auto" w:fill="D0CECE"/>
            <w:vAlign w:val="bottom"/>
          </w:tcPr>
          <w:p w14:paraId="5FBB87AE" w14:textId="77777777" w:rsidR="005C4EC9" w:rsidRPr="00747B0B" w:rsidRDefault="005C4EC9" w:rsidP="008D3771">
            <w:pPr>
              <w:jc w:val="left"/>
              <w:rPr>
                <w:color w:val="auto"/>
                <w:highlight w:val="yellow"/>
              </w:rPr>
            </w:pPr>
          </w:p>
        </w:tc>
        <w:tc>
          <w:tcPr>
            <w:tcW w:w="731" w:type="pct"/>
            <w:shd w:val="clear" w:color="auto" w:fill="D0CECE"/>
            <w:vAlign w:val="bottom"/>
          </w:tcPr>
          <w:p w14:paraId="38510158" w14:textId="77777777" w:rsidR="005C4EC9" w:rsidRPr="00A06955" w:rsidRDefault="005C4EC9" w:rsidP="008D3771">
            <w:pPr>
              <w:jc w:val="center"/>
              <w:rPr>
                <w:b/>
                <w:color w:val="auto"/>
              </w:rPr>
            </w:pPr>
          </w:p>
        </w:tc>
        <w:tc>
          <w:tcPr>
            <w:tcW w:w="1062" w:type="pct"/>
            <w:shd w:val="clear" w:color="auto" w:fill="D0CECE"/>
            <w:vAlign w:val="bottom"/>
          </w:tcPr>
          <w:p w14:paraId="16AD4C5C" w14:textId="77777777" w:rsidR="005C4EC9" w:rsidRPr="00A06955" w:rsidRDefault="005C4EC9" w:rsidP="008D3771">
            <w:pPr>
              <w:jc w:val="center"/>
              <w:rPr>
                <w:b/>
                <w:color w:val="auto"/>
              </w:rPr>
            </w:pPr>
            <w:r w:rsidRPr="00A06955">
              <w:rPr>
                <w:b/>
                <w:color w:val="auto"/>
              </w:rPr>
              <w:t>£m</w:t>
            </w:r>
          </w:p>
        </w:tc>
        <w:tc>
          <w:tcPr>
            <w:tcW w:w="1098" w:type="pct"/>
            <w:shd w:val="clear" w:color="auto" w:fill="D0CECE"/>
            <w:vAlign w:val="bottom"/>
          </w:tcPr>
          <w:p w14:paraId="11573287" w14:textId="77777777" w:rsidR="005C4EC9" w:rsidRPr="00103032" w:rsidRDefault="005C4EC9" w:rsidP="008D3771">
            <w:pPr>
              <w:jc w:val="center"/>
              <w:rPr>
                <w:b/>
                <w:color w:val="auto"/>
              </w:rPr>
            </w:pPr>
            <w:r w:rsidRPr="00103032">
              <w:rPr>
                <w:b/>
                <w:color w:val="auto"/>
              </w:rPr>
              <w:t>£m</w:t>
            </w:r>
          </w:p>
        </w:tc>
      </w:tr>
      <w:tr w:rsidR="005C4EC9" w:rsidRPr="009C1D66" w14:paraId="46C8EB67" w14:textId="77777777" w:rsidTr="008D3771">
        <w:trPr>
          <w:trHeight w:val="454"/>
        </w:trPr>
        <w:tc>
          <w:tcPr>
            <w:tcW w:w="2109" w:type="pct"/>
            <w:shd w:val="clear" w:color="auto" w:fill="auto"/>
            <w:vAlign w:val="bottom"/>
          </w:tcPr>
          <w:p w14:paraId="24445E12" w14:textId="77777777" w:rsidR="005C4EC9" w:rsidRPr="009C1D66" w:rsidRDefault="005C4EC9" w:rsidP="008D3771">
            <w:pPr>
              <w:jc w:val="left"/>
              <w:rPr>
                <w:color w:val="auto"/>
              </w:rPr>
            </w:pPr>
            <w:r w:rsidRPr="009C1D66">
              <w:rPr>
                <w:color w:val="auto"/>
              </w:rPr>
              <w:t>Net (surplus) or deficit on the provision of services</w:t>
            </w:r>
          </w:p>
        </w:tc>
        <w:tc>
          <w:tcPr>
            <w:tcW w:w="731" w:type="pct"/>
            <w:shd w:val="clear" w:color="auto" w:fill="auto"/>
            <w:vAlign w:val="bottom"/>
          </w:tcPr>
          <w:p w14:paraId="6DD98D70" w14:textId="55892BD6" w:rsidR="005C4EC9" w:rsidRPr="009C1D66" w:rsidRDefault="005C4EC9" w:rsidP="000A0396">
            <w:pPr>
              <w:jc w:val="center"/>
              <w:rPr>
                <w:color w:val="auto"/>
              </w:rPr>
            </w:pPr>
            <w:r w:rsidRPr="009C1D66">
              <w:rPr>
                <w:color w:val="auto"/>
              </w:rPr>
              <w:t>3</w:t>
            </w:r>
            <w:r w:rsidR="000A0396">
              <w:rPr>
                <w:color w:val="auto"/>
              </w:rPr>
              <w:t>5</w:t>
            </w:r>
          </w:p>
        </w:tc>
        <w:tc>
          <w:tcPr>
            <w:tcW w:w="1062" w:type="pct"/>
            <w:shd w:val="clear" w:color="auto" w:fill="auto"/>
            <w:vAlign w:val="bottom"/>
          </w:tcPr>
          <w:p w14:paraId="4E13E4AB" w14:textId="3593FC63" w:rsidR="005C4EC9" w:rsidRPr="009C1D66" w:rsidRDefault="00F87055" w:rsidP="00C269A4">
            <w:pPr>
              <w:tabs>
                <w:tab w:val="decimal" w:pos="1076"/>
              </w:tabs>
              <w:rPr>
                <w:color w:val="auto"/>
              </w:rPr>
            </w:pPr>
            <w:r w:rsidRPr="009C1D66">
              <w:rPr>
                <w:color w:val="auto"/>
              </w:rPr>
              <w:t>(</w:t>
            </w:r>
            <w:r w:rsidR="00C269A4">
              <w:rPr>
                <w:color w:val="auto"/>
              </w:rPr>
              <w:t>48.6</w:t>
            </w:r>
            <w:r w:rsidRPr="009C1D66">
              <w:rPr>
                <w:color w:val="auto"/>
              </w:rPr>
              <w:t>)</w:t>
            </w:r>
          </w:p>
        </w:tc>
        <w:tc>
          <w:tcPr>
            <w:tcW w:w="1098" w:type="pct"/>
            <w:shd w:val="clear" w:color="auto" w:fill="auto"/>
            <w:vAlign w:val="bottom"/>
          </w:tcPr>
          <w:p w14:paraId="6C384C02" w14:textId="77777777" w:rsidR="005C4EC9" w:rsidRPr="009C1D66" w:rsidRDefault="005C4EC9" w:rsidP="008D3771">
            <w:pPr>
              <w:tabs>
                <w:tab w:val="decimal" w:pos="1133"/>
              </w:tabs>
              <w:rPr>
                <w:color w:val="auto"/>
              </w:rPr>
            </w:pPr>
            <w:r w:rsidRPr="009C1D66">
              <w:rPr>
                <w:color w:val="auto"/>
              </w:rPr>
              <w:t>19.9</w:t>
            </w:r>
          </w:p>
        </w:tc>
      </w:tr>
      <w:tr w:rsidR="005C4EC9" w:rsidRPr="009C1D66" w14:paraId="055D0142" w14:textId="77777777" w:rsidTr="008D3771">
        <w:trPr>
          <w:trHeight w:val="454"/>
        </w:trPr>
        <w:tc>
          <w:tcPr>
            <w:tcW w:w="2109" w:type="pct"/>
            <w:shd w:val="clear" w:color="auto" w:fill="auto"/>
            <w:vAlign w:val="bottom"/>
          </w:tcPr>
          <w:p w14:paraId="24FB9FDE" w14:textId="20A22D86" w:rsidR="005C4EC9" w:rsidRPr="009C1D66" w:rsidRDefault="005C4EC9">
            <w:pPr>
              <w:jc w:val="left"/>
              <w:rPr>
                <w:color w:val="auto"/>
              </w:rPr>
            </w:pPr>
            <w:r w:rsidRPr="009C1D66">
              <w:rPr>
                <w:color w:val="auto"/>
              </w:rPr>
              <w:t>Adjustment to surplus or deficit on the provision of services for non</w:t>
            </w:r>
            <w:r w:rsidR="008C485C" w:rsidRPr="009C1D66">
              <w:rPr>
                <w:color w:val="auto"/>
              </w:rPr>
              <w:t>-</w:t>
            </w:r>
            <w:r w:rsidRPr="009C1D66">
              <w:rPr>
                <w:color w:val="auto"/>
              </w:rPr>
              <w:t>cash movements</w:t>
            </w:r>
          </w:p>
        </w:tc>
        <w:tc>
          <w:tcPr>
            <w:tcW w:w="731" w:type="pct"/>
            <w:shd w:val="clear" w:color="auto" w:fill="auto"/>
            <w:vAlign w:val="bottom"/>
          </w:tcPr>
          <w:p w14:paraId="6430CC22" w14:textId="28B3FD33" w:rsidR="005C4EC9" w:rsidRPr="009C1D66" w:rsidRDefault="005C4EC9" w:rsidP="000A0396">
            <w:pPr>
              <w:jc w:val="center"/>
              <w:rPr>
                <w:color w:val="auto"/>
              </w:rPr>
            </w:pPr>
            <w:r w:rsidRPr="009C1D66">
              <w:rPr>
                <w:color w:val="auto"/>
              </w:rPr>
              <w:t>3</w:t>
            </w:r>
            <w:r w:rsidR="000A0396">
              <w:rPr>
                <w:color w:val="auto"/>
              </w:rPr>
              <w:t>5</w:t>
            </w:r>
          </w:p>
        </w:tc>
        <w:tc>
          <w:tcPr>
            <w:tcW w:w="1062" w:type="pct"/>
            <w:shd w:val="clear" w:color="auto" w:fill="auto"/>
            <w:vAlign w:val="bottom"/>
          </w:tcPr>
          <w:p w14:paraId="3F140EF1" w14:textId="216709B0" w:rsidR="005C4EC9" w:rsidRPr="009C1D66" w:rsidRDefault="00BA2DD1" w:rsidP="00C269A4">
            <w:pPr>
              <w:tabs>
                <w:tab w:val="decimal" w:pos="1076"/>
              </w:tabs>
              <w:rPr>
                <w:color w:val="auto"/>
              </w:rPr>
            </w:pPr>
            <w:r>
              <w:rPr>
                <w:color w:val="auto"/>
              </w:rPr>
              <w:t>(</w:t>
            </w:r>
            <w:r w:rsidR="00D24D58">
              <w:rPr>
                <w:color w:val="auto"/>
              </w:rPr>
              <w:t>183.5</w:t>
            </w:r>
            <w:r w:rsidR="00F87055" w:rsidRPr="009C1D66">
              <w:rPr>
                <w:color w:val="auto"/>
              </w:rPr>
              <w:t>)</w:t>
            </w:r>
          </w:p>
        </w:tc>
        <w:tc>
          <w:tcPr>
            <w:tcW w:w="1098" w:type="pct"/>
            <w:shd w:val="clear" w:color="auto" w:fill="auto"/>
            <w:vAlign w:val="bottom"/>
          </w:tcPr>
          <w:p w14:paraId="7F8DFE2D" w14:textId="77777777" w:rsidR="005C4EC9" w:rsidRPr="009C1D66" w:rsidRDefault="005C4EC9" w:rsidP="008D3771">
            <w:pPr>
              <w:tabs>
                <w:tab w:val="decimal" w:pos="1133"/>
              </w:tabs>
              <w:rPr>
                <w:color w:val="auto"/>
              </w:rPr>
            </w:pPr>
            <w:r w:rsidRPr="009C1D66">
              <w:rPr>
                <w:color w:val="auto"/>
              </w:rPr>
              <w:t>(178.3)</w:t>
            </w:r>
          </w:p>
        </w:tc>
      </w:tr>
      <w:tr w:rsidR="005C4EC9" w:rsidRPr="009C1D66" w14:paraId="1DB40F07" w14:textId="77777777" w:rsidTr="008D3771">
        <w:trPr>
          <w:trHeight w:val="454"/>
        </w:trPr>
        <w:tc>
          <w:tcPr>
            <w:tcW w:w="2109" w:type="pct"/>
            <w:shd w:val="clear" w:color="auto" w:fill="auto"/>
            <w:vAlign w:val="bottom"/>
          </w:tcPr>
          <w:p w14:paraId="5C05ECA9" w14:textId="77777777" w:rsidR="005C4EC9" w:rsidRPr="009C1D66" w:rsidRDefault="005C4EC9" w:rsidP="008D3771">
            <w:pPr>
              <w:jc w:val="left"/>
              <w:rPr>
                <w:color w:val="auto"/>
              </w:rPr>
            </w:pPr>
            <w:r w:rsidRPr="009C1D66">
              <w:rPr>
                <w:color w:val="auto"/>
              </w:rPr>
              <w:t>Adjust for items included in the net surplus or deficit on the provision of services that are investing and financing activities</w:t>
            </w:r>
          </w:p>
        </w:tc>
        <w:tc>
          <w:tcPr>
            <w:tcW w:w="731" w:type="pct"/>
            <w:shd w:val="clear" w:color="auto" w:fill="auto"/>
            <w:vAlign w:val="bottom"/>
          </w:tcPr>
          <w:p w14:paraId="6A54E543" w14:textId="11A40924" w:rsidR="005C4EC9" w:rsidRPr="009C1D66" w:rsidRDefault="005C4EC9" w:rsidP="000A0396">
            <w:pPr>
              <w:jc w:val="center"/>
              <w:rPr>
                <w:color w:val="auto"/>
              </w:rPr>
            </w:pPr>
            <w:r w:rsidRPr="009C1D66">
              <w:rPr>
                <w:color w:val="auto"/>
              </w:rPr>
              <w:t>3</w:t>
            </w:r>
            <w:r w:rsidR="000A0396">
              <w:rPr>
                <w:color w:val="auto"/>
              </w:rPr>
              <w:t>5</w:t>
            </w:r>
          </w:p>
        </w:tc>
        <w:tc>
          <w:tcPr>
            <w:tcW w:w="1062" w:type="pct"/>
            <w:tcBorders>
              <w:bottom w:val="single" w:sz="4" w:space="0" w:color="auto"/>
            </w:tcBorders>
            <w:shd w:val="clear" w:color="auto" w:fill="auto"/>
            <w:vAlign w:val="bottom"/>
          </w:tcPr>
          <w:p w14:paraId="55EC1B52" w14:textId="7C91CB84" w:rsidR="005C4EC9" w:rsidRPr="009C1D66" w:rsidRDefault="001B77FA" w:rsidP="008D3771">
            <w:pPr>
              <w:tabs>
                <w:tab w:val="decimal" w:pos="1076"/>
              </w:tabs>
              <w:rPr>
                <w:color w:val="auto"/>
              </w:rPr>
            </w:pPr>
            <w:r w:rsidRPr="009C1D66">
              <w:rPr>
                <w:color w:val="auto"/>
              </w:rPr>
              <w:t>237.2</w:t>
            </w:r>
          </w:p>
        </w:tc>
        <w:tc>
          <w:tcPr>
            <w:tcW w:w="1098" w:type="pct"/>
            <w:tcBorders>
              <w:bottom w:val="single" w:sz="4" w:space="0" w:color="auto"/>
            </w:tcBorders>
            <w:shd w:val="clear" w:color="auto" w:fill="auto"/>
            <w:vAlign w:val="bottom"/>
          </w:tcPr>
          <w:p w14:paraId="5DE10CC7" w14:textId="77777777" w:rsidR="005C4EC9" w:rsidRPr="009C1D66" w:rsidRDefault="005C4EC9" w:rsidP="008D3771">
            <w:pPr>
              <w:tabs>
                <w:tab w:val="decimal" w:pos="1133"/>
              </w:tabs>
              <w:rPr>
                <w:color w:val="auto"/>
              </w:rPr>
            </w:pPr>
            <w:r w:rsidRPr="009C1D66">
              <w:rPr>
                <w:color w:val="auto"/>
              </w:rPr>
              <w:t>103.6</w:t>
            </w:r>
          </w:p>
        </w:tc>
      </w:tr>
      <w:tr w:rsidR="005C4EC9" w:rsidRPr="009C1D66" w14:paraId="40DC7FE0" w14:textId="77777777" w:rsidTr="008D3771">
        <w:trPr>
          <w:trHeight w:val="454"/>
        </w:trPr>
        <w:tc>
          <w:tcPr>
            <w:tcW w:w="2109" w:type="pct"/>
            <w:shd w:val="clear" w:color="auto" w:fill="auto"/>
            <w:vAlign w:val="bottom"/>
          </w:tcPr>
          <w:p w14:paraId="1FB14621" w14:textId="77777777" w:rsidR="005C4EC9" w:rsidRPr="009C1D66" w:rsidRDefault="005C4EC9" w:rsidP="008D3771">
            <w:pPr>
              <w:jc w:val="left"/>
              <w:rPr>
                <w:b/>
                <w:color w:val="auto"/>
              </w:rPr>
            </w:pPr>
            <w:r w:rsidRPr="009C1D66">
              <w:rPr>
                <w:b/>
                <w:color w:val="auto"/>
              </w:rPr>
              <w:t>Net Cash flows from Operating activities</w:t>
            </w:r>
          </w:p>
        </w:tc>
        <w:tc>
          <w:tcPr>
            <w:tcW w:w="731" w:type="pct"/>
            <w:shd w:val="clear" w:color="auto" w:fill="auto"/>
            <w:vAlign w:val="bottom"/>
          </w:tcPr>
          <w:p w14:paraId="6EDC1782" w14:textId="4C501B46" w:rsidR="005C4EC9" w:rsidRPr="009C1D66" w:rsidRDefault="00103032" w:rsidP="000A0396">
            <w:pPr>
              <w:jc w:val="center"/>
              <w:rPr>
                <w:color w:val="auto"/>
              </w:rPr>
            </w:pPr>
            <w:r w:rsidRPr="009C1D66">
              <w:rPr>
                <w:color w:val="auto"/>
              </w:rPr>
              <w:t>3</w:t>
            </w:r>
            <w:r w:rsidR="000A0396">
              <w:rPr>
                <w:color w:val="auto"/>
              </w:rPr>
              <w:t>5</w:t>
            </w:r>
          </w:p>
        </w:tc>
        <w:tc>
          <w:tcPr>
            <w:tcW w:w="1062" w:type="pct"/>
            <w:tcBorders>
              <w:top w:val="single" w:sz="4" w:space="0" w:color="auto"/>
              <w:bottom w:val="nil"/>
            </w:tcBorders>
            <w:shd w:val="clear" w:color="auto" w:fill="auto"/>
            <w:vAlign w:val="bottom"/>
          </w:tcPr>
          <w:p w14:paraId="0C7EC6EC" w14:textId="0C545AB1" w:rsidR="005C4EC9" w:rsidRPr="009C1D66" w:rsidRDefault="00BA2DD1" w:rsidP="008D3771">
            <w:pPr>
              <w:tabs>
                <w:tab w:val="decimal" w:pos="1076"/>
              </w:tabs>
              <w:rPr>
                <w:b/>
                <w:color w:val="auto"/>
              </w:rPr>
            </w:pPr>
            <w:r>
              <w:rPr>
                <w:b/>
                <w:color w:val="auto"/>
              </w:rPr>
              <w:t>5.1</w:t>
            </w:r>
          </w:p>
        </w:tc>
        <w:tc>
          <w:tcPr>
            <w:tcW w:w="1098" w:type="pct"/>
            <w:tcBorders>
              <w:top w:val="single" w:sz="4" w:space="0" w:color="auto"/>
              <w:bottom w:val="nil"/>
            </w:tcBorders>
            <w:shd w:val="clear" w:color="auto" w:fill="auto"/>
            <w:vAlign w:val="bottom"/>
          </w:tcPr>
          <w:p w14:paraId="76A20666" w14:textId="77777777" w:rsidR="005C4EC9" w:rsidRPr="009C1D66" w:rsidRDefault="005C4EC9" w:rsidP="008D3771">
            <w:pPr>
              <w:tabs>
                <w:tab w:val="decimal" w:pos="1133"/>
              </w:tabs>
              <w:rPr>
                <w:b/>
                <w:color w:val="auto"/>
              </w:rPr>
            </w:pPr>
            <w:r w:rsidRPr="009C1D66">
              <w:rPr>
                <w:b/>
                <w:color w:val="auto"/>
              </w:rPr>
              <w:t>(54.8)</w:t>
            </w:r>
          </w:p>
        </w:tc>
      </w:tr>
      <w:tr w:rsidR="005C4EC9" w:rsidRPr="009C1D66" w14:paraId="35189216" w14:textId="77777777" w:rsidTr="008D3771">
        <w:trPr>
          <w:trHeight w:val="454"/>
        </w:trPr>
        <w:tc>
          <w:tcPr>
            <w:tcW w:w="2109" w:type="pct"/>
            <w:shd w:val="clear" w:color="auto" w:fill="auto"/>
            <w:vAlign w:val="bottom"/>
          </w:tcPr>
          <w:p w14:paraId="662281EC" w14:textId="77777777" w:rsidR="005C4EC9" w:rsidRPr="009C1D66" w:rsidRDefault="005C4EC9" w:rsidP="008D3771">
            <w:pPr>
              <w:jc w:val="left"/>
              <w:rPr>
                <w:color w:val="auto"/>
              </w:rPr>
            </w:pPr>
            <w:r w:rsidRPr="009C1D66">
              <w:rPr>
                <w:color w:val="auto"/>
              </w:rPr>
              <w:t>Net Cash flows from Investing Activities</w:t>
            </w:r>
          </w:p>
        </w:tc>
        <w:tc>
          <w:tcPr>
            <w:tcW w:w="731" w:type="pct"/>
            <w:shd w:val="clear" w:color="auto" w:fill="auto"/>
            <w:vAlign w:val="bottom"/>
          </w:tcPr>
          <w:p w14:paraId="54DF3ADC" w14:textId="1E63EA53" w:rsidR="005C4EC9" w:rsidRPr="009C1D66" w:rsidRDefault="005C4EC9" w:rsidP="000A0396">
            <w:pPr>
              <w:jc w:val="center"/>
              <w:rPr>
                <w:color w:val="auto"/>
              </w:rPr>
            </w:pPr>
            <w:r w:rsidRPr="009C1D66">
              <w:rPr>
                <w:color w:val="auto"/>
              </w:rPr>
              <w:t>3</w:t>
            </w:r>
            <w:r w:rsidR="000A0396">
              <w:rPr>
                <w:color w:val="auto"/>
              </w:rPr>
              <w:t>6</w:t>
            </w:r>
          </w:p>
        </w:tc>
        <w:tc>
          <w:tcPr>
            <w:tcW w:w="1062" w:type="pct"/>
            <w:tcBorders>
              <w:top w:val="nil"/>
            </w:tcBorders>
            <w:shd w:val="clear" w:color="auto" w:fill="auto"/>
            <w:vAlign w:val="bottom"/>
          </w:tcPr>
          <w:p w14:paraId="12E1FAFE" w14:textId="4C4A1C86" w:rsidR="005C4EC9" w:rsidRPr="009C1D66" w:rsidRDefault="00F87055" w:rsidP="008D3771">
            <w:pPr>
              <w:tabs>
                <w:tab w:val="decimal" w:pos="1076"/>
              </w:tabs>
              <w:rPr>
                <w:color w:val="auto"/>
              </w:rPr>
            </w:pPr>
            <w:r w:rsidRPr="009C1D66">
              <w:rPr>
                <w:color w:val="auto"/>
              </w:rPr>
              <w:t>(58.9)</w:t>
            </w:r>
          </w:p>
        </w:tc>
        <w:tc>
          <w:tcPr>
            <w:tcW w:w="1098" w:type="pct"/>
            <w:tcBorders>
              <w:top w:val="nil"/>
            </w:tcBorders>
            <w:shd w:val="clear" w:color="auto" w:fill="auto"/>
            <w:vAlign w:val="bottom"/>
          </w:tcPr>
          <w:p w14:paraId="0266996D" w14:textId="77777777" w:rsidR="005C4EC9" w:rsidRPr="009C1D66" w:rsidRDefault="005C4EC9" w:rsidP="008D3771">
            <w:pPr>
              <w:tabs>
                <w:tab w:val="decimal" w:pos="1133"/>
              </w:tabs>
              <w:rPr>
                <w:color w:val="auto"/>
              </w:rPr>
            </w:pPr>
            <w:r w:rsidRPr="009C1D66">
              <w:rPr>
                <w:color w:val="auto"/>
              </w:rPr>
              <w:t>93.9</w:t>
            </w:r>
          </w:p>
        </w:tc>
      </w:tr>
      <w:tr w:rsidR="005C4EC9" w:rsidRPr="009C1D66" w14:paraId="11C09DD1" w14:textId="77777777" w:rsidTr="008D3771">
        <w:trPr>
          <w:trHeight w:val="454"/>
        </w:trPr>
        <w:tc>
          <w:tcPr>
            <w:tcW w:w="2109" w:type="pct"/>
            <w:shd w:val="clear" w:color="auto" w:fill="auto"/>
            <w:vAlign w:val="bottom"/>
          </w:tcPr>
          <w:p w14:paraId="0AA92546" w14:textId="77777777" w:rsidR="005C4EC9" w:rsidRPr="009C1D66" w:rsidRDefault="005C4EC9" w:rsidP="008D3771">
            <w:pPr>
              <w:jc w:val="left"/>
              <w:rPr>
                <w:color w:val="auto"/>
              </w:rPr>
            </w:pPr>
            <w:r w:rsidRPr="009C1D66">
              <w:rPr>
                <w:color w:val="auto"/>
              </w:rPr>
              <w:t>Net Cash flows from Financing Activities</w:t>
            </w:r>
          </w:p>
        </w:tc>
        <w:tc>
          <w:tcPr>
            <w:tcW w:w="731" w:type="pct"/>
            <w:shd w:val="clear" w:color="auto" w:fill="auto"/>
            <w:vAlign w:val="bottom"/>
          </w:tcPr>
          <w:p w14:paraId="1607994B" w14:textId="688FF669" w:rsidR="005C4EC9" w:rsidRPr="009C1D66" w:rsidRDefault="005C4EC9" w:rsidP="000A0396">
            <w:pPr>
              <w:jc w:val="center"/>
              <w:rPr>
                <w:color w:val="auto"/>
              </w:rPr>
            </w:pPr>
            <w:r w:rsidRPr="009C1D66">
              <w:rPr>
                <w:color w:val="auto"/>
              </w:rPr>
              <w:t>3</w:t>
            </w:r>
            <w:r w:rsidR="000A0396">
              <w:rPr>
                <w:color w:val="auto"/>
              </w:rPr>
              <w:t>7</w:t>
            </w:r>
          </w:p>
        </w:tc>
        <w:tc>
          <w:tcPr>
            <w:tcW w:w="1062" w:type="pct"/>
            <w:tcBorders>
              <w:bottom w:val="single" w:sz="4" w:space="0" w:color="auto"/>
            </w:tcBorders>
            <w:shd w:val="clear" w:color="auto" w:fill="auto"/>
            <w:vAlign w:val="bottom"/>
          </w:tcPr>
          <w:p w14:paraId="3C9081D3" w14:textId="4D87AF3B" w:rsidR="005C4EC9" w:rsidRPr="009C1D66" w:rsidRDefault="005846E3" w:rsidP="008D3771">
            <w:pPr>
              <w:tabs>
                <w:tab w:val="decimal" w:pos="1076"/>
              </w:tabs>
              <w:rPr>
                <w:color w:val="auto"/>
              </w:rPr>
            </w:pPr>
            <w:r w:rsidRPr="009C1D66">
              <w:rPr>
                <w:color w:val="auto"/>
              </w:rPr>
              <w:t>14.9</w:t>
            </w:r>
          </w:p>
        </w:tc>
        <w:tc>
          <w:tcPr>
            <w:tcW w:w="1098" w:type="pct"/>
            <w:tcBorders>
              <w:bottom w:val="single" w:sz="4" w:space="0" w:color="auto"/>
            </w:tcBorders>
            <w:shd w:val="clear" w:color="auto" w:fill="auto"/>
            <w:vAlign w:val="bottom"/>
          </w:tcPr>
          <w:p w14:paraId="0ED1629B" w14:textId="77777777" w:rsidR="005C4EC9" w:rsidRPr="009C1D66" w:rsidRDefault="005C4EC9" w:rsidP="008D3771">
            <w:pPr>
              <w:tabs>
                <w:tab w:val="decimal" w:pos="1133"/>
              </w:tabs>
              <w:rPr>
                <w:color w:val="auto"/>
              </w:rPr>
            </w:pPr>
            <w:r w:rsidRPr="009C1D66">
              <w:rPr>
                <w:color w:val="auto"/>
              </w:rPr>
              <w:t>(64.9)</w:t>
            </w:r>
          </w:p>
        </w:tc>
      </w:tr>
      <w:tr w:rsidR="005C4EC9" w:rsidRPr="009C1D66" w14:paraId="29601C95" w14:textId="77777777" w:rsidTr="008D3771">
        <w:trPr>
          <w:trHeight w:val="454"/>
        </w:trPr>
        <w:tc>
          <w:tcPr>
            <w:tcW w:w="2109" w:type="pct"/>
            <w:shd w:val="clear" w:color="auto" w:fill="auto"/>
            <w:vAlign w:val="bottom"/>
          </w:tcPr>
          <w:p w14:paraId="257315AC" w14:textId="77777777" w:rsidR="005C4EC9" w:rsidRPr="009C1D66" w:rsidRDefault="005C4EC9" w:rsidP="008D3771">
            <w:pPr>
              <w:jc w:val="left"/>
              <w:rPr>
                <w:b/>
                <w:color w:val="auto"/>
              </w:rPr>
            </w:pPr>
            <w:r w:rsidRPr="009C1D66">
              <w:rPr>
                <w:b/>
                <w:color w:val="auto"/>
              </w:rPr>
              <w:t>Net increase or decrease in cash and cash equivalents</w:t>
            </w:r>
          </w:p>
        </w:tc>
        <w:tc>
          <w:tcPr>
            <w:tcW w:w="731" w:type="pct"/>
            <w:shd w:val="clear" w:color="auto" w:fill="auto"/>
            <w:vAlign w:val="bottom"/>
          </w:tcPr>
          <w:p w14:paraId="4B132A8B" w14:textId="77777777" w:rsidR="005C4EC9" w:rsidRPr="009C1D66" w:rsidRDefault="005C4EC9" w:rsidP="008D3771">
            <w:pPr>
              <w:jc w:val="center"/>
              <w:rPr>
                <w:color w:val="auto"/>
              </w:rPr>
            </w:pPr>
          </w:p>
        </w:tc>
        <w:tc>
          <w:tcPr>
            <w:tcW w:w="1062" w:type="pct"/>
            <w:tcBorders>
              <w:top w:val="single" w:sz="4" w:space="0" w:color="auto"/>
              <w:bottom w:val="nil"/>
            </w:tcBorders>
            <w:shd w:val="clear" w:color="auto" w:fill="auto"/>
            <w:vAlign w:val="bottom"/>
          </w:tcPr>
          <w:p w14:paraId="39540624" w14:textId="40E49296" w:rsidR="005C4EC9" w:rsidRPr="009C1D66" w:rsidRDefault="00F87055" w:rsidP="008D3771">
            <w:pPr>
              <w:tabs>
                <w:tab w:val="decimal" w:pos="1076"/>
              </w:tabs>
              <w:rPr>
                <w:b/>
                <w:color w:val="auto"/>
              </w:rPr>
            </w:pPr>
            <w:r w:rsidRPr="009C1D66">
              <w:rPr>
                <w:b/>
                <w:color w:val="auto"/>
              </w:rPr>
              <w:t>(38.9)</w:t>
            </w:r>
          </w:p>
        </w:tc>
        <w:tc>
          <w:tcPr>
            <w:tcW w:w="1098" w:type="pct"/>
            <w:tcBorders>
              <w:top w:val="single" w:sz="4" w:space="0" w:color="auto"/>
              <w:bottom w:val="nil"/>
            </w:tcBorders>
            <w:shd w:val="clear" w:color="auto" w:fill="auto"/>
            <w:vAlign w:val="bottom"/>
          </w:tcPr>
          <w:p w14:paraId="677C5F47" w14:textId="77777777" w:rsidR="005C4EC9" w:rsidRPr="009C1D66" w:rsidRDefault="005C4EC9" w:rsidP="008D3771">
            <w:pPr>
              <w:tabs>
                <w:tab w:val="decimal" w:pos="1133"/>
              </w:tabs>
              <w:rPr>
                <w:b/>
                <w:color w:val="auto"/>
              </w:rPr>
            </w:pPr>
            <w:r w:rsidRPr="009C1D66">
              <w:rPr>
                <w:b/>
                <w:color w:val="auto"/>
              </w:rPr>
              <w:t>(25.8)</w:t>
            </w:r>
          </w:p>
        </w:tc>
      </w:tr>
      <w:tr w:rsidR="005C4EC9" w:rsidRPr="009C1D66" w14:paraId="38CF1616" w14:textId="77777777" w:rsidTr="008D3771">
        <w:trPr>
          <w:trHeight w:val="454"/>
        </w:trPr>
        <w:tc>
          <w:tcPr>
            <w:tcW w:w="2109" w:type="pct"/>
            <w:shd w:val="clear" w:color="auto" w:fill="auto"/>
            <w:vAlign w:val="bottom"/>
          </w:tcPr>
          <w:p w14:paraId="67354848" w14:textId="77777777" w:rsidR="005C4EC9" w:rsidRPr="009C1D66" w:rsidRDefault="005C4EC9" w:rsidP="008D3771">
            <w:pPr>
              <w:jc w:val="left"/>
              <w:rPr>
                <w:color w:val="auto"/>
              </w:rPr>
            </w:pPr>
            <w:r w:rsidRPr="009C1D66">
              <w:rPr>
                <w:color w:val="auto"/>
              </w:rPr>
              <w:t>Cash and cash equivalents at the beginning of the reporting period</w:t>
            </w:r>
          </w:p>
        </w:tc>
        <w:tc>
          <w:tcPr>
            <w:tcW w:w="731" w:type="pct"/>
            <w:shd w:val="clear" w:color="auto" w:fill="auto"/>
            <w:vAlign w:val="bottom"/>
          </w:tcPr>
          <w:p w14:paraId="0222EF4A" w14:textId="77777777" w:rsidR="005C4EC9" w:rsidRPr="009C1D66" w:rsidRDefault="005C4EC9" w:rsidP="008D3771">
            <w:pPr>
              <w:jc w:val="center"/>
              <w:rPr>
                <w:color w:val="auto"/>
              </w:rPr>
            </w:pPr>
          </w:p>
        </w:tc>
        <w:tc>
          <w:tcPr>
            <w:tcW w:w="1062" w:type="pct"/>
            <w:tcBorders>
              <w:top w:val="nil"/>
              <w:bottom w:val="single" w:sz="4" w:space="0" w:color="auto"/>
            </w:tcBorders>
            <w:shd w:val="clear" w:color="auto" w:fill="auto"/>
            <w:vAlign w:val="bottom"/>
          </w:tcPr>
          <w:p w14:paraId="1142AA66" w14:textId="1BD8690C" w:rsidR="005C4EC9" w:rsidRPr="009C1D66" w:rsidRDefault="00F87055" w:rsidP="008D3771">
            <w:pPr>
              <w:tabs>
                <w:tab w:val="decimal" w:pos="1076"/>
              </w:tabs>
              <w:rPr>
                <w:color w:val="auto"/>
              </w:rPr>
            </w:pPr>
            <w:r w:rsidRPr="009C1D66">
              <w:rPr>
                <w:color w:val="auto"/>
              </w:rPr>
              <w:t>(91.4)</w:t>
            </w:r>
          </w:p>
        </w:tc>
        <w:tc>
          <w:tcPr>
            <w:tcW w:w="1098" w:type="pct"/>
            <w:tcBorders>
              <w:top w:val="nil"/>
              <w:bottom w:val="single" w:sz="4" w:space="0" w:color="auto"/>
            </w:tcBorders>
            <w:shd w:val="clear" w:color="auto" w:fill="auto"/>
            <w:vAlign w:val="bottom"/>
          </w:tcPr>
          <w:p w14:paraId="458FCD98" w14:textId="77777777" w:rsidR="005C4EC9" w:rsidRPr="009C1D66" w:rsidRDefault="005C4EC9" w:rsidP="008D3771">
            <w:pPr>
              <w:tabs>
                <w:tab w:val="decimal" w:pos="1133"/>
              </w:tabs>
              <w:rPr>
                <w:color w:val="auto"/>
              </w:rPr>
            </w:pPr>
            <w:r w:rsidRPr="009C1D66">
              <w:rPr>
                <w:color w:val="auto"/>
              </w:rPr>
              <w:t>(65.6)</w:t>
            </w:r>
          </w:p>
        </w:tc>
      </w:tr>
      <w:tr w:rsidR="005C4EC9" w:rsidRPr="008D3771" w14:paraId="14403EDA" w14:textId="77777777" w:rsidTr="008D3771">
        <w:trPr>
          <w:trHeight w:val="454"/>
        </w:trPr>
        <w:tc>
          <w:tcPr>
            <w:tcW w:w="2109" w:type="pct"/>
            <w:shd w:val="clear" w:color="auto" w:fill="auto"/>
            <w:vAlign w:val="bottom"/>
          </w:tcPr>
          <w:p w14:paraId="7B8F29F9" w14:textId="77777777" w:rsidR="005C4EC9" w:rsidRPr="009C1D66" w:rsidRDefault="005C4EC9" w:rsidP="008D3771">
            <w:pPr>
              <w:jc w:val="left"/>
              <w:rPr>
                <w:b/>
                <w:color w:val="auto"/>
              </w:rPr>
            </w:pPr>
            <w:r w:rsidRPr="009C1D66">
              <w:rPr>
                <w:b/>
                <w:color w:val="auto"/>
              </w:rPr>
              <w:t>Cash and cash equivalents at the end of the reporting period</w:t>
            </w:r>
          </w:p>
        </w:tc>
        <w:tc>
          <w:tcPr>
            <w:tcW w:w="731" w:type="pct"/>
            <w:shd w:val="clear" w:color="auto" w:fill="auto"/>
            <w:vAlign w:val="bottom"/>
          </w:tcPr>
          <w:p w14:paraId="3E4A2972" w14:textId="231025E7" w:rsidR="005C4EC9" w:rsidRPr="009C1D66" w:rsidRDefault="00CA3E1D" w:rsidP="000A0396">
            <w:pPr>
              <w:jc w:val="center"/>
              <w:rPr>
                <w:color w:val="auto"/>
              </w:rPr>
            </w:pPr>
            <w:r>
              <w:rPr>
                <w:color w:val="auto"/>
              </w:rPr>
              <w:t>2</w:t>
            </w:r>
            <w:r w:rsidR="000A0396">
              <w:rPr>
                <w:color w:val="auto"/>
              </w:rPr>
              <w:t>9</w:t>
            </w:r>
          </w:p>
        </w:tc>
        <w:tc>
          <w:tcPr>
            <w:tcW w:w="1062" w:type="pct"/>
            <w:tcBorders>
              <w:top w:val="single" w:sz="4" w:space="0" w:color="auto"/>
              <w:bottom w:val="single" w:sz="4" w:space="0" w:color="auto"/>
            </w:tcBorders>
            <w:shd w:val="clear" w:color="auto" w:fill="auto"/>
            <w:vAlign w:val="bottom"/>
          </w:tcPr>
          <w:p w14:paraId="3E24DB26" w14:textId="5842C20E" w:rsidR="005C4EC9" w:rsidRPr="009C1D66" w:rsidRDefault="00F87055" w:rsidP="008D3771">
            <w:pPr>
              <w:tabs>
                <w:tab w:val="decimal" w:pos="1076"/>
              </w:tabs>
              <w:rPr>
                <w:b/>
                <w:color w:val="auto"/>
              </w:rPr>
            </w:pPr>
            <w:r w:rsidRPr="009C1D66">
              <w:rPr>
                <w:b/>
                <w:color w:val="auto"/>
              </w:rPr>
              <w:t>(130.3)</w:t>
            </w:r>
          </w:p>
        </w:tc>
        <w:tc>
          <w:tcPr>
            <w:tcW w:w="1098" w:type="pct"/>
            <w:tcBorders>
              <w:top w:val="single" w:sz="4" w:space="0" w:color="auto"/>
              <w:bottom w:val="single" w:sz="4" w:space="0" w:color="auto"/>
            </w:tcBorders>
            <w:shd w:val="clear" w:color="auto" w:fill="auto"/>
            <w:vAlign w:val="bottom"/>
          </w:tcPr>
          <w:p w14:paraId="26F80764" w14:textId="77777777" w:rsidR="005C4EC9" w:rsidRPr="008D3771" w:rsidRDefault="005C4EC9" w:rsidP="008D3771">
            <w:pPr>
              <w:tabs>
                <w:tab w:val="decimal" w:pos="1133"/>
              </w:tabs>
              <w:rPr>
                <w:b/>
                <w:color w:val="auto"/>
              </w:rPr>
            </w:pPr>
            <w:r w:rsidRPr="009C1D66">
              <w:rPr>
                <w:b/>
                <w:color w:val="auto"/>
              </w:rPr>
              <w:t>(91.4)</w:t>
            </w:r>
          </w:p>
        </w:tc>
      </w:tr>
    </w:tbl>
    <w:p w14:paraId="7FB7FB85" w14:textId="77777777" w:rsidR="00C53D94" w:rsidRDefault="00C53D94" w:rsidP="0064475E">
      <w:pPr>
        <w:rPr>
          <w:color w:val="auto"/>
        </w:rPr>
      </w:pPr>
    </w:p>
    <w:p w14:paraId="172DF354" w14:textId="77777777" w:rsidR="00184C22" w:rsidRDefault="00184C22" w:rsidP="0064475E">
      <w:pPr>
        <w:rPr>
          <w:color w:val="auto"/>
        </w:rPr>
      </w:pPr>
    </w:p>
    <w:p w14:paraId="09B3882A" w14:textId="77777777" w:rsidR="0047381F" w:rsidRDefault="0047381F" w:rsidP="0064475E">
      <w:pPr>
        <w:rPr>
          <w:color w:val="auto"/>
        </w:rPr>
      </w:pPr>
    </w:p>
    <w:p w14:paraId="477B5FD7" w14:textId="77777777" w:rsidR="0047381F" w:rsidRDefault="0047381F" w:rsidP="0064475E">
      <w:pPr>
        <w:rPr>
          <w:color w:val="auto"/>
        </w:rPr>
      </w:pPr>
    </w:p>
    <w:p w14:paraId="58DC8FB7" w14:textId="77777777" w:rsidR="00184C22" w:rsidRDefault="00184C22" w:rsidP="0064475E">
      <w:pPr>
        <w:rPr>
          <w:color w:val="auto"/>
        </w:rPr>
      </w:pPr>
    </w:p>
    <w:p w14:paraId="29BFE3CF" w14:textId="77777777" w:rsidR="00DB3EE2" w:rsidRDefault="00DB3EE2" w:rsidP="0064475E">
      <w:pPr>
        <w:rPr>
          <w:color w:val="auto"/>
        </w:rPr>
      </w:pPr>
    </w:p>
    <w:p w14:paraId="4193378B" w14:textId="77777777" w:rsidR="00DB3EE2" w:rsidRDefault="00DB3EE2" w:rsidP="0064475E">
      <w:pPr>
        <w:rPr>
          <w:color w:val="auto"/>
        </w:rPr>
      </w:pPr>
    </w:p>
    <w:p w14:paraId="41DE348E" w14:textId="5EB9CD32" w:rsidR="00037486" w:rsidRDefault="00DB3EE2" w:rsidP="0064475E">
      <w:pPr>
        <w:rPr>
          <w:color w:val="auto"/>
        </w:rPr>
      </w:pPr>
      <w:r>
        <w:rPr>
          <w:color w:val="auto"/>
        </w:rPr>
        <w:t>Abigail Leech ACA</w:t>
      </w:r>
      <w:r>
        <w:rPr>
          <w:color w:val="auto"/>
        </w:rPr>
        <w:tab/>
      </w:r>
      <w:r>
        <w:rPr>
          <w:color w:val="auto"/>
        </w:rPr>
        <w:tab/>
      </w:r>
      <w:r>
        <w:rPr>
          <w:color w:val="auto"/>
        </w:rPr>
        <w:tab/>
      </w:r>
      <w:r>
        <w:rPr>
          <w:color w:val="auto"/>
        </w:rPr>
        <w:tab/>
      </w:r>
      <w:r>
        <w:rPr>
          <w:color w:val="auto"/>
        </w:rPr>
        <w:tab/>
        <w:t>County Councillor Terry Brown</w:t>
      </w:r>
    </w:p>
    <w:p w14:paraId="39BE907D" w14:textId="787F0538" w:rsidR="00DB3EE2" w:rsidRDefault="00DB3EE2" w:rsidP="0064475E">
      <w:pPr>
        <w:rPr>
          <w:color w:val="auto"/>
        </w:rPr>
      </w:pPr>
      <w:r>
        <w:rPr>
          <w:color w:val="auto"/>
        </w:rPr>
        <w:t>Acting Section 151 Officer</w:t>
      </w:r>
      <w:r>
        <w:rPr>
          <w:color w:val="auto"/>
        </w:rPr>
        <w:tab/>
      </w:r>
      <w:r>
        <w:rPr>
          <w:color w:val="auto"/>
        </w:rPr>
        <w:tab/>
      </w:r>
      <w:r>
        <w:rPr>
          <w:color w:val="auto"/>
        </w:rPr>
        <w:tab/>
      </w:r>
      <w:r>
        <w:rPr>
          <w:color w:val="auto"/>
        </w:rPr>
        <w:tab/>
        <w:t>Chair of the Audit and Governance Committee</w:t>
      </w:r>
    </w:p>
    <w:p w14:paraId="40B949C0" w14:textId="74450C6E" w:rsidR="000D2964" w:rsidRPr="00233054" w:rsidRDefault="00DB3EE2" w:rsidP="00037486">
      <w:pPr>
        <w:rPr>
          <w:b/>
          <w:color w:val="auto"/>
        </w:rPr>
      </w:pPr>
      <w:r>
        <w:rPr>
          <w:color w:val="auto"/>
        </w:rPr>
        <w:t>28</w:t>
      </w:r>
      <w:r w:rsidRPr="008D0533">
        <w:rPr>
          <w:color w:val="auto"/>
          <w:vertAlign w:val="superscript"/>
        </w:rPr>
        <w:t>th</w:t>
      </w:r>
      <w:r>
        <w:rPr>
          <w:color w:val="auto"/>
        </w:rPr>
        <w:t xml:space="preserve"> September 2015</w:t>
      </w:r>
      <w:r>
        <w:rPr>
          <w:color w:val="auto"/>
        </w:rPr>
        <w:tab/>
      </w:r>
      <w:r>
        <w:rPr>
          <w:color w:val="auto"/>
        </w:rPr>
        <w:tab/>
      </w:r>
      <w:r>
        <w:rPr>
          <w:color w:val="auto"/>
        </w:rPr>
        <w:tab/>
      </w:r>
      <w:r>
        <w:rPr>
          <w:color w:val="auto"/>
        </w:rPr>
        <w:tab/>
        <w:t>28</w:t>
      </w:r>
      <w:r w:rsidRPr="008D0533">
        <w:rPr>
          <w:color w:val="auto"/>
          <w:vertAlign w:val="superscript"/>
        </w:rPr>
        <w:t>th</w:t>
      </w:r>
      <w:r>
        <w:rPr>
          <w:color w:val="auto"/>
        </w:rPr>
        <w:t xml:space="preserve"> September 2015</w:t>
      </w:r>
      <w:r w:rsidR="00C413A8" w:rsidRPr="00233054">
        <w:rPr>
          <w:b/>
          <w:color w:val="auto"/>
        </w:rPr>
        <w:tab/>
      </w:r>
      <w:r w:rsidR="00037486" w:rsidRPr="00233054">
        <w:rPr>
          <w:b/>
          <w:color w:val="auto"/>
        </w:rPr>
        <w:tab/>
      </w:r>
      <w:r w:rsidR="00037486" w:rsidRPr="00233054">
        <w:rPr>
          <w:b/>
          <w:color w:val="auto"/>
        </w:rPr>
        <w:tab/>
      </w:r>
      <w:r w:rsidR="00037486" w:rsidRPr="00233054">
        <w:rPr>
          <w:b/>
          <w:color w:val="auto"/>
        </w:rPr>
        <w:tab/>
      </w:r>
      <w:r w:rsidR="00037486" w:rsidRPr="00233054">
        <w:rPr>
          <w:b/>
          <w:color w:val="auto"/>
        </w:rPr>
        <w:tab/>
      </w:r>
    </w:p>
    <w:p w14:paraId="1F4F3287" w14:textId="77777777" w:rsidR="00037486" w:rsidRPr="00A06955" w:rsidRDefault="000D2964" w:rsidP="009F0317">
      <w:pPr>
        <w:pStyle w:val="Heading1"/>
      </w:pPr>
      <w:r>
        <w:br w:type="page"/>
      </w:r>
      <w:r w:rsidRPr="00A06955">
        <w:lastRenderedPageBreak/>
        <w:t>Notes to the financial statements</w:t>
      </w:r>
    </w:p>
    <w:p w14:paraId="3C522E79" w14:textId="36512E9E" w:rsidR="000D2964" w:rsidRPr="00A06955" w:rsidRDefault="003B2CA9" w:rsidP="005A577C">
      <w:pPr>
        <w:pStyle w:val="Heading2"/>
      </w:pPr>
      <w:bookmarkStart w:id="6" w:name="Note1"/>
      <w:bookmarkEnd w:id="6"/>
      <w:r w:rsidRPr="00007A08">
        <w:t>1</w:t>
      </w:r>
      <w:r w:rsidRPr="00A06955">
        <w:t xml:space="preserve">. Accounting </w:t>
      </w:r>
      <w:r w:rsidR="003931E0">
        <w:t>p</w:t>
      </w:r>
      <w:r w:rsidRPr="00A06955">
        <w:t>olicies</w:t>
      </w:r>
    </w:p>
    <w:p w14:paraId="37CDB219" w14:textId="77777777" w:rsidR="003B2CA9" w:rsidRPr="00A06955" w:rsidRDefault="003B2CA9" w:rsidP="00EC401F">
      <w:pPr>
        <w:numPr>
          <w:ilvl w:val="0"/>
          <w:numId w:val="11"/>
        </w:numPr>
        <w:ind w:left="993" w:hanging="709"/>
        <w:rPr>
          <w:b/>
          <w:color w:val="auto"/>
        </w:rPr>
      </w:pPr>
      <w:r w:rsidRPr="00A06955">
        <w:rPr>
          <w:b/>
          <w:color w:val="auto"/>
        </w:rPr>
        <w:t>General</w:t>
      </w:r>
    </w:p>
    <w:p w14:paraId="69363043" w14:textId="573C468C" w:rsidR="003B2CA9" w:rsidRPr="00A06955" w:rsidRDefault="003B2CA9" w:rsidP="002976A9">
      <w:pPr>
        <w:ind w:left="993"/>
        <w:rPr>
          <w:color w:val="auto"/>
        </w:rPr>
      </w:pPr>
      <w:r w:rsidRPr="00A06955">
        <w:rPr>
          <w:color w:val="auto"/>
        </w:rPr>
        <w:t>The Statement of Accounts summarises the council's transactions for the 201</w:t>
      </w:r>
      <w:r w:rsidR="0099187C" w:rsidRPr="00A06955">
        <w:rPr>
          <w:color w:val="auto"/>
        </w:rPr>
        <w:t>4</w:t>
      </w:r>
      <w:r w:rsidRPr="00A06955">
        <w:rPr>
          <w:color w:val="auto"/>
        </w:rPr>
        <w:t>/1</w:t>
      </w:r>
      <w:r w:rsidR="0099187C" w:rsidRPr="00A06955">
        <w:rPr>
          <w:color w:val="auto"/>
        </w:rPr>
        <w:t>5</w:t>
      </w:r>
      <w:r w:rsidRPr="00A06955">
        <w:rPr>
          <w:color w:val="auto"/>
        </w:rPr>
        <w:t xml:space="preserve"> financial year and its position at the year end of 31 March 201</w:t>
      </w:r>
      <w:r w:rsidR="0099187C" w:rsidRPr="00A06955">
        <w:rPr>
          <w:color w:val="auto"/>
        </w:rPr>
        <w:t>5</w:t>
      </w:r>
      <w:r w:rsidRPr="00A06955">
        <w:rPr>
          <w:color w:val="auto"/>
        </w:rPr>
        <w:t>. The council is required to prepare an annual Statement of Accounts by the Accounts and Audit Regulations, which require the accounts to be prepared in accordance with proper accounting practices. These practices primarily comprise the Code of Practice on Local Authority Accounting in the United Kingdom 201</w:t>
      </w:r>
      <w:r w:rsidR="0099187C" w:rsidRPr="00A06955">
        <w:rPr>
          <w:color w:val="auto"/>
        </w:rPr>
        <w:t>4</w:t>
      </w:r>
      <w:r w:rsidRPr="00A06955">
        <w:rPr>
          <w:color w:val="auto"/>
        </w:rPr>
        <w:t>/1</w:t>
      </w:r>
      <w:r w:rsidR="0099187C" w:rsidRPr="00A06955">
        <w:rPr>
          <w:color w:val="auto"/>
        </w:rPr>
        <w:t>5</w:t>
      </w:r>
      <w:r w:rsidRPr="00A06955">
        <w:rPr>
          <w:color w:val="auto"/>
        </w:rPr>
        <w:t xml:space="preserve"> and the Service Reporting Code of Practice 201</w:t>
      </w:r>
      <w:r w:rsidR="0099187C" w:rsidRPr="00A06955">
        <w:rPr>
          <w:color w:val="auto"/>
        </w:rPr>
        <w:t>4</w:t>
      </w:r>
      <w:r w:rsidRPr="00A06955">
        <w:rPr>
          <w:color w:val="auto"/>
        </w:rPr>
        <w:t>/1</w:t>
      </w:r>
      <w:r w:rsidR="0099187C" w:rsidRPr="00A06955">
        <w:rPr>
          <w:color w:val="auto"/>
        </w:rPr>
        <w:t>5</w:t>
      </w:r>
      <w:r w:rsidRPr="00A06955">
        <w:rPr>
          <w:color w:val="auto"/>
        </w:rPr>
        <w:t>, supported by International Financial Reporting Standards (IFRS). The accounting convention adopted is historical cost, modified by the revaluation of certain categories of non-current assets.</w:t>
      </w:r>
    </w:p>
    <w:p w14:paraId="5EE6699B" w14:textId="77777777" w:rsidR="003B2CA9" w:rsidRDefault="003B2CA9" w:rsidP="002976A9">
      <w:pPr>
        <w:ind w:left="993"/>
        <w:rPr>
          <w:color w:val="auto"/>
        </w:rPr>
      </w:pPr>
      <w:r w:rsidRPr="00A06955">
        <w:rPr>
          <w:color w:val="auto"/>
        </w:rPr>
        <w:t>The balance sheet does not include the balances of the Lancashire County Pension Fund and several small trust funds, which are presented in separate statements. Most of the trust funds have been set up as a result of gifts and bequests to be used for the benefit of children, students or clients at particular schools, colleges, homes or in specific areas.</w:t>
      </w:r>
    </w:p>
    <w:p w14:paraId="0903887C" w14:textId="77777777" w:rsidR="00601A0B" w:rsidRDefault="00601A0B" w:rsidP="008D0533">
      <w:pPr>
        <w:spacing w:after="0"/>
        <w:ind w:left="992"/>
        <w:rPr>
          <w:color w:val="auto"/>
        </w:rPr>
      </w:pPr>
    </w:p>
    <w:p w14:paraId="5F29BBDF" w14:textId="77777777" w:rsidR="00601A0B" w:rsidRPr="00601A0B" w:rsidRDefault="00601A0B" w:rsidP="008D0533">
      <w:pPr>
        <w:numPr>
          <w:ilvl w:val="0"/>
          <w:numId w:val="11"/>
        </w:numPr>
        <w:spacing w:after="0"/>
        <w:ind w:left="992" w:hanging="709"/>
        <w:rPr>
          <w:b/>
          <w:color w:val="auto"/>
        </w:rPr>
      </w:pPr>
      <w:r w:rsidRPr="00601A0B">
        <w:rPr>
          <w:b/>
          <w:color w:val="auto"/>
        </w:rPr>
        <w:t>Prior Period Adjustments, Changes in Accounting Policies, Estimates and Errors</w:t>
      </w:r>
    </w:p>
    <w:p w14:paraId="5F193D37" w14:textId="77777777" w:rsidR="00601A0B" w:rsidRPr="00601A0B" w:rsidRDefault="00601A0B" w:rsidP="008D0533">
      <w:pPr>
        <w:spacing w:after="0"/>
        <w:ind w:left="992"/>
        <w:rPr>
          <w:color w:val="auto"/>
        </w:rPr>
      </w:pPr>
      <w:r w:rsidRPr="00601A0B">
        <w:rPr>
          <w:color w:val="auto"/>
        </w:rPr>
        <w:t>Prior period adjustments may arise as a result of a change in accounting policies or to correct a material error. Changes in accounting estimates are accounted for prospectively (i.e. in the current and future years affected by the change) and do not give rise to a prior period adjustment.</w:t>
      </w:r>
    </w:p>
    <w:p w14:paraId="664E53B3" w14:textId="77777777" w:rsidR="00601A0B" w:rsidRPr="00601A0B" w:rsidRDefault="00601A0B" w:rsidP="008D0533">
      <w:pPr>
        <w:spacing w:after="0"/>
        <w:ind w:left="992"/>
        <w:rPr>
          <w:color w:val="auto"/>
        </w:rPr>
      </w:pPr>
      <w:r w:rsidRPr="00601A0B">
        <w:rPr>
          <w:color w:val="auto"/>
        </w:rPr>
        <w:t xml:space="preserve">Changes in accounting policies are only made when required by proper accounting practices or the change provides more reliable or relevant information about the effect of transactions, other events and conditions on the council's financial position or financial performance. Where a change is made, it is applied retrospectively (unless stated otherwise) by adjusting opening balances and comparative amounts for the prior period as if the new policy had always been applied. </w:t>
      </w:r>
    </w:p>
    <w:p w14:paraId="7FA7654E" w14:textId="17FABEB1" w:rsidR="00601A0B" w:rsidRPr="00A06955" w:rsidRDefault="00601A0B" w:rsidP="002976A9">
      <w:pPr>
        <w:ind w:left="993"/>
        <w:rPr>
          <w:color w:val="auto"/>
        </w:rPr>
      </w:pPr>
      <w:r w:rsidRPr="00601A0B">
        <w:rPr>
          <w:color w:val="auto"/>
        </w:rPr>
        <w:t>Material errors discovered in prior period figures are corrected retrospectively by amending opening balances and comparative amounts for the prior period.</w:t>
      </w:r>
    </w:p>
    <w:p w14:paraId="486E5565" w14:textId="3AEE3C58" w:rsidR="003B2CA9" w:rsidRPr="00A06955" w:rsidRDefault="0002567A" w:rsidP="00EC401F">
      <w:pPr>
        <w:numPr>
          <w:ilvl w:val="0"/>
          <w:numId w:val="11"/>
        </w:numPr>
        <w:tabs>
          <w:tab w:val="left" w:pos="993"/>
        </w:tabs>
        <w:ind w:left="284" w:firstLine="0"/>
        <w:rPr>
          <w:b/>
          <w:color w:val="auto"/>
        </w:rPr>
      </w:pPr>
      <w:r>
        <w:rPr>
          <w:b/>
          <w:color w:val="auto"/>
        </w:rPr>
        <w:t>Accruals of income and e</w:t>
      </w:r>
      <w:r w:rsidR="003B2CA9" w:rsidRPr="00A06955">
        <w:rPr>
          <w:b/>
          <w:color w:val="auto"/>
        </w:rPr>
        <w:t>xpenditure</w:t>
      </w:r>
    </w:p>
    <w:p w14:paraId="4BCEE7B8" w14:textId="77777777" w:rsidR="003B2CA9" w:rsidRDefault="003B2CA9" w:rsidP="002976A9">
      <w:pPr>
        <w:ind w:left="993"/>
        <w:rPr>
          <w:color w:val="auto"/>
        </w:rPr>
      </w:pPr>
      <w:r w:rsidRPr="00A06955">
        <w:rPr>
          <w:color w:val="auto"/>
        </w:rPr>
        <w:t>Activity is accounted for in the year that it takes place, not simply when cash payments are made or received. In particular:</w:t>
      </w:r>
    </w:p>
    <w:p w14:paraId="1AAE25CA" w14:textId="77777777" w:rsidR="001542C1" w:rsidRDefault="00B85D94" w:rsidP="00717919">
      <w:pPr>
        <w:pStyle w:val="ListParagraph"/>
        <w:numPr>
          <w:ilvl w:val="0"/>
          <w:numId w:val="47"/>
        </w:numPr>
        <w:ind w:left="1560" w:hanging="567"/>
      </w:pPr>
      <w:r w:rsidRPr="00A06955">
        <w:lastRenderedPageBreak/>
        <w:t>Fees, charges and rents due from customers are accounted for as income at the date the council provides the relevant goods or services</w:t>
      </w:r>
      <w:r w:rsidR="001542C1">
        <w:t>.</w:t>
      </w:r>
    </w:p>
    <w:p w14:paraId="3E7F0546" w14:textId="29F67F5F" w:rsidR="003B2CA9" w:rsidRPr="00A06955" w:rsidRDefault="00B85D94" w:rsidP="00EC401F">
      <w:pPr>
        <w:numPr>
          <w:ilvl w:val="0"/>
          <w:numId w:val="12"/>
        </w:numPr>
        <w:ind w:left="1560" w:hanging="567"/>
      </w:pPr>
      <w:r w:rsidRPr="00A06955">
        <w:rPr>
          <w:color w:val="auto"/>
        </w:rPr>
        <w:t>Revenue relating to such things as council tax, general rates etc</w:t>
      </w:r>
      <w:r w:rsidR="001542C1">
        <w:rPr>
          <w:color w:val="auto"/>
        </w:rPr>
        <w:t>.</w:t>
      </w:r>
      <w:r w:rsidRPr="00A06955">
        <w:rPr>
          <w:color w:val="auto"/>
        </w:rPr>
        <w:t xml:space="preserve"> shall be measured at the full amount receivable (net of any impairment losses) as they are non-contractual, non-exchange transactions and there can be no difference between the delivery and payment dates.</w:t>
      </w:r>
    </w:p>
    <w:p w14:paraId="29FA1FE1" w14:textId="77777777" w:rsidR="0050616C" w:rsidRDefault="0050616C" w:rsidP="00717919">
      <w:pPr>
        <w:pStyle w:val="ListParagraph"/>
        <w:numPr>
          <w:ilvl w:val="0"/>
          <w:numId w:val="47"/>
        </w:numPr>
        <w:ind w:left="1560" w:hanging="567"/>
        <w:rPr>
          <w:color w:val="auto"/>
        </w:rPr>
      </w:pPr>
      <w:r w:rsidRPr="00A06955">
        <w:rPr>
          <w:color w:val="auto"/>
        </w:rPr>
        <w:t>Supplies are recorded as expenditure when they are consumed.  Where there is a gap between the date supplies are received and their consumption, they are carried as inventories on the Balance Sheet.</w:t>
      </w:r>
    </w:p>
    <w:p w14:paraId="7BA5BF38" w14:textId="77777777" w:rsidR="00901A47" w:rsidRPr="00A06955" w:rsidRDefault="00901A47" w:rsidP="00034E28">
      <w:pPr>
        <w:pStyle w:val="ListParagraph"/>
        <w:ind w:left="1560" w:hanging="567"/>
        <w:rPr>
          <w:color w:val="auto"/>
        </w:rPr>
      </w:pPr>
    </w:p>
    <w:p w14:paraId="20A5C84C" w14:textId="77777777" w:rsidR="00901A47" w:rsidRDefault="0050616C" w:rsidP="00717919">
      <w:pPr>
        <w:pStyle w:val="ListParagraph"/>
        <w:numPr>
          <w:ilvl w:val="0"/>
          <w:numId w:val="47"/>
        </w:numPr>
        <w:ind w:left="1560" w:hanging="567"/>
        <w:rPr>
          <w:color w:val="auto"/>
        </w:rPr>
      </w:pPr>
      <w:r w:rsidRPr="00A06955">
        <w:rPr>
          <w:color w:val="auto"/>
        </w:rPr>
        <w:t>Expenses in relation to services received (including services provided by employees) are recorded as expenditure when the services are received rather than when payments are made.</w:t>
      </w:r>
    </w:p>
    <w:p w14:paraId="1301D651" w14:textId="77777777" w:rsidR="00901A47" w:rsidRPr="00A06955" w:rsidRDefault="00901A47" w:rsidP="00034E28">
      <w:pPr>
        <w:pStyle w:val="ListParagraph"/>
        <w:ind w:left="1560" w:hanging="567"/>
        <w:rPr>
          <w:color w:val="auto"/>
        </w:rPr>
      </w:pPr>
    </w:p>
    <w:p w14:paraId="48879893" w14:textId="77777777" w:rsidR="00901A47" w:rsidRDefault="0050616C" w:rsidP="00717919">
      <w:pPr>
        <w:pStyle w:val="ListParagraph"/>
        <w:numPr>
          <w:ilvl w:val="0"/>
          <w:numId w:val="47"/>
        </w:numPr>
        <w:ind w:left="1560" w:hanging="567"/>
        <w:rPr>
          <w:color w:val="auto"/>
        </w:rPr>
      </w:pPr>
      <w:r w:rsidRPr="00A06955">
        <w:rPr>
          <w:color w:val="auto"/>
        </w:rPr>
        <w:t>Interest receivable on investments and payable on borrowings is accounted for respectively as income and expenditure on the basis of the effective interest rate for the relevant financial instrument rather than the cash flows fixed or determined by the contract.</w:t>
      </w:r>
    </w:p>
    <w:p w14:paraId="14F50D41" w14:textId="77777777" w:rsidR="00901A47" w:rsidRPr="00A06955" w:rsidRDefault="00901A47" w:rsidP="00034E28">
      <w:pPr>
        <w:pStyle w:val="ListParagraph"/>
        <w:ind w:left="1560" w:hanging="567"/>
        <w:rPr>
          <w:color w:val="auto"/>
        </w:rPr>
      </w:pPr>
    </w:p>
    <w:p w14:paraId="180A45E4" w14:textId="77777777" w:rsidR="0050616C" w:rsidRPr="00A06955" w:rsidRDefault="0050616C" w:rsidP="00717919">
      <w:pPr>
        <w:pStyle w:val="ListParagraph"/>
        <w:numPr>
          <w:ilvl w:val="0"/>
          <w:numId w:val="47"/>
        </w:numPr>
        <w:ind w:left="1560" w:hanging="567"/>
        <w:rPr>
          <w:color w:val="auto"/>
        </w:rPr>
      </w:pPr>
      <w:r w:rsidRPr="00A06955">
        <w:rPr>
          <w:color w:val="auto"/>
        </w:rPr>
        <w:lastRenderedPageBreak/>
        <w:t>Where revenue and expenditure have been recognised but cash has not been received or paid, a debtor or creditor for the relevant amount is recorded in the Balance Sheet.  Where debts may not be settled, the balance of debtors is written down and a charge made to revenue for the income that might not be collected.</w:t>
      </w:r>
    </w:p>
    <w:p w14:paraId="6117095E" w14:textId="615A402E" w:rsidR="003A6574" w:rsidRPr="00A06955" w:rsidRDefault="0002567A" w:rsidP="00EC401F">
      <w:pPr>
        <w:numPr>
          <w:ilvl w:val="0"/>
          <w:numId w:val="11"/>
        </w:numPr>
        <w:ind w:left="993" w:hanging="709"/>
        <w:rPr>
          <w:b/>
          <w:color w:val="auto"/>
        </w:rPr>
      </w:pPr>
      <w:r>
        <w:rPr>
          <w:b/>
          <w:color w:val="auto"/>
        </w:rPr>
        <w:t>Cash and cash e</w:t>
      </w:r>
      <w:r w:rsidR="003A6574" w:rsidRPr="00A06955">
        <w:rPr>
          <w:b/>
          <w:color w:val="auto"/>
        </w:rPr>
        <w:t>quivalents</w:t>
      </w:r>
    </w:p>
    <w:p w14:paraId="4BCF4146" w14:textId="77777777" w:rsidR="003A6574" w:rsidRPr="00A06955" w:rsidRDefault="003A6574" w:rsidP="009C1D66">
      <w:pPr>
        <w:ind w:left="993"/>
        <w:rPr>
          <w:color w:val="auto"/>
        </w:rPr>
      </w:pPr>
      <w:r w:rsidRPr="00A06955">
        <w:rPr>
          <w:color w:val="auto"/>
        </w:rPr>
        <w:t>Cash is represented by cash in hand and deposits with financial institutions repayable without penalty on notice of not more than 24 hours. Cash equivalents are investments that mature or are available for recall in three months or less from the date of acquisition and that are readily convertible to known amounts of cash with insignificant risk of change in value. This category will include cash on call and three months or less term deposit and also instant access money market funds.</w:t>
      </w:r>
    </w:p>
    <w:p w14:paraId="69080A5F" w14:textId="77777777" w:rsidR="00A552FB" w:rsidRDefault="003A6574" w:rsidP="00FF722F">
      <w:pPr>
        <w:spacing w:after="0"/>
        <w:ind w:left="992"/>
        <w:rPr>
          <w:color w:val="auto"/>
        </w:rPr>
      </w:pPr>
      <w:r w:rsidRPr="00A06955">
        <w:rPr>
          <w:color w:val="auto"/>
        </w:rPr>
        <w:t>In the Cash Flow Statement, cash and cash equivalents are shown net of bank overdrafts that are repayable on demand and form an integral part of the council's cash management.</w:t>
      </w:r>
    </w:p>
    <w:p w14:paraId="53040B6E" w14:textId="77777777" w:rsidR="00C236DF" w:rsidRPr="00747B0B" w:rsidRDefault="00C236DF" w:rsidP="00FF722F">
      <w:pPr>
        <w:spacing w:after="0"/>
        <w:ind w:left="992"/>
        <w:rPr>
          <w:color w:val="auto"/>
          <w:highlight w:val="yellow"/>
        </w:rPr>
      </w:pPr>
    </w:p>
    <w:p w14:paraId="4838E7EB" w14:textId="599F34FA" w:rsidR="007A2F97" w:rsidRPr="00A06955" w:rsidRDefault="0002567A" w:rsidP="00EC401F">
      <w:pPr>
        <w:numPr>
          <w:ilvl w:val="0"/>
          <w:numId w:val="11"/>
        </w:numPr>
        <w:ind w:left="993" w:hanging="709"/>
        <w:rPr>
          <w:b/>
          <w:color w:val="auto"/>
        </w:rPr>
      </w:pPr>
      <w:r>
        <w:rPr>
          <w:b/>
          <w:color w:val="auto"/>
        </w:rPr>
        <w:t>Charges to revenue for non-current a</w:t>
      </w:r>
      <w:r w:rsidR="007A2F97" w:rsidRPr="00A06955">
        <w:rPr>
          <w:b/>
          <w:color w:val="auto"/>
        </w:rPr>
        <w:t>ssets</w:t>
      </w:r>
    </w:p>
    <w:p w14:paraId="4A260D71" w14:textId="1138B7C8" w:rsidR="007A2F97" w:rsidRPr="00A06955" w:rsidRDefault="007A2F97" w:rsidP="009C1D66">
      <w:pPr>
        <w:ind w:left="993"/>
        <w:rPr>
          <w:color w:val="auto"/>
        </w:rPr>
      </w:pPr>
      <w:r w:rsidRPr="00A06955">
        <w:rPr>
          <w:color w:val="auto"/>
        </w:rPr>
        <w:lastRenderedPageBreak/>
        <w:t>Services</w:t>
      </w:r>
      <w:r w:rsidR="00EF5D7C" w:rsidRPr="00A06955">
        <w:rPr>
          <w:color w:val="auto"/>
        </w:rPr>
        <w:t xml:space="preserve"> and </w:t>
      </w:r>
      <w:r w:rsidRPr="00A06955">
        <w:rPr>
          <w:color w:val="auto"/>
        </w:rPr>
        <w:t xml:space="preserve">support services are debited with the following amounts to record the cost of holding </w:t>
      </w:r>
      <w:r w:rsidR="00C91FFD" w:rsidRPr="00A06955">
        <w:rPr>
          <w:color w:val="auto"/>
        </w:rPr>
        <w:t>property, plant and equipment</w:t>
      </w:r>
      <w:r w:rsidRPr="00A06955">
        <w:rPr>
          <w:color w:val="auto"/>
        </w:rPr>
        <w:t xml:space="preserve"> during the year:</w:t>
      </w:r>
    </w:p>
    <w:p w14:paraId="30DE978C" w14:textId="77777777" w:rsidR="007A2F97" w:rsidRPr="00A06955" w:rsidRDefault="007A2F97" w:rsidP="00EC401F">
      <w:pPr>
        <w:numPr>
          <w:ilvl w:val="0"/>
          <w:numId w:val="17"/>
        </w:numPr>
        <w:ind w:left="1560" w:hanging="567"/>
        <w:rPr>
          <w:color w:val="auto"/>
        </w:rPr>
      </w:pPr>
      <w:r w:rsidRPr="00A06955">
        <w:rPr>
          <w:color w:val="auto"/>
        </w:rPr>
        <w:t>Depreciation attributable to the assets used by the relevant service.</w:t>
      </w:r>
    </w:p>
    <w:p w14:paraId="6668941F" w14:textId="77777777" w:rsidR="007A2F97" w:rsidRPr="00A06955" w:rsidRDefault="007A2F97" w:rsidP="00EC401F">
      <w:pPr>
        <w:numPr>
          <w:ilvl w:val="0"/>
          <w:numId w:val="17"/>
        </w:numPr>
        <w:ind w:left="1560" w:hanging="567"/>
        <w:rPr>
          <w:color w:val="auto"/>
        </w:rPr>
      </w:pPr>
      <w:r w:rsidRPr="00A06955">
        <w:rPr>
          <w:color w:val="auto"/>
        </w:rPr>
        <w:t>Revaluation and impairment losses on assets used by the service where there are no accumulated gains in the Revaluation Reserve against which the losses can be written off.</w:t>
      </w:r>
    </w:p>
    <w:p w14:paraId="5507674A" w14:textId="77777777" w:rsidR="007A2F97" w:rsidRPr="00A06955" w:rsidRDefault="007A2F97" w:rsidP="00EC401F">
      <w:pPr>
        <w:numPr>
          <w:ilvl w:val="0"/>
          <w:numId w:val="17"/>
        </w:numPr>
        <w:ind w:left="1560" w:hanging="567"/>
        <w:rPr>
          <w:color w:val="auto"/>
        </w:rPr>
      </w:pPr>
      <w:r w:rsidRPr="00A06955">
        <w:rPr>
          <w:color w:val="auto"/>
        </w:rPr>
        <w:t>Amortisation of intangible assets attributable to the service.</w:t>
      </w:r>
    </w:p>
    <w:p w14:paraId="18126FA8" w14:textId="77777777" w:rsidR="007A2F97" w:rsidRPr="00A06955" w:rsidRDefault="007A2F97" w:rsidP="009C1D66">
      <w:pPr>
        <w:ind w:left="993"/>
        <w:rPr>
          <w:color w:val="auto"/>
        </w:rPr>
      </w:pPr>
      <w:r w:rsidRPr="00A06955">
        <w:rPr>
          <w:color w:val="auto"/>
        </w:rPr>
        <w:t xml:space="preserve">The council is not required to raise council tax to fund depreciation, revaluation and impairment losses or amortisations. However, it is required to make an annual charge to revenue towards the reduction in its overall borrowing requirement which is calculated on a prudent basis determined in accordance with statutory guidance. </w:t>
      </w:r>
    </w:p>
    <w:p w14:paraId="1652377B" w14:textId="77777777" w:rsidR="000F7490" w:rsidRPr="00A06955" w:rsidRDefault="007A2F97" w:rsidP="009C1D66">
      <w:pPr>
        <w:ind w:left="993"/>
        <w:rPr>
          <w:color w:val="auto"/>
        </w:rPr>
      </w:pPr>
      <w:r w:rsidRPr="00A06955">
        <w:rPr>
          <w:color w:val="auto"/>
        </w:rPr>
        <w:t>Depreciation, revaluation and impairment losses and amortisations are therefore replaced by the contribution in the County Fund balance (minimum revenue provision), by way of an adjusting transaction with the Capital Adjustment Account in the Movement in Reserves Statement for the difference between the two.</w:t>
      </w:r>
    </w:p>
    <w:p w14:paraId="6B272D0B" w14:textId="2A884859" w:rsidR="00F83C7E" w:rsidRPr="00A06955" w:rsidRDefault="00F83C7E" w:rsidP="00EC401F">
      <w:pPr>
        <w:numPr>
          <w:ilvl w:val="0"/>
          <w:numId w:val="11"/>
        </w:numPr>
        <w:ind w:left="993" w:hanging="709"/>
        <w:rPr>
          <w:b/>
          <w:color w:val="auto"/>
        </w:rPr>
      </w:pPr>
      <w:r w:rsidRPr="00A06955">
        <w:rPr>
          <w:b/>
          <w:color w:val="auto"/>
        </w:rPr>
        <w:lastRenderedPageBreak/>
        <w:t>Em</w:t>
      </w:r>
      <w:r w:rsidR="0002567A">
        <w:rPr>
          <w:b/>
          <w:color w:val="auto"/>
        </w:rPr>
        <w:t>ployee b</w:t>
      </w:r>
      <w:r w:rsidRPr="00A06955">
        <w:rPr>
          <w:b/>
          <w:color w:val="auto"/>
        </w:rPr>
        <w:t>enefits</w:t>
      </w:r>
    </w:p>
    <w:p w14:paraId="58F7E426" w14:textId="74F28BD0" w:rsidR="00F2181C" w:rsidRPr="009C1D66" w:rsidRDefault="0002567A" w:rsidP="00717919">
      <w:pPr>
        <w:pStyle w:val="ListParagraph"/>
        <w:numPr>
          <w:ilvl w:val="0"/>
          <w:numId w:val="51"/>
        </w:numPr>
        <w:ind w:left="1701" w:hanging="708"/>
        <w:rPr>
          <w:b/>
          <w:color w:val="auto"/>
        </w:rPr>
      </w:pPr>
      <w:r>
        <w:rPr>
          <w:b/>
          <w:color w:val="auto"/>
        </w:rPr>
        <w:t>Employee benefits payable during e</w:t>
      </w:r>
      <w:r w:rsidR="00F2181C" w:rsidRPr="009C1D66">
        <w:rPr>
          <w:b/>
          <w:color w:val="auto"/>
        </w:rPr>
        <w:t>mployment</w:t>
      </w:r>
    </w:p>
    <w:p w14:paraId="38F86809" w14:textId="77777777" w:rsidR="00F2181C" w:rsidRPr="00A06955" w:rsidRDefault="00F2181C" w:rsidP="009C1D66">
      <w:pPr>
        <w:ind w:left="1701"/>
        <w:rPr>
          <w:color w:val="auto"/>
        </w:rPr>
      </w:pPr>
      <w:r w:rsidRPr="00A06955">
        <w:rPr>
          <w:color w:val="auto"/>
        </w:rPr>
        <w:t>Short-term employee benefits are those due to be settled within 12 months of the year end. They include wages and salaries, paid annual leave and paid sick leave, bonuses and non-monetary benefits and are recognised as an expense for services in the year in which employees render service to the council. An accrual is made for the cost of holiday entitlements earned by employees but not taken before the year end which employees can carry forward into the next financial year.  The accrual is made at the wage and salary rates applicable in the following accounting year, being the period in which the employee takes the benefit.</w:t>
      </w:r>
    </w:p>
    <w:p w14:paraId="2CBC0021" w14:textId="77777777" w:rsidR="00F2181C" w:rsidRPr="00A06955" w:rsidRDefault="00F2181C" w:rsidP="009C1D66">
      <w:pPr>
        <w:ind w:left="1701"/>
        <w:rPr>
          <w:color w:val="auto"/>
        </w:rPr>
      </w:pPr>
      <w:r w:rsidRPr="00A06955">
        <w:rPr>
          <w:color w:val="auto"/>
        </w:rPr>
        <w:t>The accrual is charged to the surplus or deficit on the Provision of Services, but then reversed out through the Movement in Reserves Statement so that holiday benefits are charged to revenue in the financial year in which the holiday absence occurs.</w:t>
      </w:r>
    </w:p>
    <w:p w14:paraId="00221889" w14:textId="1750F7B5" w:rsidR="00F2181C" w:rsidRPr="009C1D66" w:rsidRDefault="00035309" w:rsidP="00717919">
      <w:pPr>
        <w:pStyle w:val="ListParagraph"/>
        <w:numPr>
          <w:ilvl w:val="0"/>
          <w:numId w:val="51"/>
        </w:numPr>
        <w:ind w:hanging="720"/>
        <w:rPr>
          <w:b/>
          <w:color w:val="auto"/>
        </w:rPr>
      </w:pPr>
      <w:r>
        <w:rPr>
          <w:b/>
          <w:color w:val="auto"/>
        </w:rPr>
        <w:t>Termination b</w:t>
      </w:r>
      <w:r w:rsidR="00F2181C" w:rsidRPr="009C1D66">
        <w:rPr>
          <w:b/>
          <w:color w:val="auto"/>
        </w:rPr>
        <w:t>enefits</w:t>
      </w:r>
    </w:p>
    <w:p w14:paraId="371400BC" w14:textId="183B8D42" w:rsidR="00F2181C" w:rsidRPr="00A06955" w:rsidRDefault="00F2181C" w:rsidP="009C1D66">
      <w:pPr>
        <w:ind w:left="1713"/>
        <w:rPr>
          <w:color w:val="auto"/>
        </w:rPr>
      </w:pPr>
      <w:r w:rsidRPr="00A06955">
        <w:rPr>
          <w:color w:val="auto"/>
        </w:rPr>
        <w:t xml:space="preserve">Termination benefits are amounts payable as a result of a decision by the council to terminate an officer's employment before the normal retirement </w:t>
      </w:r>
      <w:r w:rsidRPr="00A06955">
        <w:rPr>
          <w:color w:val="auto"/>
        </w:rPr>
        <w:lastRenderedPageBreak/>
        <w:t>date or an officer's decision to accept voluntary redundancy and are charged on an accruals basis in the Comprehensive Income and Expenditure Statement, at the earlier of when the council can no longer withdraw the offer of those benefits or when the council recognises costs for a restructuring.</w:t>
      </w:r>
    </w:p>
    <w:p w14:paraId="156CF249" w14:textId="77777777" w:rsidR="00F2181C" w:rsidRDefault="00F2181C" w:rsidP="009C1D66">
      <w:pPr>
        <w:ind w:left="1713"/>
        <w:rPr>
          <w:color w:val="auto"/>
        </w:rPr>
      </w:pPr>
      <w:r w:rsidRPr="00A06955">
        <w:rPr>
          <w:color w:val="auto"/>
        </w:rPr>
        <w:t>Where termination benefits involve the enhancement of pensions, statutory provisions require the County Fund balance to be charged with the amount payable by the council to the pension fund or pensioner in the year, not the amount calculated according to the relevant accounting standards. In the Movement in Reserves Statement, appropriations are required to and from the Pensions Reserve to remove the notional debits and credits for pension enhancement termination benefits and replace them with debits for the cash paid to the pension fund and pensioners and any such amounts payable but unpaid at the year end.</w:t>
      </w:r>
    </w:p>
    <w:p w14:paraId="042CF260" w14:textId="365D52F6" w:rsidR="004B34AE" w:rsidRPr="00A06955" w:rsidRDefault="00F2181C" w:rsidP="00EC401F">
      <w:pPr>
        <w:numPr>
          <w:ilvl w:val="0"/>
          <w:numId w:val="11"/>
        </w:numPr>
        <w:ind w:left="993" w:hanging="709"/>
        <w:rPr>
          <w:b/>
          <w:color w:val="auto"/>
        </w:rPr>
      </w:pPr>
      <w:r w:rsidRPr="00A06955">
        <w:rPr>
          <w:b/>
          <w:color w:val="auto"/>
        </w:rPr>
        <w:t>Post-</w:t>
      </w:r>
      <w:r w:rsidR="00035309">
        <w:rPr>
          <w:b/>
          <w:color w:val="auto"/>
        </w:rPr>
        <w:t>e</w:t>
      </w:r>
      <w:r w:rsidRPr="00A06955">
        <w:rPr>
          <w:b/>
          <w:color w:val="auto"/>
        </w:rPr>
        <w:t xml:space="preserve">mployment </w:t>
      </w:r>
      <w:r w:rsidR="00035309">
        <w:rPr>
          <w:b/>
          <w:color w:val="auto"/>
        </w:rPr>
        <w:t>b</w:t>
      </w:r>
      <w:r w:rsidRPr="00A06955">
        <w:rPr>
          <w:b/>
          <w:color w:val="auto"/>
        </w:rPr>
        <w:t>enefits</w:t>
      </w:r>
      <w:r w:rsidR="00F83C7E" w:rsidRPr="00A06955">
        <w:rPr>
          <w:b/>
          <w:color w:val="auto"/>
        </w:rPr>
        <w:t xml:space="preserve"> </w:t>
      </w:r>
      <w:r w:rsidR="00F83C7E" w:rsidRPr="00A06955">
        <w:rPr>
          <w:color w:val="auto"/>
        </w:rPr>
        <w:t xml:space="preserve">- </w:t>
      </w:r>
      <w:r w:rsidR="00035309">
        <w:rPr>
          <w:color w:val="auto"/>
        </w:rPr>
        <w:t>Pension ar</w:t>
      </w:r>
      <w:r w:rsidR="004B34AE" w:rsidRPr="00A06955">
        <w:rPr>
          <w:color w:val="auto"/>
        </w:rPr>
        <w:t>rangements</w:t>
      </w:r>
    </w:p>
    <w:p w14:paraId="4B5AFAFE" w14:textId="77777777" w:rsidR="004B34AE" w:rsidRPr="00A06955" w:rsidRDefault="004B34AE" w:rsidP="009C1D66">
      <w:pPr>
        <w:ind w:left="993"/>
        <w:rPr>
          <w:color w:val="auto"/>
        </w:rPr>
      </w:pPr>
      <w:r w:rsidRPr="00A06955">
        <w:rPr>
          <w:color w:val="auto"/>
        </w:rPr>
        <w:t>Employees of the council are members of three separate pension schemes:</w:t>
      </w:r>
    </w:p>
    <w:p w14:paraId="7C5BC79C" w14:textId="5D375DF1" w:rsidR="004B34AE" w:rsidRDefault="004B34AE" w:rsidP="00717919">
      <w:pPr>
        <w:pStyle w:val="ListParagraph"/>
        <w:numPr>
          <w:ilvl w:val="0"/>
          <w:numId w:val="48"/>
        </w:numPr>
        <w:ind w:left="1560" w:hanging="567"/>
        <w:jc w:val="left"/>
        <w:rPr>
          <w:color w:val="auto"/>
        </w:rPr>
      </w:pPr>
      <w:r w:rsidRPr="00A06955">
        <w:rPr>
          <w:color w:val="auto"/>
        </w:rPr>
        <w:lastRenderedPageBreak/>
        <w:t>The Teachers’ Pension Scheme, administered by Capita Teachers’ Pensions on behalf of the Department for Education (DfE)</w:t>
      </w:r>
      <w:r w:rsidR="00C236DF">
        <w:rPr>
          <w:color w:val="auto"/>
        </w:rPr>
        <w:t>;</w:t>
      </w:r>
    </w:p>
    <w:p w14:paraId="3D9996F2" w14:textId="77777777" w:rsidR="001557A6" w:rsidRDefault="001557A6" w:rsidP="00E82A30">
      <w:pPr>
        <w:pStyle w:val="ListParagraph"/>
        <w:ind w:left="1560" w:hanging="567"/>
        <w:jc w:val="left"/>
        <w:rPr>
          <w:color w:val="auto"/>
        </w:rPr>
      </w:pPr>
    </w:p>
    <w:p w14:paraId="48409BFA" w14:textId="301BBE5E" w:rsidR="004B34AE" w:rsidRDefault="004B34AE" w:rsidP="00717919">
      <w:pPr>
        <w:pStyle w:val="ListParagraph"/>
        <w:numPr>
          <w:ilvl w:val="0"/>
          <w:numId w:val="48"/>
        </w:numPr>
        <w:ind w:left="1560" w:hanging="567"/>
        <w:jc w:val="left"/>
        <w:rPr>
          <w:color w:val="auto"/>
        </w:rPr>
      </w:pPr>
      <w:r w:rsidRPr="00A06955">
        <w:rPr>
          <w:color w:val="auto"/>
        </w:rPr>
        <w:t>The Local Government Pension</w:t>
      </w:r>
      <w:r w:rsidR="002358F5">
        <w:rPr>
          <w:color w:val="auto"/>
        </w:rPr>
        <w:t xml:space="preserve"> </w:t>
      </w:r>
      <w:r w:rsidRPr="00A06955">
        <w:rPr>
          <w:color w:val="auto"/>
        </w:rPr>
        <w:t>Scheme, administered by Lancashire County Council</w:t>
      </w:r>
      <w:r w:rsidR="00C236DF">
        <w:rPr>
          <w:color w:val="auto"/>
        </w:rPr>
        <w:t>; and</w:t>
      </w:r>
    </w:p>
    <w:p w14:paraId="71ACAC65" w14:textId="77777777" w:rsidR="001557A6" w:rsidRPr="00A06955" w:rsidRDefault="001557A6" w:rsidP="00E82A30">
      <w:pPr>
        <w:pStyle w:val="ListParagraph"/>
        <w:ind w:left="1560" w:hanging="567"/>
        <w:jc w:val="left"/>
        <w:rPr>
          <w:color w:val="auto"/>
        </w:rPr>
      </w:pPr>
    </w:p>
    <w:p w14:paraId="085E9216" w14:textId="77777777" w:rsidR="004B34AE" w:rsidRPr="00A06955" w:rsidRDefault="004B34AE" w:rsidP="00717919">
      <w:pPr>
        <w:pStyle w:val="ListParagraph"/>
        <w:numPr>
          <w:ilvl w:val="0"/>
          <w:numId w:val="48"/>
        </w:numPr>
        <w:ind w:left="1560" w:hanging="567"/>
        <w:jc w:val="left"/>
        <w:rPr>
          <w:color w:val="auto"/>
        </w:rPr>
      </w:pPr>
      <w:r w:rsidRPr="00A06955">
        <w:rPr>
          <w:color w:val="auto"/>
        </w:rPr>
        <w:t xml:space="preserve">The NHS Pension Scheme administered by NHS Business Services Authority on behalf of </w:t>
      </w:r>
      <w:r w:rsidR="007F2F31">
        <w:rPr>
          <w:color w:val="auto"/>
        </w:rPr>
        <w:t xml:space="preserve">The </w:t>
      </w:r>
      <w:r w:rsidRPr="00A06955">
        <w:rPr>
          <w:color w:val="auto"/>
        </w:rPr>
        <w:t>Secretary of State for Health.</w:t>
      </w:r>
    </w:p>
    <w:p w14:paraId="2F16FEFB" w14:textId="77777777" w:rsidR="004B34AE" w:rsidRPr="00A06955" w:rsidRDefault="004B34AE" w:rsidP="009C1D66">
      <w:pPr>
        <w:ind w:left="993"/>
        <w:rPr>
          <w:color w:val="auto"/>
        </w:rPr>
      </w:pPr>
      <w:r w:rsidRPr="00A06955">
        <w:rPr>
          <w:color w:val="auto"/>
        </w:rPr>
        <w:t>All these schemes provide defined benefits to members (retirement lump sums and pensions), earned as employees worked for the council.</w:t>
      </w:r>
    </w:p>
    <w:p w14:paraId="2040A460" w14:textId="369CFCD8" w:rsidR="004B34AE" w:rsidRPr="00A06955" w:rsidRDefault="002358F5" w:rsidP="009C1D66">
      <w:pPr>
        <w:ind w:left="993"/>
        <w:rPr>
          <w:color w:val="auto"/>
        </w:rPr>
      </w:pPr>
      <w:r>
        <w:rPr>
          <w:color w:val="auto"/>
        </w:rPr>
        <w:t>T</w:t>
      </w:r>
      <w:r w:rsidR="004B34AE" w:rsidRPr="00A06955">
        <w:rPr>
          <w:color w:val="auto"/>
        </w:rPr>
        <w:t xml:space="preserve">he arrangements for the teachers’ scheme mean that liabilities for these benefits cannot be identified to the council. </w:t>
      </w:r>
    </w:p>
    <w:p w14:paraId="6AEEAB66" w14:textId="0AF0C8B5" w:rsidR="004B34AE" w:rsidRPr="00A06955" w:rsidRDefault="004B34AE" w:rsidP="009C1D66">
      <w:pPr>
        <w:ind w:left="993"/>
        <w:rPr>
          <w:color w:val="auto"/>
        </w:rPr>
      </w:pPr>
      <w:r w:rsidRPr="00A06955">
        <w:rPr>
          <w:color w:val="auto"/>
        </w:rPr>
        <w:t>The</w:t>
      </w:r>
      <w:r w:rsidR="002358F5">
        <w:rPr>
          <w:color w:val="auto"/>
        </w:rPr>
        <w:t xml:space="preserve"> teachers</w:t>
      </w:r>
      <w:r w:rsidR="00A172F8">
        <w:rPr>
          <w:color w:val="auto"/>
        </w:rPr>
        <w:t>'</w:t>
      </w:r>
      <w:r w:rsidRPr="00A06955">
        <w:rPr>
          <w:color w:val="auto"/>
        </w:rPr>
        <w:t xml:space="preserve"> scheme is therefore accounted for as if it were a defined contributions scheme – no liability for future payments of benefits is recognised in the Balance Sheet and the education service revenue account is charged with the employer’s contributions payable to teachers’ pensions in the year.</w:t>
      </w:r>
    </w:p>
    <w:p w14:paraId="61FC8A01" w14:textId="77777777" w:rsidR="004B34AE" w:rsidRPr="00A06955" w:rsidRDefault="004B34AE" w:rsidP="009C1D66">
      <w:pPr>
        <w:ind w:left="993"/>
        <w:rPr>
          <w:b/>
          <w:color w:val="auto"/>
        </w:rPr>
      </w:pPr>
      <w:r w:rsidRPr="00A06955">
        <w:rPr>
          <w:b/>
          <w:color w:val="auto"/>
        </w:rPr>
        <w:t>Lancashire County Pension Fund</w:t>
      </w:r>
    </w:p>
    <w:p w14:paraId="30474233" w14:textId="77777777" w:rsidR="004B34AE" w:rsidRPr="00A06955" w:rsidRDefault="004B34AE" w:rsidP="009C1D66">
      <w:pPr>
        <w:ind w:left="993"/>
        <w:rPr>
          <w:color w:val="auto"/>
        </w:rPr>
      </w:pPr>
      <w:r w:rsidRPr="00A06955">
        <w:rPr>
          <w:color w:val="auto"/>
        </w:rPr>
        <w:lastRenderedPageBreak/>
        <w:t>The Lancashire County Pension Fund is accounted for as a defined benefits scheme:</w:t>
      </w:r>
    </w:p>
    <w:p w14:paraId="6BACB0DA" w14:textId="62AF652D" w:rsidR="002308BE" w:rsidRDefault="002308BE" w:rsidP="00EC401F">
      <w:pPr>
        <w:numPr>
          <w:ilvl w:val="0"/>
          <w:numId w:val="20"/>
        </w:numPr>
        <w:ind w:left="1418" w:hanging="425"/>
        <w:rPr>
          <w:color w:val="auto"/>
        </w:rPr>
      </w:pPr>
      <w:r>
        <w:rPr>
          <w:color w:val="auto"/>
        </w:rPr>
        <w:t>Lancashire County Council paid an employer's contribution of 12.6% for non-school employees and 20% for schools employees during 2014/15</w:t>
      </w:r>
      <w:r w:rsidR="00C024DE">
        <w:rPr>
          <w:color w:val="auto"/>
        </w:rPr>
        <w:t>; plus</w:t>
      </w:r>
      <w:r>
        <w:rPr>
          <w:color w:val="auto"/>
        </w:rPr>
        <w:t xml:space="preserve"> a separate contribution of £15.4m towards the pension fund deficit.</w:t>
      </w:r>
    </w:p>
    <w:p w14:paraId="38C35F57" w14:textId="7F6CABDB" w:rsidR="004B34AE" w:rsidRPr="00A06955" w:rsidRDefault="004B34AE" w:rsidP="00EC401F">
      <w:pPr>
        <w:numPr>
          <w:ilvl w:val="0"/>
          <w:numId w:val="20"/>
        </w:numPr>
        <w:ind w:left="1418" w:hanging="425"/>
        <w:rPr>
          <w:color w:val="auto"/>
        </w:rPr>
      </w:pPr>
      <w:r w:rsidRPr="00A06955">
        <w:rPr>
          <w:color w:val="auto"/>
        </w:rPr>
        <w:t>The liabilities of the Lancashire County Pension Fund attributable to the council are included in the balance sheet on an actuarial basis using the projected unit method (i</w:t>
      </w:r>
      <w:r w:rsidR="007F2F31">
        <w:rPr>
          <w:color w:val="auto"/>
        </w:rPr>
        <w:t>.</w:t>
      </w:r>
      <w:r w:rsidRPr="00A06955">
        <w:rPr>
          <w:color w:val="auto"/>
        </w:rPr>
        <w:t>e</w:t>
      </w:r>
      <w:r w:rsidR="007F2F31">
        <w:rPr>
          <w:color w:val="auto"/>
        </w:rPr>
        <w:t>.</w:t>
      </w:r>
      <w:r w:rsidRPr="00A06955">
        <w:rPr>
          <w:color w:val="auto"/>
        </w:rPr>
        <w:t xml:space="preserve"> an assessment of the future payments that will be made in relation to retirement benefits earned to date by employees, based on assumptions about mortality rates, employee turnover rates etc</w:t>
      </w:r>
      <w:r w:rsidR="007F2F31">
        <w:rPr>
          <w:color w:val="auto"/>
        </w:rPr>
        <w:t>.</w:t>
      </w:r>
      <w:r w:rsidRPr="00A06955">
        <w:rPr>
          <w:color w:val="auto"/>
        </w:rPr>
        <w:t xml:space="preserve"> and projected earnings for current employees).</w:t>
      </w:r>
    </w:p>
    <w:p w14:paraId="3A2D6B04" w14:textId="2388B909" w:rsidR="004B34AE" w:rsidRPr="00A06955" w:rsidRDefault="004B34AE" w:rsidP="00EC401F">
      <w:pPr>
        <w:numPr>
          <w:ilvl w:val="0"/>
          <w:numId w:val="20"/>
        </w:numPr>
        <w:ind w:left="1418" w:hanging="425"/>
        <w:rPr>
          <w:color w:val="auto"/>
        </w:rPr>
      </w:pPr>
      <w:r w:rsidRPr="00A06955">
        <w:rPr>
          <w:color w:val="auto"/>
        </w:rPr>
        <w:t>Liabilities are discounted to their value at current prices, using a discount rate of 4.5%</w:t>
      </w:r>
      <w:r w:rsidR="007F2F31">
        <w:rPr>
          <w:color w:val="auto"/>
        </w:rPr>
        <w:t>.</w:t>
      </w:r>
      <w:r w:rsidRPr="00A06955">
        <w:rPr>
          <w:color w:val="auto"/>
        </w:rPr>
        <w:t xml:space="preserve"> </w:t>
      </w:r>
      <w:r w:rsidR="007F2F31">
        <w:rPr>
          <w:color w:val="auto"/>
        </w:rPr>
        <w:t>T</w:t>
      </w:r>
      <w:r w:rsidRPr="00A06955">
        <w:rPr>
          <w:color w:val="auto"/>
        </w:rPr>
        <w:t>his was based on a weighted average of “spot yields” on AA rated corporate bonds.</w:t>
      </w:r>
    </w:p>
    <w:p w14:paraId="7B6F4D32" w14:textId="77777777" w:rsidR="004B34AE" w:rsidRPr="00A06955" w:rsidRDefault="004B34AE" w:rsidP="00EC401F">
      <w:pPr>
        <w:numPr>
          <w:ilvl w:val="0"/>
          <w:numId w:val="20"/>
        </w:numPr>
        <w:ind w:left="1418" w:hanging="425"/>
        <w:rPr>
          <w:color w:val="auto"/>
        </w:rPr>
      </w:pPr>
      <w:r w:rsidRPr="00A06955">
        <w:rPr>
          <w:color w:val="auto"/>
        </w:rPr>
        <w:t>The assets of the Local Government Pension Fund attributable to the council are included in the balance sheet at their fair value:</w:t>
      </w:r>
    </w:p>
    <w:p w14:paraId="77F161B6" w14:textId="77777777" w:rsidR="004B34AE" w:rsidRPr="00A06955" w:rsidRDefault="004B34AE" w:rsidP="00EC401F">
      <w:pPr>
        <w:numPr>
          <w:ilvl w:val="0"/>
          <w:numId w:val="21"/>
        </w:numPr>
        <w:ind w:left="1418" w:firstLine="0"/>
        <w:rPr>
          <w:color w:val="auto"/>
        </w:rPr>
      </w:pPr>
      <w:r w:rsidRPr="00A06955">
        <w:rPr>
          <w:color w:val="auto"/>
        </w:rPr>
        <w:t>Quoted securities – current bid price;</w:t>
      </w:r>
    </w:p>
    <w:p w14:paraId="023E6859" w14:textId="77777777" w:rsidR="004B34AE" w:rsidRPr="00A06955" w:rsidRDefault="004B34AE" w:rsidP="00EC401F">
      <w:pPr>
        <w:numPr>
          <w:ilvl w:val="0"/>
          <w:numId w:val="21"/>
        </w:numPr>
        <w:ind w:left="1418" w:firstLine="0"/>
        <w:rPr>
          <w:color w:val="auto"/>
        </w:rPr>
      </w:pPr>
      <w:r w:rsidRPr="00A06955">
        <w:rPr>
          <w:color w:val="auto"/>
        </w:rPr>
        <w:lastRenderedPageBreak/>
        <w:t>Unquoted securities – professional estimate;</w:t>
      </w:r>
    </w:p>
    <w:p w14:paraId="2F35E118" w14:textId="3362F17E" w:rsidR="004B34AE" w:rsidRPr="00A06955" w:rsidRDefault="004B34AE" w:rsidP="00EC401F">
      <w:pPr>
        <w:numPr>
          <w:ilvl w:val="0"/>
          <w:numId w:val="21"/>
        </w:numPr>
        <w:ind w:left="1418" w:firstLine="0"/>
        <w:rPr>
          <w:color w:val="auto"/>
        </w:rPr>
      </w:pPr>
      <w:r w:rsidRPr="00A06955">
        <w:rPr>
          <w:color w:val="auto"/>
        </w:rPr>
        <w:t>Unitised securities – current bid price</w:t>
      </w:r>
      <w:r w:rsidR="007F2F31">
        <w:rPr>
          <w:color w:val="auto"/>
        </w:rPr>
        <w:t>,</w:t>
      </w:r>
      <w:r w:rsidRPr="00A06955">
        <w:rPr>
          <w:color w:val="auto"/>
        </w:rPr>
        <w:t xml:space="preserve"> and</w:t>
      </w:r>
    </w:p>
    <w:p w14:paraId="4109297E" w14:textId="77777777" w:rsidR="004B34AE" w:rsidRPr="00A06955" w:rsidRDefault="004B34AE" w:rsidP="00EC401F">
      <w:pPr>
        <w:numPr>
          <w:ilvl w:val="0"/>
          <w:numId w:val="21"/>
        </w:numPr>
        <w:ind w:left="1418" w:firstLine="0"/>
        <w:rPr>
          <w:color w:val="auto"/>
        </w:rPr>
      </w:pPr>
      <w:r w:rsidRPr="00A06955">
        <w:rPr>
          <w:color w:val="auto"/>
        </w:rPr>
        <w:t>Property – market value.</w:t>
      </w:r>
    </w:p>
    <w:p w14:paraId="1789941A" w14:textId="77777777" w:rsidR="004B34AE" w:rsidRDefault="004B34AE" w:rsidP="009C1D66">
      <w:pPr>
        <w:ind w:left="993"/>
        <w:rPr>
          <w:color w:val="auto"/>
        </w:rPr>
      </w:pPr>
      <w:r w:rsidRPr="00A06955">
        <w:rPr>
          <w:color w:val="auto"/>
        </w:rPr>
        <w:t>The change in the net pension liability is analysed into the following components:</w:t>
      </w:r>
    </w:p>
    <w:p w14:paraId="04CE27F8" w14:textId="77777777" w:rsidR="00987099" w:rsidRPr="00A06955" w:rsidRDefault="00987099" w:rsidP="009C1D66">
      <w:pPr>
        <w:ind w:left="993"/>
        <w:rPr>
          <w:color w:val="auto"/>
        </w:rPr>
      </w:pPr>
    </w:p>
    <w:p w14:paraId="14036E4F" w14:textId="680A73BB" w:rsidR="006A5B3C" w:rsidRDefault="004B34AE" w:rsidP="00717919">
      <w:pPr>
        <w:pStyle w:val="ListParagraph"/>
        <w:numPr>
          <w:ilvl w:val="0"/>
          <w:numId w:val="49"/>
        </w:numPr>
        <w:ind w:left="993" w:firstLine="0"/>
        <w:rPr>
          <w:color w:val="auto"/>
        </w:rPr>
      </w:pPr>
      <w:r w:rsidRPr="00A06955">
        <w:rPr>
          <w:b/>
          <w:color w:val="auto"/>
        </w:rPr>
        <w:t>Current service cost</w:t>
      </w:r>
      <w:r w:rsidRPr="00A06955">
        <w:rPr>
          <w:color w:val="auto"/>
        </w:rPr>
        <w:t xml:space="preserve"> </w:t>
      </w:r>
    </w:p>
    <w:p w14:paraId="62AB7D67" w14:textId="7406BB86" w:rsidR="004B34AE" w:rsidRDefault="006A5B3C" w:rsidP="009C1D66">
      <w:pPr>
        <w:pStyle w:val="ListParagraph"/>
        <w:ind w:left="1418"/>
        <w:rPr>
          <w:color w:val="auto"/>
        </w:rPr>
      </w:pPr>
      <w:r>
        <w:rPr>
          <w:color w:val="auto"/>
        </w:rPr>
        <w:t xml:space="preserve">This </w:t>
      </w:r>
      <w:r w:rsidR="004B34AE" w:rsidRPr="00A06955">
        <w:rPr>
          <w:color w:val="auto"/>
        </w:rPr>
        <w:t>represents the future service cost to the employer of one year's accrual of pension benefits for active members, calculated on the actuarial assumptions used at the start of the year for IAS19 purposes. The interest on the service cost is now included within the</w:t>
      </w:r>
      <w:r w:rsidR="00F2181C" w:rsidRPr="00A06955">
        <w:rPr>
          <w:color w:val="auto"/>
        </w:rPr>
        <w:t xml:space="preserve"> CIES in cost of services</w:t>
      </w:r>
      <w:r w:rsidR="004B34AE" w:rsidRPr="00A06955">
        <w:rPr>
          <w:color w:val="auto"/>
        </w:rPr>
        <w:t>;</w:t>
      </w:r>
    </w:p>
    <w:p w14:paraId="75D74457" w14:textId="77777777" w:rsidR="00C236DF" w:rsidRPr="00A06955" w:rsidRDefault="00C236DF" w:rsidP="009C1D66">
      <w:pPr>
        <w:pStyle w:val="ListParagraph"/>
        <w:ind w:left="1418"/>
        <w:rPr>
          <w:color w:val="auto"/>
        </w:rPr>
      </w:pPr>
    </w:p>
    <w:p w14:paraId="67F6B4CD" w14:textId="77777777" w:rsidR="006A5B3C" w:rsidRDefault="004B34AE" w:rsidP="00717919">
      <w:pPr>
        <w:pStyle w:val="ListParagraph"/>
        <w:numPr>
          <w:ilvl w:val="0"/>
          <w:numId w:val="49"/>
        </w:numPr>
        <w:ind w:left="993" w:firstLine="0"/>
        <w:rPr>
          <w:color w:val="auto"/>
        </w:rPr>
      </w:pPr>
      <w:r w:rsidRPr="00A06955">
        <w:rPr>
          <w:b/>
          <w:color w:val="auto"/>
        </w:rPr>
        <w:t>Past service and curtailments costs</w:t>
      </w:r>
    </w:p>
    <w:p w14:paraId="7E831B3F" w14:textId="6CEB9399" w:rsidR="004B34AE" w:rsidRDefault="00316F78" w:rsidP="009C1D66">
      <w:pPr>
        <w:pStyle w:val="ListParagraph"/>
        <w:ind w:left="1418"/>
        <w:rPr>
          <w:color w:val="auto"/>
        </w:rPr>
      </w:pPr>
      <w:r>
        <w:rPr>
          <w:color w:val="auto"/>
        </w:rPr>
        <w:t>T</w:t>
      </w:r>
      <w:r w:rsidR="004B34AE" w:rsidRPr="00A06955">
        <w:rPr>
          <w:color w:val="auto"/>
        </w:rPr>
        <w:t>hese are normally the result of increased benefits being awarded in the event of members retiring early during the year. Changes in scheme benefits and any augmentation of benefits for active members would also give rise to past service costs</w:t>
      </w:r>
      <w:r>
        <w:rPr>
          <w:color w:val="auto"/>
        </w:rPr>
        <w:t>,</w:t>
      </w:r>
      <w:r w:rsidR="004B34AE" w:rsidRPr="00A06955">
        <w:rPr>
          <w:color w:val="auto"/>
        </w:rPr>
        <w:t xml:space="preserve"> debited to the Surplus or Deficit on the Provision of Services in the Comprehensive Income and Expenditure Statement as part of Non Distributed Costs</w:t>
      </w:r>
      <w:r w:rsidR="00F2181C" w:rsidRPr="00A06955">
        <w:rPr>
          <w:color w:val="auto"/>
        </w:rPr>
        <w:t>.</w:t>
      </w:r>
    </w:p>
    <w:p w14:paraId="5E65A814" w14:textId="77777777" w:rsidR="00C236DF" w:rsidRPr="00A06955" w:rsidRDefault="00C236DF" w:rsidP="009C1D66">
      <w:pPr>
        <w:pStyle w:val="ListParagraph"/>
        <w:ind w:left="1418"/>
        <w:rPr>
          <w:color w:val="auto"/>
        </w:rPr>
      </w:pPr>
    </w:p>
    <w:p w14:paraId="06B94CFB" w14:textId="77777777" w:rsidR="006A5B3C" w:rsidRDefault="004B34AE" w:rsidP="00717919">
      <w:pPr>
        <w:pStyle w:val="ListParagraph"/>
        <w:numPr>
          <w:ilvl w:val="0"/>
          <w:numId w:val="49"/>
        </w:numPr>
        <w:ind w:left="993" w:firstLine="0"/>
        <w:rPr>
          <w:color w:val="auto"/>
        </w:rPr>
      </w:pPr>
      <w:r w:rsidRPr="00A06955">
        <w:rPr>
          <w:b/>
          <w:color w:val="auto"/>
        </w:rPr>
        <w:lastRenderedPageBreak/>
        <w:t>Administrative expenses</w:t>
      </w:r>
    </w:p>
    <w:p w14:paraId="0DCAEDDD" w14:textId="0BEDB468" w:rsidR="004B34AE" w:rsidRDefault="00316F78" w:rsidP="009C1D66">
      <w:pPr>
        <w:pStyle w:val="ListParagraph"/>
        <w:ind w:left="1418"/>
        <w:rPr>
          <w:color w:val="auto"/>
        </w:rPr>
      </w:pPr>
      <w:r>
        <w:rPr>
          <w:color w:val="auto"/>
        </w:rPr>
        <w:t>T</w:t>
      </w:r>
      <w:r w:rsidR="004B34AE" w:rsidRPr="00A06955">
        <w:rPr>
          <w:color w:val="auto"/>
        </w:rPr>
        <w:t>hese are the costs of running the fund, attributable to the employer, and does not include any investment management expenses which are allowed for under "Re</w:t>
      </w:r>
      <w:r w:rsidR="00B03A78">
        <w:rPr>
          <w:color w:val="auto"/>
        </w:rPr>
        <w:t>-</w:t>
      </w:r>
      <w:r w:rsidR="004B34AE" w:rsidRPr="00A06955">
        <w:rPr>
          <w:color w:val="auto"/>
        </w:rPr>
        <w:t>measurements". These costs are debited to the Surplus or Deficit on the Provision of Services in the Comprehensive Income and Expenditure Statement as part of Non Distributed Costs</w:t>
      </w:r>
      <w:r>
        <w:rPr>
          <w:color w:val="auto"/>
        </w:rPr>
        <w:t>.</w:t>
      </w:r>
    </w:p>
    <w:p w14:paraId="7CEDE572" w14:textId="77777777" w:rsidR="00C236DF" w:rsidRPr="00A06955" w:rsidRDefault="00C236DF" w:rsidP="009C1D66">
      <w:pPr>
        <w:pStyle w:val="ListParagraph"/>
        <w:ind w:left="1418"/>
        <w:rPr>
          <w:color w:val="auto"/>
        </w:rPr>
      </w:pPr>
    </w:p>
    <w:p w14:paraId="3D13DEFF" w14:textId="77777777" w:rsidR="006A5B3C" w:rsidRDefault="004B34AE" w:rsidP="00717919">
      <w:pPr>
        <w:pStyle w:val="ListParagraph"/>
        <w:numPr>
          <w:ilvl w:val="0"/>
          <w:numId w:val="49"/>
        </w:numPr>
        <w:ind w:left="993" w:firstLine="0"/>
        <w:rPr>
          <w:color w:val="auto"/>
        </w:rPr>
      </w:pPr>
      <w:r w:rsidRPr="00A06955">
        <w:rPr>
          <w:b/>
          <w:color w:val="auto"/>
        </w:rPr>
        <w:t>Net interest on the net defined benefit liability (asset)</w:t>
      </w:r>
    </w:p>
    <w:p w14:paraId="3E5EC0D1" w14:textId="20F74236" w:rsidR="004B34AE" w:rsidRDefault="00316F78" w:rsidP="009C1D66">
      <w:pPr>
        <w:pStyle w:val="ListParagraph"/>
        <w:ind w:left="1418"/>
        <w:rPr>
          <w:color w:val="auto"/>
        </w:rPr>
      </w:pPr>
      <w:r>
        <w:rPr>
          <w:color w:val="auto"/>
        </w:rPr>
        <w:t>N</w:t>
      </w:r>
      <w:r w:rsidR="004B34AE" w:rsidRPr="00A06955">
        <w:rPr>
          <w:color w:val="auto"/>
        </w:rPr>
        <w:t xml:space="preserve">et interest expense for LGPS </w:t>
      </w:r>
      <w:r w:rsidR="006A5B3C">
        <w:rPr>
          <w:color w:val="auto"/>
        </w:rPr>
        <w:t xml:space="preserve">is </w:t>
      </w:r>
      <w:r w:rsidR="004B34AE" w:rsidRPr="00A06955">
        <w:rPr>
          <w:color w:val="auto"/>
        </w:rPr>
        <w:t>the change during the period in the net defined benefit liability (asset) that arises from the passage of time, charged to the Financing and Investment Income and Expenditure line of the Comprehensive Income and Expenditure Statement</w:t>
      </w:r>
      <w:r>
        <w:rPr>
          <w:color w:val="auto"/>
        </w:rPr>
        <w:t>.</w:t>
      </w:r>
      <w:r w:rsidR="004B34AE" w:rsidRPr="00A06955">
        <w:rPr>
          <w:color w:val="auto"/>
        </w:rPr>
        <w:t xml:space="preserve"> This is calculated by applying the discount rate used to measure the defined benefit obligation at the beginning of the period to the net defined benefit liability (asset) at the beginning of the period</w:t>
      </w:r>
      <w:r>
        <w:rPr>
          <w:color w:val="auto"/>
        </w:rPr>
        <w:t>,</w:t>
      </w:r>
      <w:r w:rsidR="004B34AE" w:rsidRPr="00A06955">
        <w:rPr>
          <w:color w:val="auto"/>
        </w:rPr>
        <w:t xml:space="preserve"> taking into account any changes in the net defined benefit liability (asset) during the period as a result of contribution and benefit payments.</w:t>
      </w:r>
    </w:p>
    <w:p w14:paraId="4D8852FB" w14:textId="77777777" w:rsidR="00C236DF" w:rsidRPr="00A06955" w:rsidRDefault="00C236DF" w:rsidP="009C1D66">
      <w:pPr>
        <w:pStyle w:val="ListParagraph"/>
        <w:ind w:left="1418"/>
        <w:rPr>
          <w:color w:val="auto"/>
        </w:rPr>
      </w:pPr>
    </w:p>
    <w:p w14:paraId="5417E625" w14:textId="77777777" w:rsidR="006A5B3C" w:rsidRDefault="004B34AE" w:rsidP="00717919">
      <w:pPr>
        <w:pStyle w:val="ListParagraph"/>
        <w:numPr>
          <w:ilvl w:val="0"/>
          <w:numId w:val="49"/>
        </w:numPr>
        <w:ind w:left="993" w:firstLine="0"/>
        <w:rPr>
          <w:color w:val="auto"/>
        </w:rPr>
      </w:pPr>
      <w:r w:rsidRPr="00A06955">
        <w:rPr>
          <w:b/>
          <w:color w:val="auto"/>
        </w:rPr>
        <w:t>Re</w:t>
      </w:r>
      <w:r w:rsidR="00B03A78">
        <w:rPr>
          <w:b/>
          <w:color w:val="auto"/>
        </w:rPr>
        <w:t>-</w:t>
      </w:r>
      <w:r w:rsidRPr="00A06955">
        <w:rPr>
          <w:b/>
          <w:color w:val="auto"/>
        </w:rPr>
        <w:t>measurements (assets)</w:t>
      </w:r>
    </w:p>
    <w:p w14:paraId="33E4F993" w14:textId="6E7B96BF" w:rsidR="004B34AE" w:rsidRDefault="00316F78" w:rsidP="009C1D66">
      <w:pPr>
        <w:pStyle w:val="ListParagraph"/>
        <w:ind w:left="1418"/>
        <w:rPr>
          <w:color w:val="auto"/>
        </w:rPr>
      </w:pPr>
      <w:r>
        <w:rPr>
          <w:color w:val="auto"/>
        </w:rPr>
        <w:lastRenderedPageBreak/>
        <w:t>T</w:t>
      </w:r>
      <w:r w:rsidR="004B34AE" w:rsidRPr="00A06955">
        <w:rPr>
          <w:color w:val="auto"/>
        </w:rPr>
        <w:t>hese are set out in IAS19 as being the return on assets net of interest on assets</w:t>
      </w:r>
      <w:r w:rsidR="00B03A78">
        <w:rPr>
          <w:color w:val="auto"/>
        </w:rPr>
        <w:t>.  T</w:t>
      </w:r>
      <w:r w:rsidR="004B34AE" w:rsidRPr="00A06955">
        <w:rPr>
          <w:color w:val="auto"/>
        </w:rPr>
        <w:t>his is a reflection of the extent to which the investment returns achieved are different from the interest rate used at the start of the year. However, for multi-employer schemes such as LGPS, which do not have asset values which are formally segregated between employers, additional adjustments can arise in the year in which a new set of actuarial valuation results is brought into account for IAS19 purposes. In particular, the approach to calculating the IAS19 assets and liabilities in between full actuarial valuations is approximate in nature. At each valuation, the position is reassessed, with the assets (and liabilities) attributable to each employer being fully recalculated. Following each full actuarial valuation it can therefore be necessary to put through some adjustments to reflect this recalculation. The adjustment is not explicitly catered for under IAS19 and it has been presented as part of the re-measurement on assets and referred to as "Experience gain/loss on assets";</w:t>
      </w:r>
    </w:p>
    <w:p w14:paraId="2B3AE4E4" w14:textId="77777777" w:rsidR="00C236DF" w:rsidRPr="00A06955" w:rsidRDefault="00C236DF" w:rsidP="009C1D66">
      <w:pPr>
        <w:pStyle w:val="ListParagraph"/>
        <w:ind w:left="1418"/>
        <w:rPr>
          <w:color w:val="auto"/>
        </w:rPr>
      </w:pPr>
    </w:p>
    <w:p w14:paraId="724757F6" w14:textId="08B5144E" w:rsidR="00B03A78" w:rsidRPr="00C236DF" w:rsidRDefault="004B34AE" w:rsidP="00717919">
      <w:pPr>
        <w:pStyle w:val="ListParagraph"/>
        <w:numPr>
          <w:ilvl w:val="0"/>
          <w:numId w:val="49"/>
        </w:numPr>
        <w:ind w:left="993" w:firstLine="0"/>
        <w:rPr>
          <w:color w:val="auto"/>
        </w:rPr>
      </w:pPr>
      <w:r w:rsidRPr="00A06955">
        <w:rPr>
          <w:b/>
          <w:color w:val="auto"/>
        </w:rPr>
        <w:t>Re</w:t>
      </w:r>
      <w:r w:rsidR="00B03A78">
        <w:rPr>
          <w:b/>
          <w:color w:val="auto"/>
        </w:rPr>
        <w:t>-</w:t>
      </w:r>
      <w:r w:rsidRPr="00A06955">
        <w:rPr>
          <w:b/>
          <w:color w:val="auto"/>
        </w:rPr>
        <w:t>measurements (liabilities)</w:t>
      </w:r>
    </w:p>
    <w:p w14:paraId="36067739" w14:textId="25D8AD6F" w:rsidR="004B34AE" w:rsidRDefault="00B03A78" w:rsidP="009C1D66">
      <w:pPr>
        <w:pStyle w:val="ListParagraph"/>
        <w:spacing w:after="0"/>
        <w:ind w:left="1418"/>
        <w:rPr>
          <w:color w:val="auto"/>
        </w:rPr>
      </w:pPr>
      <w:r>
        <w:rPr>
          <w:color w:val="auto"/>
        </w:rPr>
        <w:t>T</w:t>
      </w:r>
      <w:r w:rsidR="004B34AE" w:rsidRPr="00A06955">
        <w:rPr>
          <w:color w:val="auto"/>
        </w:rPr>
        <w:t>hese are subdivided into:</w:t>
      </w:r>
    </w:p>
    <w:p w14:paraId="0E550884" w14:textId="77777777" w:rsidR="003547A0" w:rsidRDefault="003547A0" w:rsidP="009C1D66">
      <w:pPr>
        <w:pStyle w:val="ListParagraph"/>
        <w:spacing w:after="0"/>
        <w:ind w:left="1418"/>
        <w:rPr>
          <w:color w:val="auto"/>
        </w:rPr>
      </w:pPr>
    </w:p>
    <w:p w14:paraId="31188D1D" w14:textId="77777777" w:rsidR="00B03A78" w:rsidRDefault="006D74BF" w:rsidP="009C1D66">
      <w:pPr>
        <w:spacing w:after="0"/>
        <w:ind w:left="1418"/>
        <w:rPr>
          <w:b/>
          <w:color w:val="auto"/>
        </w:rPr>
      </w:pPr>
      <w:r w:rsidRPr="00A06955">
        <w:rPr>
          <w:b/>
          <w:color w:val="auto"/>
        </w:rPr>
        <w:t>Gain/loss on financial assumptions and gain/loss on demographic assumptions</w:t>
      </w:r>
    </w:p>
    <w:p w14:paraId="15EA6F59" w14:textId="5E4E81DE" w:rsidR="006D74BF" w:rsidRDefault="00B03A78" w:rsidP="009C1D66">
      <w:pPr>
        <w:spacing w:after="0"/>
        <w:ind w:left="1418"/>
        <w:rPr>
          <w:color w:val="auto"/>
        </w:rPr>
      </w:pPr>
      <w:r>
        <w:rPr>
          <w:color w:val="auto"/>
        </w:rPr>
        <w:lastRenderedPageBreak/>
        <w:t>U</w:t>
      </w:r>
      <w:r w:rsidR="006D74BF" w:rsidRPr="00A06955">
        <w:rPr>
          <w:color w:val="auto"/>
        </w:rPr>
        <w:t>nder the accounting standards the assumptions will normally differ between the start and end of the employer's financial year. Changes in actuarial assumptions show the effect of this difference, calculated at the end of the financial year;</w:t>
      </w:r>
    </w:p>
    <w:p w14:paraId="63FD1A0E" w14:textId="77777777" w:rsidR="003547A0" w:rsidRPr="00A06955" w:rsidRDefault="003547A0" w:rsidP="009C1D66">
      <w:pPr>
        <w:spacing w:after="0"/>
        <w:ind w:left="1418"/>
        <w:rPr>
          <w:color w:val="auto"/>
        </w:rPr>
      </w:pPr>
    </w:p>
    <w:p w14:paraId="5DBE6CB1" w14:textId="1781AA8E" w:rsidR="00B03A78" w:rsidRDefault="006D74BF" w:rsidP="009C1D66">
      <w:pPr>
        <w:spacing w:after="0"/>
        <w:ind w:left="1418"/>
        <w:rPr>
          <w:color w:val="auto"/>
        </w:rPr>
      </w:pPr>
      <w:r w:rsidRPr="00A06955">
        <w:rPr>
          <w:b/>
          <w:color w:val="auto"/>
        </w:rPr>
        <w:t>Experience gains/losses on liabilities</w:t>
      </w:r>
    </w:p>
    <w:p w14:paraId="6D5CA774" w14:textId="0616CAB4" w:rsidR="006D74BF" w:rsidRPr="00A06955" w:rsidRDefault="00B03A78" w:rsidP="009C1D66">
      <w:pPr>
        <w:ind w:left="1418"/>
        <w:rPr>
          <w:color w:val="auto"/>
        </w:rPr>
      </w:pPr>
      <w:r>
        <w:rPr>
          <w:color w:val="auto"/>
        </w:rPr>
        <w:t>A</w:t>
      </w:r>
      <w:r w:rsidR="006D74BF" w:rsidRPr="00A06955">
        <w:rPr>
          <w:color w:val="auto"/>
        </w:rPr>
        <w:t>s</w:t>
      </w:r>
      <w:r w:rsidR="006A5B3C">
        <w:rPr>
          <w:color w:val="auto"/>
        </w:rPr>
        <w:t xml:space="preserve"> </w:t>
      </w:r>
      <w:r w:rsidR="006D74BF" w:rsidRPr="00A06955">
        <w:rPr>
          <w:color w:val="auto"/>
        </w:rPr>
        <w:t>mentioned earlier, the approach to calculating the IAS19 figures in between actuarial valuations is approximate in nature. At each triennial valuation, the position is reassessed, with the assets and liabilities attributable to each employer fully recalculated. The adjustment to the liabilities which arises from this recalculation is known as an "Experience gain/loss on liabilities". Experience gain/loss on liabilities is normally zero in between full actuarial valuations.</w:t>
      </w:r>
    </w:p>
    <w:p w14:paraId="1690EF3A" w14:textId="2FE0ACE5" w:rsidR="006D74BF" w:rsidRPr="00A06955" w:rsidRDefault="006D74BF" w:rsidP="009C1D66">
      <w:pPr>
        <w:ind w:left="1418"/>
        <w:rPr>
          <w:color w:val="auto"/>
        </w:rPr>
      </w:pPr>
      <w:r w:rsidRPr="00A06955">
        <w:rPr>
          <w:color w:val="auto"/>
        </w:rPr>
        <w:t xml:space="preserve">In relation to retirement benefits, statutory provisions require the County Fund balance to be charged with the amount payable by the council to the pension fund or directly to pensioners in the year, not the amount calculated according to the relevant accounting standards. In the Movement in Reserves Statement, this means that there are appropriations to and from the Pensions Reserve to remove the notional debits and credits for retirement benefits and replace them with </w:t>
      </w:r>
      <w:r w:rsidRPr="00A06955">
        <w:rPr>
          <w:color w:val="auto"/>
        </w:rPr>
        <w:lastRenderedPageBreak/>
        <w:t xml:space="preserve">debits for the cash paid to the pension fund and pensioners and any such amounts payable but unpaid at the year end. The negative balance that arises on the Pensions Reserve thereby measures the beneficial impact to the County Fund of being required to account for retirement benefits on the basis of cash flows rather than </w:t>
      </w:r>
      <w:r w:rsidR="00D33F1A" w:rsidRPr="00A06955">
        <w:rPr>
          <w:color w:val="auto"/>
        </w:rPr>
        <w:t>when the</w:t>
      </w:r>
      <w:r w:rsidRPr="00A06955">
        <w:rPr>
          <w:color w:val="auto"/>
        </w:rPr>
        <w:t xml:space="preserve"> benefits</w:t>
      </w:r>
      <w:r w:rsidR="00D33F1A" w:rsidRPr="00A06955">
        <w:rPr>
          <w:color w:val="auto"/>
        </w:rPr>
        <w:t xml:space="preserve"> </w:t>
      </w:r>
      <w:r w:rsidRPr="00A06955">
        <w:rPr>
          <w:color w:val="auto"/>
        </w:rPr>
        <w:t>are earned by employees.</w:t>
      </w:r>
    </w:p>
    <w:p w14:paraId="6E78071C" w14:textId="77777777" w:rsidR="003547A0" w:rsidRDefault="003F6AAD" w:rsidP="009C1D66">
      <w:pPr>
        <w:ind w:left="1418"/>
        <w:rPr>
          <w:b/>
          <w:color w:val="auto"/>
        </w:rPr>
      </w:pPr>
      <w:r w:rsidRPr="00A06955">
        <w:rPr>
          <w:b/>
          <w:color w:val="auto"/>
        </w:rPr>
        <w:t>Discr</w:t>
      </w:r>
      <w:r w:rsidR="00035309">
        <w:rPr>
          <w:b/>
          <w:color w:val="auto"/>
        </w:rPr>
        <w:t>etionary b</w:t>
      </w:r>
      <w:r w:rsidRPr="00A06955">
        <w:rPr>
          <w:b/>
          <w:color w:val="auto"/>
        </w:rPr>
        <w:t>enefits</w:t>
      </w:r>
    </w:p>
    <w:p w14:paraId="26AA96CB" w14:textId="0DB59ECF" w:rsidR="003F6AAD" w:rsidRDefault="003F6AAD" w:rsidP="009C1D66">
      <w:pPr>
        <w:ind w:left="1418"/>
        <w:rPr>
          <w:color w:val="auto"/>
        </w:rPr>
      </w:pPr>
      <w:r w:rsidRPr="00A06955">
        <w:rPr>
          <w:color w:val="auto"/>
        </w:rPr>
        <w:t>The council also has restricted powers to make discretionary awards of retirement benefits in the event of early retirements. Any liabilities estimated to arise as a result of an award to any member of staff (including teachers) are accrued in the year of the decision to make the award and accounted for using the same policies as are applied to the Lancashire County Pension Fund.</w:t>
      </w:r>
    </w:p>
    <w:p w14:paraId="1AD8B969" w14:textId="773A5B0D" w:rsidR="006639E5" w:rsidRPr="00A06955" w:rsidRDefault="00035309" w:rsidP="00EC401F">
      <w:pPr>
        <w:numPr>
          <w:ilvl w:val="0"/>
          <w:numId w:val="11"/>
        </w:numPr>
        <w:ind w:left="993" w:hanging="709"/>
        <w:rPr>
          <w:b/>
          <w:color w:val="auto"/>
        </w:rPr>
      </w:pPr>
      <w:r>
        <w:rPr>
          <w:b/>
          <w:color w:val="auto"/>
        </w:rPr>
        <w:t>Events after the r</w:t>
      </w:r>
      <w:r w:rsidR="006639E5" w:rsidRPr="00A06955">
        <w:rPr>
          <w:b/>
          <w:color w:val="auto"/>
        </w:rPr>
        <w:t>eporting period</w:t>
      </w:r>
    </w:p>
    <w:p w14:paraId="074DB69B" w14:textId="77777777" w:rsidR="006639E5" w:rsidRPr="00A06955" w:rsidRDefault="006639E5" w:rsidP="009C1D66">
      <w:pPr>
        <w:ind w:left="993"/>
        <w:rPr>
          <w:color w:val="auto"/>
        </w:rPr>
      </w:pPr>
      <w:r w:rsidRPr="00A06955">
        <w:rPr>
          <w:color w:val="auto"/>
        </w:rPr>
        <w:t>Events after the reporting period are those events, both favourable and unfavourable, that occur between the end of the reporting period and the date when the Statement of Accounts is authorised for issue. Two types of events can be identified:</w:t>
      </w:r>
    </w:p>
    <w:p w14:paraId="4B631A65" w14:textId="77777777" w:rsidR="006639E5" w:rsidRPr="00A06955" w:rsidRDefault="006639E5" w:rsidP="00EC401F">
      <w:pPr>
        <w:numPr>
          <w:ilvl w:val="0"/>
          <w:numId w:val="27"/>
        </w:numPr>
        <w:ind w:left="1418" w:hanging="425"/>
        <w:rPr>
          <w:color w:val="auto"/>
        </w:rPr>
      </w:pPr>
      <w:r w:rsidRPr="00A06955">
        <w:rPr>
          <w:color w:val="auto"/>
        </w:rPr>
        <w:lastRenderedPageBreak/>
        <w:t>Those that provide evidence of conditions that existed at the end of the reporting period</w:t>
      </w:r>
      <w:r w:rsidR="006A5B3C">
        <w:rPr>
          <w:color w:val="auto"/>
        </w:rPr>
        <w:t>. T</w:t>
      </w:r>
      <w:r w:rsidRPr="00A06955">
        <w:rPr>
          <w:color w:val="auto"/>
        </w:rPr>
        <w:t>he Statement of Accounts is adjusted to reflect such events.</w:t>
      </w:r>
    </w:p>
    <w:p w14:paraId="33F87679" w14:textId="77777777" w:rsidR="006639E5" w:rsidRPr="00A06955" w:rsidRDefault="006639E5" w:rsidP="00EC401F">
      <w:pPr>
        <w:numPr>
          <w:ilvl w:val="0"/>
          <w:numId w:val="27"/>
        </w:numPr>
        <w:ind w:left="1418" w:hanging="425"/>
        <w:rPr>
          <w:color w:val="auto"/>
        </w:rPr>
      </w:pPr>
      <w:r w:rsidRPr="00A06955">
        <w:rPr>
          <w:color w:val="auto"/>
        </w:rPr>
        <w:t>Those that are indicative of conditions that arose after the reporting period</w:t>
      </w:r>
      <w:r w:rsidR="006A5B3C">
        <w:rPr>
          <w:color w:val="auto"/>
        </w:rPr>
        <w:t>.  T</w:t>
      </w:r>
      <w:r w:rsidRPr="00A06955">
        <w:rPr>
          <w:color w:val="auto"/>
        </w:rPr>
        <w:t>he Statement of Accounts are not adjusted to reflect such events but where a category of events would have a material effect, disclosure is made in the notes to the nature of the events and their estimated financial effect.</w:t>
      </w:r>
    </w:p>
    <w:p w14:paraId="5DE5DB5E" w14:textId="77777777" w:rsidR="006639E5" w:rsidRDefault="006639E5" w:rsidP="009C1D66">
      <w:pPr>
        <w:ind w:left="993"/>
        <w:rPr>
          <w:color w:val="auto"/>
        </w:rPr>
      </w:pPr>
      <w:r w:rsidRPr="00A06955">
        <w:rPr>
          <w:color w:val="auto"/>
        </w:rPr>
        <w:t>Events taking place after the date of authorisation for issue are not reflected in the Statement of Accounts.</w:t>
      </w:r>
    </w:p>
    <w:p w14:paraId="76B5814D" w14:textId="77777777" w:rsidR="00A66014" w:rsidRDefault="00A66014" w:rsidP="009C1D66">
      <w:pPr>
        <w:ind w:left="993"/>
        <w:rPr>
          <w:color w:val="auto"/>
        </w:rPr>
      </w:pPr>
    </w:p>
    <w:p w14:paraId="2C2E4B27" w14:textId="77777777" w:rsidR="00A66014" w:rsidRDefault="00A66014" w:rsidP="009C1D66">
      <w:pPr>
        <w:ind w:left="993"/>
        <w:rPr>
          <w:color w:val="auto"/>
        </w:rPr>
      </w:pPr>
    </w:p>
    <w:p w14:paraId="4812D9C0" w14:textId="3E7C5391" w:rsidR="00E9240B" w:rsidRPr="00A06955" w:rsidRDefault="00035309" w:rsidP="00EC401F">
      <w:pPr>
        <w:numPr>
          <w:ilvl w:val="0"/>
          <w:numId w:val="11"/>
        </w:numPr>
        <w:ind w:left="993" w:hanging="709"/>
        <w:rPr>
          <w:b/>
          <w:color w:val="auto"/>
        </w:rPr>
      </w:pPr>
      <w:r>
        <w:rPr>
          <w:b/>
          <w:color w:val="auto"/>
        </w:rPr>
        <w:t>Financial l</w:t>
      </w:r>
      <w:r w:rsidR="00E9240B" w:rsidRPr="00A06955">
        <w:rPr>
          <w:b/>
          <w:color w:val="auto"/>
        </w:rPr>
        <w:t>iabilities</w:t>
      </w:r>
    </w:p>
    <w:p w14:paraId="163870D8" w14:textId="2794299F" w:rsidR="00E9240B" w:rsidRPr="00A06955" w:rsidRDefault="00E9240B" w:rsidP="009C1D66">
      <w:pPr>
        <w:ind w:left="993"/>
        <w:rPr>
          <w:color w:val="auto"/>
        </w:rPr>
      </w:pPr>
      <w:r w:rsidRPr="00A06955">
        <w:rPr>
          <w:color w:val="auto"/>
        </w:rPr>
        <w:t xml:space="preserve">Financial liabilities are recognised on the </w:t>
      </w:r>
      <w:r w:rsidR="00035309">
        <w:rPr>
          <w:color w:val="auto"/>
        </w:rPr>
        <w:t>B</w:t>
      </w:r>
      <w:r w:rsidRPr="00A06955">
        <w:rPr>
          <w:color w:val="auto"/>
        </w:rPr>
        <w:t xml:space="preserve">alance </w:t>
      </w:r>
      <w:r w:rsidR="00035309">
        <w:rPr>
          <w:color w:val="auto"/>
        </w:rPr>
        <w:t>S</w:t>
      </w:r>
      <w:r w:rsidRPr="00A06955">
        <w:rPr>
          <w:color w:val="auto"/>
        </w:rPr>
        <w:t xml:space="preserve">heet when the council becomes a party to the contractual provisions of a financial instrument and are initially measured at fair value and carried at their amortised cost. Annual charges to the Financing and Investment Income and Expenditure line in the Comprehensive Income and Expenditure Statement for interest payable are based on the carrying amount of the liability, multiplied by the effective rate of interest for the instrument. The effective interest rate is </w:t>
      </w:r>
      <w:r w:rsidRPr="00A06955">
        <w:rPr>
          <w:color w:val="auto"/>
        </w:rPr>
        <w:lastRenderedPageBreak/>
        <w:t>the rate that exactly discounts estimated future cash payments over the life of the instrument to the amount at which it was originally recognised.</w:t>
      </w:r>
    </w:p>
    <w:p w14:paraId="0E4DDCFF" w14:textId="77777777" w:rsidR="00E9240B" w:rsidRPr="00A06955" w:rsidRDefault="00E9240B" w:rsidP="009C1D66">
      <w:pPr>
        <w:ind w:left="993"/>
        <w:rPr>
          <w:color w:val="auto"/>
        </w:rPr>
      </w:pPr>
      <w:r w:rsidRPr="00A06955">
        <w:rPr>
          <w:color w:val="auto"/>
        </w:rPr>
        <w:t>For most of the borrowings that the council has, this means that the amount presented in the Balance Sheet is the outstanding principal repayable (plus accrued interest); and interest charged to the Comprehensive Income and Expenditure Statement is the amount payable for the year according to the loan agreement.</w:t>
      </w:r>
    </w:p>
    <w:p w14:paraId="5C23E3E6" w14:textId="77777777" w:rsidR="00E9240B" w:rsidRPr="00A06955" w:rsidRDefault="00E9240B" w:rsidP="009C1D66">
      <w:pPr>
        <w:ind w:left="993"/>
        <w:rPr>
          <w:color w:val="auto"/>
        </w:rPr>
      </w:pPr>
      <w:r w:rsidRPr="00A06955">
        <w:rPr>
          <w:color w:val="auto"/>
        </w:rPr>
        <w:t>Gains and losses on the repurchase or early settlement of borrowing are credited and debited to the Financing and Investment Income and Expenditure line in the Comprehensive Income and Expenditure Statement in the year of repurchase/settlement.</w:t>
      </w:r>
    </w:p>
    <w:p w14:paraId="67EAD069" w14:textId="454C1735" w:rsidR="00E9240B" w:rsidRPr="00A06955" w:rsidRDefault="00E9240B" w:rsidP="009C1D66">
      <w:pPr>
        <w:ind w:left="993"/>
        <w:rPr>
          <w:color w:val="auto"/>
        </w:rPr>
      </w:pPr>
      <w:r w:rsidRPr="00A06955">
        <w:rPr>
          <w:color w:val="auto"/>
        </w:rPr>
        <w:t>However, where the repurchase has taken place as part of a restructuring of the loan portfolio that involves the modification or exchange of existing instruments, the premium or discount is respectively deducted from or added to the amortised cost of the new or modified loan and the write-down to the Comprehensive Income and Expenditure Statement is spread over the life of the loan.</w:t>
      </w:r>
    </w:p>
    <w:p w14:paraId="364A2E87" w14:textId="77777777" w:rsidR="00E9240B" w:rsidRDefault="00E9240B" w:rsidP="009C1D66">
      <w:pPr>
        <w:ind w:left="993"/>
        <w:rPr>
          <w:color w:val="auto"/>
        </w:rPr>
      </w:pPr>
      <w:r w:rsidRPr="00A06955">
        <w:rPr>
          <w:color w:val="auto"/>
        </w:rPr>
        <w:t xml:space="preserve">Where premiums and discounts have been charged to the Comprehensive Income and Expenditure Statement, regulations allow the impact on the County Fund balance to </w:t>
      </w:r>
      <w:r w:rsidRPr="00A06955">
        <w:rPr>
          <w:color w:val="auto"/>
        </w:rPr>
        <w:lastRenderedPageBreak/>
        <w:t>be spread over future years. The council has a policy of spreading the gain or loss over the term that was remaining on the loan against which the premium was payable or discount receivable when it was repaid.</w:t>
      </w:r>
    </w:p>
    <w:p w14:paraId="12769346" w14:textId="74F7988A" w:rsidR="00E9240B" w:rsidRPr="00A06955" w:rsidRDefault="00035309" w:rsidP="00EC401F">
      <w:pPr>
        <w:numPr>
          <w:ilvl w:val="0"/>
          <w:numId w:val="11"/>
        </w:numPr>
        <w:ind w:left="993" w:hanging="709"/>
        <w:rPr>
          <w:b/>
          <w:color w:val="auto"/>
        </w:rPr>
      </w:pPr>
      <w:r>
        <w:rPr>
          <w:b/>
          <w:color w:val="auto"/>
        </w:rPr>
        <w:t>Financial a</w:t>
      </w:r>
      <w:r w:rsidR="00E9240B" w:rsidRPr="00A06955">
        <w:rPr>
          <w:b/>
          <w:color w:val="auto"/>
        </w:rPr>
        <w:t>ssets</w:t>
      </w:r>
    </w:p>
    <w:p w14:paraId="69FC90A3" w14:textId="77777777" w:rsidR="00E9240B" w:rsidRPr="00A06955" w:rsidRDefault="00E9240B" w:rsidP="009C1D66">
      <w:pPr>
        <w:ind w:left="1276" w:hanging="283"/>
        <w:rPr>
          <w:color w:val="auto"/>
        </w:rPr>
      </w:pPr>
      <w:r w:rsidRPr="00A06955">
        <w:rPr>
          <w:color w:val="auto"/>
        </w:rPr>
        <w:t>Financial assets are classified into three types:</w:t>
      </w:r>
    </w:p>
    <w:p w14:paraId="19459D80" w14:textId="1323329C" w:rsidR="00E9240B" w:rsidRPr="00A06955" w:rsidRDefault="002174EA" w:rsidP="00EC401F">
      <w:pPr>
        <w:numPr>
          <w:ilvl w:val="0"/>
          <w:numId w:val="24"/>
        </w:numPr>
        <w:ind w:left="1276" w:hanging="283"/>
        <w:rPr>
          <w:color w:val="auto"/>
        </w:rPr>
      </w:pPr>
      <w:r>
        <w:rPr>
          <w:color w:val="auto"/>
        </w:rPr>
        <w:t>L</w:t>
      </w:r>
      <w:r w:rsidR="00E9240B" w:rsidRPr="00A06955">
        <w:rPr>
          <w:color w:val="auto"/>
        </w:rPr>
        <w:t>oans and receivables – assets that have fixed or determinable payments but are not quoted in an active market for example term deposits made with UK domiciled banks.</w:t>
      </w:r>
    </w:p>
    <w:p w14:paraId="1EB7FAA3" w14:textId="485942CB" w:rsidR="00E9240B" w:rsidRPr="00A06955" w:rsidRDefault="002174EA" w:rsidP="00EC401F">
      <w:pPr>
        <w:numPr>
          <w:ilvl w:val="0"/>
          <w:numId w:val="24"/>
        </w:numPr>
        <w:ind w:left="1276" w:hanging="283"/>
        <w:rPr>
          <w:color w:val="auto"/>
        </w:rPr>
      </w:pPr>
      <w:r>
        <w:rPr>
          <w:color w:val="auto"/>
        </w:rPr>
        <w:t>A</w:t>
      </w:r>
      <w:r w:rsidR="00E9240B" w:rsidRPr="00A06955">
        <w:rPr>
          <w:color w:val="auto"/>
        </w:rPr>
        <w:t>vailable-for-sale assets – assets that have a quoted market price and/or do not have fixed or determinable payments. This includes, for example, investment bonds such as UK local authority bonds and UK Treasury gilt edged securities.</w:t>
      </w:r>
    </w:p>
    <w:p w14:paraId="13170F77" w14:textId="23644176" w:rsidR="00E9240B" w:rsidRPr="00A06955" w:rsidRDefault="002174EA" w:rsidP="00EC401F">
      <w:pPr>
        <w:numPr>
          <w:ilvl w:val="0"/>
          <w:numId w:val="24"/>
        </w:numPr>
        <w:ind w:left="1276" w:hanging="283"/>
        <w:rPr>
          <w:color w:val="auto"/>
        </w:rPr>
      </w:pPr>
      <w:r>
        <w:rPr>
          <w:color w:val="auto"/>
        </w:rPr>
        <w:t>F</w:t>
      </w:r>
      <w:r w:rsidR="00E9240B" w:rsidRPr="00A06955">
        <w:rPr>
          <w:color w:val="auto"/>
        </w:rPr>
        <w:t>air value through profit and loss – this classification is for assets which are held primarily for trading or have a recent history of being traded.</w:t>
      </w:r>
    </w:p>
    <w:p w14:paraId="34B39CDD" w14:textId="7C58AA8F" w:rsidR="00E9240B" w:rsidRPr="009C1D66" w:rsidRDefault="00035309" w:rsidP="00717919">
      <w:pPr>
        <w:pStyle w:val="ListParagraph"/>
        <w:numPr>
          <w:ilvl w:val="0"/>
          <w:numId w:val="52"/>
        </w:numPr>
        <w:ind w:hanging="720"/>
        <w:rPr>
          <w:b/>
          <w:color w:val="auto"/>
        </w:rPr>
      </w:pPr>
      <w:r>
        <w:rPr>
          <w:b/>
          <w:color w:val="auto"/>
        </w:rPr>
        <w:t>Loans and r</w:t>
      </w:r>
      <w:r w:rsidR="00E9240B" w:rsidRPr="009C1D66">
        <w:rPr>
          <w:b/>
          <w:color w:val="auto"/>
        </w:rPr>
        <w:t>eceivables</w:t>
      </w:r>
    </w:p>
    <w:p w14:paraId="69958EFE" w14:textId="77777777" w:rsidR="00E9240B" w:rsidRPr="00A06955" w:rsidRDefault="00E9240B" w:rsidP="009C1D66">
      <w:pPr>
        <w:ind w:left="1713"/>
        <w:rPr>
          <w:color w:val="auto"/>
        </w:rPr>
      </w:pPr>
      <w:r w:rsidRPr="00A06955">
        <w:rPr>
          <w:color w:val="auto"/>
        </w:rPr>
        <w:t xml:space="preserve">Loans and receivables are recognised on the Balance Sheet when the council becomes a party to the contractual provisions of a financial instrument and </w:t>
      </w:r>
      <w:r w:rsidRPr="00A06955">
        <w:rPr>
          <w:color w:val="auto"/>
        </w:rPr>
        <w:lastRenderedPageBreak/>
        <w:t xml:space="preserve">are initially measured at fair value. They are subsequently measured at their amortised cost. Annual credits to the Financing and Investment Income and Expenditure line in the Comprehensive Income and Expenditure Statement for interest receivable are based on the carrying amount of the asset multiplied by the effective rate of interest for the instrument. </w:t>
      </w:r>
    </w:p>
    <w:p w14:paraId="299B95C5" w14:textId="77777777" w:rsidR="00E9240B" w:rsidRPr="00A06955" w:rsidRDefault="00E9240B" w:rsidP="009C1D66">
      <w:pPr>
        <w:ind w:left="1713"/>
        <w:rPr>
          <w:color w:val="auto"/>
        </w:rPr>
      </w:pPr>
      <w:r w:rsidRPr="00A06955">
        <w:rPr>
          <w:color w:val="auto"/>
        </w:rPr>
        <w:t>For most of the loans that the council has made, this means that the amount presented in the Balance Sheet is the outstanding principal receivable (plus accrued interest) and interest credited to the Comprehensive income and Expenditure Statement is the amount receivable for the year in the loan agreement.</w:t>
      </w:r>
    </w:p>
    <w:p w14:paraId="50CD64D5" w14:textId="77777777" w:rsidR="00E9240B" w:rsidRPr="00A06955" w:rsidRDefault="00E9240B" w:rsidP="009C1D66">
      <w:pPr>
        <w:ind w:left="1713"/>
        <w:rPr>
          <w:color w:val="auto"/>
        </w:rPr>
      </w:pPr>
      <w:r w:rsidRPr="00A06955">
        <w:rPr>
          <w:color w:val="auto"/>
        </w:rPr>
        <w:t xml:space="preserve">Where assets are identified as impaired because of a likelihood arising from a past event that payments due under the contract will not be made, the asset is written down and a charge made to the relevant service (for receivables specific to that service) or the Financing and Investment Income and Expenditure line in the Comprehensive Income and Expenditure Statement. The impairment loss is measured as the difference between the carrying amount and the present value of the revised future cash </w:t>
      </w:r>
      <w:r w:rsidRPr="00A06955">
        <w:rPr>
          <w:color w:val="auto"/>
        </w:rPr>
        <w:lastRenderedPageBreak/>
        <w:t>flows discounted at the asset's original effective interest rate.</w:t>
      </w:r>
    </w:p>
    <w:p w14:paraId="72A2170B" w14:textId="77777777" w:rsidR="00E9240B" w:rsidRDefault="00E9240B" w:rsidP="009C1D66">
      <w:pPr>
        <w:ind w:left="1713"/>
        <w:rPr>
          <w:color w:val="auto"/>
        </w:rPr>
      </w:pPr>
      <w:r w:rsidRPr="00A06955">
        <w:rPr>
          <w:color w:val="auto"/>
        </w:rPr>
        <w:t>Any gains or losses that arise on de-recognition of an asset are credited or debited to the Financing and Investment Income and Expenditure line in the Comprehensive Income and Expenditure Statement.</w:t>
      </w:r>
    </w:p>
    <w:p w14:paraId="6E86B316" w14:textId="00447721" w:rsidR="00E9240B" w:rsidRPr="009C1D66" w:rsidRDefault="00035309" w:rsidP="00717919">
      <w:pPr>
        <w:pStyle w:val="ListParagraph"/>
        <w:numPr>
          <w:ilvl w:val="0"/>
          <w:numId w:val="52"/>
        </w:numPr>
        <w:ind w:hanging="720"/>
        <w:rPr>
          <w:b/>
          <w:color w:val="auto"/>
        </w:rPr>
      </w:pPr>
      <w:r>
        <w:rPr>
          <w:b/>
          <w:color w:val="auto"/>
        </w:rPr>
        <w:t>Available-for-sale a</w:t>
      </w:r>
      <w:r w:rsidR="00E9240B" w:rsidRPr="009C1D66">
        <w:rPr>
          <w:b/>
          <w:color w:val="auto"/>
        </w:rPr>
        <w:t>ssets</w:t>
      </w:r>
    </w:p>
    <w:p w14:paraId="409143AF" w14:textId="181B187F" w:rsidR="00E9240B" w:rsidRPr="00A06955" w:rsidRDefault="00E9240B" w:rsidP="009C1D66">
      <w:pPr>
        <w:ind w:left="1713"/>
        <w:rPr>
          <w:color w:val="auto"/>
        </w:rPr>
      </w:pPr>
      <w:r w:rsidRPr="00A06955">
        <w:rPr>
          <w:color w:val="auto"/>
        </w:rPr>
        <w:t>Available-for-sale assets are recognised on the Balance Sheet when the council becomes a party to the contractual provisions of a financial instrument and are initially measured and carried at fair value. Where the assets have fixed or determinable p</w:t>
      </w:r>
      <w:r w:rsidR="00035309">
        <w:rPr>
          <w:color w:val="auto"/>
        </w:rPr>
        <w:t>ayments, annual credits to the F</w:t>
      </w:r>
      <w:r w:rsidRPr="00A06955">
        <w:rPr>
          <w:color w:val="auto"/>
        </w:rPr>
        <w:t>inancing and Investment Income and Expenditure line in the Comprehensive Income and Expenditure Statement for interest receivable are based on the amortised cost of the asset multiplied by the effective rate of interest for the instrument. Where there are no fixed or determinable payments, income (e</w:t>
      </w:r>
      <w:r w:rsidR="002174EA">
        <w:rPr>
          <w:color w:val="auto"/>
        </w:rPr>
        <w:t>.</w:t>
      </w:r>
      <w:r w:rsidRPr="00A06955">
        <w:rPr>
          <w:color w:val="auto"/>
        </w:rPr>
        <w:t>g</w:t>
      </w:r>
      <w:r w:rsidR="002174EA">
        <w:rPr>
          <w:color w:val="auto"/>
        </w:rPr>
        <w:t>.</w:t>
      </w:r>
      <w:r w:rsidRPr="00A06955">
        <w:rPr>
          <w:color w:val="auto"/>
        </w:rPr>
        <w:t xml:space="preserve"> dividends) is credited to the Comprehensive Income and Expenditure Statement when it becomes receivable by the council.</w:t>
      </w:r>
    </w:p>
    <w:p w14:paraId="1FDE719C" w14:textId="77777777" w:rsidR="00E9240B" w:rsidRPr="00A06955" w:rsidRDefault="00E9240B" w:rsidP="009C1D66">
      <w:pPr>
        <w:ind w:left="1713"/>
        <w:rPr>
          <w:color w:val="auto"/>
        </w:rPr>
      </w:pPr>
      <w:r w:rsidRPr="00A06955">
        <w:rPr>
          <w:color w:val="auto"/>
        </w:rPr>
        <w:lastRenderedPageBreak/>
        <w:t>Assets are maintained in the balance sheet at fair value. Values are based on the following principles:</w:t>
      </w:r>
    </w:p>
    <w:p w14:paraId="33B929C4" w14:textId="46468EEA" w:rsidR="00E9240B" w:rsidRPr="00A06955" w:rsidRDefault="002174EA" w:rsidP="00EC401F">
      <w:pPr>
        <w:numPr>
          <w:ilvl w:val="0"/>
          <w:numId w:val="25"/>
        </w:numPr>
        <w:ind w:left="1996" w:hanging="283"/>
        <w:rPr>
          <w:color w:val="auto"/>
        </w:rPr>
      </w:pPr>
      <w:r>
        <w:rPr>
          <w:color w:val="auto"/>
        </w:rPr>
        <w:t>I</w:t>
      </w:r>
      <w:r w:rsidR="00E9240B" w:rsidRPr="00A06955">
        <w:rPr>
          <w:color w:val="auto"/>
        </w:rPr>
        <w:t>nstruments with quoted market prices – the sale or bid market price;</w:t>
      </w:r>
    </w:p>
    <w:p w14:paraId="6184119A" w14:textId="4E369A62" w:rsidR="00E9240B" w:rsidRPr="00A06955" w:rsidRDefault="002174EA" w:rsidP="00EC401F">
      <w:pPr>
        <w:numPr>
          <w:ilvl w:val="0"/>
          <w:numId w:val="25"/>
        </w:numPr>
        <w:ind w:left="1996" w:hanging="283"/>
        <w:rPr>
          <w:color w:val="auto"/>
        </w:rPr>
      </w:pPr>
      <w:r>
        <w:rPr>
          <w:color w:val="auto"/>
        </w:rPr>
        <w:t>O</w:t>
      </w:r>
      <w:r w:rsidR="00E9240B" w:rsidRPr="00A06955">
        <w:rPr>
          <w:color w:val="auto"/>
        </w:rPr>
        <w:t>ther instruments with fixed and determinable payments – discounted cash flow analysis</w:t>
      </w:r>
      <w:r>
        <w:rPr>
          <w:color w:val="auto"/>
        </w:rPr>
        <w:t xml:space="preserve"> </w:t>
      </w:r>
      <w:r w:rsidR="00E9240B" w:rsidRPr="00A06955">
        <w:rPr>
          <w:color w:val="auto"/>
        </w:rPr>
        <w:t>and</w:t>
      </w:r>
      <w:r w:rsidR="00131E85" w:rsidRPr="00A06955">
        <w:rPr>
          <w:color w:val="auto"/>
        </w:rPr>
        <w:t>;</w:t>
      </w:r>
    </w:p>
    <w:p w14:paraId="22A43323" w14:textId="1FCD8389" w:rsidR="00E9240B" w:rsidRPr="00A06955" w:rsidRDefault="002174EA" w:rsidP="00EC401F">
      <w:pPr>
        <w:numPr>
          <w:ilvl w:val="0"/>
          <w:numId w:val="25"/>
        </w:numPr>
        <w:ind w:left="1996" w:hanging="283"/>
        <w:rPr>
          <w:color w:val="auto"/>
        </w:rPr>
      </w:pPr>
      <w:r>
        <w:rPr>
          <w:color w:val="auto"/>
        </w:rPr>
        <w:t>E</w:t>
      </w:r>
      <w:r w:rsidR="00E9240B" w:rsidRPr="00A06955">
        <w:rPr>
          <w:color w:val="auto"/>
        </w:rPr>
        <w:t>quity shares with no quoted market prices – independent appraisal of company valuations.</w:t>
      </w:r>
    </w:p>
    <w:p w14:paraId="104A98AA" w14:textId="0D5FC2D5" w:rsidR="00E9240B" w:rsidRPr="00A06955" w:rsidRDefault="00E9240B" w:rsidP="009C1D66">
      <w:pPr>
        <w:ind w:left="1713"/>
        <w:rPr>
          <w:color w:val="auto"/>
        </w:rPr>
      </w:pPr>
      <w:r w:rsidRPr="00A06955">
        <w:rPr>
          <w:color w:val="auto"/>
        </w:rPr>
        <w:t>Changes in fair value (other than impairment losses) a</w:t>
      </w:r>
      <w:r w:rsidR="00035309">
        <w:rPr>
          <w:color w:val="auto"/>
        </w:rPr>
        <w:t>re balanced by an entry in the A</w:t>
      </w:r>
      <w:r w:rsidRPr="00A06955">
        <w:rPr>
          <w:color w:val="auto"/>
        </w:rPr>
        <w:t>vai</w:t>
      </w:r>
      <w:r w:rsidR="00035309">
        <w:rPr>
          <w:color w:val="auto"/>
        </w:rPr>
        <w:t>lable-for-S</w:t>
      </w:r>
      <w:r w:rsidRPr="00A06955">
        <w:rPr>
          <w:color w:val="auto"/>
        </w:rPr>
        <w:t>ale Reserve and the gain/loss is recognised in the Surplus or Deficit on Revaluation of Available-for-Sale Financial Assets. The exception is where impairment losses have been incurred</w:t>
      </w:r>
      <w:r w:rsidR="00F11809">
        <w:rPr>
          <w:color w:val="auto"/>
        </w:rPr>
        <w:t>.  T</w:t>
      </w:r>
      <w:r w:rsidRPr="00A06955">
        <w:rPr>
          <w:color w:val="auto"/>
        </w:rPr>
        <w:t>hese are debited to the Financing and Investment Income and Expenditure line in the Comprehensive Income and Expenditure Statement, along with any net gain or loss for the asset accumulated in the Available-for-Sale Reserve.</w:t>
      </w:r>
    </w:p>
    <w:p w14:paraId="18CF6829" w14:textId="77777777" w:rsidR="00E9240B" w:rsidRPr="00A06955" w:rsidRDefault="00E9240B" w:rsidP="009C1D66">
      <w:pPr>
        <w:ind w:left="1713"/>
        <w:rPr>
          <w:color w:val="auto"/>
        </w:rPr>
      </w:pPr>
      <w:r w:rsidRPr="00A06955">
        <w:rPr>
          <w:color w:val="auto"/>
        </w:rPr>
        <w:t>Where assets are identified as impaired because of a likelihood arising from a past event that payments due under the contract will not be made (fixed and determinable payments) or</w:t>
      </w:r>
      <w:r w:rsidR="00F11809">
        <w:rPr>
          <w:color w:val="auto"/>
        </w:rPr>
        <w:t>,</w:t>
      </w:r>
      <w:r w:rsidRPr="00A06955">
        <w:rPr>
          <w:color w:val="auto"/>
        </w:rPr>
        <w:t xml:space="preserve"> fair value falls below cost (for equity instruments), the asset is written </w:t>
      </w:r>
      <w:r w:rsidRPr="00A06955">
        <w:rPr>
          <w:color w:val="auto"/>
        </w:rPr>
        <w:lastRenderedPageBreak/>
        <w:t>down and a charge made to the Financing and Investment Income and Expenditure line in the Comprehensive Income and Expenditure Statement. If the asset has fixed or determinable payments, the impairment loss is measured as the difference between the carrying amount and the present value of the revised future cash flows discounted at the asset's original effective interest rate. Otherwise, the impairment loss is measured as any shortfall of fair value against the acquisition cost of the instrument (net of any principal repayment and amortisation).</w:t>
      </w:r>
    </w:p>
    <w:p w14:paraId="67DB9B6C" w14:textId="77777777" w:rsidR="00E9240B" w:rsidRPr="00A06955" w:rsidRDefault="00E9240B" w:rsidP="009C1D66">
      <w:pPr>
        <w:ind w:left="1713"/>
        <w:rPr>
          <w:color w:val="auto"/>
        </w:rPr>
      </w:pPr>
      <w:r w:rsidRPr="00A06955">
        <w:rPr>
          <w:color w:val="auto"/>
        </w:rPr>
        <w:t>Any gains and losses that arise on the de-recognition of the asset are credited/debited to the Financing and Investment Income and Expenditure line in the Comprehensive Income and Expenditure Statement, along with any accumulated gains or losses previously recognised in the Available-for-Sale Reserve.</w:t>
      </w:r>
    </w:p>
    <w:p w14:paraId="6EE676B7" w14:textId="77777777" w:rsidR="00E9240B" w:rsidRDefault="00E9240B" w:rsidP="009C1D66">
      <w:pPr>
        <w:ind w:left="1713"/>
        <w:rPr>
          <w:color w:val="auto"/>
        </w:rPr>
      </w:pPr>
      <w:r w:rsidRPr="00A06955">
        <w:rPr>
          <w:color w:val="auto"/>
        </w:rPr>
        <w:t>Where fair value cannot be measured reliably, the instrument is carried at cost (less any impairment losses).</w:t>
      </w:r>
    </w:p>
    <w:p w14:paraId="3B61E826" w14:textId="3D7E627F" w:rsidR="00E9240B" w:rsidRPr="009C1D66" w:rsidRDefault="00AA797F" w:rsidP="00717919">
      <w:pPr>
        <w:pStyle w:val="ListParagraph"/>
        <w:numPr>
          <w:ilvl w:val="0"/>
          <w:numId w:val="52"/>
        </w:numPr>
        <w:ind w:hanging="720"/>
        <w:rPr>
          <w:b/>
          <w:color w:val="auto"/>
        </w:rPr>
      </w:pPr>
      <w:r>
        <w:rPr>
          <w:b/>
          <w:color w:val="auto"/>
        </w:rPr>
        <w:t>Fair value through profit and l</w:t>
      </w:r>
      <w:r w:rsidR="00E9240B" w:rsidRPr="009C1D66">
        <w:rPr>
          <w:b/>
          <w:color w:val="auto"/>
        </w:rPr>
        <w:t>oss</w:t>
      </w:r>
    </w:p>
    <w:p w14:paraId="3613CEC6" w14:textId="77777777" w:rsidR="00E9240B" w:rsidRPr="00A06955" w:rsidRDefault="00E9240B" w:rsidP="009C1D66">
      <w:pPr>
        <w:ind w:left="1713"/>
        <w:rPr>
          <w:color w:val="auto"/>
        </w:rPr>
      </w:pPr>
      <w:r w:rsidRPr="00A06955">
        <w:rPr>
          <w:color w:val="auto"/>
        </w:rPr>
        <w:lastRenderedPageBreak/>
        <w:t>Fair value through profit and loss assets are recognised on the Balance Sheet when the council becomes a party to the contractual provisions of a financial instrument and are initially and subsequently measured and carried at fair value. Investments are accounted for under this category if they are either:</w:t>
      </w:r>
    </w:p>
    <w:p w14:paraId="30F05B05" w14:textId="6BF5C2B4" w:rsidR="00E9240B" w:rsidRPr="00A06955" w:rsidRDefault="00F11809" w:rsidP="00EC401F">
      <w:pPr>
        <w:numPr>
          <w:ilvl w:val="0"/>
          <w:numId w:val="26"/>
        </w:numPr>
        <w:ind w:left="1996" w:hanging="283"/>
        <w:rPr>
          <w:color w:val="auto"/>
        </w:rPr>
      </w:pPr>
      <w:r>
        <w:rPr>
          <w:color w:val="auto"/>
        </w:rPr>
        <w:t>A</w:t>
      </w:r>
      <w:r w:rsidR="00E9240B" w:rsidRPr="00A06955">
        <w:rPr>
          <w:color w:val="auto"/>
        </w:rPr>
        <w:t>cquired principally for the purpose of selling in the near term, or</w:t>
      </w:r>
    </w:p>
    <w:p w14:paraId="0FE0A789" w14:textId="4E3B68CD" w:rsidR="00E9240B" w:rsidRPr="00A06955" w:rsidRDefault="00F11809" w:rsidP="00EC401F">
      <w:pPr>
        <w:numPr>
          <w:ilvl w:val="0"/>
          <w:numId w:val="26"/>
        </w:numPr>
        <w:ind w:left="1996" w:hanging="283"/>
        <w:rPr>
          <w:color w:val="auto"/>
        </w:rPr>
      </w:pPr>
      <w:r>
        <w:rPr>
          <w:color w:val="auto"/>
        </w:rPr>
        <w:t>P</w:t>
      </w:r>
      <w:r w:rsidR="00E9240B" w:rsidRPr="00A06955">
        <w:rPr>
          <w:color w:val="auto"/>
        </w:rPr>
        <w:t>art of a portfolio of identified financial instruments that are managed together and for which there is evidence of a recent actual pattern of short term profit taking.</w:t>
      </w:r>
    </w:p>
    <w:p w14:paraId="3887E8A5" w14:textId="77777777" w:rsidR="00E9240B" w:rsidRPr="00A06955" w:rsidRDefault="00E9240B" w:rsidP="009C1D66">
      <w:pPr>
        <w:ind w:left="1713"/>
        <w:rPr>
          <w:color w:val="auto"/>
        </w:rPr>
      </w:pPr>
      <w:r w:rsidRPr="00A06955">
        <w:rPr>
          <w:color w:val="auto"/>
        </w:rPr>
        <w:t>Any gains or losses that arise on the de-recognition of the assets are credited/debited to the Financing and Investment Income and Expenditure line in the Comprehensive Income and Expenditure Statement. Any unrealised gains and losses are also credited/debited to the Financing and Investment Income and Expenditure line in the Comprehensive Income and Expenditure Statement. Unrealised gains and losses are the amounts that arise through the change in market value of financial instruments before they mature or are sold.</w:t>
      </w:r>
    </w:p>
    <w:p w14:paraId="5A5313D7" w14:textId="5ED594A5" w:rsidR="00AA62F4" w:rsidRPr="00A06955" w:rsidRDefault="00AA797F" w:rsidP="00EC401F">
      <w:pPr>
        <w:numPr>
          <w:ilvl w:val="0"/>
          <w:numId w:val="11"/>
        </w:numPr>
        <w:ind w:left="993" w:hanging="709"/>
        <w:rPr>
          <w:b/>
          <w:color w:val="auto"/>
        </w:rPr>
      </w:pPr>
      <w:r>
        <w:rPr>
          <w:b/>
          <w:color w:val="auto"/>
        </w:rPr>
        <w:t>Government grants and c</w:t>
      </w:r>
      <w:r w:rsidR="00AA62F4" w:rsidRPr="00A06955">
        <w:rPr>
          <w:b/>
          <w:color w:val="auto"/>
        </w:rPr>
        <w:t>ontributions</w:t>
      </w:r>
    </w:p>
    <w:p w14:paraId="402CF952" w14:textId="77777777" w:rsidR="00AA62F4" w:rsidRPr="00A06955" w:rsidRDefault="00AA62F4" w:rsidP="009C1D66">
      <w:pPr>
        <w:ind w:left="993"/>
        <w:rPr>
          <w:color w:val="auto"/>
        </w:rPr>
      </w:pPr>
      <w:r w:rsidRPr="00A06955">
        <w:rPr>
          <w:color w:val="auto"/>
        </w:rPr>
        <w:lastRenderedPageBreak/>
        <w:t>Whether paid on account, by instalments or in arrears, government grants and third party contributions and donations are recognised as due to the council when there is reasonable assurance that:</w:t>
      </w:r>
    </w:p>
    <w:p w14:paraId="18658CF1" w14:textId="77777777" w:rsidR="00AA62F4" w:rsidRPr="00A06955" w:rsidRDefault="00AA62F4" w:rsidP="00EC401F">
      <w:pPr>
        <w:numPr>
          <w:ilvl w:val="0"/>
          <w:numId w:val="19"/>
        </w:numPr>
        <w:ind w:left="1276" w:hanging="283"/>
        <w:rPr>
          <w:color w:val="auto"/>
        </w:rPr>
      </w:pPr>
      <w:r w:rsidRPr="00A06955">
        <w:rPr>
          <w:color w:val="auto"/>
        </w:rPr>
        <w:t>The council will comply with the conditions attached to the payments, and</w:t>
      </w:r>
    </w:p>
    <w:p w14:paraId="0ADCBE57" w14:textId="77777777" w:rsidR="00AA62F4" w:rsidRPr="00A06955" w:rsidRDefault="00AA62F4" w:rsidP="00EC401F">
      <w:pPr>
        <w:numPr>
          <w:ilvl w:val="0"/>
          <w:numId w:val="19"/>
        </w:numPr>
        <w:ind w:left="1276" w:hanging="283"/>
        <w:rPr>
          <w:color w:val="auto"/>
        </w:rPr>
      </w:pPr>
      <w:r w:rsidRPr="00A06955">
        <w:rPr>
          <w:color w:val="auto"/>
        </w:rPr>
        <w:t>The grants or contributions will be received.</w:t>
      </w:r>
    </w:p>
    <w:p w14:paraId="517EB957" w14:textId="77777777" w:rsidR="00AA62F4" w:rsidRPr="00A06955" w:rsidRDefault="00AA62F4" w:rsidP="009C1D66">
      <w:pPr>
        <w:ind w:left="993"/>
        <w:rPr>
          <w:color w:val="auto"/>
        </w:rPr>
      </w:pPr>
      <w:r w:rsidRPr="00A06955">
        <w:rPr>
          <w:color w:val="auto"/>
        </w:rPr>
        <w:t xml:space="preserve">Amounts recognised as due to the council are not credited to the Comprehensive Income and Expenditure Statement until conditions attached to the grant or contribution have been satisfied. </w:t>
      </w:r>
    </w:p>
    <w:p w14:paraId="05991F1E" w14:textId="77777777" w:rsidR="00AA62F4" w:rsidRPr="00A06955" w:rsidRDefault="00AA62F4" w:rsidP="009C1D66">
      <w:pPr>
        <w:ind w:left="993"/>
        <w:rPr>
          <w:color w:val="auto"/>
        </w:rPr>
      </w:pPr>
      <w:r w:rsidRPr="00A06955">
        <w:rPr>
          <w:color w:val="auto"/>
        </w:rPr>
        <w:t>Conditions are stipulations that specify that the future economic benefits or service potential embodied in the asset acquired using the grant or contribution are required to be consumed by the recipient as specified, or future economic benefits or service potential must be returned to the transferor.</w:t>
      </w:r>
    </w:p>
    <w:p w14:paraId="5E4B7393" w14:textId="77777777" w:rsidR="00AA62F4" w:rsidRPr="00A06955" w:rsidRDefault="00AA62F4" w:rsidP="009C1D66">
      <w:pPr>
        <w:ind w:left="993"/>
        <w:rPr>
          <w:color w:val="auto"/>
        </w:rPr>
      </w:pPr>
      <w:r w:rsidRPr="00A06955">
        <w:rPr>
          <w:color w:val="auto"/>
        </w:rPr>
        <w:t xml:space="preserve">Monies advanced as grants and contributions for which conditions have not been satisfied are carried in the balance sheet as creditors. When conditions are satisfied, the grant or contribution is credited to the relevant service line (attributable revenue grants and contributions) or Taxation and Non-Specific Grant Income (non-ring </w:t>
      </w:r>
      <w:r w:rsidRPr="00A06955">
        <w:rPr>
          <w:color w:val="auto"/>
        </w:rPr>
        <w:lastRenderedPageBreak/>
        <w:t>fenced revenue grants and all capital grants) in the Comprehensive Income and Expenditure Statement.</w:t>
      </w:r>
    </w:p>
    <w:p w14:paraId="0F9DB8A7" w14:textId="77777777" w:rsidR="00AA62F4" w:rsidRPr="00A06955" w:rsidRDefault="00AA62F4" w:rsidP="009C1D66">
      <w:pPr>
        <w:ind w:left="993"/>
        <w:rPr>
          <w:color w:val="auto"/>
        </w:rPr>
      </w:pPr>
      <w:r w:rsidRPr="00A06955">
        <w:rPr>
          <w:color w:val="auto"/>
        </w:rPr>
        <w:t>Where capital grants are credited to the Comprehensive Income and Expenditure Statement, they are reversed out of the County Fund balance in the Movement in Reserves Statement.</w:t>
      </w:r>
    </w:p>
    <w:p w14:paraId="30C1A7E0" w14:textId="77777777" w:rsidR="00AA62F4" w:rsidRDefault="00AA62F4" w:rsidP="009C1D66">
      <w:pPr>
        <w:ind w:left="993"/>
        <w:rPr>
          <w:color w:val="auto"/>
        </w:rPr>
      </w:pPr>
      <w:r w:rsidRPr="00A06955">
        <w:rPr>
          <w:color w:val="auto"/>
        </w:rPr>
        <w:t>Where the grant has yet to be used to finance capital expenditure, it is posted to the Capital Grants Unapplied reserve. Where it has been applied, it is posted to the Capital Adjustment Account. Amounts in the Capital Grants Unapplied reserve are transferred to the Capital Adjustment Account once they have been applied to fund capital expenditure.</w:t>
      </w:r>
    </w:p>
    <w:p w14:paraId="6DFC8C74" w14:textId="77777777" w:rsidR="00ED1F92" w:rsidRPr="00A06955" w:rsidRDefault="00ED1F92" w:rsidP="009C1D66">
      <w:pPr>
        <w:ind w:left="993"/>
        <w:rPr>
          <w:color w:val="auto"/>
        </w:rPr>
      </w:pPr>
    </w:p>
    <w:p w14:paraId="35149138" w14:textId="77777777" w:rsidR="00AA62F4" w:rsidRPr="00A06955" w:rsidRDefault="00AA62F4" w:rsidP="00EC401F">
      <w:pPr>
        <w:numPr>
          <w:ilvl w:val="0"/>
          <w:numId w:val="11"/>
        </w:numPr>
        <w:ind w:left="993" w:hanging="709"/>
        <w:rPr>
          <w:b/>
          <w:color w:val="auto"/>
        </w:rPr>
      </w:pPr>
      <w:r w:rsidRPr="00A06955">
        <w:rPr>
          <w:b/>
          <w:color w:val="auto"/>
        </w:rPr>
        <w:t>Heritage Assets</w:t>
      </w:r>
    </w:p>
    <w:p w14:paraId="7113D91F" w14:textId="49468A43" w:rsidR="00AA62F4" w:rsidRPr="00A06955" w:rsidRDefault="00AA62F4" w:rsidP="009C1D66">
      <w:pPr>
        <w:ind w:left="993"/>
        <w:rPr>
          <w:color w:val="auto"/>
        </w:rPr>
      </w:pPr>
      <w:r w:rsidRPr="00A06955">
        <w:rPr>
          <w:color w:val="auto"/>
        </w:rPr>
        <w:t xml:space="preserve">The </w:t>
      </w:r>
      <w:r w:rsidR="00F11809" w:rsidRPr="00B36B38">
        <w:rPr>
          <w:color w:val="auto"/>
        </w:rPr>
        <w:t xml:space="preserve">CIPFA Code of Practice defines </w:t>
      </w:r>
      <w:r w:rsidR="00FB3608">
        <w:rPr>
          <w:color w:val="auto"/>
        </w:rPr>
        <w:t>H</w:t>
      </w:r>
      <w:r w:rsidR="00FB3608" w:rsidRPr="00731D7C">
        <w:rPr>
          <w:color w:val="auto"/>
        </w:rPr>
        <w:t>eritage A</w:t>
      </w:r>
      <w:r w:rsidRPr="00A06955">
        <w:rPr>
          <w:color w:val="auto"/>
        </w:rPr>
        <w:t xml:space="preserve">ssets as any asset that is held </w:t>
      </w:r>
      <w:r w:rsidR="006D0BBA">
        <w:rPr>
          <w:color w:val="auto"/>
        </w:rPr>
        <w:t>as a</w:t>
      </w:r>
      <w:r w:rsidRPr="00A06955">
        <w:rPr>
          <w:color w:val="auto"/>
        </w:rPr>
        <w:t xml:space="preserve"> contribution to knowledge or culture. The council has a number of assets which are held and maintained principally for </w:t>
      </w:r>
      <w:r w:rsidR="004043B5">
        <w:rPr>
          <w:color w:val="auto"/>
        </w:rPr>
        <w:t>their</w:t>
      </w:r>
      <w:r w:rsidRPr="00A06955">
        <w:rPr>
          <w:color w:val="auto"/>
        </w:rPr>
        <w:t xml:space="preserve"> contribution to knowledge and culture and therefore they are considered to meet the definition of </w:t>
      </w:r>
      <w:r w:rsidR="00FB3608">
        <w:rPr>
          <w:color w:val="auto"/>
        </w:rPr>
        <w:t>H</w:t>
      </w:r>
      <w:r w:rsidR="00FB3608" w:rsidRPr="00731D7C">
        <w:rPr>
          <w:color w:val="auto"/>
        </w:rPr>
        <w:t>eritage A</w:t>
      </w:r>
      <w:r w:rsidRPr="00A06955">
        <w:rPr>
          <w:color w:val="auto"/>
        </w:rPr>
        <w:t xml:space="preserve">ssets. These assets have been valued at fair value in accordance with the policy on Property, Plant and Equipment. Any acquisitions </w:t>
      </w:r>
      <w:r w:rsidRPr="00A06955">
        <w:rPr>
          <w:color w:val="auto"/>
        </w:rPr>
        <w:lastRenderedPageBreak/>
        <w:t>have initially been valued at cost if purchased or at a valuation if donated.</w:t>
      </w:r>
    </w:p>
    <w:p w14:paraId="217D7AEA" w14:textId="69B4CD90" w:rsidR="00AA62F4" w:rsidRPr="00A06955" w:rsidRDefault="00AA62F4" w:rsidP="009C1D66">
      <w:pPr>
        <w:ind w:left="993"/>
        <w:rPr>
          <w:color w:val="auto"/>
        </w:rPr>
      </w:pPr>
      <w:r w:rsidRPr="00A06955">
        <w:rPr>
          <w:color w:val="auto"/>
        </w:rPr>
        <w:t>The collection has indeterminate life and is subject to appropriate conservation measures</w:t>
      </w:r>
      <w:r w:rsidR="003A4EE6">
        <w:rPr>
          <w:color w:val="auto"/>
        </w:rPr>
        <w:t xml:space="preserve">, </w:t>
      </w:r>
      <w:r w:rsidR="00FB3608">
        <w:rPr>
          <w:color w:val="auto"/>
        </w:rPr>
        <w:t xml:space="preserve">  </w:t>
      </w:r>
      <w:r w:rsidR="003A4EE6">
        <w:rPr>
          <w:color w:val="auto"/>
        </w:rPr>
        <w:t>t</w:t>
      </w:r>
      <w:r w:rsidRPr="00A06955">
        <w:rPr>
          <w:color w:val="auto"/>
        </w:rPr>
        <w:t xml:space="preserve">herefore depreciation is not charged on Heritage </w:t>
      </w:r>
      <w:r w:rsidR="00FB3608">
        <w:rPr>
          <w:color w:val="auto"/>
        </w:rPr>
        <w:t>A</w:t>
      </w:r>
      <w:r w:rsidRPr="00A06955">
        <w:rPr>
          <w:color w:val="auto"/>
        </w:rPr>
        <w:t>ssets.</w:t>
      </w:r>
    </w:p>
    <w:p w14:paraId="65E13833" w14:textId="03C00C1B" w:rsidR="00AA62F4" w:rsidRPr="00A06955" w:rsidRDefault="00AA62F4" w:rsidP="009C1D66">
      <w:pPr>
        <w:ind w:left="993"/>
        <w:rPr>
          <w:color w:val="auto"/>
        </w:rPr>
      </w:pPr>
      <w:r w:rsidRPr="00A06955">
        <w:rPr>
          <w:color w:val="auto"/>
        </w:rPr>
        <w:t>The county council has a detailed acquisitions and disposal policy</w:t>
      </w:r>
      <w:r w:rsidR="00FB3608">
        <w:rPr>
          <w:color w:val="auto"/>
        </w:rPr>
        <w:t>, f</w:t>
      </w:r>
      <w:r w:rsidRPr="00A06955">
        <w:rPr>
          <w:color w:val="auto"/>
        </w:rPr>
        <w:t xml:space="preserve">urther information on which can be obtained from the county council. In broad terms any acquisition by the county council must relate to the </w:t>
      </w:r>
      <w:r w:rsidR="002676E3">
        <w:rPr>
          <w:color w:val="auto"/>
        </w:rPr>
        <w:t>C</w:t>
      </w:r>
      <w:r w:rsidRPr="00A06955">
        <w:rPr>
          <w:color w:val="auto"/>
        </w:rPr>
        <w:t xml:space="preserve">ounty </w:t>
      </w:r>
      <w:r w:rsidR="002676E3">
        <w:rPr>
          <w:color w:val="auto"/>
        </w:rPr>
        <w:t>P</w:t>
      </w:r>
      <w:r w:rsidRPr="00A06955">
        <w:rPr>
          <w:color w:val="auto"/>
        </w:rPr>
        <w:t>alatine of Lancaster. Consideration is also given to the ability of the county council to ensure the long term care of the acquisition and that the acquisition does not conflict with the acquisitions policy of other museums in the region.</w:t>
      </w:r>
    </w:p>
    <w:p w14:paraId="0C35EA87" w14:textId="77777777" w:rsidR="00AA62F4" w:rsidRDefault="00AA62F4" w:rsidP="009C1D66">
      <w:pPr>
        <w:ind w:left="993"/>
        <w:rPr>
          <w:color w:val="auto"/>
        </w:rPr>
      </w:pPr>
      <w:r w:rsidRPr="00A06955">
        <w:rPr>
          <w:color w:val="auto"/>
        </w:rPr>
        <w:t>With respect to disposals it is considered that the collection has a long term purpose and therefore there is a strong presumption against disposal. Disposals will not be made with the principal aim of generating funds.</w:t>
      </w:r>
    </w:p>
    <w:p w14:paraId="315E21FB" w14:textId="379A09FE" w:rsidR="00AA62F4" w:rsidRPr="00A06955" w:rsidRDefault="00AA797F" w:rsidP="00EC401F">
      <w:pPr>
        <w:numPr>
          <w:ilvl w:val="0"/>
          <w:numId w:val="11"/>
        </w:numPr>
        <w:ind w:left="993" w:hanging="709"/>
        <w:rPr>
          <w:b/>
          <w:color w:val="auto"/>
        </w:rPr>
      </w:pPr>
      <w:r>
        <w:rPr>
          <w:b/>
          <w:color w:val="auto"/>
        </w:rPr>
        <w:t>Long term c</w:t>
      </w:r>
      <w:r w:rsidR="00AA62F4" w:rsidRPr="00A06955">
        <w:rPr>
          <w:b/>
          <w:color w:val="auto"/>
        </w:rPr>
        <w:t>ontracts</w:t>
      </w:r>
    </w:p>
    <w:p w14:paraId="034A71B4" w14:textId="77777777" w:rsidR="00AA62F4" w:rsidRDefault="00AA62F4" w:rsidP="009C1D66">
      <w:pPr>
        <w:ind w:left="993"/>
        <w:rPr>
          <w:color w:val="auto"/>
        </w:rPr>
      </w:pPr>
      <w:r w:rsidRPr="00A06955">
        <w:rPr>
          <w:color w:val="auto"/>
        </w:rPr>
        <w:t>Long term contracts are accounted for on the basis of charging the surplus or deficit on the Provision of Services with the value of works and services received under the contract during the financial year.</w:t>
      </w:r>
    </w:p>
    <w:p w14:paraId="72A0A8E4" w14:textId="153FBA0B" w:rsidR="00344EB1" w:rsidRPr="00A06955" w:rsidRDefault="00344EB1" w:rsidP="00EC401F">
      <w:pPr>
        <w:numPr>
          <w:ilvl w:val="0"/>
          <w:numId w:val="11"/>
        </w:numPr>
        <w:ind w:left="993" w:hanging="709"/>
        <w:rPr>
          <w:b/>
          <w:color w:val="auto"/>
        </w:rPr>
      </w:pPr>
      <w:r w:rsidRPr="00A06955">
        <w:rPr>
          <w:b/>
          <w:color w:val="auto"/>
        </w:rPr>
        <w:t xml:space="preserve">Overheads and </w:t>
      </w:r>
      <w:r w:rsidR="00AA797F">
        <w:rPr>
          <w:b/>
          <w:color w:val="auto"/>
        </w:rPr>
        <w:t>support s</w:t>
      </w:r>
      <w:r w:rsidRPr="00A06955">
        <w:rPr>
          <w:b/>
          <w:color w:val="auto"/>
        </w:rPr>
        <w:t>ervices</w:t>
      </w:r>
    </w:p>
    <w:p w14:paraId="187C264C" w14:textId="0D7D5DFF" w:rsidR="00344EB1" w:rsidRPr="00A06955" w:rsidRDefault="00344EB1" w:rsidP="009C1D66">
      <w:pPr>
        <w:ind w:left="993"/>
        <w:rPr>
          <w:color w:val="auto"/>
        </w:rPr>
      </w:pPr>
      <w:r w:rsidRPr="00A06955">
        <w:rPr>
          <w:color w:val="auto"/>
        </w:rPr>
        <w:lastRenderedPageBreak/>
        <w:t>The costs of overheads and support services are charged to those that benefit from the supply or service in accordance with the costing principles of the CIPFA Service Reporting Code of Practice 201</w:t>
      </w:r>
      <w:r w:rsidR="00731D7C">
        <w:rPr>
          <w:color w:val="auto"/>
        </w:rPr>
        <w:t>4</w:t>
      </w:r>
      <w:r w:rsidRPr="00A06955">
        <w:rPr>
          <w:color w:val="auto"/>
        </w:rPr>
        <w:t>/1</w:t>
      </w:r>
      <w:r w:rsidR="00731D7C">
        <w:rPr>
          <w:color w:val="auto"/>
        </w:rPr>
        <w:t>5</w:t>
      </w:r>
      <w:r w:rsidRPr="00A06955">
        <w:rPr>
          <w:color w:val="auto"/>
        </w:rPr>
        <w:t xml:space="preserve"> (SeRCOP). </w:t>
      </w:r>
    </w:p>
    <w:p w14:paraId="6DD5E1A3" w14:textId="77777777" w:rsidR="00344EB1" w:rsidRPr="00A06955" w:rsidRDefault="00344EB1" w:rsidP="009C1D66">
      <w:pPr>
        <w:ind w:left="993"/>
        <w:rPr>
          <w:color w:val="auto"/>
        </w:rPr>
      </w:pPr>
      <w:r w:rsidRPr="00A06955">
        <w:rPr>
          <w:color w:val="auto"/>
        </w:rPr>
        <w:t>The total absorption costing principle is used; the full cost of overheads and support services are shared between users in proportion to benefits received, with the exception of:</w:t>
      </w:r>
    </w:p>
    <w:p w14:paraId="413E149D" w14:textId="77777777" w:rsidR="00344EB1" w:rsidRPr="00A06955" w:rsidRDefault="00344EB1" w:rsidP="00EC401F">
      <w:pPr>
        <w:numPr>
          <w:ilvl w:val="0"/>
          <w:numId w:val="18"/>
        </w:numPr>
        <w:ind w:left="1560" w:hanging="567"/>
        <w:rPr>
          <w:color w:val="auto"/>
        </w:rPr>
      </w:pPr>
      <w:r w:rsidRPr="00A06955">
        <w:rPr>
          <w:color w:val="auto"/>
        </w:rPr>
        <w:t>Corporate and democratic core – costs relating to the council’s status as a multi-functional, democratic organisation.</w:t>
      </w:r>
    </w:p>
    <w:p w14:paraId="05A9A22E" w14:textId="77777777" w:rsidR="00344EB1" w:rsidRPr="00A06955" w:rsidRDefault="00344EB1" w:rsidP="00EC401F">
      <w:pPr>
        <w:numPr>
          <w:ilvl w:val="0"/>
          <w:numId w:val="18"/>
        </w:numPr>
        <w:ind w:left="1560" w:hanging="567"/>
        <w:rPr>
          <w:color w:val="auto"/>
        </w:rPr>
      </w:pPr>
      <w:r w:rsidRPr="00A06955">
        <w:rPr>
          <w:color w:val="auto"/>
        </w:rPr>
        <w:t>Non-distributed costs – the cost of discretionary benefits awarded to employees retiring early and any depreciation and impairment losses chargeable on Assets Held for Sale.</w:t>
      </w:r>
    </w:p>
    <w:p w14:paraId="57BF7BB4" w14:textId="77777777" w:rsidR="00344EB1" w:rsidRDefault="00344EB1" w:rsidP="009C1D66">
      <w:pPr>
        <w:ind w:left="993"/>
        <w:rPr>
          <w:color w:val="auto"/>
        </w:rPr>
      </w:pPr>
      <w:r w:rsidRPr="00A06955">
        <w:rPr>
          <w:color w:val="auto"/>
        </w:rPr>
        <w:t>These two cost categories are defined in SeRCOP and accounted for as separate headings in the Comprehensive Income and Expenditure Statement, as part of the Net Expenditure on Continuing Services.</w:t>
      </w:r>
    </w:p>
    <w:p w14:paraId="48C216C5" w14:textId="77777777" w:rsidR="000A0F60" w:rsidRDefault="000A0F60" w:rsidP="009C1D66">
      <w:pPr>
        <w:ind w:left="993"/>
        <w:rPr>
          <w:color w:val="auto"/>
        </w:rPr>
      </w:pPr>
    </w:p>
    <w:p w14:paraId="2C5998AE" w14:textId="1ADDC458" w:rsidR="000A0F60" w:rsidRPr="00A06955" w:rsidRDefault="000A0F60" w:rsidP="000A0F60">
      <w:pPr>
        <w:numPr>
          <w:ilvl w:val="0"/>
          <w:numId w:val="11"/>
        </w:numPr>
        <w:ind w:left="993" w:hanging="709"/>
        <w:rPr>
          <w:b/>
          <w:color w:val="auto"/>
        </w:rPr>
      </w:pPr>
      <w:r>
        <w:rPr>
          <w:b/>
          <w:color w:val="auto"/>
        </w:rPr>
        <w:t>Leases</w:t>
      </w:r>
    </w:p>
    <w:p w14:paraId="13DA3F59" w14:textId="77777777" w:rsidR="000A0F60" w:rsidRPr="000A0F60" w:rsidRDefault="000A0F60" w:rsidP="008D0533">
      <w:pPr>
        <w:pStyle w:val="ListParagraph"/>
        <w:ind w:left="993"/>
        <w:rPr>
          <w:rFonts w:eastAsiaTheme="minorHAnsi" w:cs="Arial"/>
          <w:color w:val="auto"/>
        </w:rPr>
      </w:pPr>
      <w:r w:rsidRPr="000A0F60">
        <w:rPr>
          <w:rFonts w:cs="Arial"/>
        </w:rPr>
        <w:lastRenderedPageBreak/>
        <w:t>Leases are classified as either finance or operating leases based on the extent to which the risks and rewards incidental to ownership of a leased asset lie with the lessor or lessee.  The decision depends on the substance of the transaction rather than the contract.  Leases are classed as finance leases where the terms of the lease transfer the majority of the risks and rewards incidental to ownership from the lessor to the lessee.  All other leases are classified as operating leases.</w:t>
      </w:r>
    </w:p>
    <w:p w14:paraId="36BCF5CD" w14:textId="77777777" w:rsidR="000A0F60" w:rsidRPr="000A0F60" w:rsidRDefault="000A0F60" w:rsidP="008D0533">
      <w:pPr>
        <w:pStyle w:val="ListParagraph"/>
        <w:ind w:left="644"/>
        <w:rPr>
          <w:rFonts w:cs="Arial"/>
        </w:rPr>
      </w:pPr>
    </w:p>
    <w:p w14:paraId="4CBCB57A" w14:textId="77777777" w:rsidR="000A0F60" w:rsidRDefault="000A0F60" w:rsidP="008D0533">
      <w:pPr>
        <w:ind w:left="993"/>
        <w:rPr>
          <w:rFonts w:cs="Arial"/>
        </w:rPr>
      </w:pPr>
      <w:r w:rsidRPr="000A0F60">
        <w:rPr>
          <w:rFonts w:cs="Arial"/>
        </w:rPr>
        <w:t xml:space="preserve">Finance lease debtors are recognised in the balance sheet on commencement at an amount equal to the net investment in the lease.  Finance income in respect of these debtors is recognised at a constant rate of return on the net investment outstanding in respect of that finance lease.  </w:t>
      </w:r>
    </w:p>
    <w:p w14:paraId="0A2E835B" w14:textId="31AC6865" w:rsidR="000A0F60" w:rsidRPr="000A0F60" w:rsidRDefault="000A0F60" w:rsidP="008D0533">
      <w:pPr>
        <w:ind w:left="993"/>
        <w:rPr>
          <w:rFonts w:asciiTheme="minorHAnsi" w:hAnsiTheme="minorHAnsi" w:cstheme="minorBidi"/>
          <w:sz w:val="22"/>
          <w:szCs w:val="22"/>
        </w:rPr>
      </w:pPr>
      <w:r w:rsidRPr="000A0F60">
        <w:rPr>
          <w:rFonts w:cs="Arial"/>
        </w:rPr>
        <w:t>Lancashire County Council has recognised a finance lease debtor in respect of the borrowing raised on behalf of Blackpool Borough Council to settle the PFI liability in respect of the waste PFI.  The assets underpinning the finance lease are the land and buildings comprising the waste plants.</w:t>
      </w:r>
      <w:r>
        <w:rPr>
          <w:rFonts w:cs="Arial"/>
        </w:rPr>
        <w:t xml:space="preserve">  </w:t>
      </w:r>
    </w:p>
    <w:p w14:paraId="1CB1D0CA" w14:textId="77777777" w:rsidR="000A0F60" w:rsidRPr="008D0533" w:rsidRDefault="000A0F60" w:rsidP="009C1D66">
      <w:pPr>
        <w:ind w:left="993"/>
        <w:rPr>
          <w:b/>
          <w:color w:val="auto"/>
        </w:rPr>
      </w:pPr>
    </w:p>
    <w:p w14:paraId="69312CAC" w14:textId="77777777" w:rsidR="00797D2C" w:rsidRPr="00A06955" w:rsidRDefault="00797D2C" w:rsidP="00EC401F">
      <w:pPr>
        <w:numPr>
          <w:ilvl w:val="0"/>
          <w:numId w:val="11"/>
        </w:numPr>
        <w:ind w:left="993" w:hanging="709"/>
        <w:rPr>
          <w:b/>
          <w:color w:val="auto"/>
        </w:rPr>
      </w:pPr>
      <w:r w:rsidRPr="00A06955">
        <w:rPr>
          <w:b/>
          <w:color w:val="auto"/>
        </w:rPr>
        <w:t>Property, Plant and Equipment</w:t>
      </w:r>
    </w:p>
    <w:p w14:paraId="1E8BC04B" w14:textId="77777777" w:rsidR="00797D2C" w:rsidRPr="00A06955" w:rsidRDefault="00797D2C" w:rsidP="009C1D66">
      <w:pPr>
        <w:ind w:left="993"/>
        <w:rPr>
          <w:color w:val="auto"/>
        </w:rPr>
      </w:pPr>
      <w:r w:rsidRPr="00A06955">
        <w:rPr>
          <w:color w:val="auto"/>
        </w:rPr>
        <w:lastRenderedPageBreak/>
        <w:t>Physical assets held for use in the production or supply of goods or services, for rental to others, or for administrative purposes and that are expected to be used during more than one financial year are classified as Property, Plant and Equipment.</w:t>
      </w:r>
    </w:p>
    <w:p w14:paraId="725CAFBF" w14:textId="77777777" w:rsidR="00797D2C" w:rsidRPr="009C1D66" w:rsidRDefault="00797D2C" w:rsidP="00717919">
      <w:pPr>
        <w:pStyle w:val="ListParagraph"/>
        <w:numPr>
          <w:ilvl w:val="0"/>
          <w:numId w:val="53"/>
        </w:numPr>
        <w:ind w:hanging="720"/>
        <w:rPr>
          <w:b/>
          <w:color w:val="auto"/>
        </w:rPr>
      </w:pPr>
      <w:r w:rsidRPr="009C1D66">
        <w:rPr>
          <w:b/>
          <w:color w:val="auto"/>
        </w:rPr>
        <w:t>Recognition</w:t>
      </w:r>
    </w:p>
    <w:p w14:paraId="68CF1C8F" w14:textId="77777777" w:rsidR="00797D2C" w:rsidRDefault="00797D2C" w:rsidP="009C1D66">
      <w:pPr>
        <w:ind w:left="993"/>
        <w:rPr>
          <w:color w:val="auto"/>
        </w:rPr>
      </w:pPr>
      <w:r w:rsidRPr="00A06955">
        <w:rPr>
          <w:color w:val="auto"/>
        </w:rPr>
        <w:t>Expenditure on the acquisition, creation or enhancement of Property, Plant and Equipment is capitalised provided the benefit</w:t>
      </w:r>
      <w:r w:rsidR="00731D7C">
        <w:rPr>
          <w:color w:val="auto"/>
        </w:rPr>
        <w:t>(</w:t>
      </w:r>
      <w:r w:rsidRPr="00A06955">
        <w:rPr>
          <w:color w:val="auto"/>
        </w:rPr>
        <w:t>s</w:t>
      </w:r>
      <w:r w:rsidR="00731D7C">
        <w:rPr>
          <w:color w:val="auto"/>
        </w:rPr>
        <w:t>)</w:t>
      </w:r>
      <w:r w:rsidRPr="00A06955">
        <w:rPr>
          <w:color w:val="auto"/>
        </w:rPr>
        <w:t xml:space="preserve"> accruing from the expenditure is for more than one year. This expenditure is accounted for on an accruals basis provided that it is probable that the future economic benefits or service potential associated with the item will flow to the council and the cost of the item can be measured reliably. Expenditure that maintains but does not add to an asset's potential to deliver future economic benefits or service potential (i</w:t>
      </w:r>
      <w:r w:rsidR="00000DB6">
        <w:rPr>
          <w:color w:val="auto"/>
        </w:rPr>
        <w:t>.</w:t>
      </w:r>
      <w:r w:rsidRPr="00A06955">
        <w:rPr>
          <w:color w:val="auto"/>
        </w:rPr>
        <w:t>e</w:t>
      </w:r>
      <w:r w:rsidR="00000DB6">
        <w:rPr>
          <w:color w:val="auto"/>
        </w:rPr>
        <w:t>.</w:t>
      </w:r>
      <w:r w:rsidRPr="00A06955">
        <w:rPr>
          <w:color w:val="auto"/>
        </w:rPr>
        <w:t xml:space="preserve"> repairs and maintenance) is charged as a revenue expense when it is incurred.</w:t>
      </w:r>
    </w:p>
    <w:p w14:paraId="6C87829F" w14:textId="77777777" w:rsidR="00797D2C" w:rsidRPr="009C1D66" w:rsidRDefault="00797D2C" w:rsidP="00717919">
      <w:pPr>
        <w:pStyle w:val="ListParagraph"/>
        <w:numPr>
          <w:ilvl w:val="0"/>
          <w:numId w:val="53"/>
        </w:numPr>
        <w:ind w:hanging="720"/>
        <w:rPr>
          <w:b/>
          <w:color w:val="auto"/>
        </w:rPr>
      </w:pPr>
      <w:r w:rsidRPr="009C1D66">
        <w:rPr>
          <w:b/>
          <w:color w:val="auto"/>
        </w:rPr>
        <w:t>Measurement</w:t>
      </w:r>
    </w:p>
    <w:p w14:paraId="25AB0473" w14:textId="77777777" w:rsidR="00797D2C" w:rsidRDefault="00797D2C" w:rsidP="009C1D66">
      <w:pPr>
        <w:ind w:left="993"/>
        <w:rPr>
          <w:color w:val="auto"/>
        </w:rPr>
      </w:pPr>
      <w:r w:rsidRPr="00A06955">
        <w:rPr>
          <w:color w:val="auto"/>
        </w:rPr>
        <w:t>For assets that are purchased, they are initially recognised at cost. The cost comprises of:</w:t>
      </w:r>
    </w:p>
    <w:p w14:paraId="2CD67ED4" w14:textId="77777777" w:rsidR="00797D2C" w:rsidRPr="00A06955" w:rsidRDefault="00797D2C" w:rsidP="00EC401F">
      <w:pPr>
        <w:numPr>
          <w:ilvl w:val="0"/>
          <w:numId w:val="13"/>
        </w:numPr>
        <w:ind w:left="1560" w:hanging="567"/>
        <w:rPr>
          <w:color w:val="auto"/>
        </w:rPr>
      </w:pPr>
      <w:r w:rsidRPr="00A06955">
        <w:rPr>
          <w:color w:val="auto"/>
        </w:rPr>
        <w:t xml:space="preserve">The purchase price. </w:t>
      </w:r>
    </w:p>
    <w:p w14:paraId="3BCC56B2" w14:textId="77777777" w:rsidR="00797D2C" w:rsidRPr="00A06955" w:rsidRDefault="00797D2C" w:rsidP="00EC401F">
      <w:pPr>
        <w:numPr>
          <w:ilvl w:val="0"/>
          <w:numId w:val="13"/>
        </w:numPr>
        <w:ind w:left="1560" w:hanging="567"/>
        <w:rPr>
          <w:color w:val="auto"/>
        </w:rPr>
      </w:pPr>
      <w:r w:rsidRPr="00A06955">
        <w:rPr>
          <w:color w:val="auto"/>
        </w:rPr>
        <w:lastRenderedPageBreak/>
        <w:t xml:space="preserve">Any costs attributable to bringing the asset to the location and condition necessary for it to be operational. </w:t>
      </w:r>
    </w:p>
    <w:p w14:paraId="2926AFAD" w14:textId="77777777" w:rsidR="00797D2C" w:rsidRPr="00A06955" w:rsidRDefault="00797D2C" w:rsidP="00EC401F">
      <w:pPr>
        <w:numPr>
          <w:ilvl w:val="0"/>
          <w:numId w:val="13"/>
        </w:numPr>
        <w:ind w:left="1560" w:hanging="567"/>
        <w:rPr>
          <w:color w:val="auto"/>
        </w:rPr>
      </w:pPr>
      <w:r w:rsidRPr="00A06955">
        <w:rPr>
          <w:color w:val="auto"/>
        </w:rPr>
        <w:t>The initial estimate of the costs of dismantling and removing the item and restoring the site on which it is located.</w:t>
      </w:r>
    </w:p>
    <w:p w14:paraId="4C2E3E7D" w14:textId="77777777" w:rsidR="00797D2C" w:rsidRPr="00A06955" w:rsidRDefault="00797D2C" w:rsidP="009C1D66">
      <w:pPr>
        <w:ind w:left="993"/>
        <w:rPr>
          <w:color w:val="auto"/>
        </w:rPr>
      </w:pPr>
      <w:r w:rsidRPr="00A06955">
        <w:rPr>
          <w:color w:val="auto"/>
        </w:rPr>
        <w:t>Assets that are being constructed by the council will initially be recognised at cost. Only costs that can be directly attributable to bringing the asset into operation will be capitalised.</w:t>
      </w:r>
    </w:p>
    <w:p w14:paraId="2520158E" w14:textId="77777777" w:rsidR="00797D2C" w:rsidRPr="00A06955" w:rsidRDefault="00797D2C" w:rsidP="009C1D66">
      <w:pPr>
        <w:ind w:left="993"/>
        <w:rPr>
          <w:color w:val="auto"/>
        </w:rPr>
      </w:pPr>
      <w:r w:rsidRPr="00A06955">
        <w:rPr>
          <w:color w:val="auto"/>
        </w:rPr>
        <w:t>The council does not capitalise borrowing costs incurred whilst assets are under construction.</w:t>
      </w:r>
    </w:p>
    <w:p w14:paraId="5AE7C1C0" w14:textId="77777777" w:rsidR="00797D2C" w:rsidRPr="00A06955" w:rsidRDefault="00797D2C" w:rsidP="009C1D66">
      <w:pPr>
        <w:ind w:left="993"/>
        <w:rPr>
          <w:color w:val="auto"/>
        </w:rPr>
      </w:pPr>
      <w:r w:rsidRPr="00A06955">
        <w:rPr>
          <w:color w:val="auto"/>
        </w:rPr>
        <w:t>Alternative ways of acquiring assets are either via an exchange or an asset being donated. Where an asset is acquired via an exchange, the cost of the acquisition is the carrying amount of the asset given up by the council.</w:t>
      </w:r>
    </w:p>
    <w:p w14:paraId="0800C270" w14:textId="77777777" w:rsidR="00797D2C" w:rsidRPr="00A06955" w:rsidRDefault="00797D2C" w:rsidP="009C1D66">
      <w:pPr>
        <w:ind w:left="993"/>
        <w:rPr>
          <w:color w:val="auto"/>
        </w:rPr>
      </w:pPr>
      <w:r w:rsidRPr="00A06955">
        <w:rPr>
          <w:color w:val="auto"/>
        </w:rPr>
        <w:t>Donated assets are measured initially at fair value. The difference between fair value and any consideration paid is credited to the Taxation and Non-Specific Grant Income line of the Comprehensive Income and Expenditure Statement, unless the donation has been made conditionally. Until conditions are satisfied, the gain is held in the Donated Assets Account.</w:t>
      </w:r>
    </w:p>
    <w:p w14:paraId="202FF471" w14:textId="56878C6F" w:rsidR="00797D2C" w:rsidRPr="00A06955" w:rsidRDefault="00797D2C" w:rsidP="009C1D66">
      <w:pPr>
        <w:ind w:left="993"/>
        <w:rPr>
          <w:color w:val="auto"/>
        </w:rPr>
      </w:pPr>
      <w:r w:rsidRPr="00A06955">
        <w:rPr>
          <w:color w:val="auto"/>
        </w:rPr>
        <w:t xml:space="preserve">Where gains are credited to the Comprehensive Income and Expenditure Statement they are reversed out of the </w:t>
      </w:r>
      <w:r w:rsidRPr="00A06955">
        <w:rPr>
          <w:color w:val="auto"/>
        </w:rPr>
        <w:lastRenderedPageBreak/>
        <w:t xml:space="preserve">County Fund balance to the Capital Adjustment Account in the Movement in Reserves Statement. </w:t>
      </w:r>
      <w:r w:rsidR="00AA797F">
        <w:rPr>
          <w:color w:val="auto"/>
        </w:rPr>
        <w:t>Assets are then carried in the Balance S</w:t>
      </w:r>
      <w:r w:rsidRPr="00A06955">
        <w:rPr>
          <w:color w:val="auto"/>
        </w:rPr>
        <w:t>heet using the following measurement bases:</w:t>
      </w:r>
    </w:p>
    <w:p w14:paraId="6AC15DE7" w14:textId="77777777" w:rsidR="00797D2C" w:rsidRPr="00A06955" w:rsidRDefault="00797D2C" w:rsidP="00EC401F">
      <w:pPr>
        <w:numPr>
          <w:ilvl w:val="0"/>
          <w:numId w:val="14"/>
        </w:numPr>
        <w:ind w:left="1560" w:hanging="567"/>
        <w:rPr>
          <w:color w:val="auto"/>
        </w:rPr>
      </w:pPr>
      <w:r w:rsidRPr="00A06955">
        <w:rPr>
          <w:color w:val="auto"/>
        </w:rPr>
        <w:t>Infrastructure, community assets and assets under construction – depreciated historical cost.</w:t>
      </w:r>
    </w:p>
    <w:p w14:paraId="4AD8CD81" w14:textId="77777777" w:rsidR="008C377C" w:rsidRDefault="00797D2C" w:rsidP="009C1D66">
      <w:pPr>
        <w:ind w:left="993"/>
        <w:rPr>
          <w:color w:val="auto"/>
        </w:rPr>
      </w:pPr>
      <w:r w:rsidRPr="00A06955">
        <w:rPr>
          <w:color w:val="auto"/>
        </w:rPr>
        <w:t xml:space="preserve">Certain community assets which were acquired years ago are included at a notional amount of £1. </w:t>
      </w:r>
    </w:p>
    <w:p w14:paraId="173C525E" w14:textId="3DD74F7D" w:rsidR="00797D2C" w:rsidRPr="00A06955" w:rsidRDefault="00797D2C" w:rsidP="009C1D66">
      <w:pPr>
        <w:ind w:left="993"/>
        <w:rPr>
          <w:color w:val="auto"/>
        </w:rPr>
      </w:pPr>
      <w:r w:rsidRPr="00A06955">
        <w:rPr>
          <w:color w:val="auto"/>
        </w:rPr>
        <w:t>All other assets – fair value, determined as the amount that would be paid for the asset in its existing use value.</w:t>
      </w:r>
    </w:p>
    <w:p w14:paraId="0030A5C3" w14:textId="1A722C66" w:rsidR="00797D2C" w:rsidRPr="00A06955" w:rsidRDefault="00797D2C" w:rsidP="009C1D66">
      <w:pPr>
        <w:ind w:left="993"/>
        <w:rPr>
          <w:color w:val="auto"/>
        </w:rPr>
      </w:pPr>
      <w:r w:rsidRPr="00A06955">
        <w:rPr>
          <w:color w:val="auto"/>
        </w:rPr>
        <w:t>Where there is no market-based evidence of fair value because of the specialist nature of an asset, depreciated replacement cost is used as an estimate of fair value.</w:t>
      </w:r>
    </w:p>
    <w:p w14:paraId="6553D37F" w14:textId="77777777" w:rsidR="00797D2C" w:rsidRPr="00A06955" w:rsidRDefault="00797D2C" w:rsidP="009C1D66">
      <w:pPr>
        <w:ind w:left="993" w:hanging="1"/>
        <w:rPr>
          <w:color w:val="auto"/>
        </w:rPr>
      </w:pPr>
      <w:r w:rsidRPr="00A06955">
        <w:rPr>
          <w:color w:val="auto"/>
        </w:rPr>
        <w:t>Where non-property assets, principally furniture and equipment, that have short useful lives or low values (or both), depreciated historical cost basis is used as a proxy for fair value.</w:t>
      </w:r>
    </w:p>
    <w:p w14:paraId="5BE5AF0A" w14:textId="0B90BEC4" w:rsidR="00797D2C" w:rsidRPr="00A06955" w:rsidRDefault="00AA797F" w:rsidP="009C1D66">
      <w:pPr>
        <w:ind w:left="993"/>
        <w:rPr>
          <w:color w:val="auto"/>
        </w:rPr>
      </w:pPr>
      <w:r>
        <w:rPr>
          <w:color w:val="auto"/>
        </w:rPr>
        <w:t>Assets included in the B</w:t>
      </w:r>
      <w:r w:rsidR="00797D2C" w:rsidRPr="00A06955">
        <w:rPr>
          <w:color w:val="auto"/>
        </w:rPr>
        <w:t xml:space="preserve">alance </w:t>
      </w:r>
      <w:r>
        <w:rPr>
          <w:color w:val="auto"/>
        </w:rPr>
        <w:t>S</w:t>
      </w:r>
      <w:r w:rsidR="00797D2C" w:rsidRPr="00A06955">
        <w:rPr>
          <w:color w:val="auto"/>
        </w:rPr>
        <w:t xml:space="preserve">heet at fair value are revalued sufficiently regularly to ensure that their carrying amount is not materially different from their fair value at the year-end, but as a minimum every five years. Increases in valuations are matched by credits to the Revaluation Reserve to recognise unrealised gains unless the gain reverses a loss previously charged to a service. </w:t>
      </w:r>
      <w:r w:rsidR="00797D2C" w:rsidRPr="00A06955">
        <w:rPr>
          <w:color w:val="auto"/>
        </w:rPr>
        <w:lastRenderedPageBreak/>
        <w:t>In such circumstances the gain up to the amount of the loss will be credited to the Comprehensive Income and Expenditure Statement.</w:t>
      </w:r>
    </w:p>
    <w:p w14:paraId="1578FD2F" w14:textId="77777777" w:rsidR="00797D2C" w:rsidRPr="00A06955" w:rsidRDefault="00797D2C" w:rsidP="009C1D66">
      <w:pPr>
        <w:ind w:left="1702" w:hanging="709"/>
        <w:rPr>
          <w:color w:val="auto"/>
        </w:rPr>
      </w:pPr>
      <w:r w:rsidRPr="00A06955">
        <w:rPr>
          <w:color w:val="auto"/>
        </w:rPr>
        <w:t>Where decreases in value are identified, they are accounted for as follows:</w:t>
      </w:r>
    </w:p>
    <w:p w14:paraId="5D95B2CA" w14:textId="77777777" w:rsidR="00797D2C" w:rsidRPr="00A06955" w:rsidRDefault="00797D2C" w:rsidP="00EC401F">
      <w:pPr>
        <w:numPr>
          <w:ilvl w:val="0"/>
          <w:numId w:val="14"/>
        </w:numPr>
        <w:ind w:left="1560" w:hanging="567"/>
        <w:rPr>
          <w:color w:val="auto"/>
        </w:rPr>
      </w:pPr>
      <w:r w:rsidRPr="00A06955">
        <w:rPr>
          <w:color w:val="auto"/>
        </w:rPr>
        <w:t>Where there is a balance of revaluation gains for the asset in the Revaluation Reserve, the carrying amount of the asset is written down against that balance (up to the amount of the accumulated gains).</w:t>
      </w:r>
    </w:p>
    <w:p w14:paraId="52F8CA7F" w14:textId="77777777" w:rsidR="00797D2C" w:rsidRPr="00A06955" w:rsidRDefault="00797D2C" w:rsidP="00EC401F">
      <w:pPr>
        <w:numPr>
          <w:ilvl w:val="0"/>
          <w:numId w:val="14"/>
        </w:numPr>
        <w:ind w:left="1560" w:hanging="567"/>
        <w:rPr>
          <w:color w:val="auto"/>
        </w:rPr>
      </w:pPr>
      <w:r w:rsidRPr="00A06955">
        <w:rPr>
          <w:color w:val="auto"/>
        </w:rPr>
        <w:t>Where there is no balance in the Revaluation Reserve or an insufficient balance, the carrying amount of the asset is written down against the relevant service line(s) in the Comprehensive Income and Expenditure Statement.</w:t>
      </w:r>
    </w:p>
    <w:p w14:paraId="2D7D3F2F" w14:textId="77777777" w:rsidR="00797D2C" w:rsidRDefault="00797D2C" w:rsidP="009C1D66">
      <w:pPr>
        <w:ind w:left="993"/>
        <w:rPr>
          <w:color w:val="auto"/>
        </w:rPr>
      </w:pPr>
      <w:r w:rsidRPr="00A06955">
        <w:rPr>
          <w:color w:val="auto"/>
        </w:rPr>
        <w:t>The Revaluation Reserve contains revaluation gains recognised since 1 April 2007 only, the date of its formal implementation. Gains arising before that date have been consolidated into the Capital Adjustment Account.</w:t>
      </w:r>
    </w:p>
    <w:p w14:paraId="104A052A" w14:textId="77777777" w:rsidR="00797D2C" w:rsidRPr="009C1D66" w:rsidRDefault="00797D2C" w:rsidP="00717919">
      <w:pPr>
        <w:pStyle w:val="ListParagraph"/>
        <w:numPr>
          <w:ilvl w:val="0"/>
          <w:numId w:val="53"/>
        </w:numPr>
        <w:ind w:hanging="720"/>
        <w:rPr>
          <w:b/>
          <w:color w:val="auto"/>
        </w:rPr>
      </w:pPr>
      <w:r w:rsidRPr="009C1D66">
        <w:rPr>
          <w:b/>
          <w:color w:val="auto"/>
        </w:rPr>
        <w:t>Impairment</w:t>
      </w:r>
    </w:p>
    <w:p w14:paraId="02B4D283" w14:textId="77777777" w:rsidR="00797D2C" w:rsidRPr="00A06955" w:rsidRDefault="00797D2C" w:rsidP="009C1D66">
      <w:pPr>
        <w:ind w:left="993"/>
        <w:rPr>
          <w:color w:val="auto"/>
        </w:rPr>
      </w:pPr>
      <w:r w:rsidRPr="00A06955">
        <w:rPr>
          <w:color w:val="auto"/>
        </w:rPr>
        <w:t xml:space="preserve">Assets are assessed at each year-end as to whether there is any indication that an asset may be impaired. Where indications exist and any possible differences are estimated to be material, the recoverable amount of the </w:t>
      </w:r>
      <w:r w:rsidRPr="00A06955">
        <w:rPr>
          <w:color w:val="auto"/>
        </w:rPr>
        <w:lastRenderedPageBreak/>
        <w:t>asset is estimated and, where this is less than the carrying amount of the asset, an impairment loss is recognised for the shortfall.</w:t>
      </w:r>
    </w:p>
    <w:p w14:paraId="6DFC8C2E" w14:textId="77777777" w:rsidR="00797D2C" w:rsidRPr="00A06955" w:rsidRDefault="00797D2C" w:rsidP="009C1D66">
      <w:pPr>
        <w:ind w:left="1702" w:hanging="709"/>
        <w:rPr>
          <w:color w:val="auto"/>
        </w:rPr>
      </w:pPr>
      <w:r w:rsidRPr="00A06955">
        <w:rPr>
          <w:color w:val="auto"/>
        </w:rPr>
        <w:t>Where impairment losses are identified, they are accounted for as follows:</w:t>
      </w:r>
    </w:p>
    <w:p w14:paraId="0C9AC172" w14:textId="77777777" w:rsidR="00797D2C" w:rsidRPr="00A06955" w:rsidRDefault="00797D2C" w:rsidP="00EC401F">
      <w:pPr>
        <w:numPr>
          <w:ilvl w:val="0"/>
          <w:numId w:val="15"/>
        </w:numPr>
        <w:ind w:left="1560" w:hanging="567"/>
        <w:rPr>
          <w:color w:val="auto"/>
        </w:rPr>
      </w:pPr>
      <w:r w:rsidRPr="00A06955">
        <w:rPr>
          <w:color w:val="auto"/>
        </w:rPr>
        <w:t>Where there is a balance of revaluation gains for the asset in the Revaluation Reserve, the carrying amount of the asset is written down against that balance (up to the amount of the accumulated gains).</w:t>
      </w:r>
    </w:p>
    <w:p w14:paraId="27FBD8DB" w14:textId="77777777" w:rsidR="00797D2C" w:rsidRPr="00A06955" w:rsidRDefault="00797D2C" w:rsidP="00EC401F">
      <w:pPr>
        <w:numPr>
          <w:ilvl w:val="0"/>
          <w:numId w:val="15"/>
        </w:numPr>
        <w:ind w:left="1560" w:hanging="567"/>
        <w:rPr>
          <w:color w:val="auto"/>
        </w:rPr>
      </w:pPr>
      <w:r w:rsidRPr="00A06955">
        <w:rPr>
          <w:color w:val="auto"/>
        </w:rPr>
        <w:t>Where there is no balance in the Revaluation Reserve or an insufficient balance, the carrying amount of the asset is written down against the relevant service line(s) in the Comprehensive Income and Expenditure Statement.</w:t>
      </w:r>
    </w:p>
    <w:p w14:paraId="03BB0402" w14:textId="77777777" w:rsidR="00797D2C" w:rsidRDefault="00797D2C" w:rsidP="009C1D66">
      <w:pPr>
        <w:ind w:left="993" w:hanging="1"/>
        <w:rPr>
          <w:color w:val="auto"/>
        </w:rPr>
      </w:pPr>
      <w:r w:rsidRPr="00A06955">
        <w:rPr>
          <w:color w:val="auto"/>
        </w:rPr>
        <w:t>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14:paraId="389567EA" w14:textId="77777777" w:rsidR="00797D2C" w:rsidRPr="009C1D66" w:rsidRDefault="00797D2C" w:rsidP="00717919">
      <w:pPr>
        <w:pStyle w:val="ListParagraph"/>
        <w:numPr>
          <w:ilvl w:val="0"/>
          <w:numId w:val="53"/>
        </w:numPr>
        <w:ind w:hanging="720"/>
        <w:rPr>
          <w:b/>
          <w:color w:val="auto"/>
        </w:rPr>
      </w:pPr>
      <w:r w:rsidRPr="009C1D66">
        <w:rPr>
          <w:b/>
          <w:color w:val="auto"/>
        </w:rPr>
        <w:t>Depreciation</w:t>
      </w:r>
    </w:p>
    <w:p w14:paraId="56C055C5" w14:textId="7D7BE75E" w:rsidR="00797D2C" w:rsidRPr="00A06955" w:rsidRDefault="00797D2C" w:rsidP="009C1D66">
      <w:pPr>
        <w:ind w:left="993" w:hanging="1"/>
        <w:rPr>
          <w:color w:val="auto"/>
        </w:rPr>
      </w:pPr>
      <w:r w:rsidRPr="00A06955">
        <w:rPr>
          <w:color w:val="auto"/>
        </w:rPr>
        <w:lastRenderedPageBreak/>
        <w:t xml:space="preserve">Depreciation is provided for on all </w:t>
      </w:r>
      <w:r w:rsidR="00512B2C">
        <w:rPr>
          <w:color w:val="auto"/>
        </w:rPr>
        <w:t>p</w:t>
      </w:r>
      <w:r w:rsidRPr="00A06955">
        <w:rPr>
          <w:color w:val="auto"/>
        </w:rPr>
        <w:t xml:space="preserve">roperty, </w:t>
      </w:r>
      <w:r w:rsidR="00512B2C">
        <w:rPr>
          <w:color w:val="auto"/>
        </w:rPr>
        <w:t>p</w:t>
      </w:r>
      <w:r w:rsidRPr="00A06955">
        <w:rPr>
          <w:color w:val="auto"/>
        </w:rPr>
        <w:t xml:space="preserve">lant and </w:t>
      </w:r>
      <w:r w:rsidR="00512B2C">
        <w:rPr>
          <w:color w:val="auto"/>
        </w:rPr>
        <w:t>e</w:t>
      </w:r>
      <w:r w:rsidRPr="00A06955">
        <w:rPr>
          <w:color w:val="auto"/>
        </w:rPr>
        <w:t>quipment assets by the systematic allocation of their depreciable amounts over their useful lives. An exception is made for assets without a determinable finite useful life (i</w:t>
      </w:r>
      <w:r w:rsidR="00E07BE9">
        <w:rPr>
          <w:color w:val="auto"/>
        </w:rPr>
        <w:t>.</w:t>
      </w:r>
      <w:r w:rsidRPr="00A06955">
        <w:rPr>
          <w:color w:val="auto"/>
        </w:rPr>
        <w:t>e</w:t>
      </w:r>
      <w:r w:rsidR="00E07BE9">
        <w:rPr>
          <w:color w:val="auto"/>
        </w:rPr>
        <w:t>.</w:t>
      </w:r>
      <w:r w:rsidRPr="00A06955">
        <w:rPr>
          <w:color w:val="auto"/>
        </w:rPr>
        <w:t xml:space="preserve"> freehold land and certain community assets) and assets that are not yet available for use (i</w:t>
      </w:r>
      <w:r w:rsidR="00E07BE9">
        <w:rPr>
          <w:color w:val="auto"/>
        </w:rPr>
        <w:t>.</w:t>
      </w:r>
      <w:r w:rsidRPr="00A06955">
        <w:rPr>
          <w:color w:val="auto"/>
        </w:rPr>
        <w:t>e</w:t>
      </w:r>
      <w:r w:rsidR="00E07BE9">
        <w:rPr>
          <w:color w:val="auto"/>
        </w:rPr>
        <w:t>.</w:t>
      </w:r>
      <w:r w:rsidRPr="00A06955">
        <w:rPr>
          <w:color w:val="auto"/>
        </w:rPr>
        <w:t xml:space="preserve"> assets under construction).</w:t>
      </w:r>
    </w:p>
    <w:p w14:paraId="2BA757A2" w14:textId="77777777" w:rsidR="00797D2C" w:rsidRPr="00A06955" w:rsidRDefault="00797D2C" w:rsidP="009C1D66">
      <w:pPr>
        <w:ind w:left="1701" w:hanging="709"/>
        <w:rPr>
          <w:color w:val="auto"/>
        </w:rPr>
      </w:pPr>
      <w:r w:rsidRPr="00A06955">
        <w:rPr>
          <w:color w:val="auto"/>
        </w:rPr>
        <w:t>Depreciation is calculated on the following bases:</w:t>
      </w:r>
    </w:p>
    <w:p w14:paraId="4DD9BF5D" w14:textId="77777777" w:rsidR="00797D2C" w:rsidRPr="00A06955" w:rsidRDefault="00797D2C" w:rsidP="00EC401F">
      <w:pPr>
        <w:numPr>
          <w:ilvl w:val="0"/>
          <w:numId w:val="16"/>
        </w:numPr>
        <w:ind w:left="1560" w:hanging="568"/>
        <w:rPr>
          <w:color w:val="auto"/>
        </w:rPr>
      </w:pPr>
      <w:r w:rsidRPr="00A06955">
        <w:rPr>
          <w:color w:val="auto"/>
        </w:rPr>
        <w:t>Dwellings and other buildings – straight-line allocation over the useful life of the property as estimated by the valuer. Where there is a change in the value or asset life</w:t>
      </w:r>
      <w:r w:rsidR="00E07BE9">
        <w:rPr>
          <w:color w:val="auto"/>
        </w:rPr>
        <w:t>,</w:t>
      </w:r>
      <w:r w:rsidRPr="00A06955">
        <w:rPr>
          <w:color w:val="auto"/>
        </w:rPr>
        <w:t xml:space="preserve"> this is taken into account in calculating the depreciation charge immediately.</w:t>
      </w:r>
    </w:p>
    <w:p w14:paraId="358F20A3" w14:textId="77777777" w:rsidR="00797D2C" w:rsidRPr="00A06955" w:rsidRDefault="00797D2C" w:rsidP="00EC401F">
      <w:pPr>
        <w:numPr>
          <w:ilvl w:val="0"/>
          <w:numId w:val="16"/>
        </w:numPr>
        <w:ind w:left="1560" w:hanging="568"/>
        <w:rPr>
          <w:color w:val="auto"/>
        </w:rPr>
      </w:pPr>
      <w:r w:rsidRPr="00A06955">
        <w:rPr>
          <w:color w:val="auto"/>
        </w:rPr>
        <w:t xml:space="preserve">Vehicles, plant, furniture and equipment – on a straight line generally over 10 years unless it is considered the life of the asset is less than 10 years. </w:t>
      </w:r>
    </w:p>
    <w:p w14:paraId="4EE3DC7D" w14:textId="77777777" w:rsidR="00797D2C" w:rsidRPr="00A06955" w:rsidRDefault="00797D2C" w:rsidP="00EC401F">
      <w:pPr>
        <w:numPr>
          <w:ilvl w:val="0"/>
          <w:numId w:val="16"/>
        </w:numPr>
        <w:ind w:left="1560" w:hanging="568"/>
        <w:rPr>
          <w:color w:val="auto"/>
        </w:rPr>
      </w:pPr>
      <w:r w:rsidRPr="00A06955">
        <w:rPr>
          <w:color w:val="auto"/>
        </w:rPr>
        <w:t>Infrastructure – straight-line allocation over the estimated life of the asset. This varies from 20 to 50 years depending upon the nature of the asset.</w:t>
      </w:r>
    </w:p>
    <w:p w14:paraId="168E87FF" w14:textId="7E50315C" w:rsidR="00797D2C" w:rsidRPr="00A06955" w:rsidRDefault="00797D2C" w:rsidP="009C1D66">
      <w:pPr>
        <w:ind w:left="993" w:hanging="1"/>
        <w:rPr>
          <w:color w:val="auto"/>
        </w:rPr>
      </w:pPr>
      <w:r w:rsidRPr="00A06955">
        <w:rPr>
          <w:color w:val="auto"/>
        </w:rPr>
        <w:t xml:space="preserve">Where an item of </w:t>
      </w:r>
      <w:r w:rsidR="00512B2C">
        <w:rPr>
          <w:color w:val="auto"/>
        </w:rPr>
        <w:t>P</w:t>
      </w:r>
      <w:r w:rsidRPr="00A06955">
        <w:rPr>
          <w:color w:val="auto"/>
        </w:rPr>
        <w:t xml:space="preserve">roperty, </w:t>
      </w:r>
      <w:r w:rsidR="00512B2C">
        <w:rPr>
          <w:color w:val="auto"/>
        </w:rPr>
        <w:t>P</w:t>
      </w:r>
      <w:r w:rsidRPr="00A06955">
        <w:rPr>
          <w:color w:val="auto"/>
        </w:rPr>
        <w:t xml:space="preserve">lant and </w:t>
      </w:r>
      <w:r w:rsidR="00512B2C">
        <w:rPr>
          <w:color w:val="auto"/>
        </w:rPr>
        <w:t>E</w:t>
      </w:r>
      <w:r w:rsidRPr="00A06955">
        <w:rPr>
          <w:color w:val="auto"/>
        </w:rPr>
        <w:t>quipment asset has major components whose cost is significant in relation to the total cost of the item, the components are depreciated separately.</w:t>
      </w:r>
    </w:p>
    <w:p w14:paraId="7503FA48" w14:textId="77777777" w:rsidR="00797D2C" w:rsidRDefault="00797D2C" w:rsidP="009C1D66">
      <w:pPr>
        <w:ind w:left="993" w:hanging="1"/>
        <w:rPr>
          <w:color w:val="auto"/>
        </w:rPr>
      </w:pPr>
      <w:r w:rsidRPr="00A06955">
        <w:rPr>
          <w:color w:val="auto"/>
        </w:rPr>
        <w:lastRenderedPageBreak/>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14:paraId="34A58249" w14:textId="6CFE999F" w:rsidR="00797D2C" w:rsidRPr="009C1D66" w:rsidRDefault="00AA797F" w:rsidP="00717919">
      <w:pPr>
        <w:pStyle w:val="ListParagraph"/>
        <w:numPr>
          <w:ilvl w:val="0"/>
          <w:numId w:val="53"/>
        </w:numPr>
        <w:ind w:hanging="720"/>
        <w:rPr>
          <w:b/>
          <w:color w:val="auto"/>
        </w:rPr>
      </w:pPr>
      <w:r>
        <w:rPr>
          <w:b/>
          <w:color w:val="auto"/>
        </w:rPr>
        <w:t>Disposals and n</w:t>
      </w:r>
      <w:r w:rsidR="00797D2C" w:rsidRPr="009C1D66">
        <w:rPr>
          <w:b/>
          <w:color w:val="auto"/>
        </w:rPr>
        <w:t>on-</w:t>
      </w:r>
      <w:r>
        <w:rPr>
          <w:b/>
          <w:color w:val="auto"/>
        </w:rPr>
        <w:t>current a</w:t>
      </w:r>
      <w:r w:rsidR="00797D2C" w:rsidRPr="009C1D66">
        <w:rPr>
          <w:b/>
          <w:color w:val="auto"/>
        </w:rPr>
        <w:t>ssets</w:t>
      </w:r>
      <w:r>
        <w:rPr>
          <w:b/>
          <w:color w:val="auto"/>
        </w:rPr>
        <w:t xml:space="preserve"> held for s</w:t>
      </w:r>
      <w:r w:rsidR="00797D2C" w:rsidRPr="009C1D66">
        <w:rPr>
          <w:b/>
          <w:color w:val="auto"/>
        </w:rPr>
        <w:t>ale</w:t>
      </w:r>
    </w:p>
    <w:p w14:paraId="4C83F42C" w14:textId="77777777" w:rsidR="00797D2C" w:rsidRPr="00A06955" w:rsidRDefault="00797D2C" w:rsidP="009C1D66">
      <w:pPr>
        <w:ind w:left="993" w:hanging="1"/>
        <w:rPr>
          <w:color w:val="auto"/>
        </w:rPr>
      </w:pPr>
      <w:r w:rsidRPr="00A06955">
        <w:rPr>
          <w:color w:val="auto"/>
        </w:rPr>
        <w:t>When it becomes probable that the carrying amount of an asset will be recovered principally through a sale transaction rather than through its continuing use, it is reclassified as an Asset Held for Sale. 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up to the amount of any previous losses recognised in the surplus or deficit on the Provision of Services. Depreciation is not charged on Assets Held for Sale.</w:t>
      </w:r>
    </w:p>
    <w:p w14:paraId="7D3B2B06" w14:textId="77777777" w:rsidR="00797D2C" w:rsidRPr="00A06955" w:rsidRDefault="00797D2C" w:rsidP="009C1D66">
      <w:pPr>
        <w:ind w:left="993" w:hanging="1"/>
        <w:rPr>
          <w:color w:val="auto"/>
        </w:rPr>
      </w:pPr>
      <w:r w:rsidRPr="00A06955">
        <w:rPr>
          <w:color w:val="auto"/>
        </w:rPr>
        <w:t xml:space="preserve">If assets no longer meet the criteria to be classified as Assets Held for Sale, they are reclassified back to non-current assets and valued at the lower of their carrying amount before they were classified as held for sale, adjusted for depreciation, amortisation or revaluations that </w:t>
      </w:r>
      <w:r w:rsidRPr="00A06955">
        <w:rPr>
          <w:color w:val="auto"/>
        </w:rPr>
        <w:lastRenderedPageBreak/>
        <w:t>would have been recognised had they not been classified as Held for Sale, and their recoverable amount at the date of the decision not to sell.</w:t>
      </w:r>
    </w:p>
    <w:p w14:paraId="61EE8CB9" w14:textId="0226DCDF" w:rsidR="00797D2C" w:rsidRPr="00A06955" w:rsidRDefault="00797D2C" w:rsidP="00D971DE">
      <w:pPr>
        <w:ind w:left="993" w:hanging="1"/>
        <w:rPr>
          <w:color w:val="auto"/>
        </w:rPr>
      </w:pPr>
      <w:r w:rsidRPr="00A06955">
        <w:rPr>
          <w:color w:val="auto"/>
        </w:rPr>
        <w:t xml:space="preserve">Assets that are to be abandoned or scrapped are not </w:t>
      </w:r>
      <w:r w:rsidR="00D971DE">
        <w:rPr>
          <w:color w:val="auto"/>
        </w:rPr>
        <w:t xml:space="preserve">reclassified as Assets Held for </w:t>
      </w:r>
      <w:r w:rsidRPr="00A06955">
        <w:rPr>
          <w:color w:val="auto"/>
        </w:rPr>
        <w:t>Sale.</w:t>
      </w:r>
    </w:p>
    <w:p w14:paraId="179985AD" w14:textId="77777777" w:rsidR="00797D2C" w:rsidRPr="00A06955" w:rsidRDefault="00797D2C" w:rsidP="009C1D66">
      <w:pPr>
        <w:ind w:left="993" w:hanging="1"/>
        <w:rPr>
          <w:color w:val="auto"/>
        </w:rPr>
      </w:pPr>
      <w:r w:rsidRPr="00A06955">
        <w:rPr>
          <w:color w:val="auto"/>
        </w:rPr>
        <w:t>When an asset is disposed of or decommissioned, the carrying amount of the asset in the Balance Sheet (whether Property, Plant and Equipment or Assets Held for Sale) is written off to the Other Operating Expenditure line in the Comprehensive Income and Expenditure Statement as part of the gain or loss on disposal. Receipts from disposal (if any) are credited to the same line in the Comprehensive Income and Expenditure Statement also as part of the gain or loss on disposal (i</w:t>
      </w:r>
      <w:r w:rsidR="009C31BA">
        <w:rPr>
          <w:color w:val="auto"/>
        </w:rPr>
        <w:t>.</w:t>
      </w:r>
      <w:r w:rsidRPr="00A06955">
        <w:rPr>
          <w:color w:val="auto"/>
        </w:rPr>
        <w:t>e</w:t>
      </w:r>
      <w:r w:rsidR="009C31BA">
        <w:rPr>
          <w:color w:val="auto"/>
        </w:rPr>
        <w:t>.</w:t>
      </w:r>
      <w:r w:rsidRPr="00A06955">
        <w:rPr>
          <w:color w:val="auto"/>
        </w:rPr>
        <w:t xml:space="preserve"> netted off against the carrying value of the asset at the time of the disposal). Any revaluation gains accumulated for the asset in the Revaluation Reserve are transferred to the Capital Adjustment Account.</w:t>
      </w:r>
    </w:p>
    <w:p w14:paraId="77AA09F9" w14:textId="77777777" w:rsidR="00797D2C" w:rsidRPr="00A06955" w:rsidRDefault="00797D2C" w:rsidP="009C1D66">
      <w:pPr>
        <w:ind w:left="993" w:hanging="1"/>
        <w:rPr>
          <w:color w:val="auto"/>
        </w:rPr>
      </w:pPr>
      <w:r w:rsidRPr="00A06955">
        <w:rPr>
          <w:color w:val="auto"/>
        </w:rPr>
        <w:t xml:space="preserve">Amounts received for a disposal in excess of £10,000 are categorised as capital receipts. These are credited to the Capital Receipts Reserve, and can then only be used for new capital investment or be set aside to reduce the council's underlying need to borrow (the capital financing requirement). Receipts are appropriated to the reserve from </w:t>
      </w:r>
      <w:r w:rsidRPr="00A06955">
        <w:rPr>
          <w:color w:val="auto"/>
        </w:rPr>
        <w:lastRenderedPageBreak/>
        <w:t>the County Fund balance in the Movement in Reserves Statement.</w:t>
      </w:r>
    </w:p>
    <w:p w14:paraId="514D8446" w14:textId="2680740D" w:rsidR="00797D2C" w:rsidRPr="00A06955" w:rsidRDefault="00797D2C" w:rsidP="009C1D66">
      <w:pPr>
        <w:ind w:left="993" w:hanging="1"/>
        <w:rPr>
          <w:color w:val="auto"/>
        </w:rPr>
      </w:pPr>
      <w:r w:rsidRPr="00A06955">
        <w:rPr>
          <w:color w:val="auto"/>
        </w:rPr>
        <w:t>The written-off value of disposals is not a charge again</w:t>
      </w:r>
      <w:r w:rsidR="00AA797F">
        <w:rPr>
          <w:color w:val="auto"/>
        </w:rPr>
        <w:t>st council tax, as the cost of Property, P</w:t>
      </w:r>
      <w:r w:rsidRPr="00A06955">
        <w:rPr>
          <w:color w:val="auto"/>
        </w:rPr>
        <w:t xml:space="preserve">lant and </w:t>
      </w:r>
      <w:r w:rsidR="00AA797F">
        <w:rPr>
          <w:color w:val="auto"/>
        </w:rPr>
        <w:t>E</w:t>
      </w:r>
      <w:r w:rsidRPr="00A06955">
        <w:rPr>
          <w:color w:val="auto"/>
        </w:rPr>
        <w:t xml:space="preserve">quipment is fully provided for under separate arrangements for capital financing.  </w:t>
      </w:r>
    </w:p>
    <w:p w14:paraId="25D86426" w14:textId="77777777" w:rsidR="00797D2C" w:rsidRPr="00A06955" w:rsidRDefault="00797D2C" w:rsidP="009C1D66">
      <w:pPr>
        <w:ind w:left="993" w:hanging="1"/>
        <w:rPr>
          <w:color w:val="auto"/>
        </w:rPr>
      </w:pPr>
      <w:r w:rsidRPr="00A06955">
        <w:rPr>
          <w:color w:val="auto"/>
        </w:rPr>
        <w:t>Amounts are appropriated to the Capital Adjustment Account from the County Fund balance in the Movement in Reserves Statement.</w:t>
      </w:r>
    </w:p>
    <w:p w14:paraId="4105EAC0" w14:textId="77777777" w:rsidR="003F6AAD" w:rsidRPr="00A06955" w:rsidRDefault="00D20251" w:rsidP="00EC401F">
      <w:pPr>
        <w:numPr>
          <w:ilvl w:val="0"/>
          <w:numId w:val="11"/>
        </w:numPr>
        <w:ind w:left="993" w:hanging="709"/>
        <w:rPr>
          <w:b/>
          <w:color w:val="auto"/>
        </w:rPr>
      </w:pPr>
      <w:r w:rsidRPr="00A06955">
        <w:rPr>
          <w:b/>
          <w:color w:val="auto"/>
        </w:rPr>
        <w:t>Private Finance Initiatives (PFI)</w:t>
      </w:r>
    </w:p>
    <w:p w14:paraId="1B0B9F58" w14:textId="4F99E7EA" w:rsidR="00CF3E99" w:rsidRPr="00A06955" w:rsidRDefault="00CF3E99" w:rsidP="009C1D66">
      <w:pPr>
        <w:ind w:left="993" w:hanging="1"/>
        <w:rPr>
          <w:color w:val="auto"/>
        </w:rPr>
      </w:pPr>
      <w:r w:rsidRPr="00A06955">
        <w:rPr>
          <w:color w:val="auto"/>
        </w:rPr>
        <w:t xml:space="preserve">PFI contracts are agreements to receive services, where responsibility for making available the </w:t>
      </w:r>
      <w:r w:rsidR="00512B2C">
        <w:rPr>
          <w:color w:val="auto"/>
        </w:rPr>
        <w:t>P</w:t>
      </w:r>
      <w:r w:rsidRPr="00A06955">
        <w:rPr>
          <w:color w:val="auto"/>
        </w:rPr>
        <w:t xml:space="preserve">roperty </w:t>
      </w:r>
      <w:r w:rsidR="00512B2C">
        <w:rPr>
          <w:color w:val="auto"/>
        </w:rPr>
        <w:t>P</w:t>
      </w:r>
      <w:r w:rsidRPr="00A06955">
        <w:rPr>
          <w:color w:val="auto"/>
        </w:rPr>
        <w:t xml:space="preserve">lant and </w:t>
      </w:r>
      <w:r w:rsidR="00512B2C">
        <w:rPr>
          <w:color w:val="auto"/>
        </w:rPr>
        <w:t>E</w:t>
      </w:r>
      <w:r w:rsidRPr="00A06955">
        <w:rPr>
          <w:color w:val="auto"/>
        </w:rPr>
        <w:t xml:space="preserve">quipment needed to provide services passes to the PFI contractor. As the council is deemed to control the services that are provided under our PFI schemes, and as ownership of the </w:t>
      </w:r>
      <w:r w:rsidR="00512B2C">
        <w:rPr>
          <w:color w:val="auto"/>
        </w:rPr>
        <w:t>P</w:t>
      </w:r>
      <w:r w:rsidRPr="00A06955">
        <w:rPr>
          <w:color w:val="auto"/>
        </w:rPr>
        <w:t xml:space="preserve">roperty, </w:t>
      </w:r>
      <w:r w:rsidR="00512B2C">
        <w:rPr>
          <w:color w:val="auto"/>
        </w:rPr>
        <w:t>P</w:t>
      </w:r>
      <w:r w:rsidRPr="00A06955">
        <w:rPr>
          <w:color w:val="auto"/>
        </w:rPr>
        <w:t xml:space="preserve">lant and </w:t>
      </w:r>
      <w:r w:rsidR="00512B2C">
        <w:rPr>
          <w:color w:val="auto"/>
        </w:rPr>
        <w:t>E</w:t>
      </w:r>
      <w:r w:rsidRPr="00A06955">
        <w:rPr>
          <w:color w:val="auto"/>
        </w:rPr>
        <w:t>quipment will pass to the council at the end of the contracts for no additional charge, the council carries the assets used under the contracts on the Balance Sheet as part of Property, Plant and Equipment.</w:t>
      </w:r>
    </w:p>
    <w:p w14:paraId="27ECB369" w14:textId="5F4BA511" w:rsidR="00CF3E99" w:rsidRPr="00A06955" w:rsidRDefault="00CF3E99" w:rsidP="009C1D66">
      <w:pPr>
        <w:ind w:left="993" w:hanging="1"/>
        <w:rPr>
          <w:color w:val="auto"/>
        </w:rPr>
      </w:pPr>
      <w:r w:rsidRPr="00A06955">
        <w:rPr>
          <w:color w:val="auto"/>
        </w:rPr>
        <w:t xml:space="preserve">The original recognition of these assets at fair value (based on the cost to purchase the property, plant and equipment) was balanced by the recognition of a liability for amounts due to the scheme operation to pay for the </w:t>
      </w:r>
      <w:r w:rsidRPr="00A06955">
        <w:rPr>
          <w:color w:val="auto"/>
        </w:rPr>
        <w:lastRenderedPageBreak/>
        <w:t xml:space="preserve">capital investment. For the </w:t>
      </w:r>
      <w:r w:rsidR="009079AB">
        <w:rPr>
          <w:color w:val="auto"/>
        </w:rPr>
        <w:t>Building Schools for the Future (</w:t>
      </w:r>
      <w:r w:rsidRPr="00A06955">
        <w:rPr>
          <w:color w:val="auto"/>
        </w:rPr>
        <w:t>BSF</w:t>
      </w:r>
      <w:r w:rsidR="009079AB">
        <w:rPr>
          <w:color w:val="auto"/>
        </w:rPr>
        <w:t>)</w:t>
      </w:r>
      <w:r w:rsidRPr="00A06955">
        <w:rPr>
          <w:color w:val="auto"/>
        </w:rPr>
        <w:t xml:space="preserve"> Schemes the liability was written down by capital contribution</w:t>
      </w:r>
      <w:r w:rsidR="00AE42BD">
        <w:rPr>
          <w:color w:val="auto"/>
        </w:rPr>
        <w:t>s</w:t>
      </w:r>
      <w:r w:rsidRPr="00A06955">
        <w:rPr>
          <w:color w:val="auto"/>
        </w:rPr>
        <w:t xml:space="preserve"> of £10.5</w:t>
      </w:r>
      <w:r w:rsidR="001713AC">
        <w:rPr>
          <w:color w:val="auto"/>
        </w:rPr>
        <w:t>m</w:t>
      </w:r>
      <w:r w:rsidRPr="00A06955">
        <w:rPr>
          <w:color w:val="auto"/>
        </w:rPr>
        <w:t xml:space="preserve"> </w:t>
      </w:r>
      <w:r w:rsidR="001713AC">
        <w:rPr>
          <w:color w:val="auto"/>
        </w:rPr>
        <w:t>and £1.6</w:t>
      </w:r>
      <w:r w:rsidRPr="00A06955">
        <w:rPr>
          <w:color w:val="auto"/>
        </w:rPr>
        <w:t>m.</w:t>
      </w:r>
    </w:p>
    <w:p w14:paraId="3EAB7EB7" w14:textId="77777777" w:rsidR="00D20251" w:rsidRPr="00A06955" w:rsidRDefault="00CF3E99" w:rsidP="009C1D66">
      <w:pPr>
        <w:ind w:left="1701" w:hanging="709"/>
        <w:rPr>
          <w:color w:val="auto"/>
        </w:rPr>
      </w:pPr>
      <w:r w:rsidRPr="00A06955">
        <w:rPr>
          <w:color w:val="auto"/>
        </w:rPr>
        <w:t>The amounts payable to the PFI operators each year are analysed into five elements:</w:t>
      </w:r>
    </w:p>
    <w:p w14:paraId="5428F577" w14:textId="77777777" w:rsidR="00CF3E99" w:rsidRPr="00A06955" w:rsidRDefault="00CF3E99" w:rsidP="00EC401F">
      <w:pPr>
        <w:numPr>
          <w:ilvl w:val="0"/>
          <w:numId w:val="22"/>
        </w:numPr>
        <w:ind w:left="1276" w:hanging="284"/>
        <w:rPr>
          <w:color w:val="auto"/>
        </w:rPr>
      </w:pPr>
      <w:r w:rsidRPr="00A06955">
        <w:rPr>
          <w:color w:val="auto"/>
        </w:rPr>
        <w:t>Fair value of the services received during the year – debited to the relevant service in the Comprehensive Income and Expenditure Statement</w:t>
      </w:r>
      <w:r w:rsidR="008B2FCC" w:rsidRPr="00A06955">
        <w:rPr>
          <w:color w:val="auto"/>
        </w:rPr>
        <w:t>.</w:t>
      </w:r>
    </w:p>
    <w:p w14:paraId="425DBEE8" w14:textId="77777777" w:rsidR="00CF3E99" w:rsidRPr="00A06955" w:rsidRDefault="00CF3E99" w:rsidP="00EC401F">
      <w:pPr>
        <w:numPr>
          <w:ilvl w:val="0"/>
          <w:numId w:val="22"/>
        </w:numPr>
        <w:ind w:left="1276" w:hanging="284"/>
        <w:rPr>
          <w:color w:val="auto"/>
        </w:rPr>
      </w:pPr>
      <w:r w:rsidRPr="00A06955">
        <w:rPr>
          <w:color w:val="auto"/>
        </w:rPr>
        <w:t>Finance cost – an interest charge which varies for each scheme but lies in the range of 8.0% to 11.2% on the outstanding Balance Sheet liability, debited to the Financing and Investment Income and Expenditure line in the Comprehensive Income and Expenditur</w:t>
      </w:r>
      <w:r w:rsidR="008B2FCC" w:rsidRPr="00A06955">
        <w:rPr>
          <w:color w:val="auto"/>
        </w:rPr>
        <w:t>e Statement.</w:t>
      </w:r>
    </w:p>
    <w:p w14:paraId="21719A9B" w14:textId="77777777" w:rsidR="00CF3E99" w:rsidRPr="00A06955" w:rsidRDefault="00CF3E99" w:rsidP="00EC401F">
      <w:pPr>
        <w:numPr>
          <w:ilvl w:val="0"/>
          <w:numId w:val="22"/>
        </w:numPr>
        <w:ind w:left="1276" w:hanging="284"/>
        <w:rPr>
          <w:color w:val="auto"/>
        </w:rPr>
      </w:pPr>
      <w:r w:rsidRPr="00A06955">
        <w:rPr>
          <w:color w:val="auto"/>
        </w:rPr>
        <w:t>Contingent rent – increases in the amount to be paid for the property arising during the contract, debited to the Financing and Investment Income and Expenditure line in the Comprehensive Income and Expenditure Statement.</w:t>
      </w:r>
    </w:p>
    <w:p w14:paraId="1E44FB5C" w14:textId="77777777" w:rsidR="00CF3E99" w:rsidRPr="00A06955" w:rsidRDefault="00CF3E99" w:rsidP="00EC401F">
      <w:pPr>
        <w:numPr>
          <w:ilvl w:val="0"/>
          <w:numId w:val="22"/>
        </w:numPr>
        <w:ind w:left="1276" w:hanging="284"/>
        <w:rPr>
          <w:color w:val="auto"/>
        </w:rPr>
      </w:pPr>
      <w:r w:rsidRPr="00A06955">
        <w:rPr>
          <w:color w:val="auto"/>
        </w:rPr>
        <w:t>Payment towards liability – applied to write down the Balance Sheet liability towards the PFI operator (the profile of write-downs is calculated using the same prin</w:t>
      </w:r>
      <w:r w:rsidR="008B2FCC" w:rsidRPr="00A06955">
        <w:rPr>
          <w:color w:val="auto"/>
        </w:rPr>
        <w:t>ciples as for a finance lease).</w:t>
      </w:r>
    </w:p>
    <w:p w14:paraId="576BC419" w14:textId="77777777" w:rsidR="00CF3E99" w:rsidRDefault="00CF3E99" w:rsidP="00EC401F">
      <w:pPr>
        <w:numPr>
          <w:ilvl w:val="0"/>
          <w:numId w:val="22"/>
        </w:numPr>
        <w:ind w:left="1276" w:hanging="284"/>
        <w:rPr>
          <w:color w:val="auto"/>
        </w:rPr>
      </w:pPr>
      <w:r w:rsidRPr="00A06955">
        <w:rPr>
          <w:color w:val="auto"/>
        </w:rPr>
        <w:lastRenderedPageBreak/>
        <w:t>Lifecycle replacement costs – proportion of the amounts payable is posted to the Balance Sheet as a prepayment and then recognised as additions to Property, Plant and Equipment when the relevant works are eventually carried out.</w:t>
      </w:r>
    </w:p>
    <w:p w14:paraId="5C4EDE74" w14:textId="77777777" w:rsidR="008B2FCC" w:rsidRPr="009C1D66" w:rsidRDefault="008B2FCC" w:rsidP="00717919">
      <w:pPr>
        <w:pStyle w:val="ListParagraph"/>
        <w:numPr>
          <w:ilvl w:val="0"/>
          <w:numId w:val="54"/>
        </w:numPr>
        <w:ind w:hanging="720"/>
        <w:rPr>
          <w:b/>
          <w:color w:val="auto"/>
        </w:rPr>
      </w:pPr>
      <w:r w:rsidRPr="009C1D66">
        <w:rPr>
          <w:b/>
          <w:color w:val="auto"/>
        </w:rPr>
        <w:t>Recognition of assets and liabilities</w:t>
      </w:r>
    </w:p>
    <w:p w14:paraId="58B8ED25" w14:textId="6F1E679C" w:rsidR="008B2FCC" w:rsidRPr="00A06955" w:rsidRDefault="008B2FCC" w:rsidP="009C1D66">
      <w:pPr>
        <w:ind w:left="993" w:hanging="1"/>
        <w:rPr>
          <w:color w:val="auto"/>
        </w:rPr>
      </w:pPr>
      <w:r w:rsidRPr="00A06955">
        <w:rPr>
          <w:color w:val="auto"/>
        </w:rPr>
        <w:t xml:space="preserve">Properties used in the PFI schemes are now recognised as </w:t>
      </w:r>
      <w:r w:rsidR="00512B2C">
        <w:rPr>
          <w:color w:val="auto"/>
        </w:rPr>
        <w:t>P</w:t>
      </w:r>
      <w:r w:rsidR="00F21961" w:rsidRPr="00A06955">
        <w:rPr>
          <w:color w:val="auto"/>
        </w:rPr>
        <w:t xml:space="preserve">roperty, </w:t>
      </w:r>
      <w:r w:rsidR="00512B2C">
        <w:rPr>
          <w:color w:val="auto"/>
        </w:rPr>
        <w:t>P</w:t>
      </w:r>
      <w:r w:rsidR="00F21961" w:rsidRPr="00A06955">
        <w:rPr>
          <w:color w:val="auto"/>
        </w:rPr>
        <w:t xml:space="preserve">lant and </w:t>
      </w:r>
      <w:r w:rsidR="00512B2C">
        <w:rPr>
          <w:color w:val="auto"/>
        </w:rPr>
        <w:t>E</w:t>
      </w:r>
      <w:r w:rsidR="00F21961" w:rsidRPr="00A06955">
        <w:rPr>
          <w:color w:val="auto"/>
        </w:rPr>
        <w:t>quipment</w:t>
      </w:r>
      <w:r w:rsidRPr="00A06955">
        <w:rPr>
          <w:color w:val="auto"/>
        </w:rPr>
        <w:t xml:space="preserve"> of the council. A related liability is also recognised. The asset and liability are recognised when the asset is made available for use.</w:t>
      </w:r>
    </w:p>
    <w:p w14:paraId="496E7896" w14:textId="5D531BA4" w:rsidR="008B2FCC" w:rsidRPr="00A06955" w:rsidRDefault="008B2FCC" w:rsidP="009C1D66">
      <w:pPr>
        <w:ind w:left="993" w:hanging="1"/>
        <w:rPr>
          <w:color w:val="auto"/>
        </w:rPr>
      </w:pPr>
      <w:r w:rsidRPr="00A06955">
        <w:rPr>
          <w:color w:val="auto"/>
        </w:rPr>
        <w:t>Separate assets are recognised in respect of land and buildings where appropriate. The related liability is initially measured at the value of the related asset and subsequently calculated using the same method used for finance leases.</w:t>
      </w:r>
    </w:p>
    <w:p w14:paraId="2E14EBA9" w14:textId="77777777" w:rsidR="008B2FCC" w:rsidRPr="00A06955" w:rsidRDefault="008B2FCC" w:rsidP="009C1D66">
      <w:pPr>
        <w:ind w:left="993" w:hanging="1"/>
        <w:rPr>
          <w:color w:val="auto"/>
        </w:rPr>
      </w:pPr>
      <w:r w:rsidRPr="00A06955">
        <w:rPr>
          <w:color w:val="auto"/>
        </w:rPr>
        <w:t>Once on the balance sheet the PFI assets will be treated in the same way as all other non-current assets of the same type including depreciation, impairment and revaluation.</w:t>
      </w:r>
    </w:p>
    <w:p w14:paraId="73A16BB6" w14:textId="77777777" w:rsidR="008B2FCC" w:rsidRPr="009C1D66" w:rsidRDefault="008B2FCC" w:rsidP="00717919">
      <w:pPr>
        <w:pStyle w:val="ListParagraph"/>
        <w:numPr>
          <w:ilvl w:val="0"/>
          <w:numId w:val="54"/>
        </w:numPr>
        <w:ind w:hanging="720"/>
        <w:rPr>
          <w:b/>
          <w:color w:val="auto"/>
        </w:rPr>
      </w:pPr>
      <w:r w:rsidRPr="009C1D66">
        <w:rPr>
          <w:b/>
          <w:color w:val="auto"/>
        </w:rPr>
        <w:t>Prepayments</w:t>
      </w:r>
    </w:p>
    <w:p w14:paraId="12AE2399" w14:textId="77777777" w:rsidR="008B2FCC" w:rsidRPr="00A06955" w:rsidRDefault="008B2FCC" w:rsidP="009C1D66">
      <w:pPr>
        <w:ind w:left="993" w:hanging="1"/>
        <w:rPr>
          <w:color w:val="auto"/>
        </w:rPr>
      </w:pPr>
      <w:r w:rsidRPr="00A06955">
        <w:rPr>
          <w:color w:val="auto"/>
        </w:rPr>
        <w:t xml:space="preserve">Where the PFI contract requires payments to be made as a lump sum contribution before the related property is recognised as an asset on the balance sheet, such payments </w:t>
      </w:r>
      <w:r w:rsidRPr="00A06955">
        <w:rPr>
          <w:color w:val="auto"/>
        </w:rPr>
        <w:lastRenderedPageBreak/>
        <w:t>are recognised as prepayments. At the point that the property is recognised as an asset, the related liability is also recognised. The prepayment is then applied to reduce the outstanding liability.</w:t>
      </w:r>
    </w:p>
    <w:p w14:paraId="3D986F70" w14:textId="77777777" w:rsidR="008B2FCC" w:rsidRPr="009C1D66" w:rsidRDefault="008B2FCC" w:rsidP="00717919">
      <w:pPr>
        <w:pStyle w:val="ListParagraph"/>
        <w:numPr>
          <w:ilvl w:val="0"/>
          <w:numId w:val="54"/>
        </w:numPr>
        <w:ind w:hanging="720"/>
        <w:rPr>
          <w:b/>
          <w:color w:val="auto"/>
        </w:rPr>
      </w:pPr>
      <w:r w:rsidRPr="009C1D66">
        <w:rPr>
          <w:b/>
          <w:color w:val="auto"/>
        </w:rPr>
        <w:t>Minimum Revenue Provision (MRP)</w:t>
      </w:r>
    </w:p>
    <w:p w14:paraId="1BF7E0C6" w14:textId="77777777" w:rsidR="008B2FCC" w:rsidRPr="00A06955" w:rsidRDefault="008B2FCC" w:rsidP="009C1D66">
      <w:pPr>
        <w:ind w:left="993"/>
        <w:rPr>
          <w:color w:val="auto"/>
        </w:rPr>
      </w:pPr>
      <w:r w:rsidRPr="00A06955">
        <w:rPr>
          <w:color w:val="auto"/>
        </w:rPr>
        <w:t>Assets acquired under a PFI that are recognised on the balance sheet are subject to MRP in the same way as assets acquired using other forms of borrowing. MRP is calculated in accordance with the appropriate regulations and statutory guidance, and is equal to that element of the unitary charge which is applied to repay the outstanding liability.</w:t>
      </w:r>
    </w:p>
    <w:p w14:paraId="0F76D18B" w14:textId="683B9A5C" w:rsidR="008B2FCC" w:rsidRPr="009C1D66" w:rsidRDefault="008B2FCC" w:rsidP="00717919">
      <w:pPr>
        <w:pStyle w:val="ListParagraph"/>
        <w:numPr>
          <w:ilvl w:val="0"/>
          <w:numId w:val="54"/>
        </w:numPr>
        <w:ind w:hanging="720"/>
        <w:rPr>
          <w:b/>
          <w:color w:val="auto"/>
        </w:rPr>
      </w:pPr>
      <w:r w:rsidRPr="009C1D66">
        <w:rPr>
          <w:b/>
          <w:color w:val="auto"/>
        </w:rPr>
        <w:t xml:space="preserve">Development </w:t>
      </w:r>
      <w:r w:rsidR="00512B2C">
        <w:rPr>
          <w:b/>
          <w:color w:val="auto"/>
        </w:rPr>
        <w:t>c</w:t>
      </w:r>
      <w:r w:rsidRPr="009C1D66">
        <w:rPr>
          <w:b/>
          <w:color w:val="auto"/>
        </w:rPr>
        <w:t>osts</w:t>
      </w:r>
    </w:p>
    <w:p w14:paraId="5C516B28" w14:textId="77777777" w:rsidR="008B2FCC" w:rsidRPr="00A06955" w:rsidRDefault="008B2FCC" w:rsidP="009C1D66">
      <w:pPr>
        <w:ind w:left="993" w:hanging="1"/>
        <w:rPr>
          <w:color w:val="auto"/>
        </w:rPr>
      </w:pPr>
      <w:r w:rsidRPr="00A06955">
        <w:rPr>
          <w:color w:val="auto"/>
        </w:rPr>
        <w:t>The council's internal and external development costs associated with the procurement of PFI projects are charged to revenue as they are incurred.</w:t>
      </w:r>
    </w:p>
    <w:p w14:paraId="3A88B712" w14:textId="7FFB0956" w:rsidR="008B2FCC" w:rsidRPr="009C1D66" w:rsidRDefault="008B2FCC" w:rsidP="00717919">
      <w:pPr>
        <w:pStyle w:val="ListParagraph"/>
        <w:numPr>
          <w:ilvl w:val="0"/>
          <w:numId w:val="54"/>
        </w:numPr>
        <w:ind w:hanging="720"/>
        <w:rPr>
          <w:b/>
          <w:color w:val="auto"/>
        </w:rPr>
      </w:pPr>
      <w:r w:rsidRPr="009C1D66">
        <w:rPr>
          <w:b/>
          <w:color w:val="auto"/>
        </w:rPr>
        <w:t xml:space="preserve">Deductions from the </w:t>
      </w:r>
      <w:r w:rsidR="00512B2C">
        <w:rPr>
          <w:b/>
          <w:color w:val="auto"/>
        </w:rPr>
        <w:t>u</w:t>
      </w:r>
      <w:r w:rsidRPr="009C1D66">
        <w:rPr>
          <w:b/>
          <w:color w:val="auto"/>
        </w:rPr>
        <w:t xml:space="preserve">nitary </w:t>
      </w:r>
      <w:r w:rsidR="00512B2C">
        <w:rPr>
          <w:b/>
          <w:color w:val="auto"/>
        </w:rPr>
        <w:t>p</w:t>
      </w:r>
      <w:r w:rsidRPr="009C1D66">
        <w:rPr>
          <w:b/>
          <w:color w:val="auto"/>
        </w:rPr>
        <w:t>ayment</w:t>
      </w:r>
    </w:p>
    <w:p w14:paraId="29E409B4" w14:textId="77777777" w:rsidR="008B2FCC" w:rsidRPr="00A06955" w:rsidRDefault="008B2FCC" w:rsidP="009C1D66">
      <w:pPr>
        <w:ind w:left="993" w:hanging="1"/>
        <w:rPr>
          <w:color w:val="auto"/>
        </w:rPr>
      </w:pPr>
      <w:r w:rsidRPr="00A06955">
        <w:rPr>
          <w:color w:val="auto"/>
        </w:rPr>
        <w:t>The PFI contract provides for deductions from the unitary payment in the case of sub-standard performance or when the facilities are unavailable.</w:t>
      </w:r>
    </w:p>
    <w:p w14:paraId="2C5501E7" w14:textId="77777777" w:rsidR="008B2FCC" w:rsidRPr="00A06955" w:rsidRDefault="008B2FCC" w:rsidP="009C1D66">
      <w:pPr>
        <w:ind w:left="993" w:hanging="1"/>
        <w:rPr>
          <w:color w:val="auto"/>
        </w:rPr>
      </w:pPr>
      <w:r w:rsidRPr="00A06955">
        <w:rPr>
          <w:color w:val="auto"/>
        </w:rPr>
        <w:t>Deductions for sub-standard performance are accounted for as a reduction in the amount paid for the affected ser</w:t>
      </w:r>
      <w:r w:rsidRPr="00A06955">
        <w:rPr>
          <w:color w:val="auto"/>
        </w:rPr>
        <w:lastRenderedPageBreak/>
        <w:t>vices. Deductions arising from unavailability of the property are apportioned pro rata to the proportions of the service and property elements of the unitary payment:</w:t>
      </w:r>
    </w:p>
    <w:p w14:paraId="5436C7A5" w14:textId="4F6B4001" w:rsidR="008B2FCC" w:rsidRPr="00A06955" w:rsidRDefault="009C31BA" w:rsidP="00EC401F">
      <w:pPr>
        <w:numPr>
          <w:ilvl w:val="0"/>
          <w:numId w:val="23"/>
        </w:numPr>
        <w:ind w:left="1560" w:hanging="568"/>
        <w:rPr>
          <w:color w:val="auto"/>
        </w:rPr>
      </w:pPr>
      <w:r>
        <w:rPr>
          <w:color w:val="auto"/>
        </w:rPr>
        <w:t>A</w:t>
      </w:r>
      <w:r w:rsidR="008B2FCC" w:rsidRPr="00A06955">
        <w:rPr>
          <w:color w:val="auto"/>
        </w:rPr>
        <w:t xml:space="preserve"> reduction for part or all of the property being unavailable for use – this will first be accounted for as an abatement of the contingent lease rentals, then finance costs if contingent rents are insufficient and</w:t>
      </w:r>
      <w:r>
        <w:rPr>
          <w:color w:val="auto"/>
        </w:rPr>
        <w:t>;</w:t>
      </w:r>
    </w:p>
    <w:p w14:paraId="5495DEC8" w14:textId="60833F4D" w:rsidR="008B2FCC" w:rsidRPr="00A06955" w:rsidRDefault="00BF229F" w:rsidP="00EC401F">
      <w:pPr>
        <w:numPr>
          <w:ilvl w:val="0"/>
          <w:numId w:val="23"/>
        </w:numPr>
        <w:ind w:left="1560" w:hanging="568"/>
        <w:rPr>
          <w:color w:val="auto"/>
        </w:rPr>
      </w:pPr>
      <w:r>
        <w:rPr>
          <w:color w:val="auto"/>
        </w:rPr>
        <w:t>A</w:t>
      </w:r>
      <w:r w:rsidR="008B2FCC" w:rsidRPr="00A06955">
        <w:rPr>
          <w:color w:val="auto"/>
        </w:rPr>
        <w:t xml:space="preserve"> reduction in the price paid for services whilst services are not being provided accounted for as a reduction in the amount paid for the affected services.</w:t>
      </w:r>
    </w:p>
    <w:p w14:paraId="14907055" w14:textId="26205E1E" w:rsidR="00797D2C" w:rsidRPr="00A06955" w:rsidRDefault="008B2FCC" w:rsidP="009C1D66">
      <w:pPr>
        <w:ind w:left="993" w:hanging="1"/>
        <w:rPr>
          <w:color w:val="auto"/>
        </w:rPr>
      </w:pPr>
      <w:r w:rsidRPr="00A06955">
        <w:rPr>
          <w:color w:val="auto"/>
        </w:rPr>
        <w:t>Deductions of either type are accounted for when the council's entitlement has been established</w:t>
      </w:r>
      <w:r w:rsidR="009C31BA">
        <w:rPr>
          <w:color w:val="auto"/>
        </w:rPr>
        <w:t xml:space="preserve"> </w:t>
      </w:r>
      <w:r w:rsidRPr="00A06955">
        <w:rPr>
          <w:color w:val="auto"/>
        </w:rPr>
        <w:t>and it is probable that the council will be able to make the deduction.</w:t>
      </w:r>
    </w:p>
    <w:p w14:paraId="11FED582" w14:textId="77777777" w:rsidR="00797D2C" w:rsidRPr="00A06955" w:rsidRDefault="00797D2C" w:rsidP="00EC401F">
      <w:pPr>
        <w:pStyle w:val="ListParagraph"/>
        <w:numPr>
          <w:ilvl w:val="0"/>
          <w:numId w:val="11"/>
        </w:numPr>
        <w:ind w:left="993" w:hanging="709"/>
        <w:rPr>
          <w:b/>
          <w:color w:val="auto"/>
        </w:rPr>
      </w:pPr>
      <w:r w:rsidRPr="00A06955">
        <w:rPr>
          <w:b/>
          <w:color w:val="auto"/>
        </w:rPr>
        <w:t>Provisions</w:t>
      </w:r>
    </w:p>
    <w:p w14:paraId="7851A7FA" w14:textId="77777777" w:rsidR="00797D2C" w:rsidRPr="00A06955" w:rsidRDefault="00797D2C" w:rsidP="009C1D66">
      <w:pPr>
        <w:ind w:left="993"/>
        <w:rPr>
          <w:color w:val="auto"/>
        </w:rPr>
      </w:pPr>
      <w:r w:rsidRPr="00A06955">
        <w:rPr>
          <w:color w:val="auto"/>
        </w:rPr>
        <w:t>Provisions are made where an event has taken place that gives the council a legal or constructive obligation that probably requires settlement by a transfer of economic</w:t>
      </w:r>
      <w:r w:rsidR="006273FA" w:rsidRPr="009574F4">
        <w:rPr>
          <w:color w:val="auto"/>
        </w:rPr>
        <w:t xml:space="preserve"> benefits or service potential </w:t>
      </w:r>
      <w:r w:rsidRPr="00A06955">
        <w:rPr>
          <w:color w:val="auto"/>
        </w:rPr>
        <w:t>and</w:t>
      </w:r>
      <w:r w:rsidR="006273FA">
        <w:rPr>
          <w:color w:val="auto"/>
        </w:rPr>
        <w:t>,</w:t>
      </w:r>
      <w:r w:rsidRPr="00A06955">
        <w:rPr>
          <w:color w:val="auto"/>
        </w:rPr>
        <w:t xml:space="preserve"> a reliable estimate can be made of the amount of the obligation. For instance, the council may be involved in a court case that could eventually result in the making of a settlement or the payment of compensation.</w:t>
      </w:r>
    </w:p>
    <w:p w14:paraId="6FA61429" w14:textId="77777777" w:rsidR="00797D2C" w:rsidRPr="00A06955" w:rsidRDefault="00797D2C" w:rsidP="009C1D66">
      <w:pPr>
        <w:ind w:left="993" w:hanging="1"/>
        <w:rPr>
          <w:color w:val="auto"/>
        </w:rPr>
      </w:pPr>
      <w:r w:rsidRPr="00A06955">
        <w:rPr>
          <w:color w:val="auto"/>
        </w:rPr>
        <w:lastRenderedPageBreak/>
        <w:t xml:space="preserve">Provisions are charged as an expense to the appropriate service line in the Comprehensive Income and Expenditure Statement in the year the council becomes aware of the obligation, and are measured at the best estimate at the balance sheet date of the expenditure required to settle the obligation, taking into account relevant risks and uncertainties. </w:t>
      </w:r>
    </w:p>
    <w:p w14:paraId="516049ED" w14:textId="77777777" w:rsidR="00797D2C" w:rsidRPr="00A06955" w:rsidRDefault="00797D2C" w:rsidP="009C1D66">
      <w:pPr>
        <w:ind w:left="993"/>
        <w:rPr>
          <w:color w:val="auto"/>
        </w:rPr>
      </w:pPr>
      <w:r w:rsidRPr="00A06955">
        <w:rPr>
          <w:color w:val="auto"/>
        </w:rPr>
        <w:t>When payments are eventually made, they are charged to the provision carried in the balance sheet. Estimated settlements are reviewed at t</w:t>
      </w:r>
      <w:r w:rsidR="006273FA" w:rsidRPr="009574F4">
        <w:rPr>
          <w:color w:val="auto"/>
        </w:rPr>
        <w:t xml:space="preserve">he end of each financial year.  </w:t>
      </w:r>
      <w:r w:rsidR="006273FA">
        <w:rPr>
          <w:color w:val="auto"/>
        </w:rPr>
        <w:t>W</w:t>
      </w:r>
      <w:r w:rsidRPr="00A06955">
        <w:rPr>
          <w:color w:val="auto"/>
        </w:rPr>
        <w:t>here it becomes more likely than not that a transfer of economic benefits will not now be required (or a lower settlement than anticipated is made), the provision is reversed and credited back to the relevant service revenue account.</w:t>
      </w:r>
    </w:p>
    <w:p w14:paraId="1C5C53DC" w14:textId="42C76304" w:rsidR="00C53844" w:rsidRDefault="00797D2C" w:rsidP="009C1D66">
      <w:pPr>
        <w:ind w:left="993" w:hanging="1"/>
        <w:rPr>
          <w:color w:val="auto"/>
        </w:rPr>
      </w:pPr>
      <w:r w:rsidRPr="00A06955">
        <w:rPr>
          <w:color w:val="auto"/>
        </w:rPr>
        <w:t>Where some or all of the payment required to settle a provision is expected to be met by another party (e.g. from an insurance claim), this is only recognised as income in the relevant service revenue account if it is virtually certain that reimbursement will be received if the obligation is settled.</w:t>
      </w:r>
    </w:p>
    <w:p w14:paraId="5FAE7117" w14:textId="77777777" w:rsidR="00B3248D" w:rsidRDefault="00B3248D" w:rsidP="009C1D66">
      <w:pPr>
        <w:ind w:left="993" w:hanging="1"/>
        <w:rPr>
          <w:color w:val="auto"/>
        </w:rPr>
      </w:pPr>
    </w:p>
    <w:p w14:paraId="423574FE" w14:textId="77777777" w:rsidR="00B3248D" w:rsidRPr="00A06955" w:rsidRDefault="00B3248D" w:rsidP="009C1D66">
      <w:pPr>
        <w:ind w:left="993" w:hanging="1"/>
        <w:rPr>
          <w:color w:val="auto"/>
        </w:rPr>
      </w:pPr>
    </w:p>
    <w:p w14:paraId="0222B1E9" w14:textId="50FF914D" w:rsidR="00CA30DC" w:rsidRPr="00A06955" w:rsidRDefault="00512B2C" w:rsidP="00EC401F">
      <w:pPr>
        <w:numPr>
          <w:ilvl w:val="0"/>
          <w:numId w:val="11"/>
        </w:numPr>
        <w:ind w:left="993" w:hanging="709"/>
        <w:rPr>
          <w:b/>
          <w:color w:val="auto"/>
        </w:rPr>
      </w:pPr>
      <w:r>
        <w:rPr>
          <w:b/>
          <w:color w:val="auto"/>
        </w:rPr>
        <w:t>Contingent l</w:t>
      </w:r>
      <w:r w:rsidR="00497F27" w:rsidRPr="00A06955">
        <w:rPr>
          <w:b/>
          <w:color w:val="auto"/>
        </w:rPr>
        <w:t>iabilities</w:t>
      </w:r>
    </w:p>
    <w:p w14:paraId="080FF038" w14:textId="0C9FC9E4" w:rsidR="009A22ED" w:rsidRPr="00A06955" w:rsidRDefault="009A22ED" w:rsidP="009C1D66">
      <w:pPr>
        <w:ind w:left="993"/>
        <w:rPr>
          <w:color w:val="auto"/>
        </w:rPr>
      </w:pPr>
      <w:r w:rsidRPr="00A06955">
        <w:rPr>
          <w:color w:val="auto"/>
        </w:rPr>
        <w:lastRenderedPageBreak/>
        <w:t>A contingent liability arises where an event has taken place that gives the council a possible obligation whose existence will only be confirmed by the occurrence or otherwise of uncertain future events not wholly within the control of the council. Contingent liabilities also arise in circumstances where a provision would otherwise be made but either it is not probable that the outflow of resources will be required or</w:t>
      </w:r>
      <w:r w:rsidR="006273FA">
        <w:rPr>
          <w:color w:val="auto"/>
        </w:rPr>
        <w:t>,</w:t>
      </w:r>
      <w:r w:rsidRPr="00A06955">
        <w:rPr>
          <w:color w:val="auto"/>
        </w:rPr>
        <w:t xml:space="preserve"> the amount of the obligation cannot be measured reliably.</w:t>
      </w:r>
    </w:p>
    <w:p w14:paraId="667F4D24" w14:textId="7F3384E4" w:rsidR="00497F27" w:rsidRPr="00A06955" w:rsidRDefault="009A22ED" w:rsidP="009C1D66">
      <w:pPr>
        <w:ind w:left="993"/>
        <w:rPr>
          <w:color w:val="auto"/>
        </w:rPr>
      </w:pPr>
      <w:r w:rsidRPr="00A06955">
        <w:rPr>
          <w:color w:val="auto"/>
        </w:rPr>
        <w:t>Contingent liabilities are not recognised in the balance sheet but disclosed in a note to the accounts (</w:t>
      </w:r>
      <w:r w:rsidRPr="0031070E">
        <w:rPr>
          <w:color w:val="auto"/>
        </w:rPr>
        <w:t xml:space="preserve">see note </w:t>
      </w:r>
      <w:r w:rsidR="00B62678">
        <w:rPr>
          <w:color w:val="auto"/>
        </w:rPr>
        <w:t>40</w:t>
      </w:r>
      <w:r w:rsidRPr="00A06955">
        <w:rPr>
          <w:color w:val="auto"/>
        </w:rPr>
        <w:t>).</w:t>
      </w:r>
    </w:p>
    <w:p w14:paraId="10717548" w14:textId="77777777" w:rsidR="00BF6F2B" w:rsidRPr="00A06955" w:rsidRDefault="00BF6F2B" w:rsidP="00EC401F">
      <w:pPr>
        <w:numPr>
          <w:ilvl w:val="0"/>
          <w:numId w:val="11"/>
        </w:numPr>
        <w:ind w:left="993" w:hanging="709"/>
        <w:rPr>
          <w:b/>
          <w:color w:val="auto"/>
        </w:rPr>
      </w:pPr>
      <w:r w:rsidRPr="00A06955">
        <w:rPr>
          <w:b/>
          <w:color w:val="auto"/>
        </w:rPr>
        <w:t>Reserves</w:t>
      </w:r>
    </w:p>
    <w:p w14:paraId="6BAD0C57" w14:textId="77777777" w:rsidR="00BF6F2B" w:rsidRPr="00A06955" w:rsidRDefault="00BF6F2B" w:rsidP="009C1D66">
      <w:pPr>
        <w:ind w:left="993"/>
        <w:rPr>
          <w:color w:val="auto"/>
        </w:rPr>
      </w:pPr>
      <w:r w:rsidRPr="00A06955">
        <w:rPr>
          <w:color w:val="auto"/>
        </w:rPr>
        <w:t>The council sets aside specific amounts as reserves for future policy purposes or to cover contingencies. Reserves are created by appropriating amounts out of the County Fund balance in the Movement in Reserves Statement.</w:t>
      </w:r>
    </w:p>
    <w:p w14:paraId="68BF66DB" w14:textId="77777777" w:rsidR="00BF6F2B" w:rsidRPr="00A06955" w:rsidRDefault="00BF6F2B" w:rsidP="009C1D66">
      <w:pPr>
        <w:ind w:left="993"/>
        <w:rPr>
          <w:color w:val="auto"/>
        </w:rPr>
      </w:pPr>
      <w:r w:rsidRPr="00A06955">
        <w:rPr>
          <w:color w:val="auto"/>
        </w:rPr>
        <w:t>When expenditure to be financed from a reserve is incurred, it is charged to the appropriate service revenue account in that year to score against the surplus or deficit on the provision of services in the Comprehensive Income and Expenditure Statement. The reserve is then appropri</w:t>
      </w:r>
      <w:r w:rsidRPr="00A06955">
        <w:rPr>
          <w:color w:val="auto"/>
        </w:rPr>
        <w:lastRenderedPageBreak/>
        <w:t>ated back into the County Fund in the Movement in Reserves Statement so that there is no net charge against council tax for the expenditure.</w:t>
      </w:r>
    </w:p>
    <w:p w14:paraId="11D9C623" w14:textId="74815380" w:rsidR="00BF6F2B" w:rsidRPr="00A06955" w:rsidRDefault="00BF6F2B" w:rsidP="009C1D66">
      <w:pPr>
        <w:ind w:left="993"/>
        <w:rPr>
          <w:color w:val="auto"/>
        </w:rPr>
      </w:pPr>
      <w:r w:rsidRPr="00A06955">
        <w:rPr>
          <w:color w:val="auto"/>
        </w:rPr>
        <w:t>Certain reserves are kept to manage the accounting processes for non-current assets, financial instruments and retirement and employee benefits and do not represent usable resources for the council</w:t>
      </w:r>
      <w:r w:rsidR="006273FA">
        <w:rPr>
          <w:color w:val="auto"/>
        </w:rPr>
        <w:t>.  T</w:t>
      </w:r>
      <w:r w:rsidRPr="00A06955">
        <w:rPr>
          <w:color w:val="auto"/>
        </w:rPr>
        <w:t>hese reserves are explained in the relevant policies.</w:t>
      </w:r>
    </w:p>
    <w:p w14:paraId="2383BD60" w14:textId="0F4087D6" w:rsidR="00BF6F2B" w:rsidRPr="00A06955" w:rsidRDefault="00BF6F2B" w:rsidP="00EC401F">
      <w:pPr>
        <w:numPr>
          <w:ilvl w:val="0"/>
          <w:numId w:val="11"/>
        </w:numPr>
        <w:ind w:left="993" w:hanging="709"/>
        <w:rPr>
          <w:b/>
          <w:color w:val="auto"/>
        </w:rPr>
      </w:pPr>
      <w:r w:rsidRPr="00A06955">
        <w:rPr>
          <w:b/>
          <w:color w:val="auto"/>
        </w:rPr>
        <w:t xml:space="preserve">Revenue </w:t>
      </w:r>
      <w:r w:rsidR="00512B2C">
        <w:rPr>
          <w:b/>
          <w:color w:val="auto"/>
        </w:rPr>
        <w:t>e</w:t>
      </w:r>
      <w:r w:rsidRPr="00A06955">
        <w:rPr>
          <w:b/>
          <w:color w:val="auto"/>
        </w:rPr>
        <w:t xml:space="preserve">xpenditure </w:t>
      </w:r>
      <w:r w:rsidR="00512B2C">
        <w:rPr>
          <w:b/>
          <w:color w:val="auto"/>
        </w:rPr>
        <w:t>f</w:t>
      </w:r>
      <w:r w:rsidRPr="00A06955">
        <w:rPr>
          <w:b/>
          <w:color w:val="auto"/>
        </w:rPr>
        <w:t xml:space="preserve">unded from </w:t>
      </w:r>
      <w:r w:rsidR="00512B2C">
        <w:rPr>
          <w:b/>
          <w:color w:val="auto"/>
        </w:rPr>
        <w:t>c</w:t>
      </w:r>
      <w:r w:rsidRPr="00A06955">
        <w:rPr>
          <w:b/>
          <w:color w:val="auto"/>
        </w:rPr>
        <w:t xml:space="preserve">apital under </w:t>
      </w:r>
      <w:r w:rsidR="00512B2C">
        <w:rPr>
          <w:b/>
          <w:color w:val="auto"/>
        </w:rPr>
        <w:t>s</w:t>
      </w:r>
      <w:r w:rsidRPr="00A06955">
        <w:rPr>
          <w:b/>
          <w:color w:val="auto"/>
        </w:rPr>
        <w:t>tatute</w:t>
      </w:r>
    </w:p>
    <w:p w14:paraId="1004CD11" w14:textId="39080E2E" w:rsidR="00BF6F2B" w:rsidRPr="00A06955" w:rsidRDefault="00BF6F2B" w:rsidP="009C1D66">
      <w:pPr>
        <w:ind w:left="993"/>
        <w:rPr>
          <w:color w:val="auto"/>
        </w:rPr>
      </w:pPr>
      <w:r w:rsidRPr="00A06955">
        <w:rPr>
          <w:color w:val="auto"/>
        </w:rPr>
        <w:t xml:space="preserve">Expenditure incurred during the year that may be capitalised under statutory provisions but does not result in the creation of a non-current asset has been charged as expenditure to the relevant service in the Comprehensive Income and Expenditure Statement in the year. </w:t>
      </w:r>
    </w:p>
    <w:p w14:paraId="233BB9B4" w14:textId="77777777" w:rsidR="00BF6F2B" w:rsidRDefault="00BF6F2B" w:rsidP="009C1D66">
      <w:pPr>
        <w:ind w:left="993"/>
        <w:rPr>
          <w:color w:val="auto"/>
        </w:rPr>
      </w:pPr>
      <w:r w:rsidRPr="00A06955">
        <w:rPr>
          <w:color w:val="auto"/>
        </w:rPr>
        <w:t>Where the council has determined to meet the cost of this expenditure from existing capital resources or by borrowing, a transfer from the County Fund to the Capital Adjustment Account then reverses out the amounts charged so that there is no impact on the level of council tax.</w:t>
      </w:r>
    </w:p>
    <w:p w14:paraId="4DD92B06" w14:textId="77777777" w:rsidR="00B9298C" w:rsidRPr="00A06955" w:rsidRDefault="00B9298C" w:rsidP="009C1D66">
      <w:pPr>
        <w:ind w:left="993"/>
        <w:rPr>
          <w:color w:val="auto"/>
        </w:rPr>
      </w:pPr>
    </w:p>
    <w:p w14:paraId="267E9D77" w14:textId="77777777" w:rsidR="009A22ED" w:rsidRPr="00A06955" w:rsidRDefault="009A22ED" w:rsidP="00EC401F">
      <w:pPr>
        <w:numPr>
          <w:ilvl w:val="0"/>
          <w:numId w:val="11"/>
        </w:numPr>
        <w:ind w:left="993" w:hanging="709"/>
        <w:rPr>
          <w:b/>
          <w:color w:val="auto"/>
        </w:rPr>
      </w:pPr>
      <w:r w:rsidRPr="00A06955">
        <w:rPr>
          <w:b/>
          <w:color w:val="auto"/>
        </w:rPr>
        <w:t>Value Added Tax (VAT)</w:t>
      </w:r>
    </w:p>
    <w:p w14:paraId="626BB1B3" w14:textId="77777777" w:rsidR="009A22ED" w:rsidRPr="00A06955" w:rsidRDefault="009A22ED" w:rsidP="009C1D66">
      <w:pPr>
        <w:ind w:left="993"/>
        <w:rPr>
          <w:color w:val="auto"/>
        </w:rPr>
      </w:pPr>
      <w:r w:rsidRPr="00A06955">
        <w:rPr>
          <w:color w:val="auto"/>
        </w:rPr>
        <w:lastRenderedPageBreak/>
        <w:t>VAT payable is included as an expense only to the extent that it is not recoverable from Her Majesty's Revenue and Customs. VAT receivable is excluded from income.</w:t>
      </w:r>
    </w:p>
    <w:p w14:paraId="355A344D" w14:textId="750AA17B" w:rsidR="009A22ED" w:rsidRPr="00A06955" w:rsidRDefault="003921DD" w:rsidP="00EC401F">
      <w:pPr>
        <w:pStyle w:val="ListParagraph"/>
        <w:numPr>
          <w:ilvl w:val="0"/>
          <w:numId w:val="11"/>
        </w:numPr>
        <w:ind w:left="993" w:hanging="709"/>
        <w:rPr>
          <w:b/>
          <w:color w:val="auto"/>
        </w:rPr>
      </w:pPr>
      <w:r w:rsidRPr="00A06955">
        <w:rPr>
          <w:b/>
          <w:color w:val="auto"/>
        </w:rPr>
        <w:t>Co</w:t>
      </w:r>
      <w:r w:rsidR="00F21961" w:rsidRPr="00A06955">
        <w:rPr>
          <w:b/>
          <w:color w:val="auto"/>
        </w:rPr>
        <w:t xml:space="preserve">llection </w:t>
      </w:r>
      <w:r w:rsidR="00512B2C">
        <w:rPr>
          <w:b/>
          <w:color w:val="auto"/>
        </w:rPr>
        <w:t>F</w:t>
      </w:r>
      <w:r w:rsidR="00F21961" w:rsidRPr="00A06955">
        <w:rPr>
          <w:b/>
          <w:color w:val="auto"/>
        </w:rPr>
        <w:t>und</w:t>
      </w:r>
      <w:r w:rsidRPr="00A06955">
        <w:rPr>
          <w:b/>
          <w:color w:val="auto"/>
        </w:rPr>
        <w:t xml:space="preserve"> </w:t>
      </w:r>
      <w:r w:rsidR="00512B2C">
        <w:rPr>
          <w:b/>
          <w:color w:val="auto"/>
        </w:rPr>
        <w:t>a</w:t>
      </w:r>
      <w:r w:rsidRPr="00A06955">
        <w:rPr>
          <w:b/>
          <w:color w:val="auto"/>
        </w:rPr>
        <w:t xml:space="preserve">gency </w:t>
      </w:r>
      <w:r w:rsidR="00512B2C">
        <w:rPr>
          <w:b/>
          <w:color w:val="auto"/>
        </w:rPr>
        <w:t>a</w:t>
      </w:r>
      <w:r w:rsidRPr="00A06955">
        <w:rPr>
          <w:b/>
          <w:color w:val="auto"/>
        </w:rPr>
        <w:t>rrangements</w:t>
      </w:r>
    </w:p>
    <w:p w14:paraId="609542B7" w14:textId="2FBBD836" w:rsidR="003921DD" w:rsidRPr="00A06955" w:rsidRDefault="003921DD" w:rsidP="009C1D66">
      <w:pPr>
        <w:ind w:left="993"/>
        <w:rPr>
          <w:color w:val="auto"/>
        </w:rPr>
      </w:pPr>
      <w:r w:rsidRPr="00A06955">
        <w:rPr>
          <w:color w:val="auto"/>
        </w:rPr>
        <w:t>Billing authorities in England are required by statute to maintain a separate fund for the collection and distribution of amounts due in respect of council tax and national non-domestic rates (</w:t>
      </w:r>
      <w:r w:rsidR="00B85FAD">
        <w:rPr>
          <w:color w:val="auto"/>
        </w:rPr>
        <w:t>NDR</w:t>
      </w:r>
      <w:r w:rsidRPr="00A06955">
        <w:rPr>
          <w:color w:val="auto"/>
        </w:rPr>
        <w:t xml:space="preserve">). The fund's key features relevant to accounting for council tax and </w:t>
      </w:r>
      <w:r w:rsidR="00B85FAD">
        <w:rPr>
          <w:color w:val="auto"/>
        </w:rPr>
        <w:t>NDR</w:t>
      </w:r>
      <w:r w:rsidRPr="00A06955">
        <w:rPr>
          <w:color w:val="auto"/>
        </w:rPr>
        <w:t xml:space="preserve"> in core financial statements are:</w:t>
      </w:r>
    </w:p>
    <w:p w14:paraId="592D5107" w14:textId="5462505B" w:rsidR="003921DD" w:rsidRPr="00A06955" w:rsidRDefault="003921DD" w:rsidP="00EC401F">
      <w:pPr>
        <w:numPr>
          <w:ilvl w:val="0"/>
          <w:numId w:val="28"/>
        </w:numPr>
        <w:ind w:left="1560" w:hanging="567"/>
        <w:rPr>
          <w:color w:val="auto"/>
        </w:rPr>
      </w:pPr>
      <w:r w:rsidRPr="00A06955">
        <w:rPr>
          <w:color w:val="auto"/>
        </w:rPr>
        <w:t>In its capacity as a billing authority a council acts as an agent</w:t>
      </w:r>
      <w:r w:rsidR="00FA2476">
        <w:rPr>
          <w:color w:val="auto"/>
        </w:rPr>
        <w:t>.  I</w:t>
      </w:r>
      <w:r w:rsidRPr="00A06955">
        <w:rPr>
          <w:color w:val="auto"/>
        </w:rPr>
        <w:t>t collects and distributes council tax income on behalf of the major preceptors and itself.</w:t>
      </w:r>
    </w:p>
    <w:p w14:paraId="3A8A5E9F" w14:textId="77777777" w:rsidR="003921DD" w:rsidRPr="00A06955" w:rsidRDefault="003921DD" w:rsidP="00EC401F">
      <w:pPr>
        <w:numPr>
          <w:ilvl w:val="0"/>
          <w:numId w:val="28"/>
        </w:numPr>
        <w:ind w:left="1560" w:hanging="567"/>
        <w:rPr>
          <w:color w:val="auto"/>
        </w:rPr>
      </w:pPr>
      <w:r w:rsidRPr="00A06955">
        <w:rPr>
          <w:color w:val="auto"/>
        </w:rPr>
        <w:t>While the council tax income for the year credited to the billing authority's Collection Fund is the accrued income for the year, regulations determine when it should be released from the Collection Fund and transferred to the County Fund of the billing authority or paid out of the Collection Fund to major preceptors (and in turn credited to their County Fund).</w:t>
      </w:r>
    </w:p>
    <w:p w14:paraId="695CD4DF" w14:textId="77777777" w:rsidR="003921DD" w:rsidRPr="00A06955" w:rsidRDefault="003921DD" w:rsidP="009C1D66">
      <w:pPr>
        <w:ind w:left="993"/>
        <w:rPr>
          <w:color w:val="auto"/>
        </w:rPr>
      </w:pPr>
      <w:r w:rsidRPr="00A06955">
        <w:rPr>
          <w:color w:val="auto"/>
        </w:rPr>
        <w:t>Lancashire County Council is a major preceptor with 12 districts.</w:t>
      </w:r>
    </w:p>
    <w:p w14:paraId="295F6A6C" w14:textId="77777777" w:rsidR="003921DD" w:rsidRPr="00A06955" w:rsidRDefault="003921DD" w:rsidP="009C1D66">
      <w:pPr>
        <w:ind w:left="993"/>
        <w:rPr>
          <w:color w:val="auto"/>
        </w:rPr>
      </w:pPr>
      <w:r w:rsidRPr="00A06955">
        <w:rPr>
          <w:color w:val="auto"/>
        </w:rPr>
        <w:lastRenderedPageBreak/>
        <w:t>From the year commencing 1 April 2009, for both billing authorities and major preceptors the council tax income included in the Comprehensive Income and Expenditure Statement for the year is required to be the accrued income for the year.</w:t>
      </w:r>
    </w:p>
    <w:p w14:paraId="4C826AEE" w14:textId="77777777" w:rsidR="003921DD" w:rsidRPr="00A06955" w:rsidRDefault="003921DD" w:rsidP="009C1D66">
      <w:pPr>
        <w:ind w:left="993"/>
        <w:rPr>
          <w:color w:val="auto"/>
        </w:rPr>
      </w:pPr>
      <w:r w:rsidRPr="00A06955">
        <w:rPr>
          <w:color w:val="auto"/>
        </w:rPr>
        <w:t>The difference between the income included in the Comprehensive Income and Expenditure Statement and the amount required by regulation to be credited to the County Fund is taken to the Collection Fund Adjustment Account and included as a reconciling item in the Movement in Reserves Statement on the County Fund Balance to ensure that there is no impact from this change on the taxpayer.</w:t>
      </w:r>
    </w:p>
    <w:p w14:paraId="424D010E" w14:textId="77777777" w:rsidR="003921DD" w:rsidRPr="00A06955" w:rsidRDefault="003921DD" w:rsidP="009C1D66">
      <w:pPr>
        <w:ind w:left="993"/>
        <w:rPr>
          <w:color w:val="auto"/>
        </w:rPr>
      </w:pPr>
      <w:r w:rsidRPr="00A06955">
        <w:rPr>
          <w:color w:val="auto"/>
        </w:rPr>
        <w:t>Since the collection of council tax is, in substance, an agency arrangement, the cash collected by the billing authorities from council taxpayers belongs proportionately to the billing authority and the major preceptors (e</w:t>
      </w:r>
      <w:r w:rsidR="00FA2476">
        <w:rPr>
          <w:color w:val="auto"/>
        </w:rPr>
        <w:t>.</w:t>
      </w:r>
      <w:r w:rsidRPr="00A06955">
        <w:rPr>
          <w:color w:val="auto"/>
        </w:rPr>
        <w:t>g</w:t>
      </w:r>
      <w:r w:rsidR="00FA2476">
        <w:rPr>
          <w:color w:val="auto"/>
        </w:rPr>
        <w:t>.</w:t>
      </w:r>
      <w:r w:rsidRPr="00A06955">
        <w:rPr>
          <w:color w:val="auto"/>
        </w:rPr>
        <w:t xml:space="preserve"> Lancashire County Council).</w:t>
      </w:r>
    </w:p>
    <w:p w14:paraId="1F2E52B3" w14:textId="77777777" w:rsidR="003921DD" w:rsidRPr="00A06955" w:rsidRDefault="003921DD" w:rsidP="009C1D66">
      <w:pPr>
        <w:ind w:left="993"/>
        <w:rPr>
          <w:color w:val="auto"/>
        </w:rPr>
      </w:pPr>
      <w:r w:rsidRPr="00A06955">
        <w:rPr>
          <w:color w:val="auto"/>
        </w:rPr>
        <w:t>There will therefore be a debtor/creditor position between the billing authorities and each major preceptor to be recognised</w:t>
      </w:r>
      <w:r w:rsidR="00FA2476">
        <w:rPr>
          <w:color w:val="auto"/>
        </w:rPr>
        <w:t>,</w:t>
      </w:r>
      <w:r w:rsidRPr="00A06955">
        <w:rPr>
          <w:color w:val="auto"/>
        </w:rPr>
        <w:t xml:space="preserve"> since the net cash paid to each major preceptor in the year will not be its share of cash collected from council taxpayers.</w:t>
      </w:r>
    </w:p>
    <w:p w14:paraId="4F2763FC" w14:textId="77777777" w:rsidR="003921DD" w:rsidRPr="00A06955" w:rsidRDefault="003921DD" w:rsidP="009C1D66">
      <w:pPr>
        <w:ind w:left="993"/>
        <w:rPr>
          <w:color w:val="auto"/>
        </w:rPr>
      </w:pPr>
      <w:r w:rsidRPr="00A06955">
        <w:rPr>
          <w:color w:val="auto"/>
        </w:rPr>
        <w:t>In addition, the balance sheet of both billing and precepting authorities will include:</w:t>
      </w:r>
    </w:p>
    <w:p w14:paraId="353394E9" w14:textId="5AB18A80" w:rsidR="003921DD" w:rsidRPr="00A06955" w:rsidRDefault="00FA2476" w:rsidP="00EC401F">
      <w:pPr>
        <w:numPr>
          <w:ilvl w:val="0"/>
          <w:numId w:val="29"/>
        </w:numPr>
        <w:ind w:left="1560" w:hanging="567"/>
        <w:rPr>
          <w:color w:val="auto"/>
        </w:rPr>
      </w:pPr>
      <w:r>
        <w:rPr>
          <w:color w:val="auto"/>
        </w:rPr>
        <w:lastRenderedPageBreak/>
        <w:t>A</w:t>
      </w:r>
      <w:r w:rsidR="003921DD" w:rsidRPr="00A06955">
        <w:rPr>
          <w:color w:val="auto"/>
        </w:rPr>
        <w:t>n attributable share of council tax debtors, net of impairment allowances for doubtful debts;</w:t>
      </w:r>
    </w:p>
    <w:p w14:paraId="16E48ABC" w14:textId="750EBEF5" w:rsidR="003921DD" w:rsidRPr="00A06955" w:rsidRDefault="00FA2476" w:rsidP="00EC401F">
      <w:pPr>
        <w:numPr>
          <w:ilvl w:val="0"/>
          <w:numId w:val="29"/>
        </w:numPr>
        <w:ind w:left="1560" w:hanging="567"/>
        <w:rPr>
          <w:color w:val="auto"/>
        </w:rPr>
      </w:pPr>
      <w:r>
        <w:rPr>
          <w:color w:val="auto"/>
        </w:rPr>
        <w:t>A</w:t>
      </w:r>
      <w:r w:rsidR="003921DD" w:rsidRPr="00A06955">
        <w:rPr>
          <w:color w:val="auto"/>
        </w:rPr>
        <w:t>n attributable share of creditors for overpaid council tax</w:t>
      </w:r>
      <w:r>
        <w:rPr>
          <w:color w:val="auto"/>
        </w:rPr>
        <w:t xml:space="preserve"> </w:t>
      </w:r>
      <w:r w:rsidR="003921DD" w:rsidRPr="00A06955">
        <w:rPr>
          <w:color w:val="auto"/>
        </w:rPr>
        <w:t>and</w:t>
      </w:r>
      <w:r w:rsidR="00BF6F2B" w:rsidRPr="00A06955">
        <w:rPr>
          <w:color w:val="auto"/>
        </w:rPr>
        <w:t>;</w:t>
      </w:r>
    </w:p>
    <w:p w14:paraId="58AB0AD6" w14:textId="669DF4A9" w:rsidR="009C0921" w:rsidRPr="00A06955" w:rsidRDefault="00FA2476" w:rsidP="00EC401F">
      <w:pPr>
        <w:numPr>
          <w:ilvl w:val="0"/>
          <w:numId w:val="29"/>
        </w:numPr>
        <w:ind w:left="1560" w:hanging="567"/>
        <w:rPr>
          <w:color w:val="auto"/>
        </w:rPr>
      </w:pPr>
      <w:r>
        <w:rPr>
          <w:color w:val="auto"/>
        </w:rPr>
        <w:t>a</w:t>
      </w:r>
      <w:r w:rsidR="003921DD" w:rsidRPr="00A06955">
        <w:rPr>
          <w:color w:val="auto"/>
        </w:rPr>
        <w:t xml:space="preserve"> debtor for the billing authorities for cash collected from council tax payers but not paid across or</w:t>
      </w:r>
      <w:r>
        <w:rPr>
          <w:color w:val="auto"/>
        </w:rPr>
        <w:t>,</w:t>
      </w:r>
      <w:r w:rsidR="003921DD" w:rsidRPr="00A06955">
        <w:rPr>
          <w:color w:val="auto"/>
        </w:rPr>
        <w:t xml:space="preserve"> a creditor for cash paid in advance from council tax payers.</w:t>
      </w:r>
    </w:p>
    <w:p w14:paraId="046A2C1C" w14:textId="1CD7C2C7" w:rsidR="009C0921" w:rsidRPr="00A06955" w:rsidRDefault="009C0921" w:rsidP="00EC401F">
      <w:pPr>
        <w:pStyle w:val="ListParagraph"/>
        <w:numPr>
          <w:ilvl w:val="0"/>
          <w:numId w:val="11"/>
        </w:numPr>
        <w:ind w:left="993" w:hanging="709"/>
        <w:rPr>
          <w:color w:val="auto"/>
        </w:rPr>
      </w:pPr>
      <w:r w:rsidRPr="00A06955">
        <w:rPr>
          <w:b/>
          <w:color w:val="auto"/>
        </w:rPr>
        <w:t xml:space="preserve">Property, Plant </w:t>
      </w:r>
      <w:r w:rsidR="006D1ED6">
        <w:rPr>
          <w:b/>
          <w:color w:val="auto"/>
        </w:rPr>
        <w:t>and Equipment not owned by the c</w:t>
      </w:r>
      <w:r w:rsidRPr="00A06955">
        <w:rPr>
          <w:b/>
          <w:color w:val="auto"/>
        </w:rPr>
        <w:t>ouncil</w:t>
      </w:r>
    </w:p>
    <w:p w14:paraId="2F62A95D" w14:textId="2C8ADE37" w:rsidR="00E80732" w:rsidRDefault="009C0921" w:rsidP="00E80732">
      <w:pPr>
        <w:ind w:left="993"/>
        <w:rPr>
          <w:color w:val="auto"/>
        </w:rPr>
      </w:pPr>
      <w:r w:rsidRPr="00A06955">
        <w:rPr>
          <w:color w:val="auto"/>
        </w:rPr>
        <w:t xml:space="preserve">Some voluntary aided and controlled schools are owned by </w:t>
      </w:r>
      <w:r w:rsidR="00AD3264">
        <w:rPr>
          <w:color w:val="auto"/>
        </w:rPr>
        <w:t>trustees</w:t>
      </w:r>
      <w:r w:rsidRPr="00A06955">
        <w:rPr>
          <w:color w:val="auto"/>
        </w:rPr>
        <w:t>. However the</w:t>
      </w:r>
      <w:r w:rsidR="00267BDA">
        <w:rPr>
          <w:color w:val="auto"/>
        </w:rPr>
        <w:t>se schools are included in our Property, Plant and E</w:t>
      </w:r>
      <w:r w:rsidRPr="00A06955">
        <w:rPr>
          <w:color w:val="auto"/>
        </w:rPr>
        <w:t>quipment</w:t>
      </w:r>
      <w:r w:rsidR="00FA2476">
        <w:rPr>
          <w:color w:val="auto"/>
        </w:rPr>
        <w:t>.  This is because</w:t>
      </w:r>
      <w:r w:rsidRPr="00A06955">
        <w:rPr>
          <w:color w:val="auto"/>
        </w:rPr>
        <w:t xml:space="preserve"> we receive the benefit from using the properties in terms of delivery of services and also meet their costs of service provision.</w:t>
      </w:r>
      <w:r w:rsidR="00D23CD1">
        <w:rPr>
          <w:color w:val="auto"/>
        </w:rPr>
        <w:t xml:space="preserve">  </w:t>
      </w:r>
      <w:r w:rsidR="00D23CD1">
        <w:rPr>
          <w:rFonts w:cs="Arial"/>
        </w:rPr>
        <w:t>The recognition of school assets within the LCC balance sheet is a critical judgement which is discussed in more detail in note 2</w:t>
      </w:r>
    </w:p>
    <w:p w14:paraId="104FE115" w14:textId="77777777" w:rsidR="00E80732" w:rsidRPr="00E80732" w:rsidRDefault="00E80732" w:rsidP="00E80732">
      <w:pPr>
        <w:ind w:left="993"/>
        <w:rPr>
          <w:color w:val="auto"/>
        </w:rPr>
      </w:pPr>
    </w:p>
    <w:p w14:paraId="739167E1" w14:textId="10EFB78C" w:rsidR="00700B18" w:rsidRPr="00A06955" w:rsidRDefault="00700B18" w:rsidP="00700B18">
      <w:pPr>
        <w:pStyle w:val="Heading2"/>
      </w:pPr>
      <w:r w:rsidRPr="00A06955">
        <w:lastRenderedPageBreak/>
        <w:t>2. Critical judgements in applying accounting policies</w:t>
      </w:r>
      <w:r w:rsidR="009574F4" w:rsidRPr="00A06955">
        <w:t xml:space="preserve"> </w:t>
      </w:r>
    </w:p>
    <w:p w14:paraId="2C4B08CB" w14:textId="77777777" w:rsidR="007C12D1" w:rsidRPr="00A06955" w:rsidRDefault="007C12D1" w:rsidP="009C1D66">
      <w:pPr>
        <w:ind w:left="426"/>
        <w:rPr>
          <w:lang w:eastAsia="en-GB"/>
        </w:rPr>
      </w:pPr>
      <w:r w:rsidRPr="00A06955">
        <w:rPr>
          <w:lang w:eastAsia="en-GB"/>
        </w:rPr>
        <w:t>The Statement of Accounting Policies is set out in note 1. In applying the accounting policies, the council has to make certain judgements about complex transactions or those involving uncertainty about future events.</w:t>
      </w:r>
    </w:p>
    <w:p w14:paraId="559D1682" w14:textId="77777777" w:rsidR="00700B18" w:rsidRPr="00A06955" w:rsidRDefault="007C12D1" w:rsidP="009C1D66">
      <w:pPr>
        <w:ind w:left="426"/>
        <w:rPr>
          <w:lang w:eastAsia="en-GB"/>
        </w:rPr>
      </w:pPr>
      <w:r w:rsidRPr="00A06955">
        <w:rPr>
          <w:lang w:eastAsia="en-GB"/>
        </w:rPr>
        <w:t>The critical judgements made in the Statement of Accounts are:</w:t>
      </w:r>
    </w:p>
    <w:p w14:paraId="06754D00" w14:textId="77777777" w:rsidR="007C12D1" w:rsidRPr="00A06955" w:rsidRDefault="007C12D1" w:rsidP="00EC401F">
      <w:pPr>
        <w:numPr>
          <w:ilvl w:val="0"/>
          <w:numId w:val="30"/>
        </w:numPr>
        <w:ind w:left="1560" w:hanging="567"/>
        <w:rPr>
          <w:lang w:eastAsia="en-GB"/>
        </w:rPr>
      </w:pPr>
      <w:r w:rsidRPr="00A06955">
        <w:rPr>
          <w:lang w:eastAsia="en-GB"/>
        </w:rPr>
        <w:t>There is a high degree of uncertainty about future levels of funding for local government. However, the council has determined that this uncertainty is not yet sufficient to provide an indication that the assets of the council might be impaired as a result of a need to close facilities and reduce levels of service provision.</w:t>
      </w:r>
    </w:p>
    <w:p w14:paraId="5D17AF52" w14:textId="796BA894" w:rsidR="007C12D1" w:rsidRDefault="00FD0954" w:rsidP="00EC401F">
      <w:pPr>
        <w:numPr>
          <w:ilvl w:val="0"/>
          <w:numId w:val="30"/>
        </w:numPr>
        <w:ind w:left="1560" w:hanging="567"/>
        <w:rPr>
          <w:lang w:eastAsia="en-GB"/>
        </w:rPr>
      </w:pPr>
      <w:r>
        <w:rPr>
          <w:lang w:eastAsia="en-GB"/>
        </w:rPr>
        <w:t>T</w:t>
      </w:r>
      <w:r w:rsidR="007C12D1" w:rsidRPr="00A06955">
        <w:rPr>
          <w:lang w:eastAsia="en-GB"/>
        </w:rPr>
        <w:t>he county council is deemed to control the services provided under the Private Finance Initiative (PFI) agreement for 12 schools, one library</w:t>
      </w:r>
      <w:r w:rsidR="001D6F25">
        <w:rPr>
          <w:lang w:eastAsia="en-GB"/>
        </w:rPr>
        <w:t xml:space="preserve"> and</w:t>
      </w:r>
      <w:r w:rsidR="007C12D1" w:rsidRPr="00A06955">
        <w:rPr>
          <w:lang w:eastAsia="en-GB"/>
        </w:rPr>
        <w:t xml:space="preserve"> a faith centr</w:t>
      </w:r>
      <w:r w:rsidR="001D6F25">
        <w:rPr>
          <w:lang w:eastAsia="en-GB"/>
        </w:rPr>
        <w:t>e</w:t>
      </w:r>
      <w:r w:rsidR="007C12D1" w:rsidRPr="00A06955">
        <w:rPr>
          <w:lang w:eastAsia="en-GB"/>
        </w:rPr>
        <w:t xml:space="preserve"> and also to control the residual value of the properties at the end of the agreement. The accounting policies for PFI schemes and similar contracts have been applied to the arrangement and the buildings have been recognised as Property, Plant and Equipment on the council's balance sheet. The buildings </w:t>
      </w:r>
      <w:r w:rsidR="007C12D1" w:rsidRPr="00A06955">
        <w:rPr>
          <w:lang w:eastAsia="en-GB"/>
        </w:rPr>
        <w:lastRenderedPageBreak/>
        <w:t>have been valued at £</w:t>
      </w:r>
      <w:r w:rsidR="0083707C" w:rsidRPr="00A06955">
        <w:rPr>
          <w:lang w:eastAsia="en-GB"/>
        </w:rPr>
        <w:t>239</w:t>
      </w:r>
      <w:r w:rsidR="007C12D1" w:rsidRPr="00A06955">
        <w:rPr>
          <w:lang w:eastAsia="en-GB"/>
        </w:rPr>
        <w:t>.</w:t>
      </w:r>
      <w:r w:rsidR="001713AC">
        <w:rPr>
          <w:lang w:eastAsia="en-GB"/>
        </w:rPr>
        <w:t>7m</w:t>
      </w:r>
      <w:r w:rsidR="0083707C" w:rsidRPr="00A06955">
        <w:rPr>
          <w:lang w:eastAsia="en-GB"/>
        </w:rPr>
        <w:t xml:space="preserve"> </w:t>
      </w:r>
      <w:r w:rsidR="007C12D1" w:rsidRPr="00A06955">
        <w:rPr>
          <w:lang w:eastAsia="en-GB"/>
        </w:rPr>
        <w:t xml:space="preserve">as at 31 March </w:t>
      </w:r>
      <w:r w:rsidR="0083707C" w:rsidRPr="00A06955">
        <w:rPr>
          <w:lang w:eastAsia="en-GB"/>
        </w:rPr>
        <w:t xml:space="preserve">2015 </w:t>
      </w:r>
      <w:r w:rsidR="007C12D1" w:rsidRPr="00A06955">
        <w:rPr>
          <w:lang w:eastAsia="en-GB"/>
        </w:rPr>
        <w:t>(</w:t>
      </w:r>
      <w:r w:rsidR="00760625">
        <w:rPr>
          <w:lang w:eastAsia="en-GB"/>
        </w:rPr>
        <w:t>£242.2m</w:t>
      </w:r>
      <w:r w:rsidR="0083707C" w:rsidRPr="00A06955">
        <w:rPr>
          <w:lang w:eastAsia="en-GB"/>
        </w:rPr>
        <w:t xml:space="preserve"> </w:t>
      </w:r>
      <w:r w:rsidR="007C12D1" w:rsidRPr="00A06955">
        <w:rPr>
          <w:lang w:eastAsia="en-GB"/>
        </w:rPr>
        <w:t xml:space="preserve">as at 31 March </w:t>
      </w:r>
      <w:r w:rsidR="0083707C" w:rsidRPr="00A06955">
        <w:rPr>
          <w:lang w:eastAsia="en-GB"/>
        </w:rPr>
        <w:t>2014</w:t>
      </w:r>
      <w:r>
        <w:rPr>
          <w:lang w:eastAsia="en-GB"/>
        </w:rPr>
        <w:t>*</w:t>
      </w:r>
      <w:r w:rsidR="007C12D1" w:rsidRPr="00A06955">
        <w:rPr>
          <w:lang w:eastAsia="en-GB"/>
        </w:rPr>
        <w:t>).</w:t>
      </w:r>
    </w:p>
    <w:p w14:paraId="1A02D32A" w14:textId="133D85B0" w:rsidR="00FD0954" w:rsidRPr="00FD0954" w:rsidRDefault="00FD0954" w:rsidP="00FD0954">
      <w:pPr>
        <w:ind w:left="1560"/>
        <w:rPr>
          <w:sz w:val="20"/>
          <w:szCs w:val="20"/>
          <w:lang w:eastAsia="en-GB"/>
        </w:rPr>
      </w:pPr>
      <w:r w:rsidRPr="00FD0954">
        <w:rPr>
          <w:sz w:val="20"/>
          <w:szCs w:val="20"/>
          <w:lang w:eastAsia="en-GB"/>
        </w:rPr>
        <w:t>*Prior year comparative restated to include school</w:t>
      </w:r>
      <w:r w:rsidR="007E2848">
        <w:rPr>
          <w:sz w:val="20"/>
          <w:szCs w:val="20"/>
          <w:lang w:eastAsia="en-GB"/>
        </w:rPr>
        <w:t xml:space="preserve"> </w:t>
      </w:r>
      <w:r w:rsidRPr="00FD0954">
        <w:rPr>
          <w:sz w:val="20"/>
          <w:szCs w:val="20"/>
          <w:lang w:eastAsia="en-GB"/>
        </w:rPr>
        <w:t>assets</w:t>
      </w:r>
      <w:r w:rsidR="007E2848">
        <w:rPr>
          <w:sz w:val="20"/>
          <w:szCs w:val="20"/>
          <w:lang w:eastAsia="en-GB"/>
        </w:rPr>
        <w:t xml:space="preserve"> only;</w:t>
      </w:r>
      <w:r w:rsidRPr="00FD0954">
        <w:rPr>
          <w:sz w:val="20"/>
          <w:szCs w:val="20"/>
          <w:lang w:eastAsia="en-GB"/>
        </w:rPr>
        <w:t xml:space="preserve"> because the waste treatment facilities have been re-financed and are no longer part of a PFI agreement</w:t>
      </w:r>
      <w:r>
        <w:rPr>
          <w:sz w:val="20"/>
          <w:szCs w:val="20"/>
          <w:lang w:eastAsia="en-GB"/>
        </w:rPr>
        <w:t>.</w:t>
      </w:r>
    </w:p>
    <w:p w14:paraId="573AC282" w14:textId="18CF7CE8" w:rsidR="007C12D1" w:rsidRPr="00A06955" w:rsidRDefault="007C12D1" w:rsidP="008B4CBD">
      <w:pPr>
        <w:ind w:left="1560"/>
        <w:rPr>
          <w:lang w:eastAsia="en-GB"/>
        </w:rPr>
      </w:pPr>
      <w:r w:rsidRPr="00A06955">
        <w:rPr>
          <w:lang w:eastAsia="en-GB"/>
        </w:rPr>
        <w:t>These judgements are made on the professional opinion of the council's accountants, valuers and procurement managers based on contract procedure rules and the strict criteria set out in International Accounting Standard 17 (IAS 17) relating to leases. In addition the International Financial Reporting Interpretations Committees 4 and 12 (IFRIC 4 and IFRIC 12) contain specific criteria relating to whether contractual arrangements have the substance of a lease. The relevant accounting policy has been applied based on the outcome of the assessment.</w:t>
      </w:r>
    </w:p>
    <w:p w14:paraId="737C2535" w14:textId="767E295E" w:rsidR="00BA0D13" w:rsidRPr="00BA0D13" w:rsidRDefault="00BA0D13" w:rsidP="008D0533">
      <w:pPr>
        <w:pStyle w:val="ListParagraph"/>
        <w:numPr>
          <w:ilvl w:val="1"/>
          <w:numId w:val="30"/>
        </w:numPr>
        <w:rPr>
          <w:rFonts w:eastAsiaTheme="minorHAnsi" w:cs="Arial"/>
          <w:color w:val="auto"/>
        </w:rPr>
      </w:pPr>
      <w:r w:rsidRPr="00BA0D13">
        <w:rPr>
          <w:rFonts w:cs="Arial"/>
        </w:rPr>
        <w:t xml:space="preserve">The council has to determine whether there is a group relationship between the council and other entities.  The relationship that exists between the council and other entities </w:t>
      </w:r>
      <w:r w:rsidRPr="00BA0D13">
        <w:rPr>
          <w:rFonts w:cs="Arial"/>
          <w:color w:val="1F497D"/>
        </w:rPr>
        <w:t>has</w:t>
      </w:r>
      <w:r>
        <w:rPr>
          <w:rFonts w:cs="Arial"/>
          <w:color w:val="1F497D"/>
        </w:rPr>
        <w:t xml:space="preserve"> been</w:t>
      </w:r>
      <w:r w:rsidRPr="00BA0D13">
        <w:rPr>
          <w:rFonts w:cs="Arial"/>
          <w:color w:val="1F497D"/>
        </w:rPr>
        <w:t xml:space="preserve"> assessed in accordance</w:t>
      </w:r>
      <w:r w:rsidRPr="00BA0D13">
        <w:rPr>
          <w:rFonts w:cs="Arial"/>
        </w:rPr>
        <w:t xml:space="preserve"> with the accounting standards and the finance guidance provided by CIPFA.  The council's relationships with other entities can be found in note 3</w:t>
      </w:r>
      <w:r w:rsidR="00B62678">
        <w:rPr>
          <w:rFonts w:cs="Arial"/>
        </w:rPr>
        <w:t>9</w:t>
      </w:r>
      <w:r w:rsidRPr="00BA0D13">
        <w:rPr>
          <w:rFonts w:cs="Arial"/>
        </w:rPr>
        <w:t>.  The 2014/15 accounts do not include a set of group accounts for the following reasons:</w:t>
      </w:r>
    </w:p>
    <w:p w14:paraId="7CAC5A36" w14:textId="77777777" w:rsidR="00BA0D13" w:rsidRDefault="00BA0D13" w:rsidP="008D0533">
      <w:pPr>
        <w:pStyle w:val="ListParagraph"/>
        <w:numPr>
          <w:ilvl w:val="2"/>
          <w:numId w:val="30"/>
        </w:numPr>
        <w:autoSpaceDE/>
        <w:autoSpaceDN/>
        <w:adjustRightInd/>
        <w:spacing w:after="200"/>
        <w:jc w:val="left"/>
        <w:rPr>
          <w:rFonts w:cs="Arial"/>
          <w:lang w:val="en-US"/>
        </w:rPr>
      </w:pPr>
      <w:r>
        <w:rPr>
          <w:lang w:val="en-US"/>
        </w:rPr>
        <w:lastRenderedPageBreak/>
        <w:t>The omission of Group Accounts will not affect the ability of a user of the accounts to determine the financial position and performance of the County Council, or its exposure to risk.</w:t>
      </w:r>
    </w:p>
    <w:p w14:paraId="7B0DC279" w14:textId="77777777" w:rsidR="00BA0D13" w:rsidRDefault="00BA0D13" w:rsidP="008D0533">
      <w:pPr>
        <w:pStyle w:val="ListParagraph"/>
        <w:numPr>
          <w:ilvl w:val="2"/>
          <w:numId w:val="30"/>
        </w:numPr>
        <w:autoSpaceDE/>
        <w:autoSpaceDN/>
        <w:adjustRightInd/>
        <w:spacing w:after="200"/>
        <w:jc w:val="left"/>
        <w:rPr>
          <w:lang w:val="en-US"/>
        </w:rPr>
      </w:pPr>
      <w:r>
        <w:rPr>
          <w:lang w:val="en-US"/>
        </w:rPr>
        <w:t xml:space="preserve">There is low level of financial risk to the </w:t>
      </w:r>
      <w:r>
        <w:rPr>
          <w:color w:val="1F497D"/>
          <w:lang w:val="en-US"/>
        </w:rPr>
        <w:t>c</w:t>
      </w:r>
      <w:r>
        <w:rPr>
          <w:lang w:val="en-US"/>
        </w:rPr>
        <w:t>ouncil from its involvement with group members:  for example many group members are companies limited by guarantee, the county council's guarantee sum being £1.  There is a very low level of involvement from group members in delivering the council's statutory or significant core services.  Where there is more involvement in core activities then the council funds the entity and as a result the costs are already included in the accounts of LCC.</w:t>
      </w:r>
    </w:p>
    <w:p w14:paraId="59EA9BB5" w14:textId="6FDA2E40" w:rsidR="00BA0D13" w:rsidRDefault="00BA0D13" w:rsidP="008D0533">
      <w:pPr>
        <w:pStyle w:val="ListParagraph"/>
        <w:numPr>
          <w:ilvl w:val="2"/>
          <w:numId w:val="30"/>
        </w:numPr>
        <w:autoSpaceDE/>
        <w:autoSpaceDN/>
        <w:adjustRightInd/>
        <w:spacing w:after="200"/>
        <w:jc w:val="left"/>
        <w:rPr>
          <w:lang w:val="en-US" w:eastAsia="en-GB"/>
        </w:rPr>
      </w:pPr>
      <w:r>
        <w:rPr>
          <w:lang w:val="en-US"/>
        </w:rPr>
        <w:t>Local Authority maintained schools, in line with relevant accounting standards and the Code are considered to be separate entities with the balance of control lying with the council.  The council has substantive control over the use of school assets and a statutory duty to provide education.  There are not considered to be any significant restrictions on the ability to access or use these assets.</w:t>
      </w:r>
    </w:p>
    <w:p w14:paraId="2CFAD02D" w14:textId="1F81C0E0" w:rsidR="008B4CBD" w:rsidRDefault="007C12D1" w:rsidP="008B4CBD">
      <w:pPr>
        <w:numPr>
          <w:ilvl w:val="0"/>
          <w:numId w:val="32"/>
        </w:numPr>
        <w:ind w:left="1560" w:hanging="567"/>
        <w:rPr>
          <w:lang w:eastAsia="en-GB"/>
        </w:rPr>
      </w:pPr>
      <w:r w:rsidRPr="00A06955">
        <w:rPr>
          <w:lang w:eastAsia="en-GB"/>
        </w:rPr>
        <w:lastRenderedPageBreak/>
        <w:t>The Valuation and Estates department are required to exercise judgement in determining the carrying value of land and, buildings on the council’s Balance Sheet. The valuations are undertaken by in-house qualified staff that follow best practice. In addition to valuations which are undertaken in year, the valuer uses the knowledge of the local market conditions and available national data to assess whether there have been changes which would require a review of all asset values held at 31 March 201</w:t>
      </w:r>
      <w:r w:rsidR="00760625">
        <w:rPr>
          <w:lang w:eastAsia="en-GB"/>
        </w:rPr>
        <w:t>5</w:t>
      </w:r>
      <w:r w:rsidRPr="00A06955">
        <w:rPr>
          <w:lang w:eastAsia="en-GB"/>
        </w:rPr>
        <w:t xml:space="preserve">.  After consideration no requirement had arisen in </w:t>
      </w:r>
      <w:r w:rsidR="005760F1" w:rsidRPr="00A06955">
        <w:rPr>
          <w:lang w:eastAsia="en-GB"/>
        </w:rPr>
        <w:t>201</w:t>
      </w:r>
      <w:r w:rsidR="005760F1">
        <w:rPr>
          <w:lang w:eastAsia="en-GB"/>
        </w:rPr>
        <w:t>4</w:t>
      </w:r>
      <w:r w:rsidRPr="00A06955">
        <w:rPr>
          <w:lang w:eastAsia="en-GB"/>
        </w:rPr>
        <w:t>/</w:t>
      </w:r>
      <w:r w:rsidR="005760F1" w:rsidRPr="00A06955">
        <w:rPr>
          <w:lang w:eastAsia="en-GB"/>
        </w:rPr>
        <w:t>1</w:t>
      </w:r>
      <w:r w:rsidR="005760F1">
        <w:rPr>
          <w:lang w:eastAsia="en-GB"/>
        </w:rPr>
        <w:t>5</w:t>
      </w:r>
      <w:r w:rsidRPr="00A06955">
        <w:rPr>
          <w:lang w:eastAsia="en-GB"/>
        </w:rPr>
        <w:t>.</w:t>
      </w:r>
    </w:p>
    <w:p w14:paraId="4737CB25" w14:textId="0FCA7005" w:rsidR="00CF4BC3" w:rsidRPr="00CF4BC3" w:rsidRDefault="00CF4BC3" w:rsidP="008D0533">
      <w:pPr>
        <w:pStyle w:val="ListParagraph"/>
        <w:numPr>
          <w:ilvl w:val="1"/>
          <w:numId w:val="32"/>
        </w:numPr>
        <w:rPr>
          <w:rFonts w:eastAsiaTheme="minorHAnsi" w:cs="Arial"/>
          <w:color w:val="000000" w:themeColor="text1"/>
        </w:rPr>
      </w:pPr>
      <w:r w:rsidRPr="00CF4BC3">
        <w:rPr>
          <w:rFonts w:cs="Arial"/>
          <w:color w:val="000000" w:themeColor="text1"/>
        </w:rPr>
        <w:t>The property, plant and equipment balance includes properties valued at some £687m which are not owned by the council.  These are principally voluntary aided (VA), voluntary controlled (VC) and foundation schools which form approximately 50% of schools in Lancashire.  Historically it has been LCC policy to include foundation, community, VA and VC schools assets on the balance sheet in line with accounting guidance and the CIPFA code of practice.  In Lancashire there are a significant number of school buildings for which trustees have legal ownership rights but LCC benefit from using these properties in terms of delivery of service and LCC also meet the costs of service pro</w:t>
      </w:r>
      <w:r w:rsidRPr="00CF4BC3">
        <w:rPr>
          <w:rFonts w:cs="Arial"/>
          <w:color w:val="000000" w:themeColor="text1"/>
        </w:rPr>
        <w:lastRenderedPageBreak/>
        <w:t xml:space="preserve">vision.   The council has considered </w:t>
      </w:r>
      <w:r w:rsidRPr="00CF4BC3">
        <w:rPr>
          <w:rFonts w:cs="Arial"/>
          <w:i/>
          <w:iCs/>
          <w:color w:val="000000" w:themeColor="text1"/>
        </w:rPr>
        <w:t xml:space="preserve">Appendix E 'Accounting for schools in local authorities in England and Wales' to the 2014/15 Code update </w:t>
      </w:r>
      <w:r w:rsidRPr="00CF4BC3">
        <w:rPr>
          <w:rFonts w:cs="Arial"/>
          <w:color w:val="000000" w:themeColor="text1"/>
        </w:rPr>
        <w:t>and has concluded that th</w:t>
      </w:r>
      <w:r>
        <w:rPr>
          <w:rFonts w:cs="Arial"/>
          <w:color w:val="000000" w:themeColor="text1"/>
        </w:rPr>
        <w:t xml:space="preserve">e changes do not impact on the </w:t>
      </w:r>
      <w:r w:rsidRPr="00CF4BC3">
        <w:rPr>
          <w:rFonts w:cs="Arial"/>
          <w:color w:val="000000" w:themeColor="text1"/>
        </w:rPr>
        <w:t>existing accounting treatment for schools.  They are consequently retained on the balance sheet of the council to fairly reflect the value of assets used in providing the service.</w:t>
      </w:r>
    </w:p>
    <w:p w14:paraId="3F2FBA08" w14:textId="7D413873" w:rsidR="007C12D1" w:rsidRPr="00A06955" w:rsidRDefault="007C12D1" w:rsidP="00472FF4">
      <w:pPr>
        <w:pStyle w:val="Heading2"/>
        <w:ind w:left="284" w:hanging="284"/>
      </w:pPr>
      <w:r w:rsidRPr="00A06955">
        <w:t xml:space="preserve">3. Accounting </w:t>
      </w:r>
      <w:r w:rsidR="00D14608">
        <w:t>s</w:t>
      </w:r>
      <w:r w:rsidRPr="00A06955">
        <w:t>tandards that have been issued but have not yet been adopted</w:t>
      </w:r>
    </w:p>
    <w:p w14:paraId="2500A6D7" w14:textId="4A591A3A" w:rsidR="00741A1D" w:rsidRPr="00A06955" w:rsidRDefault="00741A1D" w:rsidP="00A80311">
      <w:pPr>
        <w:ind w:left="284"/>
        <w:rPr>
          <w:lang w:eastAsia="en-GB"/>
        </w:rPr>
      </w:pPr>
      <w:r w:rsidRPr="00A06955">
        <w:rPr>
          <w:lang w:eastAsia="en-GB"/>
        </w:rPr>
        <w:t xml:space="preserve">The amendments </w:t>
      </w:r>
      <w:r w:rsidR="009574F4" w:rsidRPr="0042015C">
        <w:rPr>
          <w:lang w:eastAsia="en-GB"/>
        </w:rPr>
        <w:t xml:space="preserve">that have been made </w:t>
      </w:r>
      <w:r w:rsidRPr="00A06955">
        <w:rPr>
          <w:lang w:eastAsia="en-GB"/>
        </w:rPr>
        <w:t xml:space="preserve">to accounting standards </w:t>
      </w:r>
      <w:r w:rsidR="009574F4" w:rsidRPr="0042015C">
        <w:rPr>
          <w:lang w:eastAsia="en-GB"/>
        </w:rPr>
        <w:t xml:space="preserve">or new accounting standards </w:t>
      </w:r>
      <w:r w:rsidRPr="00A06955">
        <w:rPr>
          <w:lang w:eastAsia="en-GB"/>
        </w:rPr>
        <w:t>that have been issued on or before 1 January 201</w:t>
      </w:r>
      <w:r w:rsidR="00AA60FA" w:rsidRPr="00A06955">
        <w:rPr>
          <w:lang w:eastAsia="en-GB"/>
        </w:rPr>
        <w:t>5</w:t>
      </w:r>
      <w:r w:rsidRPr="00A06955">
        <w:rPr>
          <w:lang w:eastAsia="en-GB"/>
        </w:rPr>
        <w:t xml:space="preserve"> but not yet adopted by the Code</w:t>
      </w:r>
      <w:r w:rsidR="009574F4" w:rsidRPr="0042015C">
        <w:rPr>
          <w:lang w:eastAsia="en-GB"/>
        </w:rPr>
        <w:t>,</w:t>
      </w:r>
      <w:r w:rsidRPr="00A06955">
        <w:rPr>
          <w:lang w:eastAsia="en-GB"/>
        </w:rPr>
        <w:t xml:space="preserve"> have been considered and w</w:t>
      </w:r>
      <w:r w:rsidR="009574F4" w:rsidRPr="0042015C">
        <w:rPr>
          <w:lang w:eastAsia="en-GB"/>
        </w:rPr>
        <w:t>ill not</w:t>
      </w:r>
      <w:r w:rsidRPr="00A06955">
        <w:rPr>
          <w:lang w:eastAsia="en-GB"/>
        </w:rPr>
        <w:t xml:space="preserve"> have a material impact on the </w:t>
      </w:r>
      <w:r w:rsidR="00AA60FA" w:rsidRPr="00A06955">
        <w:rPr>
          <w:lang w:eastAsia="en-GB"/>
        </w:rPr>
        <w:t xml:space="preserve">2014/15 </w:t>
      </w:r>
      <w:r w:rsidRPr="00A06955">
        <w:rPr>
          <w:lang w:eastAsia="en-GB"/>
        </w:rPr>
        <w:t>accounts.</w:t>
      </w:r>
    </w:p>
    <w:p w14:paraId="556D52D8" w14:textId="1CEF3899" w:rsidR="00F3688A" w:rsidRDefault="00F3688A" w:rsidP="00A80311">
      <w:pPr>
        <w:pStyle w:val="Heading2"/>
        <w:ind w:left="284" w:hanging="284"/>
      </w:pPr>
    </w:p>
    <w:p w14:paraId="09B9E009" w14:textId="77777777" w:rsidR="00741A1D" w:rsidRPr="00A06955" w:rsidRDefault="00741A1D" w:rsidP="00A80311">
      <w:pPr>
        <w:pStyle w:val="Heading2"/>
        <w:ind w:left="284" w:hanging="284"/>
      </w:pPr>
      <w:r w:rsidRPr="00A06955">
        <w:t>4. Assumptions made about the future and other major sources of estimation uncertainty</w:t>
      </w:r>
    </w:p>
    <w:p w14:paraId="3AD4633B" w14:textId="77777777" w:rsidR="00741A1D" w:rsidRPr="00A06955" w:rsidRDefault="00741A1D" w:rsidP="00A80311">
      <w:pPr>
        <w:ind w:left="284"/>
        <w:rPr>
          <w:lang w:eastAsia="en-GB"/>
        </w:rPr>
      </w:pPr>
      <w:r w:rsidRPr="00A06955">
        <w:rPr>
          <w:lang w:eastAsia="en-GB"/>
        </w:rPr>
        <w:t xml:space="preserve">The Statement of Accounts contains estimated figures that are based on assumptions made by the county council about the </w:t>
      </w:r>
      <w:r w:rsidRPr="00A06955">
        <w:rPr>
          <w:lang w:eastAsia="en-GB"/>
        </w:rPr>
        <w:lastRenderedPageBreak/>
        <w:t>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w:t>
      </w:r>
    </w:p>
    <w:p w14:paraId="00EF9D7D" w14:textId="574FEEBF" w:rsidR="00741A1D" w:rsidRPr="00A06955" w:rsidRDefault="00741A1D" w:rsidP="00A80311">
      <w:pPr>
        <w:ind w:left="284"/>
        <w:rPr>
          <w:lang w:eastAsia="en-GB"/>
        </w:rPr>
      </w:pPr>
      <w:r w:rsidRPr="00A06955">
        <w:rPr>
          <w:lang w:eastAsia="en-GB"/>
        </w:rPr>
        <w:t>The items in the council's balance sheet at 31st March 201</w:t>
      </w:r>
      <w:r w:rsidR="00AA60FA" w:rsidRPr="00A06955">
        <w:rPr>
          <w:lang w:eastAsia="en-GB"/>
        </w:rPr>
        <w:t>5</w:t>
      </w:r>
      <w:r w:rsidRPr="00A06955">
        <w:rPr>
          <w:lang w:eastAsia="en-GB"/>
        </w:rPr>
        <w:t xml:space="preserve"> for which there is a significant risk of material adjustment in the forthcoming financial year are as follows:</w:t>
      </w:r>
    </w:p>
    <w:p w14:paraId="14CBEB02" w14:textId="26F92955" w:rsidR="00741A1D" w:rsidRPr="009C1D66" w:rsidRDefault="00741A1D" w:rsidP="00717919">
      <w:pPr>
        <w:pStyle w:val="ListParagraph"/>
        <w:numPr>
          <w:ilvl w:val="0"/>
          <w:numId w:val="55"/>
        </w:numPr>
        <w:ind w:left="851" w:hanging="567"/>
        <w:rPr>
          <w:b/>
          <w:lang w:eastAsia="en-GB"/>
        </w:rPr>
      </w:pPr>
      <w:r w:rsidRPr="009C1D66">
        <w:rPr>
          <w:b/>
          <w:lang w:eastAsia="en-GB"/>
        </w:rPr>
        <w:t>Pensions Liability</w:t>
      </w:r>
      <w:r w:rsidR="00AA60FA" w:rsidRPr="009C1D66">
        <w:rPr>
          <w:b/>
          <w:lang w:eastAsia="en-GB"/>
        </w:rPr>
        <w:t xml:space="preserve"> </w:t>
      </w:r>
    </w:p>
    <w:p w14:paraId="6E036199" w14:textId="77777777" w:rsidR="00741A1D" w:rsidRPr="00E8437F" w:rsidRDefault="00741A1D" w:rsidP="00EC401F">
      <w:pPr>
        <w:numPr>
          <w:ilvl w:val="0"/>
          <w:numId w:val="33"/>
        </w:numPr>
        <w:ind w:left="851" w:firstLine="0"/>
        <w:rPr>
          <w:lang w:eastAsia="en-GB"/>
        </w:rPr>
      </w:pPr>
      <w:r w:rsidRPr="00E8437F">
        <w:rPr>
          <w:lang w:eastAsia="en-GB"/>
        </w:rPr>
        <w:t>Uncertainties:</w:t>
      </w:r>
    </w:p>
    <w:p w14:paraId="12C41B6D" w14:textId="77777777" w:rsidR="00741A1D" w:rsidRPr="00E8437F" w:rsidRDefault="00741A1D" w:rsidP="009C1D66">
      <w:pPr>
        <w:ind w:left="851"/>
        <w:rPr>
          <w:lang w:eastAsia="en-GB"/>
        </w:rPr>
      </w:pPr>
      <w:r w:rsidRPr="00E8437F">
        <w:rPr>
          <w:lang w:eastAsia="en-GB"/>
        </w:rPr>
        <w:t>Estimation of the net liability to pay pensions depends on a number of complex judgements relating to the discount rate used, the rate at which salaries are projected to increase, changes in retirement ages, mortality rates and expected returns on pension fund assets. A firm of consulting actuaries (Mercers) is engaged to provide the council with expert advice about the assumptions to be applied.</w:t>
      </w:r>
    </w:p>
    <w:p w14:paraId="085CED5B" w14:textId="0BD2713E" w:rsidR="00741A1D" w:rsidRPr="00E8437F" w:rsidRDefault="00E8437F" w:rsidP="009C1D66">
      <w:pPr>
        <w:ind w:left="851"/>
        <w:rPr>
          <w:lang w:eastAsia="en-GB"/>
        </w:rPr>
      </w:pPr>
      <w:r w:rsidRPr="00C36F68">
        <w:rPr>
          <w:lang w:eastAsia="en-GB"/>
        </w:rPr>
        <w:t xml:space="preserve">(see note </w:t>
      </w:r>
      <w:r w:rsidR="000A0396">
        <w:rPr>
          <w:lang w:eastAsia="en-GB"/>
        </w:rPr>
        <w:t>4</w:t>
      </w:r>
      <w:r w:rsidR="00B62678">
        <w:rPr>
          <w:lang w:eastAsia="en-GB"/>
        </w:rPr>
        <w:t>1</w:t>
      </w:r>
      <w:r w:rsidR="00741A1D" w:rsidRPr="00C36F68">
        <w:rPr>
          <w:lang w:eastAsia="en-GB"/>
        </w:rPr>
        <w:t>)</w:t>
      </w:r>
    </w:p>
    <w:p w14:paraId="700A7DD8" w14:textId="77777777" w:rsidR="00741A1D" w:rsidRPr="00E8437F" w:rsidRDefault="00741A1D" w:rsidP="00EC401F">
      <w:pPr>
        <w:numPr>
          <w:ilvl w:val="0"/>
          <w:numId w:val="33"/>
        </w:numPr>
        <w:ind w:left="851" w:firstLine="0"/>
        <w:rPr>
          <w:lang w:eastAsia="en-GB"/>
        </w:rPr>
      </w:pPr>
      <w:r w:rsidRPr="00E8437F">
        <w:rPr>
          <w:lang w:eastAsia="en-GB"/>
        </w:rPr>
        <w:t>Effect if actual results differ from assumptions:</w:t>
      </w:r>
    </w:p>
    <w:p w14:paraId="5D8AB3BD" w14:textId="02080D0E" w:rsidR="00741A1D" w:rsidRDefault="00741A1D" w:rsidP="009C1D66">
      <w:pPr>
        <w:ind w:left="851"/>
        <w:rPr>
          <w:lang w:eastAsia="en-GB"/>
        </w:rPr>
      </w:pPr>
      <w:r w:rsidRPr="00E8437F">
        <w:rPr>
          <w:lang w:eastAsia="en-GB"/>
        </w:rPr>
        <w:t>The effects on the net pension liability of changes in individual assumptions can be measured. For instance, a 0.5% increase in the discount rate assumption would reduce the value of the l</w:t>
      </w:r>
      <w:r w:rsidR="00E8437F" w:rsidRPr="00E8437F">
        <w:rPr>
          <w:lang w:eastAsia="en-GB"/>
        </w:rPr>
        <w:t>iabilities by approximately £307</w:t>
      </w:r>
      <w:r w:rsidR="000A0396">
        <w:rPr>
          <w:lang w:eastAsia="en-GB"/>
        </w:rPr>
        <w:t>.0</w:t>
      </w:r>
      <w:r w:rsidR="009E2E9D">
        <w:rPr>
          <w:lang w:eastAsia="en-GB"/>
        </w:rPr>
        <w:t>m</w:t>
      </w:r>
      <w:r w:rsidRPr="00E8437F">
        <w:rPr>
          <w:lang w:eastAsia="en-GB"/>
        </w:rPr>
        <w:t xml:space="preserve">.  </w:t>
      </w:r>
      <w:r w:rsidRPr="00E8437F">
        <w:rPr>
          <w:lang w:eastAsia="en-GB"/>
        </w:rPr>
        <w:lastRenderedPageBreak/>
        <w:t>A 0.25% increase in assumed earnings inflation would increase the value of the l</w:t>
      </w:r>
      <w:r w:rsidR="00E8437F" w:rsidRPr="00E8437F">
        <w:rPr>
          <w:lang w:eastAsia="en-GB"/>
        </w:rPr>
        <w:t>iabilities by approximately £156</w:t>
      </w:r>
      <w:r w:rsidRPr="00E8437F">
        <w:rPr>
          <w:lang w:eastAsia="en-GB"/>
        </w:rPr>
        <w:t xml:space="preserve">m and a 1 year increase in assumed life expectancy would increase the </w:t>
      </w:r>
      <w:r w:rsidR="00E8437F" w:rsidRPr="00E8437F">
        <w:rPr>
          <w:lang w:eastAsia="en-GB"/>
        </w:rPr>
        <w:t>liabilities by approximately £67</w:t>
      </w:r>
      <w:r w:rsidR="000A0396">
        <w:rPr>
          <w:lang w:eastAsia="en-GB"/>
        </w:rPr>
        <w:t>.0</w:t>
      </w:r>
      <w:r w:rsidRPr="00E8437F">
        <w:rPr>
          <w:lang w:eastAsia="en-GB"/>
        </w:rPr>
        <w:t>m.</w:t>
      </w:r>
    </w:p>
    <w:p w14:paraId="7D6227DF" w14:textId="77777777" w:rsidR="00741A1D" w:rsidRPr="009C1D66" w:rsidRDefault="00741A1D" w:rsidP="00717919">
      <w:pPr>
        <w:pStyle w:val="ListParagraph"/>
        <w:numPr>
          <w:ilvl w:val="0"/>
          <w:numId w:val="55"/>
        </w:numPr>
        <w:ind w:left="851" w:hanging="567"/>
        <w:rPr>
          <w:b/>
          <w:lang w:eastAsia="en-GB"/>
        </w:rPr>
      </w:pPr>
      <w:r w:rsidRPr="009C1D66">
        <w:rPr>
          <w:b/>
          <w:lang w:eastAsia="en-GB"/>
        </w:rPr>
        <w:t>Property, Plant and Equipment (PPE)</w:t>
      </w:r>
    </w:p>
    <w:p w14:paraId="39A095EA" w14:textId="77777777" w:rsidR="00741A1D" w:rsidRPr="00A06955" w:rsidRDefault="00741A1D" w:rsidP="00EC401F">
      <w:pPr>
        <w:numPr>
          <w:ilvl w:val="0"/>
          <w:numId w:val="33"/>
        </w:numPr>
        <w:ind w:left="851" w:firstLine="0"/>
        <w:rPr>
          <w:lang w:eastAsia="en-GB"/>
        </w:rPr>
      </w:pPr>
      <w:r w:rsidRPr="00A06955">
        <w:rPr>
          <w:lang w:eastAsia="en-GB"/>
        </w:rPr>
        <w:t>Uncertainties:</w:t>
      </w:r>
    </w:p>
    <w:p w14:paraId="60A40E3E" w14:textId="77777777" w:rsidR="00741A1D" w:rsidRPr="00A06955" w:rsidRDefault="00741A1D" w:rsidP="009C1D66">
      <w:pPr>
        <w:ind w:left="851"/>
        <w:rPr>
          <w:lang w:eastAsia="en-GB"/>
        </w:rPr>
      </w:pPr>
      <w:r w:rsidRPr="00A06955">
        <w:rPr>
          <w:lang w:eastAsia="en-GB"/>
        </w:rPr>
        <w:t>The value of the PPE is dependent upon professional judgement based on information available at the time of valuation. Due to changes in Economic conditions, a valuation taken on a different date could potentially result in a different valuation.</w:t>
      </w:r>
    </w:p>
    <w:p w14:paraId="10C3515E" w14:textId="50A01CE5" w:rsidR="00741A1D" w:rsidRPr="007161FF" w:rsidRDefault="00741A1D" w:rsidP="009C1D66">
      <w:pPr>
        <w:ind w:left="851"/>
        <w:rPr>
          <w:lang w:eastAsia="en-GB"/>
        </w:rPr>
      </w:pPr>
      <w:r w:rsidRPr="007161FF">
        <w:rPr>
          <w:lang w:eastAsia="en-GB"/>
        </w:rPr>
        <w:t>(see note 2</w:t>
      </w:r>
      <w:r w:rsidR="00C36F68" w:rsidRPr="007161FF">
        <w:rPr>
          <w:lang w:eastAsia="en-GB"/>
        </w:rPr>
        <w:t>1</w:t>
      </w:r>
      <w:r w:rsidRPr="007161FF">
        <w:rPr>
          <w:lang w:eastAsia="en-GB"/>
        </w:rPr>
        <w:t>)</w:t>
      </w:r>
    </w:p>
    <w:p w14:paraId="30154BC1" w14:textId="77777777" w:rsidR="00741A1D" w:rsidRPr="007161FF" w:rsidRDefault="00741A1D" w:rsidP="00EC401F">
      <w:pPr>
        <w:numPr>
          <w:ilvl w:val="0"/>
          <w:numId w:val="33"/>
        </w:numPr>
        <w:ind w:left="851" w:firstLine="0"/>
        <w:rPr>
          <w:lang w:eastAsia="en-GB"/>
        </w:rPr>
      </w:pPr>
      <w:r w:rsidRPr="007161FF">
        <w:rPr>
          <w:lang w:eastAsia="en-GB"/>
        </w:rPr>
        <w:t>Effect if actual results differ from assumptions:</w:t>
      </w:r>
    </w:p>
    <w:p w14:paraId="3C080554" w14:textId="7D7B06E2" w:rsidR="00741A1D" w:rsidRDefault="008B4CBD" w:rsidP="009C1D66">
      <w:pPr>
        <w:ind w:left="851"/>
        <w:rPr>
          <w:lang w:eastAsia="en-GB"/>
        </w:rPr>
      </w:pPr>
      <w:r>
        <w:rPr>
          <w:lang w:eastAsia="en-GB"/>
        </w:rPr>
        <w:t>The effect is i</w:t>
      </w:r>
      <w:r w:rsidR="00741A1D" w:rsidRPr="00A06955">
        <w:rPr>
          <w:lang w:eastAsia="en-GB"/>
        </w:rPr>
        <w:t xml:space="preserve">mpossible to quantify as economic changes could lead to an increase or decrease in the value of PPE. However the overall valuation is considered to ensure that PPE is not materially misstated at 31 March </w:t>
      </w:r>
      <w:r w:rsidR="005A5F7F" w:rsidRPr="00A06955">
        <w:rPr>
          <w:lang w:eastAsia="en-GB"/>
        </w:rPr>
        <w:t>201</w:t>
      </w:r>
      <w:r w:rsidR="005A5F7F">
        <w:rPr>
          <w:lang w:eastAsia="en-GB"/>
        </w:rPr>
        <w:t>5</w:t>
      </w:r>
      <w:r w:rsidR="00741A1D" w:rsidRPr="00A06955">
        <w:rPr>
          <w:lang w:eastAsia="en-GB"/>
        </w:rPr>
        <w:t>.</w:t>
      </w:r>
    </w:p>
    <w:p w14:paraId="02D015FA" w14:textId="77777777" w:rsidR="00ED454B" w:rsidRPr="00A06955" w:rsidRDefault="00ED454B" w:rsidP="00741A1D">
      <w:pPr>
        <w:ind w:left="360"/>
        <w:rPr>
          <w:lang w:eastAsia="en-GB"/>
        </w:rPr>
      </w:pPr>
    </w:p>
    <w:p w14:paraId="1AC135AB" w14:textId="0C02CF8C" w:rsidR="00741A1D" w:rsidRPr="00A06955" w:rsidRDefault="00BB1ACD" w:rsidP="00BB1ACD">
      <w:pPr>
        <w:pStyle w:val="Heading2"/>
      </w:pPr>
      <w:r w:rsidRPr="00A06955">
        <w:t xml:space="preserve">5. </w:t>
      </w:r>
      <w:r w:rsidR="00DA2F2B">
        <w:t>Minimum Revenue Provision</w:t>
      </w:r>
    </w:p>
    <w:p w14:paraId="0134A5E9" w14:textId="234F1797" w:rsidR="00493F89" w:rsidRPr="00E8437F" w:rsidRDefault="00493F89" w:rsidP="00763E72">
      <w:pPr>
        <w:ind w:left="426"/>
        <w:rPr>
          <w:lang w:eastAsia="en-GB"/>
        </w:rPr>
      </w:pPr>
      <w:r w:rsidRPr="00E8437F">
        <w:rPr>
          <w:lang w:eastAsia="en-GB"/>
        </w:rPr>
        <w:t xml:space="preserve">Our accounts must include a charge for the repayment of debt. This charge must be </w:t>
      </w:r>
      <w:r w:rsidR="00760625">
        <w:rPr>
          <w:lang w:eastAsia="en-GB"/>
        </w:rPr>
        <w:t xml:space="preserve">an appropriate amount </w:t>
      </w:r>
      <w:r w:rsidRPr="00E8437F">
        <w:rPr>
          <w:lang w:eastAsia="en-GB"/>
        </w:rPr>
        <w:t xml:space="preserve">of our adjusted capital financing requirements at the start of the year. </w:t>
      </w:r>
      <w:r w:rsidR="00E8437F" w:rsidRPr="00E8437F">
        <w:rPr>
          <w:lang w:eastAsia="en-GB"/>
        </w:rPr>
        <w:t xml:space="preserve">For </w:t>
      </w:r>
      <w:r w:rsidR="00E8437F" w:rsidRPr="00E8437F">
        <w:rPr>
          <w:lang w:eastAsia="en-GB"/>
        </w:rPr>
        <w:lastRenderedPageBreak/>
        <w:t>2014/15 this charge is £30.2m</w:t>
      </w:r>
      <w:r w:rsidR="005C2EFD" w:rsidRPr="00FF722F">
        <w:rPr>
          <w:sz w:val="20"/>
          <w:szCs w:val="20"/>
          <w:vertAlign w:val="superscript"/>
          <w:lang w:eastAsia="en-GB"/>
        </w:rPr>
        <w:t>1</w:t>
      </w:r>
      <w:r w:rsidR="00E8437F" w:rsidRPr="00E8437F">
        <w:rPr>
          <w:lang w:eastAsia="en-GB"/>
        </w:rPr>
        <w:t xml:space="preserve"> which is shown within the </w:t>
      </w:r>
      <w:r w:rsidR="003338D2">
        <w:rPr>
          <w:lang w:eastAsia="en-GB"/>
        </w:rPr>
        <w:t>Movement in Reserves</w:t>
      </w:r>
      <w:r w:rsidR="00E8437F" w:rsidRPr="00E8437F">
        <w:rPr>
          <w:lang w:eastAsia="en-GB"/>
        </w:rPr>
        <w:t xml:space="preserve"> Statement (£27.6m</w:t>
      </w:r>
      <w:r w:rsidR="005C2EFD" w:rsidRPr="00FF722F">
        <w:rPr>
          <w:sz w:val="20"/>
          <w:szCs w:val="20"/>
          <w:vertAlign w:val="superscript"/>
          <w:lang w:eastAsia="en-GB"/>
        </w:rPr>
        <w:t>2</w:t>
      </w:r>
      <w:r w:rsidR="00E8437F" w:rsidRPr="00E8437F">
        <w:rPr>
          <w:lang w:eastAsia="en-GB"/>
        </w:rPr>
        <w:t xml:space="preserve"> in 2013/14</w:t>
      </w:r>
      <w:r w:rsidRPr="00E8437F">
        <w:rPr>
          <w:lang w:eastAsia="en-GB"/>
        </w:rPr>
        <w:t>).</w:t>
      </w:r>
      <w:r w:rsidR="00232714">
        <w:rPr>
          <w:lang w:eastAsia="en-GB"/>
        </w:rPr>
        <w:t xml:space="preserve"> </w:t>
      </w:r>
    </w:p>
    <w:p w14:paraId="5BCD8561" w14:textId="77777777" w:rsidR="00493F89" w:rsidRDefault="00493F89" w:rsidP="00763E72">
      <w:pPr>
        <w:ind w:left="426"/>
        <w:rPr>
          <w:lang w:eastAsia="en-GB"/>
        </w:rPr>
      </w:pPr>
      <w:r w:rsidRPr="00E8437F">
        <w:rPr>
          <w:lang w:eastAsia="en-GB"/>
        </w:rPr>
        <w:t xml:space="preserve">As shown in </w:t>
      </w:r>
      <w:r w:rsidRPr="00C36F68">
        <w:rPr>
          <w:lang w:eastAsia="en-GB"/>
        </w:rPr>
        <w:t>note 6 below, capital</w:t>
      </w:r>
      <w:r w:rsidRPr="00E8437F">
        <w:rPr>
          <w:lang w:eastAsia="en-GB"/>
        </w:rPr>
        <w:t xml:space="preserve"> charges in the Comprehensive Income and Expenditure Statement (depreciation, impairment, amortisation and revenue expenditure funded from capital under statute) are reversed or cancelled out and replaced by this statutory charge.</w:t>
      </w:r>
    </w:p>
    <w:p w14:paraId="107AC8F9" w14:textId="2C48BAF2" w:rsidR="005C2EFD" w:rsidRDefault="005C2EFD" w:rsidP="00763E72">
      <w:pPr>
        <w:ind w:left="426"/>
        <w:rPr>
          <w:lang w:eastAsia="en-GB"/>
        </w:rPr>
      </w:pPr>
      <w:r>
        <w:rPr>
          <w:lang w:eastAsia="en-GB"/>
        </w:rPr>
        <w:t>In addition the PFI liability has been written down by £</w:t>
      </w:r>
      <w:r w:rsidR="00F0788E">
        <w:rPr>
          <w:lang w:eastAsia="en-GB"/>
        </w:rPr>
        <w:t>6.3</w:t>
      </w:r>
      <w:r>
        <w:rPr>
          <w:lang w:eastAsia="en-GB"/>
        </w:rPr>
        <w:t>m (£7.6m</w:t>
      </w:r>
      <w:r w:rsidRPr="00FF722F">
        <w:rPr>
          <w:sz w:val="20"/>
          <w:szCs w:val="20"/>
          <w:vertAlign w:val="superscript"/>
          <w:lang w:eastAsia="en-GB"/>
        </w:rPr>
        <w:t>2</w:t>
      </w:r>
      <w:r>
        <w:rPr>
          <w:lang w:eastAsia="en-GB"/>
        </w:rPr>
        <w:t xml:space="preserve"> in 2013/14). </w:t>
      </w:r>
    </w:p>
    <w:p w14:paraId="1C50A1AE" w14:textId="3B229177" w:rsidR="005C2EFD" w:rsidRDefault="005C2EFD" w:rsidP="00763E72">
      <w:pPr>
        <w:ind w:left="426"/>
        <w:rPr>
          <w:sz w:val="20"/>
          <w:szCs w:val="20"/>
          <w:lang w:eastAsia="en-GB"/>
        </w:rPr>
      </w:pPr>
      <w:r w:rsidRPr="00FF722F">
        <w:rPr>
          <w:sz w:val="20"/>
          <w:szCs w:val="20"/>
          <w:vertAlign w:val="superscript"/>
          <w:lang w:eastAsia="en-GB"/>
        </w:rPr>
        <w:t>1</w:t>
      </w:r>
      <w:r>
        <w:rPr>
          <w:vertAlign w:val="superscript"/>
          <w:lang w:eastAsia="en-GB"/>
        </w:rPr>
        <w:t xml:space="preserve"> </w:t>
      </w:r>
      <w:r w:rsidRPr="005C2EFD">
        <w:rPr>
          <w:sz w:val="20"/>
          <w:szCs w:val="20"/>
          <w:lang w:eastAsia="en-GB"/>
        </w:rPr>
        <w:t xml:space="preserve">This includes £5.4m relating </w:t>
      </w:r>
      <w:r w:rsidR="00F0788E">
        <w:rPr>
          <w:sz w:val="20"/>
          <w:szCs w:val="20"/>
          <w:lang w:eastAsia="en-GB"/>
        </w:rPr>
        <w:t xml:space="preserve">to </w:t>
      </w:r>
      <w:r w:rsidRPr="005C2EFD">
        <w:rPr>
          <w:sz w:val="20"/>
          <w:szCs w:val="20"/>
          <w:lang w:eastAsia="en-GB"/>
        </w:rPr>
        <w:t xml:space="preserve">the waste treatment facilities </w:t>
      </w:r>
    </w:p>
    <w:p w14:paraId="1394E051" w14:textId="0BE031E7" w:rsidR="005C2EFD" w:rsidRPr="005C2EFD" w:rsidRDefault="005C2EFD" w:rsidP="00763E72">
      <w:pPr>
        <w:ind w:left="426"/>
        <w:rPr>
          <w:lang w:eastAsia="en-GB"/>
        </w:rPr>
      </w:pPr>
      <w:r w:rsidRPr="005C2EFD">
        <w:rPr>
          <w:sz w:val="20"/>
          <w:szCs w:val="20"/>
          <w:vertAlign w:val="superscript"/>
          <w:lang w:eastAsia="en-GB"/>
        </w:rPr>
        <w:t>2</w:t>
      </w:r>
      <w:r>
        <w:rPr>
          <w:sz w:val="20"/>
          <w:szCs w:val="20"/>
          <w:vertAlign w:val="superscript"/>
          <w:lang w:eastAsia="en-GB"/>
        </w:rPr>
        <w:t xml:space="preserve"> </w:t>
      </w:r>
      <w:r>
        <w:rPr>
          <w:sz w:val="20"/>
          <w:szCs w:val="20"/>
          <w:lang w:eastAsia="en-GB"/>
        </w:rPr>
        <w:t>£3.1m in relation to the waste treatment facilities is included in the write down of the PFI liability in 2013/14.</w:t>
      </w:r>
    </w:p>
    <w:p w14:paraId="104314E5" w14:textId="77777777" w:rsidR="00853936" w:rsidRDefault="00853936" w:rsidP="00493F89">
      <w:pPr>
        <w:rPr>
          <w:lang w:eastAsia="en-GB"/>
        </w:rPr>
      </w:pPr>
    </w:p>
    <w:p w14:paraId="16B10053" w14:textId="77777777" w:rsidR="00734EA9" w:rsidRDefault="00734EA9" w:rsidP="00493F89">
      <w:pPr>
        <w:rPr>
          <w:lang w:eastAsia="en-GB"/>
        </w:rPr>
      </w:pPr>
    </w:p>
    <w:p w14:paraId="7AA43F67" w14:textId="77777777" w:rsidR="005C2EFD" w:rsidRDefault="005C2EFD" w:rsidP="00493F89">
      <w:pPr>
        <w:rPr>
          <w:lang w:eastAsia="en-GB"/>
        </w:rPr>
        <w:sectPr w:rsidR="005C2EFD" w:rsidSect="0064475E">
          <w:footerReference w:type="default" r:id="rId16"/>
          <w:pgSz w:w="11900" w:h="16840" w:code="9"/>
          <w:pgMar w:top="720" w:right="720" w:bottom="720" w:left="720" w:header="284" w:footer="284" w:gutter="0"/>
          <w:cols w:space="292"/>
          <w:docGrid w:linePitch="326"/>
        </w:sectPr>
      </w:pPr>
    </w:p>
    <w:p w14:paraId="7885510E" w14:textId="77777777" w:rsidR="00853936" w:rsidRPr="00A06955" w:rsidRDefault="00853936" w:rsidP="00493F89">
      <w:pPr>
        <w:rPr>
          <w:b/>
          <w:u w:val="single"/>
          <w:lang w:eastAsia="en-GB"/>
        </w:rPr>
      </w:pPr>
      <w:r w:rsidRPr="00A06955">
        <w:rPr>
          <w:b/>
          <w:u w:val="single"/>
          <w:lang w:eastAsia="en-GB"/>
        </w:rPr>
        <w:lastRenderedPageBreak/>
        <w:t>Notes to the Movement in Reserves Statement</w:t>
      </w:r>
    </w:p>
    <w:p w14:paraId="2D838B4F" w14:textId="51A13D8E" w:rsidR="00853936" w:rsidRPr="00A06955" w:rsidRDefault="00B8312E" w:rsidP="008D0533">
      <w:pPr>
        <w:pStyle w:val="Heading2"/>
        <w:ind w:left="720" w:firstLine="720"/>
      </w:pPr>
      <w:r>
        <w:t>6. Adjustments between accounting basis &amp; funding basis under r</w:t>
      </w:r>
      <w:r w:rsidR="00853936" w:rsidRPr="00A06955">
        <w:t>egulations</w:t>
      </w:r>
    </w:p>
    <w:p w14:paraId="2A842E0B" w14:textId="77777777" w:rsidR="00853936" w:rsidRPr="009C1D66" w:rsidRDefault="00853936" w:rsidP="00853936">
      <w:pPr>
        <w:rPr>
          <w:lang w:eastAsia="en-GB"/>
        </w:rPr>
      </w:pPr>
      <w:r w:rsidRPr="009C1D66">
        <w:rPr>
          <w:lang w:eastAsia="en-GB"/>
        </w:rPr>
        <w:t>This note details the adjustments that are made to the total comprehensive income and expenditure recognised by the council in the year in accordance with proper accounting practice to the resources that are specified by statutory provisions as being available to the council to meet future capital and revenue expenditure.</w:t>
      </w:r>
    </w:p>
    <w:p w14:paraId="2BE71565" w14:textId="09C89EDB" w:rsidR="00853936" w:rsidRPr="00A06955" w:rsidRDefault="00853936" w:rsidP="00853936">
      <w:pPr>
        <w:rPr>
          <w:b/>
          <w:u w:val="single"/>
          <w:lang w:eastAsia="en-GB"/>
        </w:rPr>
      </w:pPr>
      <w:r w:rsidRPr="00A06955">
        <w:rPr>
          <w:b/>
          <w:u w:val="single"/>
          <w:lang w:eastAsia="en-GB"/>
        </w:rPr>
        <w:t xml:space="preserve">2014/15 </w:t>
      </w:r>
    </w:p>
    <w:tbl>
      <w:tblPr>
        <w:tblW w:w="4982" w:type="pct"/>
        <w:tblLook w:val="04A0" w:firstRow="1" w:lastRow="0" w:firstColumn="1" w:lastColumn="0" w:noHBand="0" w:noVBand="1"/>
      </w:tblPr>
      <w:tblGrid>
        <w:gridCol w:w="7200"/>
        <w:gridCol w:w="1824"/>
        <w:gridCol w:w="1823"/>
        <w:gridCol w:w="1965"/>
        <w:gridCol w:w="2523"/>
      </w:tblGrid>
      <w:tr w:rsidR="00EA1031" w:rsidRPr="00747B0B" w14:paraId="7E7415A1" w14:textId="77777777" w:rsidTr="00A06955">
        <w:trPr>
          <w:trHeight w:val="454"/>
          <w:tblHeader/>
        </w:trPr>
        <w:tc>
          <w:tcPr>
            <w:tcW w:w="7200" w:type="dxa"/>
            <w:tcBorders>
              <w:top w:val="single" w:sz="4" w:space="0" w:color="auto"/>
              <w:left w:val="single" w:sz="4" w:space="0" w:color="auto"/>
            </w:tcBorders>
            <w:shd w:val="clear" w:color="auto" w:fill="D0CECE"/>
            <w:vAlign w:val="bottom"/>
          </w:tcPr>
          <w:p w14:paraId="5B2C7C69" w14:textId="77777777" w:rsidR="00EA1031" w:rsidRPr="00747B0B" w:rsidRDefault="00EA1031" w:rsidP="001A6E72">
            <w:pPr>
              <w:jc w:val="left"/>
              <w:rPr>
                <w:color w:val="auto"/>
                <w:sz w:val="20"/>
                <w:szCs w:val="20"/>
                <w:highlight w:val="yellow"/>
              </w:rPr>
            </w:pPr>
          </w:p>
        </w:tc>
        <w:tc>
          <w:tcPr>
            <w:tcW w:w="5612" w:type="dxa"/>
            <w:gridSpan w:val="3"/>
            <w:tcBorders>
              <w:top w:val="single" w:sz="4" w:space="0" w:color="auto"/>
            </w:tcBorders>
            <w:shd w:val="clear" w:color="auto" w:fill="D0CECE"/>
            <w:vAlign w:val="bottom"/>
          </w:tcPr>
          <w:p w14:paraId="54ADB53D" w14:textId="77777777" w:rsidR="00EA1031" w:rsidRPr="00A06955" w:rsidRDefault="00455438" w:rsidP="00455438">
            <w:pPr>
              <w:jc w:val="center"/>
              <w:rPr>
                <w:b/>
                <w:color w:val="auto"/>
                <w:sz w:val="20"/>
                <w:szCs w:val="20"/>
                <w:u w:val="single"/>
              </w:rPr>
            </w:pPr>
            <w:r w:rsidRPr="00A06955">
              <w:rPr>
                <w:b/>
                <w:color w:val="auto"/>
                <w:sz w:val="20"/>
                <w:szCs w:val="20"/>
                <w:u w:val="single"/>
              </w:rPr>
              <w:t>Usable Reserves £m</w:t>
            </w:r>
          </w:p>
        </w:tc>
        <w:tc>
          <w:tcPr>
            <w:tcW w:w="2523" w:type="dxa"/>
            <w:tcBorders>
              <w:top w:val="single" w:sz="4" w:space="0" w:color="auto"/>
              <w:right w:val="single" w:sz="4" w:space="0" w:color="auto"/>
            </w:tcBorders>
            <w:shd w:val="clear" w:color="auto" w:fill="D0CECE"/>
            <w:vAlign w:val="bottom"/>
          </w:tcPr>
          <w:p w14:paraId="270ED0FC" w14:textId="77777777" w:rsidR="00EA1031" w:rsidRPr="00A06955" w:rsidRDefault="00EA1031" w:rsidP="006416C9">
            <w:pPr>
              <w:jc w:val="center"/>
              <w:rPr>
                <w:b/>
                <w:color w:val="auto"/>
                <w:sz w:val="20"/>
                <w:szCs w:val="20"/>
                <w:u w:val="single"/>
              </w:rPr>
            </w:pPr>
            <w:r w:rsidRPr="00A06955">
              <w:rPr>
                <w:b/>
                <w:color w:val="auto"/>
                <w:sz w:val="20"/>
                <w:szCs w:val="20"/>
                <w:u w:val="single"/>
              </w:rPr>
              <w:t>Unusable Reserves £m</w:t>
            </w:r>
          </w:p>
        </w:tc>
      </w:tr>
      <w:tr w:rsidR="00EA1031" w:rsidRPr="00747B0B" w14:paraId="0069CD79" w14:textId="77777777" w:rsidTr="00A06955">
        <w:trPr>
          <w:trHeight w:val="454"/>
          <w:tblHeader/>
        </w:trPr>
        <w:tc>
          <w:tcPr>
            <w:tcW w:w="7200" w:type="dxa"/>
            <w:tcBorders>
              <w:left w:val="single" w:sz="4" w:space="0" w:color="auto"/>
            </w:tcBorders>
            <w:shd w:val="clear" w:color="auto" w:fill="D0CECE"/>
            <w:vAlign w:val="bottom"/>
          </w:tcPr>
          <w:p w14:paraId="466EC9A2" w14:textId="77777777" w:rsidR="00EA1031" w:rsidRPr="00747B0B" w:rsidRDefault="00EA1031" w:rsidP="006416C9">
            <w:pPr>
              <w:jc w:val="left"/>
              <w:rPr>
                <w:color w:val="auto"/>
                <w:sz w:val="20"/>
                <w:szCs w:val="20"/>
                <w:highlight w:val="yellow"/>
              </w:rPr>
            </w:pPr>
          </w:p>
        </w:tc>
        <w:tc>
          <w:tcPr>
            <w:tcW w:w="1824" w:type="dxa"/>
            <w:shd w:val="clear" w:color="auto" w:fill="D0CECE"/>
            <w:vAlign w:val="bottom"/>
          </w:tcPr>
          <w:p w14:paraId="233A2757" w14:textId="77777777" w:rsidR="00EA1031" w:rsidRPr="00A06955" w:rsidRDefault="00EA1031" w:rsidP="006416C9">
            <w:pPr>
              <w:jc w:val="center"/>
              <w:rPr>
                <w:b/>
                <w:color w:val="auto"/>
                <w:sz w:val="20"/>
                <w:szCs w:val="20"/>
              </w:rPr>
            </w:pPr>
            <w:r w:rsidRPr="00A06955">
              <w:rPr>
                <w:b/>
                <w:color w:val="auto"/>
                <w:sz w:val="20"/>
                <w:szCs w:val="20"/>
              </w:rPr>
              <w:t>County Fund</w:t>
            </w:r>
          </w:p>
        </w:tc>
        <w:tc>
          <w:tcPr>
            <w:tcW w:w="1823" w:type="dxa"/>
            <w:shd w:val="clear" w:color="auto" w:fill="D0CECE"/>
            <w:vAlign w:val="bottom"/>
          </w:tcPr>
          <w:p w14:paraId="09040622" w14:textId="77777777" w:rsidR="00EA1031" w:rsidRPr="00A06955" w:rsidRDefault="00EA1031" w:rsidP="006416C9">
            <w:pPr>
              <w:jc w:val="center"/>
              <w:rPr>
                <w:b/>
                <w:color w:val="auto"/>
                <w:sz w:val="20"/>
                <w:szCs w:val="20"/>
              </w:rPr>
            </w:pPr>
            <w:r w:rsidRPr="00A06955">
              <w:rPr>
                <w:b/>
                <w:color w:val="auto"/>
                <w:sz w:val="20"/>
                <w:szCs w:val="20"/>
              </w:rPr>
              <w:t>Capital Receipts Reserve</w:t>
            </w:r>
          </w:p>
        </w:tc>
        <w:tc>
          <w:tcPr>
            <w:tcW w:w="1965" w:type="dxa"/>
            <w:shd w:val="clear" w:color="auto" w:fill="D0CECE"/>
            <w:vAlign w:val="bottom"/>
          </w:tcPr>
          <w:p w14:paraId="7A6BEB70" w14:textId="77777777" w:rsidR="00EA1031" w:rsidRPr="00A06955" w:rsidRDefault="00EA1031" w:rsidP="006416C9">
            <w:pPr>
              <w:jc w:val="center"/>
              <w:rPr>
                <w:b/>
                <w:color w:val="auto"/>
                <w:sz w:val="20"/>
                <w:szCs w:val="20"/>
              </w:rPr>
            </w:pPr>
            <w:r w:rsidRPr="00A06955">
              <w:rPr>
                <w:b/>
                <w:color w:val="auto"/>
                <w:sz w:val="20"/>
                <w:szCs w:val="20"/>
              </w:rPr>
              <w:t>Capital Grants Unapplied</w:t>
            </w:r>
          </w:p>
        </w:tc>
        <w:tc>
          <w:tcPr>
            <w:tcW w:w="2523" w:type="dxa"/>
            <w:tcBorders>
              <w:right w:val="single" w:sz="4" w:space="0" w:color="auto"/>
            </w:tcBorders>
            <w:shd w:val="clear" w:color="auto" w:fill="D0CECE"/>
            <w:vAlign w:val="bottom"/>
          </w:tcPr>
          <w:p w14:paraId="19342485" w14:textId="77777777" w:rsidR="00EA1031" w:rsidRPr="00A06955" w:rsidRDefault="00EA1031" w:rsidP="006416C9">
            <w:pPr>
              <w:jc w:val="center"/>
              <w:rPr>
                <w:b/>
                <w:color w:val="auto"/>
                <w:sz w:val="20"/>
                <w:szCs w:val="20"/>
              </w:rPr>
            </w:pPr>
            <w:r w:rsidRPr="00A06955">
              <w:rPr>
                <w:b/>
                <w:color w:val="auto"/>
                <w:sz w:val="20"/>
                <w:szCs w:val="20"/>
              </w:rPr>
              <w:t>Total Unusable Reserves</w:t>
            </w:r>
          </w:p>
        </w:tc>
      </w:tr>
      <w:tr w:rsidR="00EA1031" w:rsidRPr="00747B0B" w14:paraId="28BDCAE8" w14:textId="77777777" w:rsidTr="00A06955">
        <w:trPr>
          <w:trHeight w:val="454"/>
        </w:trPr>
        <w:tc>
          <w:tcPr>
            <w:tcW w:w="7200" w:type="dxa"/>
            <w:tcBorders>
              <w:left w:val="single" w:sz="4" w:space="0" w:color="auto"/>
            </w:tcBorders>
            <w:shd w:val="clear" w:color="auto" w:fill="D0CECE"/>
            <w:vAlign w:val="bottom"/>
          </w:tcPr>
          <w:p w14:paraId="75FC558C" w14:textId="77777777" w:rsidR="00EA1031" w:rsidRPr="00A06955" w:rsidRDefault="00EA1031" w:rsidP="006416C9">
            <w:pPr>
              <w:jc w:val="left"/>
              <w:rPr>
                <w:b/>
                <w:color w:val="auto"/>
                <w:sz w:val="20"/>
                <w:szCs w:val="20"/>
              </w:rPr>
            </w:pPr>
            <w:r w:rsidRPr="00A06955">
              <w:rPr>
                <w:b/>
                <w:color w:val="auto"/>
                <w:sz w:val="20"/>
                <w:szCs w:val="20"/>
              </w:rPr>
              <w:t>Adjustments involving the Capital Adjustment Account</w:t>
            </w:r>
          </w:p>
        </w:tc>
        <w:tc>
          <w:tcPr>
            <w:tcW w:w="1824" w:type="dxa"/>
            <w:shd w:val="clear" w:color="auto" w:fill="D0CECE"/>
            <w:vAlign w:val="bottom"/>
          </w:tcPr>
          <w:p w14:paraId="6C6ADDB6" w14:textId="77777777" w:rsidR="00EA1031" w:rsidRPr="00747B0B" w:rsidRDefault="00EA1031" w:rsidP="006416C9">
            <w:pPr>
              <w:jc w:val="center"/>
              <w:rPr>
                <w:b/>
                <w:color w:val="auto"/>
                <w:sz w:val="20"/>
                <w:szCs w:val="20"/>
                <w:highlight w:val="yellow"/>
              </w:rPr>
            </w:pPr>
          </w:p>
        </w:tc>
        <w:tc>
          <w:tcPr>
            <w:tcW w:w="1823" w:type="dxa"/>
            <w:shd w:val="clear" w:color="auto" w:fill="D0CECE"/>
            <w:vAlign w:val="bottom"/>
          </w:tcPr>
          <w:p w14:paraId="5AC86F19" w14:textId="77777777" w:rsidR="00EA1031" w:rsidRPr="00747B0B" w:rsidRDefault="00EA1031" w:rsidP="006416C9">
            <w:pPr>
              <w:jc w:val="center"/>
              <w:rPr>
                <w:b/>
                <w:color w:val="auto"/>
                <w:sz w:val="20"/>
                <w:szCs w:val="20"/>
                <w:highlight w:val="yellow"/>
              </w:rPr>
            </w:pPr>
          </w:p>
        </w:tc>
        <w:tc>
          <w:tcPr>
            <w:tcW w:w="1965" w:type="dxa"/>
            <w:shd w:val="clear" w:color="auto" w:fill="D0CECE"/>
            <w:vAlign w:val="bottom"/>
          </w:tcPr>
          <w:p w14:paraId="565B0625" w14:textId="77777777" w:rsidR="00EA1031" w:rsidRPr="00747B0B" w:rsidRDefault="00EA1031" w:rsidP="006416C9">
            <w:pPr>
              <w:jc w:val="center"/>
              <w:rPr>
                <w:b/>
                <w:color w:val="auto"/>
                <w:sz w:val="20"/>
                <w:szCs w:val="20"/>
                <w:highlight w:val="yellow"/>
              </w:rPr>
            </w:pPr>
          </w:p>
        </w:tc>
        <w:tc>
          <w:tcPr>
            <w:tcW w:w="2523" w:type="dxa"/>
            <w:tcBorders>
              <w:right w:val="single" w:sz="4" w:space="0" w:color="auto"/>
            </w:tcBorders>
            <w:shd w:val="clear" w:color="auto" w:fill="D0CECE"/>
            <w:vAlign w:val="bottom"/>
          </w:tcPr>
          <w:p w14:paraId="7D07A124" w14:textId="77777777" w:rsidR="00EA1031" w:rsidRPr="00747B0B" w:rsidRDefault="00EA1031" w:rsidP="006416C9">
            <w:pPr>
              <w:jc w:val="center"/>
              <w:rPr>
                <w:b/>
                <w:color w:val="auto"/>
                <w:sz w:val="20"/>
                <w:szCs w:val="20"/>
                <w:highlight w:val="yellow"/>
              </w:rPr>
            </w:pPr>
          </w:p>
        </w:tc>
      </w:tr>
      <w:tr w:rsidR="00EA1031" w:rsidRPr="00747B0B" w14:paraId="24BCB3FF" w14:textId="77777777" w:rsidTr="00A06955">
        <w:trPr>
          <w:trHeight w:val="454"/>
        </w:trPr>
        <w:tc>
          <w:tcPr>
            <w:tcW w:w="7200" w:type="dxa"/>
            <w:tcBorders>
              <w:left w:val="single" w:sz="4" w:space="0" w:color="auto"/>
            </w:tcBorders>
            <w:shd w:val="clear" w:color="auto" w:fill="E7E6E6"/>
            <w:vAlign w:val="bottom"/>
          </w:tcPr>
          <w:p w14:paraId="141DDE41" w14:textId="77777777" w:rsidR="00EA1031" w:rsidRPr="00A06955" w:rsidRDefault="00EA1031" w:rsidP="006416C9">
            <w:pPr>
              <w:jc w:val="left"/>
              <w:rPr>
                <w:b/>
                <w:color w:val="auto"/>
                <w:sz w:val="20"/>
                <w:szCs w:val="20"/>
              </w:rPr>
            </w:pPr>
            <w:r w:rsidRPr="00A06955">
              <w:rPr>
                <w:b/>
                <w:color w:val="auto"/>
                <w:sz w:val="20"/>
                <w:szCs w:val="20"/>
              </w:rPr>
              <w:t>Reversal of items debited or credited to the Comprehensive Income and Expenditure Statement:</w:t>
            </w:r>
          </w:p>
        </w:tc>
        <w:tc>
          <w:tcPr>
            <w:tcW w:w="1824" w:type="dxa"/>
            <w:shd w:val="clear" w:color="auto" w:fill="E7E6E6"/>
            <w:vAlign w:val="bottom"/>
          </w:tcPr>
          <w:p w14:paraId="58E43163" w14:textId="77777777" w:rsidR="00EA1031" w:rsidRPr="00747B0B" w:rsidRDefault="00EA1031" w:rsidP="006416C9">
            <w:pPr>
              <w:jc w:val="center"/>
              <w:rPr>
                <w:b/>
                <w:color w:val="auto"/>
                <w:sz w:val="20"/>
                <w:szCs w:val="20"/>
                <w:highlight w:val="yellow"/>
              </w:rPr>
            </w:pPr>
          </w:p>
        </w:tc>
        <w:tc>
          <w:tcPr>
            <w:tcW w:w="1823" w:type="dxa"/>
            <w:shd w:val="clear" w:color="auto" w:fill="E7E6E6"/>
            <w:vAlign w:val="bottom"/>
          </w:tcPr>
          <w:p w14:paraId="454791A2" w14:textId="77777777" w:rsidR="00EA1031" w:rsidRPr="00747B0B" w:rsidRDefault="00EA1031" w:rsidP="006416C9">
            <w:pPr>
              <w:jc w:val="center"/>
              <w:rPr>
                <w:b/>
                <w:color w:val="auto"/>
                <w:sz w:val="20"/>
                <w:szCs w:val="20"/>
                <w:highlight w:val="yellow"/>
              </w:rPr>
            </w:pPr>
          </w:p>
        </w:tc>
        <w:tc>
          <w:tcPr>
            <w:tcW w:w="1965" w:type="dxa"/>
            <w:shd w:val="clear" w:color="auto" w:fill="E7E6E6"/>
            <w:vAlign w:val="bottom"/>
          </w:tcPr>
          <w:p w14:paraId="65AAD88E" w14:textId="77777777" w:rsidR="00EA1031" w:rsidRPr="00747B0B" w:rsidRDefault="00EA1031" w:rsidP="006416C9">
            <w:pPr>
              <w:jc w:val="center"/>
              <w:rPr>
                <w:b/>
                <w:color w:val="auto"/>
                <w:sz w:val="20"/>
                <w:szCs w:val="20"/>
                <w:highlight w:val="yellow"/>
              </w:rPr>
            </w:pPr>
          </w:p>
        </w:tc>
        <w:tc>
          <w:tcPr>
            <w:tcW w:w="2523" w:type="dxa"/>
            <w:tcBorders>
              <w:right w:val="single" w:sz="4" w:space="0" w:color="auto"/>
            </w:tcBorders>
            <w:shd w:val="clear" w:color="auto" w:fill="E7E6E6"/>
            <w:vAlign w:val="bottom"/>
          </w:tcPr>
          <w:p w14:paraId="66429E38" w14:textId="77777777" w:rsidR="00EA1031" w:rsidRPr="00747B0B" w:rsidRDefault="00EA1031" w:rsidP="006416C9">
            <w:pPr>
              <w:jc w:val="center"/>
              <w:rPr>
                <w:b/>
                <w:color w:val="auto"/>
                <w:sz w:val="20"/>
                <w:szCs w:val="20"/>
                <w:highlight w:val="yellow"/>
              </w:rPr>
            </w:pPr>
          </w:p>
        </w:tc>
      </w:tr>
      <w:tr w:rsidR="00EA1031" w:rsidRPr="00747B0B" w14:paraId="3A2AA16E" w14:textId="77777777" w:rsidTr="00A06955">
        <w:trPr>
          <w:trHeight w:val="454"/>
        </w:trPr>
        <w:tc>
          <w:tcPr>
            <w:tcW w:w="7200" w:type="dxa"/>
            <w:tcBorders>
              <w:left w:val="single" w:sz="4" w:space="0" w:color="auto"/>
            </w:tcBorders>
            <w:shd w:val="clear" w:color="auto" w:fill="auto"/>
            <w:vAlign w:val="bottom"/>
          </w:tcPr>
          <w:p w14:paraId="7651F575" w14:textId="7082DAFF" w:rsidR="00EA1031" w:rsidRPr="00A118ED" w:rsidRDefault="00EA1031">
            <w:pPr>
              <w:jc w:val="left"/>
              <w:rPr>
                <w:color w:val="auto"/>
                <w:sz w:val="20"/>
                <w:szCs w:val="20"/>
              </w:rPr>
            </w:pPr>
            <w:r w:rsidRPr="00A118ED">
              <w:rPr>
                <w:color w:val="auto"/>
                <w:sz w:val="20"/>
                <w:szCs w:val="20"/>
              </w:rPr>
              <w:t xml:space="preserve">-Charges for depreciation </w:t>
            </w:r>
            <w:r w:rsidR="00A954CA" w:rsidRPr="00A118ED">
              <w:rPr>
                <w:color w:val="auto"/>
                <w:sz w:val="20"/>
                <w:szCs w:val="20"/>
              </w:rPr>
              <w:t xml:space="preserve">and impairment </w:t>
            </w:r>
            <w:r w:rsidRPr="00A118ED">
              <w:rPr>
                <w:color w:val="auto"/>
                <w:sz w:val="20"/>
                <w:szCs w:val="20"/>
              </w:rPr>
              <w:t>of non</w:t>
            </w:r>
            <w:r w:rsidR="00A21A1F" w:rsidRPr="00A118ED">
              <w:rPr>
                <w:color w:val="auto"/>
                <w:sz w:val="20"/>
                <w:szCs w:val="20"/>
              </w:rPr>
              <w:t>-</w:t>
            </w:r>
            <w:r w:rsidRPr="00A118ED">
              <w:rPr>
                <w:color w:val="auto"/>
                <w:sz w:val="20"/>
                <w:szCs w:val="20"/>
              </w:rPr>
              <w:t>current assets</w:t>
            </w:r>
          </w:p>
        </w:tc>
        <w:tc>
          <w:tcPr>
            <w:tcW w:w="1824" w:type="dxa"/>
            <w:shd w:val="clear" w:color="auto" w:fill="auto"/>
            <w:vAlign w:val="bottom"/>
          </w:tcPr>
          <w:p w14:paraId="41426FB5" w14:textId="1DD96943" w:rsidR="00EA1031" w:rsidRPr="00A06955" w:rsidRDefault="004D09B1" w:rsidP="001A6E72">
            <w:pPr>
              <w:tabs>
                <w:tab w:val="decimal" w:pos="895"/>
              </w:tabs>
              <w:rPr>
                <w:color w:val="auto"/>
                <w:sz w:val="20"/>
                <w:szCs w:val="20"/>
              </w:rPr>
            </w:pPr>
            <w:r w:rsidRPr="00A06955">
              <w:rPr>
                <w:color w:val="auto"/>
                <w:sz w:val="20"/>
                <w:szCs w:val="20"/>
              </w:rPr>
              <w:t>(</w:t>
            </w:r>
            <w:r w:rsidR="00075F6C">
              <w:rPr>
                <w:color w:val="auto"/>
                <w:sz w:val="20"/>
                <w:szCs w:val="20"/>
              </w:rPr>
              <w:t>48</w:t>
            </w:r>
            <w:r w:rsidRPr="00A06955">
              <w:rPr>
                <w:color w:val="auto"/>
                <w:sz w:val="20"/>
                <w:szCs w:val="20"/>
              </w:rPr>
              <w:t>.0)</w:t>
            </w:r>
          </w:p>
        </w:tc>
        <w:tc>
          <w:tcPr>
            <w:tcW w:w="1823" w:type="dxa"/>
            <w:shd w:val="clear" w:color="auto" w:fill="auto"/>
            <w:vAlign w:val="bottom"/>
          </w:tcPr>
          <w:p w14:paraId="2CC4434E" w14:textId="2DFF3757" w:rsidR="00EA1031" w:rsidRPr="00A06955" w:rsidRDefault="000E7E71" w:rsidP="006416C9">
            <w:pPr>
              <w:tabs>
                <w:tab w:val="decimal" w:pos="799"/>
              </w:tabs>
              <w:rPr>
                <w:color w:val="auto"/>
                <w:sz w:val="20"/>
                <w:szCs w:val="20"/>
              </w:rPr>
            </w:pPr>
            <w:r>
              <w:rPr>
                <w:color w:val="auto"/>
                <w:sz w:val="20"/>
                <w:szCs w:val="20"/>
              </w:rPr>
              <w:t>-</w:t>
            </w:r>
          </w:p>
        </w:tc>
        <w:tc>
          <w:tcPr>
            <w:tcW w:w="1965" w:type="dxa"/>
            <w:shd w:val="clear" w:color="auto" w:fill="auto"/>
            <w:vAlign w:val="bottom"/>
          </w:tcPr>
          <w:p w14:paraId="0056C4EE" w14:textId="32FACF63" w:rsidR="00EA1031" w:rsidRPr="00A06955" w:rsidRDefault="000E7E71" w:rsidP="00E42A0F">
            <w:pPr>
              <w:tabs>
                <w:tab w:val="decimal" w:pos="884"/>
              </w:tabs>
              <w:rPr>
                <w:color w:val="auto"/>
                <w:sz w:val="20"/>
                <w:szCs w:val="20"/>
              </w:rPr>
            </w:pPr>
            <w:r>
              <w:rPr>
                <w:color w:val="auto"/>
                <w:sz w:val="20"/>
                <w:szCs w:val="20"/>
              </w:rPr>
              <w:t>-</w:t>
            </w:r>
          </w:p>
        </w:tc>
        <w:tc>
          <w:tcPr>
            <w:tcW w:w="2523" w:type="dxa"/>
            <w:tcBorders>
              <w:right w:val="single" w:sz="4" w:space="0" w:color="auto"/>
            </w:tcBorders>
            <w:shd w:val="clear" w:color="auto" w:fill="auto"/>
            <w:vAlign w:val="bottom"/>
          </w:tcPr>
          <w:p w14:paraId="1BCD9DC7" w14:textId="38A7ED02" w:rsidR="00EA1031" w:rsidRPr="00A06955" w:rsidRDefault="0025336A" w:rsidP="00E42A0F">
            <w:pPr>
              <w:tabs>
                <w:tab w:val="decimal" w:pos="1167"/>
              </w:tabs>
              <w:rPr>
                <w:color w:val="auto"/>
                <w:sz w:val="20"/>
                <w:szCs w:val="20"/>
              </w:rPr>
            </w:pPr>
            <w:r>
              <w:rPr>
                <w:color w:val="auto"/>
                <w:sz w:val="20"/>
                <w:szCs w:val="20"/>
              </w:rPr>
              <w:t>48</w:t>
            </w:r>
            <w:r w:rsidR="000E7E71" w:rsidRPr="00A06955">
              <w:rPr>
                <w:color w:val="auto"/>
                <w:sz w:val="20"/>
                <w:szCs w:val="20"/>
              </w:rPr>
              <w:t>.0</w:t>
            </w:r>
          </w:p>
        </w:tc>
      </w:tr>
      <w:tr w:rsidR="00EA1031" w:rsidRPr="00747B0B" w14:paraId="1A351DFC" w14:textId="77777777" w:rsidTr="00A06955">
        <w:trPr>
          <w:trHeight w:val="454"/>
        </w:trPr>
        <w:tc>
          <w:tcPr>
            <w:tcW w:w="7200" w:type="dxa"/>
            <w:tcBorders>
              <w:left w:val="single" w:sz="4" w:space="0" w:color="auto"/>
            </w:tcBorders>
            <w:shd w:val="clear" w:color="auto" w:fill="auto"/>
            <w:vAlign w:val="bottom"/>
          </w:tcPr>
          <w:p w14:paraId="107FBB6D" w14:textId="77777777" w:rsidR="00EA1031" w:rsidRPr="00A118ED" w:rsidRDefault="00EA1031" w:rsidP="006416C9">
            <w:pPr>
              <w:jc w:val="left"/>
              <w:rPr>
                <w:color w:val="auto"/>
                <w:sz w:val="20"/>
                <w:szCs w:val="20"/>
              </w:rPr>
            </w:pPr>
            <w:r w:rsidRPr="00A118ED">
              <w:rPr>
                <w:color w:val="auto"/>
                <w:sz w:val="20"/>
                <w:szCs w:val="20"/>
              </w:rPr>
              <w:t>-Revaluation losses on Property</w:t>
            </w:r>
            <w:r w:rsidR="00274F0F" w:rsidRPr="00A118ED">
              <w:rPr>
                <w:color w:val="auto"/>
                <w:sz w:val="20"/>
                <w:szCs w:val="20"/>
              </w:rPr>
              <w:t>,</w:t>
            </w:r>
            <w:r w:rsidRPr="00A118ED">
              <w:rPr>
                <w:color w:val="auto"/>
                <w:sz w:val="20"/>
                <w:szCs w:val="20"/>
              </w:rPr>
              <w:t xml:space="preserve"> Plant and Equipment (charged to surplus or deficit on the provision of services)</w:t>
            </w:r>
          </w:p>
        </w:tc>
        <w:tc>
          <w:tcPr>
            <w:tcW w:w="1824" w:type="dxa"/>
            <w:shd w:val="clear" w:color="auto" w:fill="auto"/>
            <w:vAlign w:val="bottom"/>
          </w:tcPr>
          <w:p w14:paraId="0F45FC7F" w14:textId="60E84EE5" w:rsidR="00EA1031" w:rsidRPr="00E80A5D" w:rsidRDefault="004D09B1" w:rsidP="001B5046">
            <w:pPr>
              <w:tabs>
                <w:tab w:val="decimal" w:pos="895"/>
              </w:tabs>
              <w:rPr>
                <w:color w:val="auto"/>
                <w:sz w:val="20"/>
                <w:szCs w:val="20"/>
              </w:rPr>
            </w:pPr>
            <w:r w:rsidRPr="00E80A5D">
              <w:rPr>
                <w:color w:val="auto"/>
                <w:sz w:val="20"/>
                <w:szCs w:val="20"/>
              </w:rPr>
              <w:t>(1</w:t>
            </w:r>
            <w:r w:rsidR="00E80A5D" w:rsidRPr="00E80A5D">
              <w:rPr>
                <w:color w:val="auto"/>
                <w:sz w:val="20"/>
                <w:szCs w:val="20"/>
              </w:rPr>
              <w:t>28.9</w:t>
            </w:r>
            <w:r w:rsidRPr="00E80A5D">
              <w:rPr>
                <w:color w:val="auto"/>
                <w:sz w:val="20"/>
                <w:szCs w:val="20"/>
              </w:rPr>
              <w:t>)</w:t>
            </w:r>
          </w:p>
        </w:tc>
        <w:tc>
          <w:tcPr>
            <w:tcW w:w="1823" w:type="dxa"/>
            <w:shd w:val="clear" w:color="auto" w:fill="auto"/>
            <w:vAlign w:val="bottom"/>
          </w:tcPr>
          <w:p w14:paraId="0AF45AF3" w14:textId="6BE7AB11" w:rsidR="00EA1031" w:rsidRPr="00E80A5D" w:rsidRDefault="000E7E71" w:rsidP="006416C9">
            <w:pPr>
              <w:tabs>
                <w:tab w:val="decimal" w:pos="799"/>
              </w:tabs>
              <w:rPr>
                <w:color w:val="auto"/>
                <w:sz w:val="20"/>
                <w:szCs w:val="20"/>
              </w:rPr>
            </w:pPr>
            <w:r w:rsidRPr="00E80A5D">
              <w:rPr>
                <w:color w:val="auto"/>
                <w:sz w:val="20"/>
                <w:szCs w:val="20"/>
              </w:rPr>
              <w:t>-</w:t>
            </w:r>
          </w:p>
        </w:tc>
        <w:tc>
          <w:tcPr>
            <w:tcW w:w="1965" w:type="dxa"/>
            <w:shd w:val="clear" w:color="auto" w:fill="auto"/>
            <w:vAlign w:val="bottom"/>
          </w:tcPr>
          <w:p w14:paraId="5B51C257" w14:textId="319AAE9A" w:rsidR="00EA1031" w:rsidRPr="00E80A5D" w:rsidRDefault="000E7E71" w:rsidP="00E42A0F">
            <w:pPr>
              <w:tabs>
                <w:tab w:val="decimal" w:pos="884"/>
              </w:tabs>
              <w:rPr>
                <w:color w:val="auto"/>
                <w:sz w:val="20"/>
                <w:szCs w:val="20"/>
              </w:rPr>
            </w:pPr>
            <w:r w:rsidRPr="00E80A5D">
              <w:rPr>
                <w:color w:val="auto"/>
                <w:sz w:val="20"/>
                <w:szCs w:val="20"/>
              </w:rPr>
              <w:t>-</w:t>
            </w:r>
          </w:p>
        </w:tc>
        <w:tc>
          <w:tcPr>
            <w:tcW w:w="2523" w:type="dxa"/>
            <w:tcBorders>
              <w:right w:val="single" w:sz="4" w:space="0" w:color="auto"/>
            </w:tcBorders>
            <w:shd w:val="clear" w:color="auto" w:fill="auto"/>
            <w:vAlign w:val="bottom"/>
          </w:tcPr>
          <w:p w14:paraId="6A9967EF" w14:textId="482E8351" w:rsidR="00EA1031" w:rsidRPr="00E80A5D" w:rsidRDefault="001B5046" w:rsidP="004F47D0">
            <w:pPr>
              <w:tabs>
                <w:tab w:val="decimal" w:pos="1167"/>
              </w:tabs>
              <w:rPr>
                <w:color w:val="auto"/>
                <w:sz w:val="20"/>
                <w:szCs w:val="20"/>
              </w:rPr>
            </w:pPr>
            <w:r w:rsidRPr="00E80A5D">
              <w:rPr>
                <w:color w:val="auto"/>
                <w:sz w:val="20"/>
                <w:szCs w:val="20"/>
              </w:rPr>
              <w:t>12</w:t>
            </w:r>
            <w:r w:rsidR="00E80A5D" w:rsidRPr="00E80A5D">
              <w:rPr>
                <w:color w:val="auto"/>
                <w:sz w:val="20"/>
                <w:szCs w:val="20"/>
              </w:rPr>
              <w:t>8.9</w:t>
            </w:r>
          </w:p>
        </w:tc>
      </w:tr>
      <w:tr w:rsidR="00EA1031" w:rsidRPr="00747B0B" w14:paraId="325E936D" w14:textId="77777777" w:rsidTr="00A06955">
        <w:trPr>
          <w:trHeight w:val="454"/>
        </w:trPr>
        <w:tc>
          <w:tcPr>
            <w:tcW w:w="7200" w:type="dxa"/>
            <w:tcBorders>
              <w:left w:val="single" w:sz="4" w:space="0" w:color="auto"/>
            </w:tcBorders>
            <w:shd w:val="clear" w:color="auto" w:fill="auto"/>
            <w:vAlign w:val="bottom"/>
          </w:tcPr>
          <w:p w14:paraId="02CBFE14" w14:textId="77777777" w:rsidR="00EA1031" w:rsidRPr="00747B0B" w:rsidRDefault="00EA1031" w:rsidP="006416C9">
            <w:pPr>
              <w:jc w:val="left"/>
              <w:rPr>
                <w:color w:val="auto"/>
                <w:sz w:val="20"/>
                <w:szCs w:val="20"/>
                <w:highlight w:val="yellow"/>
              </w:rPr>
            </w:pPr>
            <w:r w:rsidRPr="00A06955">
              <w:rPr>
                <w:color w:val="auto"/>
                <w:sz w:val="20"/>
                <w:szCs w:val="20"/>
              </w:rPr>
              <w:t>-Revaluation losses on Assets held for sale</w:t>
            </w:r>
          </w:p>
        </w:tc>
        <w:tc>
          <w:tcPr>
            <w:tcW w:w="1824" w:type="dxa"/>
            <w:shd w:val="clear" w:color="auto" w:fill="auto"/>
            <w:vAlign w:val="bottom"/>
          </w:tcPr>
          <w:p w14:paraId="66DEFB36" w14:textId="41044213" w:rsidR="00EA1031" w:rsidRPr="00A06955" w:rsidRDefault="004D09B1" w:rsidP="006416C9">
            <w:pPr>
              <w:tabs>
                <w:tab w:val="decimal" w:pos="895"/>
              </w:tabs>
              <w:rPr>
                <w:color w:val="auto"/>
                <w:sz w:val="20"/>
                <w:szCs w:val="20"/>
              </w:rPr>
            </w:pPr>
            <w:r w:rsidRPr="00A06955">
              <w:rPr>
                <w:color w:val="auto"/>
                <w:sz w:val="20"/>
                <w:szCs w:val="20"/>
              </w:rPr>
              <w:t>0.1</w:t>
            </w:r>
          </w:p>
        </w:tc>
        <w:tc>
          <w:tcPr>
            <w:tcW w:w="1823" w:type="dxa"/>
            <w:shd w:val="clear" w:color="auto" w:fill="auto"/>
            <w:vAlign w:val="bottom"/>
          </w:tcPr>
          <w:p w14:paraId="13583E6F" w14:textId="5B67A8FE" w:rsidR="00EA1031" w:rsidRPr="00A06955" w:rsidRDefault="000E7E71" w:rsidP="006416C9">
            <w:pPr>
              <w:tabs>
                <w:tab w:val="decimal" w:pos="799"/>
              </w:tabs>
              <w:rPr>
                <w:color w:val="auto"/>
                <w:sz w:val="20"/>
                <w:szCs w:val="20"/>
              </w:rPr>
            </w:pPr>
            <w:r>
              <w:rPr>
                <w:color w:val="auto"/>
                <w:sz w:val="20"/>
                <w:szCs w:val="20"/>
              </w:rPr>
              <w:t>-</w:t>
            </w:r>
          </w:p>
        </w:tc>
        <w:tc>
          <w:tcPr>
            <w:tcW w:w="1965" w:type="dxa"/>
            <w:shd w:val="clear" w:color="auto" w:fill="auto"/>
            <w:vAlign w:val="bottom"/>
          </w:tcPr>
          <w:p w14:paraId="3B5FDD73" w14:textId="32CB0D2A" w:rsidR="00EA1031" w:rsidRPr="00A06955" w:rsidRDefault="000E7E71" w:rsidP="00E42A0F">
            <w:pPr>
              <w:tabs>
                <w:tab w:val="decimal" w:pos="884"/>
              </w:tabs>
              <w:rPr>
                <w:color w:val="auto"/>
                <w:sz w:val="20"/>
                <w:szCs w:val="20"/>
              </w:rPr>
            </w:pPr>
            <w:r>
              <w:rPr>
                <w:color w:val="auto"/>
                <w:sz w:val="20"/>
                <w:szCs w:val="20"/>
              </w:rPr>
              <w:t>-</w:t>
            </w:r>
          </w:p>
        </w:tc>
        <w:tc>
          <w:tcPr>
            <w:tcW w:w="2523" w:type="dxa"/>
            <w:tcBorders>
              <w:right w:val="single" w:sz="4" w:space="0" w:color="auto"/>
            </w:tcBorders>
            <w:shd w:val="clear" w:color="auto" w:fill="auto"/>
            <w:vAlign w:val="bottom"/>
          </w:tcPr>
          <w:p w14:paraId="67BF564C" w14:textId="32C4C586" w:rsidR="00EA1031" w:rsidRPr="00A06955" w:rsidRDefault="000E7E71" w:rsidP="00E42A0F">
            <w:pPr>
              <w:tabs>
                <w:tab w:val="decimal" w:pos="1167"/>
              </w:tabs>
              <w:rPr>
                <w:color w:val="auto"/>
                <w:sz w:val="20"/>
                <w:szCs w:val="20"/>
              </w:rPr>
            </w:pPr>
            <w:r w:rsidRPr="00A06955">
              <w:rPr>
                <w:color w:val="auto"/>
                <w:sz w:val="20"/>
                <w:szCs w:val="20"/>
              </w:rPr>
              <w:t>(0.1)</w:t>
            </w:r>
          </w:p>
        </w:tc>
      </w:tr>
      <w:tr w:rsidR="00A954CA" w:rsidRPr="00747B0B" w14:paraId="31685D28" w14:textId="77777777" w:rsidTr="00A06955">
        <w:trPr>
          <w:trHeight w:val="454"/>
        </w:trPr>
        <w:tc>
          <w:tcPr>
            <w:tcW w:w="7200" w:type="dxa"/>
            <w:tcBorders>
              <w:left w:val="single" w:sz="4" w:space="0" w:color="auto"/>
            </w:tcBorders>
            <w:shd w:val="clear" w:color="auto" w:fill="auto"/>
            <w:vAlign w:val="bottom"/>
          </w:tcPr>
          <w:p w14:paraId="40947EF3" w14:textId="0BCA95AF" w:rsidR="00A954CA" w:rsidRPr="00A06955" w:rsidRDefault="00A954CA" w:rsidP="006416C9">
            <w:pPr>
              <w:jc w:val="left"/>
              <w:rPr>
                <w:color w:val="auto"/>
                <w:sz w:val="20"/>
                <w:szCs w:val="20"/>
              </w:rPr>
            </w:pPr>
            <w:r w:rsidRPr="00A06955">
              <w:rPr>
                <w:color w:val="auto"/>
                <w:sz w:val="20"/>
                <w:szCs w:val="20"/>
              </w:rPr>
              <w:t>Amortisation of intangible assets</w:t>
            </w:r>
          </w:p>
        </w:tc>
        <w:tc>
          <w:tcPr>
            <w:tcW w:w="1824" w:type="dxa"/>
            <w:shd w:val="clear" w:color="auto" w:fill="auto"/>
            <w:vAlign w:val="bottom"/>
          </w:tcPr>
          <w:p w14:paraId="1BD6F7D6" w14:textId="681A5034" w:rsidR="00A954CA" w:rsidRPr="00A06955" w:rsidRDefault="00E80A5D" w:rsidP="006416C9">
            <w:pPr>
              <w:tabs>
                <w:tab w:val="decimal" w:pos="895"/>
              </w:tabs>
              <w:rPr>
                <w:color w:val="auto"/>
                <w:sz w:val="20"/>
                <w:szCs w:val="20"/>
              </w:rPr>
            </w:pPr>
            <w:r>
              <w:rPr>
                <w:color w:val="auto"/>
                <w:sz w:val="20"/>
                <w:szCs w:val="20"/>
              </w:rPr>
              <w:t>(3.9</w:t>
            </w:r>
            <w:r w:rsidR="00075F6C">
              <w:rPr>
                <w:color w:val="auto"/>
                <w:sz w:val="20"/>
                <w:szCs w:val="20"/>
              </w:rPr>
              <w:t>)</w:t>
            </w:r>
          </w:p>
        </w:tc>
        <w:tc>
          <w:tcPr>
            <w:tcW w:w="1823" w:type="dxa"/>
            <w:shd w:val="clear" w:color="auto" w:fill="auto"/>
            <w:vAlign w:val="bottom"/>
          </w:tcPr>
          <w:p w14:paraId="20EE9221" w14:textId="0ED29F15" w:rsidR="00A954CA" w:rsidRPr="00A06955" w:rsidRDefault="000E7E71" w:rsidP="006416C9">
            <w:pPr>
              <w:tabs>
                <w:tab w:val="decimal" w:pos="799"/>
              </w:tabs>
              <w:rPr>
                <w:color w:val="auto"/>
                <w:sz w:val="20"/>
                <w:szCs w:val="20"/>
              </w:rPr>
            </w:pPr>
            <w:r>
              <w:rPr>
                <w:color w:val="auto"/>
                <w:sz w:val="20"/>
                <w:szCs w:val="20"/>
              </w:rPr>
              <w:t>-</w:t>
            </w:r>
          </w:p>
        </w:tc>
        <w:tc>
          <w:tcPr>
            <w:tcW w:w="1965" w:type="dxa"/>
            <w:shd w:val="clear" w:color="auto" w:fill="auto"/>
            <w:vAlign w:val="bottom"/>
          </w:tcPr>
          <w:p w14:paraId="7B68B71A" w14:textId="2B422BD8" w:rsidR="00A954CA" w:rsidRPr="00A06955" w:rsidRDefault="000E7E71" w:rsidP="00E42A0F">
            <w:pPr>
              <w:tabs>
                <w:tab w:val="decimal" w:pos="884"/>
              </w:tabs>
              <w:rPr>
                <w:color w:val="auto"/>
                <w:sz w:val="20"/>
                <w:szCs w:val="20"/>
              </w:rPr>
            </w:pPr>
            <w:r>
              <w:rPr>
                <w:color w:val="auto"/>
                <w:sz w:val="20"/>
                <w:szCs w:val="20"/>
              </w:rPr>
              <w:t>-</w:t>
            </w:r>
          </w:p>
        </w:tc>
        <w:tc>
          <w:tcPr>
            <w:tcW w:w="2523" w:type="dxa"/>
            <w:tcBorders>
              <w:right w:val="single" w:sz="4" w:space="0" w:color="auto"/>
            </w:tcBorders>
            <w:shd w:val="clear" w:color="auto" w:fill="auto"/>
            <w:vAlign w:val="bottom"/>
          </w:tcPr>
          <w:p w14:paraId="7B456CB5" w14:textId="5C997184" w:rsidR="00A954CA" w:rsidRPr="00A06955" w:rsidRDefault="00E80A5D" w:rsidP="00E42A0F">
            <w:pPr>
              <w:tabs>
                <w:tab w:val="decimal" w:pos="1167"/>
              </w:tabs>
              <w:rPr>
                <w:color w:val="auto"/>
                <w:sz w:val="20"/>
                <w:szCs w:val="20"/>
              </w:rPr>
            </w:pPr>
            <w:r>
              <w:rPr>
                <w:color w:val="auto"/>
                <w:sz w:val="20"/>
                <w:szCs w:val="20"/>
              </w:rPr>
              <w:t>3.9</w:t>
            </w:r>
          </w:p>
        </w:tc>
      </w:tr>
      <w:tr w:rsidR="00EA1031" w:rsidRPr="00747B0B" w14:paraId="7ACC621D" w14:textId="77777777" w:rsidTr="00A06955">
        <w:trPr>
          <w:trHeight w:val="454"/>
        </w:trPr>
        <w:tc>
          <w:tcPr>
            <w:tcW w:w="7200" w:type="dxa"/>
            <w:tcBorders>
              <w:left w:val="single" w:sz="4" w:space="0" w:color="auto"/>
            </w:tcBorders>
            <w:shd w:val="clear" w:color="auto" w:fill="auto"/>
            <w:vAlign w:val="bottom"/>
          </w:tcPr>
          <w:p w14:paraId="0650A7DB" w14:textId="77777777" w:rsidR="00EA1031" w:rsidRPr="00A06955" w:rsidRDefault="00EA1031" w:rsidP="006416C9">
            <w:pPr>
              <w:jc w:val="left"/>
              <w:rPr>
                <w:color w:val="auto"/>
                <w:sz w:val="20"/>
                <w:szCs w:val="20"/>
              </w:rPr>
            </w:pPr>
            <w:r w:rsidRPr="00A06955">
              <w:rPr>
                <w:color w:val="auto"/>
                <w:sz w:val="20"/>
                <w:szCs w:val="20"/>
              </w:rPr>
              <w:t>-Revenue expenditure funded from capital under statute</w:t>
            </w:r>
          </w:p>
        </w:tc>
        <w:tc>
          <w:tcPr>
            <w:tcW w:w="1824" w:type="dxa"/>
            <w:shd w:val="clear" w:color="auto" w:fill="auto"/>
            <w:vAlign w:val="bottom"/>
          </w:tcPr>
          <w:p w14:paraId="5F443248" w14:textId="71F5BF13" w:rsidR="00EA1031" w:rsidRPr="00A06955" w:rsidRDefault="004D09B1" w:rsidP="006416C9">
            <w:pPr>
              <w:tabs>
                <w:tab w:val="decimal" w:pos="895"/>
              </w:tabs>
              <w:rPr>
                <w:color w:val="auto"/>
                <w:sz w:val="20"/>
                <w:szCs w:val="20"/>
              </w:rPr>
            </w:pPr>
            <w:r w:rsidRPr="00A06955">
              <w:rPr>
                <w:color w:val="auto"/>
                <w:sz w:val="20"/>
                <w:szCs w:val="20"/>
              </w:rPr>
              <w:t>(18.9)</w:t>
            </w:r>
          </w:p>
        </w:tc>
        <w:tc>
          <w:tcPr>
            <w:tcW w:w="1823" w:type="dxa"/>
            <w:shd w:val="clear" w:color="auto" w:fill="auto"/>
            <w:vAlign w:val="bottom"/>
          </w:tcPr>
          <w:p w14:paraId="5649D710" w14:textId="7BB034D5" w:rsidR="00EA1031" w:rsidRPr="00A06955" w:rsidRDefault="000E7E71" w:rsidP="006416C9">
            <w:pPr>
              <w:tabs>
                <w:tab w:val="decimal" w:pos="799"/>
              </w:tabs>
              <w:rPr>
                <w:color w:val="auto"/>
                <w:sz w:val="20"/>
                <w:szCs w:val="20"/>
              </w:rPr>
            </w:pPr>
            <w:r>
              <w:rPr>
                <w:color w:val="auto"/>
                <w:sz w:val="20"/>
                <w:szCs w:val="20"/>
              </w:rPr>
              <w:t>-</w:t>
            </w:r>
          </w:p>
        </w:tc>
        <w:tc>
          <w:tcPr>
            <w:tcW w:w="1965" w:type="dxa"/>
            <w:shd w:val="clear" w:color="auto" w:fill="auto"/>
            <w:vAlign w:val="bottom"/>
          </w:tcPr>
          <w:p w14:paraId="69CC51A8" w14:textId="31E7D62D" w:rsidR="00EA1031" w:rsidRPr="00A06955" w:rsidRDefault="000E7E71" w:rsidP="00E42A0F">
            <w:pPr>
              <w:tabs>
                <w:tab w:val="decimal" w:pos="884"/>
              </w:tabs>
              <w:rPr>
                <w:color w:val="auto"/>
                <w:sz w:val="20"/>
                <w:szCs w:val="20"/>
              </w:rPr>
            </w:pPr>
            <w:r>
              <w:rPr>
                <w:color w:val="auto"/>
                <w:sz w:val="20"/>
                <w:szCs w:val="20"/>
              </w:rPr>
              <w:t>-</w:t>
            </w:r>
          </w:p>
        </w:tc>
        <w:tc>
          <w:tcPr>
            <w:tcW w:w="2523" w:type="dxa"/>
            <w:tcBorders>
              <w:right w:val="single" w:sz="4" w:space="0" w:color="auto"/>
            </w:tcBorders>
            <w:shd w:val="clear" w:color="auto" w:fill="auto"/>
            <w:vAlign w:val="bottom"/>
          </w:tcPr>
          <w:p w14:paraId="5E6599DB" w14:textId="26104D7F" w:rsidR="00EA1031" w:rsidRPr="00A06955" w:rsidRDefault="000E7E71" w:rsidP="00E42A0F">
            <w:pPr>
              <w:tabs>
                <w:tab w:val="decimal" w:pos="1167"/>
              </w:tabs>
              <w:rPr>
                <w:color w:val="auto"/>
                <w:sz w:val="20"/>
                <w:szCs w:val="20"/>
              </w:rPr>
            </w:pPr>
            <w:r w:rsidRPr="00A06955">
              <w:rPr>
                <w:color w:val="auto"/>
                <w:sz w:val="20"/>
                <w:szCs w:val="20"/>
              </w:rPr>
              <w:t>18.9</w:t>
            </w:r>
          </w:p>
        </w:tc>
      </w:tr>
      <w:tr w:rsidR="00EA1031" w:rsidRPr="00747B0B" w14:paraId="121FAB5E" w14:textId="77777777" w:rsidTr="00A06955">
        <w:trPr>
          <w:trHeight w:val="454"/>
        </w:trPr>
        <w:tc>
          <w:tcPr>
            <w:tcW w:w="7200" w:type="dxa"/>
            <w:tcBorders>
              <w:left w:val="single" w:sz="4" w:space="0" w:color="auto"/>
            </w:tcBorders>
            <w:shd w:val="clear" w:color="auto" w:fill="auto"/>
            <w:vAlign w:val="bottom"/>
          </w:tcPr>
          <w:p w14:paraId="0DDCE089" w14:textId="5A79D01C" w:rsidR="00EA1031" w:rsidRPr="00A06955" w:rsidRDefault="00EA1031">
            <w:pPr>
              <w:jc w:val="left"/>
              <w:rPr>
                <w:color w:val="auto"/>
                <w:sz w:val="20"/>
                <w:szCs w:val="20"/>
              </w:rPr>
            </w:pPr>
            <w:r w:rsidRPr="00A06955">
              <w:rPr>
                <w:color w:val="auto"/>
                <w:sz w:val="20"/>
                <w:szCs w:val="20"/>
              </w:rPr>
              <w:t>-Amounts of non</w:t>
            </w:r>
            <w:r w:rsidR="00A21A1F" w:rsidRPr="00A06955">
              <w:rPr>
                <w:color w:val="auto"/>
                <w:sz w:val="20"/>
                <w:szCs w:val="20"/>
              </w:rPr>
              <w:t>-</w:t>
            </w:r>
            <w:r w:rsidRPr="00A06955">
              <w:rPr>
                <w:color w:val="auto"/>
                <w:sz w:val="20"/>
                <w:szCs w:val="20"/>
              </w:rPr>
              <w:t>current assets written off on disposal or sale as part of the gain/loss on disposal to the CIES</w:t>
            </w:r>
          </w:p>
        </w:tc>
        <w:tc>
          <w:tcPr>
            <w:tcW w:w="1824" w:type="dxa"/>
            <w:shd w:val="clear" w:color="auto" w:fill="auto"/>
            <w:vAlign w:val="bottom"/>
          </w:tcPr>
          <w:p w14:paraId="6D9E8DC1" w14:textId="0E31AD3F" w:rsidR="00EA1031" w:rsidRPr="00A06955" w:rsidRDefault="004D09B1" w:rsidP="006416C9">
            <w:pPr>
              <w:tabs>
                <w:tab w:val="decimal" w:pos="895"/>
              </w:tabs>
              <w:rPr>
                <w:color w:val="auto"/>
                <w:sz w:val="20"/>
                <w:szCs w:val="20"/>
              </w:rPr>
            </w:pPr>
            <w:r w:rsidRPr="00A06955">
              <w:rPr>
                <w:color w:val="auto"/>
                <w:sz w:val="20"/>
                <w:szCs w:val="20"/>
              </w:rPr>
              <w:t>(6.0)</w:t>
            </w:r>
          </w:p>
        </w:tc>
        <w:tc>
          <w:tcPr>
            <w:tcW w:w="1823" w:type="dxa"/>
            <w:shd w:val="clear" w:color="auto" w:fill="auto"/>
            <w:vAlign w:val="bottom"/>
          </w:tcPr>
          <w:p w14:paraId="76B128D6" w14:textId="22D01305" w:rsidR="00EA1031" w:rsidRPr="00A06955" w:rsidRDefault="000E7E71" w:rsidP="006416C9">
            <w:pPr>
              <w:tabs>
                <w:tab w:val="decimal" w:pos="799"/>
              </w:tabs>
              <w:rPr>
                <w:color w:val="auto"/>
                <w:sz w:val="20"/>
                <w:szCs w:val="20"/>
              </w:rPr>
            </w:pPr>
            <w:r>
              <w:rPr>
                <w:color w:val="auto"/>
                <w:sz w:val="20"/>
                <w:szCs w:val="20"/>
              </w:rPr>
              <w:t>-</w:t>
            </w:r>
          </w:p>
        </w:tc>
        <w:tc>
          <w:tcPr>
            <w:tcW w:w="1965" w:type="dxa"/>
            <w:shd w:val="clear" w:color="auto" w:fill="auto"/>
            <w:vAlign w:val="bottom"/>
          </w:tcPr>
          <w:p w14:paraId="0578802C" w14:textId="23766515" w:rsidR="00EA1031" w:rsidRPr="00A06955" w:rsidRDefault="000E7E71" w:rsidP="00E42A0F">
            <w:pPr>
              <w:tabs>
                <w:tab w:val="decimal" w:pos="884"/>
              </w:tabs>
              <w:rPr>
                <w:color w:val="auto"/>
                <w:sz w:val="20"/>
                <w:szCs w:val="20"/>
              </w:rPr>
            </w:pPr>
            <w:r>
              <w:rPr>
                <w:color w:val="auto"/>
                <w:sz w:val="20"/>
                <w:szCs w:val="20"/>
              </w:rPr>
              <w:t>-</w:t>
            </w:r>
          </w:p>
        </w:tc>
        <w:tc>
          <w:tcPr>
            <w:tcW w:w="2523" w:type="dxa"/>
            <w:tcBorders>
              <w:right w:val="single" w:sz="4" w:space="0" w:color="auto"/>
            </w:tcBorders>
            <w:shd w:val="clear" w:color="auto" w:fill="auto"/>
            <w:vAlign w:val="bottom"/>
          </w:tcPr>
          <w:p w14:paraId="7AD9D725" w14:textId="1010AE4C" w:rsidR="00EA1031" w:rsidRPr="00A06955" w:rsidRDefault="000E7E71" w:rsidP="00E42A0F">
            <w:pPr>
              <w:tabs>
                <w:tab w:val="decimal" w:pos="1167"/>
              </w:tabs>
              <w:rPr>
                <w:color w:val="auto"/>
                <w:sz w:val="20"/>
                <w:szCs w:val="20"/>
              </w:rPr>
            </w:pPr>
            <w:r w:rsidRPr="00A06955">
              <w:rPr>
                <w:color w:val="auto"/>
                <w:sz w:val="20"/>
                <w:szCs w:val="20"/>
              </w:rPr>
              <w:t>6.0</w:t>
            </w:r>
          </w:p>
        </w:tc>
      </w:tr>
      <w:tr w:rsidR="00EA1031" w:rsidRPr="00747B0B" w14:paraId="12F12DFB" w14:textId="77777777" w:rsidTr="00A06955">
        <w:trPr>
          <w:trHeight w:val="454"/>
        </w:trPr>
        <w:tc>
          <w:tcPr>
            <w:tcW w:w="7200" w:type="dxa"/>
            <w:tcBorders>
              <w:left w:val="single" w:sz="4" w:space="0" w:color="auto"/>
            </w:tcBorders>
            <w:shd w:val="clear" w:color="auto" w:fill="auto"/>
            <w:vAlign w:val="bottom"/>
          </w:tcPr>
          <w:p w14:paraId="63FDF19D" w14:textId="77777777" w:rsidR="00EA1031" w:rsidRPr="00747B0B" w:rsidRDefault="00EA1031" w:rsidP="006416C9">
            <w:pPr>
              <w:jc w:val="left"/>
              <w:rPr>
                <w:color w:val="auto"/>
                <w:sz w:val="20"/>
                <w:szCs w:val="20"/>
                <w:highlight w:val="yellow"/>
              </w:rPr>
            </w:pPr>
            <w:r w:rsidRPr="00A06955">
              <w:rPr>
                <w:color w:val="auto"/>
                <w:sz w:val="20"/>
                <w:szCs w:val="20"/>
              </w:rPr>
              <w:t>-Revenue Contribution to Finance Capital Expenditure</w:t>
            </w:r>
          </w:p>
        </w:tc>
        <w:tc>
          <w:tcPr>
            <w:tcW w:w="1824" w:type="dxa"/>
            <w:shd w:val="clear" w:color="auto" w:fill="auto"/>
            <w:vAlign w:val="bottom"/>
          </w:tcPr>
          <w:p w14:paraId="202B0448" w14:textId="6AFB6104" w:rsidR="00EA1031" w:rsidRPr="00A06955" w:rsidRDefault="004D09B1" w:rsidP="006416C9">
            <w:pPr>
              <w:tabs>
                <w:tab w:val="decimal" w:pos="895"/>
              </w:tabs>
              <w:rPr>
                <w:color w:val="auto"/>
                <w:sz w:val="20"/>
                <w:szCs w:val="20"/>
              </w:rPr>
            </w:pPr>
            <w:r w:rsidRPr="00A06955">
              <w:rPr>
                <w:color w:val="auto"/>
                <w:sz w:val="20"/>
                <w:szCs w:val="20"/>
              </w:rPr>
              <w:t>15.8</w:t>
            </w:r>
          </w:p>
        </w:tc>
        <w:tc>
          <w:tcPr>
            <w:tcW w:w="1823" w:type="dxa"/>
            <w:shd w:val="clear" w:color="auto" w:fill="auto"/>
            <w:vAlign w:val="bottom"/>
          </w:tcPr>
          <w:p w14:paraId="2D4FF561" w14:textId="48C5B443" w:rsidR="00EA1031" w:rsidRPr="00A06955" w:rsidRDefault="000E7E71" w:rsidP="006416C9">
            <w:pPr>
              <w:tabs>
                <w:tab w:val="decimal" w:pos="799"/>
              </w:tabs>
              <w:rPr>
                <w:color w:val="auto"/>
                <w:sz w:val="20"/>
                <w:szCs w:val="20"/>
              </w:rPr>
            </w:pPr>
            <w:r>
              <w:rPr>
                <w:color w:val="auto"/>
                <w:sz w:val="20"/>
                <w:szCs w:val="20"/>
              </w:rPr>
              <w:t>-</w:t>
            </w:r>
          </w:p>
        </w:tc>
        <w:tc>
          <w:tcPr>
            <w:tcW w:w="1965" w:type="dxa"/>
            <w:shd w:val="clear" w:color="auto" w:fill="auto"/>
            <w:vAlign w:val="bottom"/>
          </w:tcPr>
          <w:p w14:paraId="6F855F0E" w14:textId="63A15810" w:rsidR="00EA1031" w:rsidRPr="00A06955" w:rsidRDefault="000E7E71" w:rsidP="00E42A0F">
            <w:pPr>
              <w:tabs>
                <w:tab w:val="decimal" w:pos="884"/>
              </w:tabs>
              <w:rPr>
                <w:color w:val="auto"/>
                <w:sz w:val="20"/>
                <w:szCs w:val="20"/>
              </w:rPr>
            </w:pPr>
            <w:r>
              <w:rPr>
                <w:color w:val="auto"/>
                <w:sz w:val="20"/>
                <w:szCs w:val="20"/>
              </w:rPr>
              <w:t>-</w:t>
            </w:r>
          </w:p>
        </w:tc>
        <w:tc>
          <w:tcPr>
            <w:tcW w:w="2523" w:type="dxa"/>
            <w:tcBorders>
              <w:right w:val="single" w:sz="4" w:space="0" w:color="auto"/>
            </w:tcBorders>
            <w:shd w:val="clear" w:color="auto" w:fill="auto"/>
            <w:vAlign w:val="bottom"/>
          </w:tcPr>
          <w:p w14:paraId="6A9C8D9A" w14:textId="3FBC42F7" w:rsidR="00EA1031" w:rsidRPr="00A06955" w:rsidRDefault="000E7E71" w:rsidP="00E42A0F">
            <w:pPr>
              <w:tabs>
                <w:tab w:val="decimal" w:pos="1167"/>
              </w:tabs>
              <w:rPr>
                <w:color w:val="auto"/>
                <w:sz w:val="20"/>
                <w:szCs w:val="20"/>
              </w:rPr>
            </w:pPr>
            <w:r w:rsidRPr="00A06955">
              <w:rPr>
                <w:color w:val="auto"/>
                <w:sz w:val="20"/>
                <w:szCs w:val="20"/>
              </w:rPr>
              <w:t>(15.8)</w:t>
            </w:r>
          </w:p>
        </w:tc>
      </w:tr>
      <w:tr w:rsidR="00E42A0F" w:rsidRPr="00747B0B" w14:paraId="6F1830B3" w14:textId="77777777" w:rsidTr="00A06955">
        <w:trPr>
          <w:trHeight w:val="454"/>
        </w:trPr>
        <w:tc>
          <w:tcPr>
            <w:tcW w:w="7200" w:type="dxa"/>
            <w:tcBorders>
              <w:left w:val="single" w:sz="4" w:space="0" w:color="auto"/>
            </w:tcBorders>
            <w:shd w:val="clear" w:color="auto" w:fill="E7E6E6"/>
            <w:vAlign w:val="bottom"/>
          </w:tcPr>
          <w:p w14:paraId="497DB247" w14:textId="77777777" w:rsidR="00EA1031" w:rsidRPr="00747B0B" w:rsidRDefault="009C05C8" w:rsidP="006416C9">
            <w:pPr>
              <w:jc w:val="left"/>
              <w:rPr>
                <w:b/>
                <w:color w:val="auto"/>
                <w:sz w:val="20"/>
                <w:szCs w:val="20"/>
                <w:highlight w:val="yellow"/>
              </w:rPr>
            </w:pPr>
            <w:r w:rsidRPr="00A06955">
              <w:rPr>
                <w:b/>
                <w:color w:val="auto"/>
                <w:sz w:val="20"/>
                <w:szCs w:val="20"/>
              </w:rPr>
              <w:t>Inclusion of items not debited or credited to the Comprehensive Income and Expenditure Statement:</w:t>
            </w:r>
          </w:p>
        </w:tc>
        <w:tc>
          <w:tcPr>
            <w:tcW w:w="1824" w:type="dxa"/>
            <w:shd w:val="clear" w:color="auto" w:fill="E7E6E6"/>
            <w:vAlign w:val="bottom"/>
          </w:tcPr>
          <w:p w14:paraId="762D1B31" w14:textId="77777777" w:rsidR="00EA1031" w:rsidRPr="00A06955" w:rsidRDefault="00EA1031" w:rsidP="006416C9">
            <w:pPr>
              <w:tabs>
                <w:tab w:val="decimal" w:pos="895"/>
              </w:tabs>
              <w:rPr>
                <w:color w:val="auto"/>
                <w:sz w:val="20"/>
                <w:szCs w:val="20"/>
              </w:rPr>
            </w:pPr>
          </w:p>
        </w:tc>
        <w:tc>
          <w:tcPr>
            <w:tcW w:w="1823" w:type="dxa"/>
            <w:shd w:val="clear" w:color="auto" w:fill="E7E6E6"/>
            <w:vAlign w:val="bottom"/>
          </w:tcPr>
          <w:p w14:paraId="3B7918FE" w14:textId="77777777" w:rsidR="00EA1031" w:rsidRPr="00A06955" w:rsidRDefault="00EA1031" w:rsidP="006416C9">
            <w:pPr>
              <w:tabs>
                <w:tab w:val="decimal" w:pos="799"/>
              </w:tabs>
              <w:rPr>
                <w:color w:val="auto"/>
                <w:sz w:val="20"/>
                <w:szCs w:val="20"/>
              </w:rPr>
            </w:pPr>
          </w:p>
        </w:tc>
        <w:tc>
          <w:tcPr>
            <w:tcW w:w="1965" w:type="dxa"/>
            <w:shd w:val="clear" w:color="auto" w:fill="E7E6E6"/>
            <w:vAlign w:val="bottom"/>
          </w:tcPr>
          <w:p w14:paraId="2FC09B38" w14:textId="77777777" w:rsidR="00EA1031" w:rsidRPr="00A06955" w:rsidRDefault="00EA1031" w:rsidP="00E42A0F">
            <w:pPr>
              <w:tabs>
                <w:tab w:val="decimal" w:pos="884"/>
              </w:tabs>
              <w:rPr>
                <w:color w:val="auto"/>
                <w:sz w:val="20"/>
                <w:szCs w:val="20"/>
              </w:rPr>
            </w:pPr>
          </w:p>
        </w:tc>
        <w:tc>
          <w:tcPr>
            <w:tcW w:w="2523" w:type="dxa"/>
            <w:tcBorders>
              <w:right w:val="single" w:sz="4" w:space="0" w:color="auto"/>
            </w:tcBorders>
            <w:shd w:val="clear" w:color="auto" w:fill="E7E6E6"/>
            <w:vAlign w:val="bottom"/>
          </w:tcPr>
          <w:p w14:paraId="0B0F901C" w14:textId="77777777" w:rsidR="00EA1031" w:rsidRPr="00A06955" w:rsidRDefault="00EA1031" w:rsidP="00E42A0F">
            <w:pPr>
              <w:tabs>
                <w:tab w:val="decimal" w:pos="1167"/>
              </w:tabs>
              <w:rPr>
                <w:color w:val="auto"/>
                <w:sz w:val="20"/>
                <w:szCs w:val="20"/>
              </w:rPr>
            </w:pPr>
          </w:p>
        </w:tc>
      </w:tr>
      <w:tr w:rsidR="00EA1031" w:rsidRPr="00747B0B" w14:paraId="1CAB9B44" w14:textId="77777777" w:rsidTr="00A06955">
        <w:trPr>
          <w:trHeight w:val="454"/>
        </w:trPr>
        <w:tc>
          <w:tcPr>
            <w:tcW w:w="7200" w:type="dxa"/>
            <w:tcBorders>
              <w:left w:val="single" w:sz="4" w:space="0" w:color="auto"/>
            </w:tcBorders>
            <w:shd w:val="clear" w:color="auto" w:fill="auto"/>
            <w:vAlign w:val="bottom"/>
          </w:tcPr>
          <w:p w14:paraId="0E113B84" w14:textId="77777777" w:rsidR="00EA1031" w:rsidRPr="00747B0B" w:rsidRDefault="009C05C8" w:rsidP="006416C9">
            <w:pPr>
              <w:jc w:val="left"/>
              <w:rPr>
                <w:color w:val="auto"/>
                <w:sz w:val="20"/>
                <w:szCs w:val="20"/>
                <w:highlight w:val="yellow"/>
              </w:rPr>
            </w:pPr>
            <w:r w:rsidRPr="00A06955">
              <w:rPr>
                <w:color w:val="auto"/>
                <w:sz w:val="20"/>
                <w:szCs w:val="20"/>
              </w:rPr>
              <w:t>-Statutory provision for the financing of capital investment (MRP)</w:t>
            </w:r>
          </w:p>
        </w:tc>
        <w:tc>
          <w:tcPr>
            <w:tcW w:w="1824" w:type="dxa"/>
            <w:shd w:val="clear" w:color="auto" w:fill="auto"/>
            <w:vAlign w:val="bottom"/>
          </w:tcPr>
          <w:p w14:paraId="4624ED6D" w14:textId="3461DFD0" w:rsidR="00EA1031" w:rsidRPr="00A06955" w:rsidRDefault="004D09B1" w:rsidP="006416C9">
            <w:pPr>
              <w:tabs>
                <w:tab w:val="decimal" w:pos="895"/>
              </w:tabs>
              <w:rPr>
                <w:color w:val="auto"/>
                <w:sz w:val="20"/>
                <w:szCs w:val="20"/>
              </w:rPr>
            </w:pPr>
            <w:r w:rsidRPr="00A06955">
              <w:rPr>
                <w:color w:val="auto"/>
                <w:sz w:val="20"/>
                <w:szCs w:val="20"/>
              </w:rPr>
              <w:t>30.2</w:t>
            </w:r>
          </w:p>
        </w:tc>
        <w:tc>
          <w:tcPr>
            <w:tcW w:w="1823" w:type="dxa"/>
            <w:shd w:val="clear" w:color="auto" w:fill="auto"/>
            <w:vAlign w:val="bottom"/>
          </w:tcPr>
          <w:p w14:paraId="11B54A77" w14:textId="29D3FF7D" w:rsidR="00EA1031" w:rsidRPr="00A06955" w:rsidRDefault="000E7E71" w:rsidP="006416C9">
            <w:pPr>
              <w:tabs>
                <w:tab w:val="decimal" w:pos="799"/>
              </w:tabs>
              <w:rPr>
                <w:color w:val="auto"/>
                <w:sz w:val="20"/>
                <w:szCs w:val="20"/>
              </w:rPr>
            </w:pPr>
            <w:r>
              <w:rPr>
                <w:color w:val="auto"/>
                <w:sz w:val="20"/>
                <w:szCs w:val="20"/>
              </w:rPr>
              <w:t>-</w:t>
            </w:r>
          </w:p>
        </w:tc>
        <w:tc>
          <w:tcPr>
            <w:tcW w:w="1965" w:type="dxa"/>
            <w:shd w:val="clear" w:color="auto" w:fill="auto"/>
            <w:vAlign w:val="bottom"/>
          </w:tcPr>
          <w:p w14:paraId="72F65EDD" w14:textId="44FD187B" w:rsidR="00EA1031" w:rsidRPr="00A06955" w:rsidRDefault="000E7E71" w:rsidP="00E42A0F">
            <w:pPr>
              <w:tabs>
                <w:tab w:val="decimal" w:pos="884"/>
              </w:tabs>
              <w:rPr>
                <w:color w:val="auto"/>
                <w:sz w:val="20"/>
                <w:szCs w:val="20"/>
              </w:rPr>
            </w:pPr>
            <w:r>
              <w:rPr>
                <w:color w:val="auto"/>
                <w:sz w:val="20"/>
                <w:szCs w:val="20"/>
              </w:rPr>
              <w:t>-</w:t>
            </w:r>
          </w:p>
        </w:tc>
        <w:tc>
          <w:tcPr>
            <w:tcW w:w="2523" w:type="dxa"/>
            <w:tcBorders>
              <w:right w:val="single" w:sz="4" w:space="0" w:color="auto"/>
            </w:tcBorders>
            <w:shd w:val="clear" w:color="auto" w:fill="auto"/>
            <w:vAlign w:val="bottom"/>
          </w:tcPr>
          <w:p w14:paraId="70A247DB" w14:textId="3CA0F7C2" w:rsidR="00EA1031" w:rsidRPr="00A06955" w:rsidRDefault="000E7E71" w:rsidP="00E42A0F">
            <w:pPr>
              <w:tabs>
                <w:tab w:val="decimal" w:pos="1167"/>
              </w:tabs>
              <w:rPr>
                <w:color w:val="auto"/>
                <w:sz w:val="20"/>
                <w:szCs w:val="20"/>
              </w:rPr>
            </w:pPr>
            <w:r w:rsidRPr="00A06955">
              <w:rPr>
                <w:color w:val="auto"/>
                <w:sz w:val="20"/>
                <w:szCs w:val="20"/>
              </w:rPr>
              <w:t>(30.2)</w:t>
            </w:r>
          </w:p>
        </w:tc>
      </w:tr>
      <w:tr w:rsidR="00EA1031" w:rsidRPr="00747B0B" w14:paraId="6EA86740" w14:textId="77777777" w:rsidTr="00A06955">
        <w:trPr>
          <w:trHeight w:val="454"/>
        </w:trPr>
        <w:tc>
          <w:tcPr>
            <w:tcW w:w="7200" w:type="dxa"/>
            <w:tcBorders>
              <w:left w:val="single" w:sz="4" w:space="0" w:color="auto"/>
            </w:tcBorders>
            <w:shd w:val="clear" w:color="auto" w:fill="auto"/>
            <w:vAlign w:val="bottom"/>
          </w:tcPr>
          <w:p w14:paraId="7E70392B" w14:textId="77777777" w:rsidR="00EA1031" w:rsidRPr="00747B0B" w:rsidRDefault="009C05C8" w:rsidP="006416C9">
            <w:pPr>
              <w:jc w:val="left"/>
              <w:rPr>
                <w:color w:val="auto"/>
                <w:sz w:val="20"/>
                <w:szCs w:val="20"/>
                <w:highlight w:val="yellow"/>
              </w:rPr>
            </w:pPr>
            <w:r w:rsidRPr="00A06955">
              <w:rPr>
                <w:color w:val="auto"/>
                <w:sz w:val="20"/>
                <w:szCs w:val="20"/>
              </w:rPr>
              <w:t>-Statutory provision for the financing of capital investment (MRP PFI)</w:t>
            </w:r>
          </w:p>
        </w:tc>
        <w:tc>
          <w:tcPr>
            <w:tcW w:w="1824" w:type="dxa"/>
            <w:shd w:val="clear" w:color="auto" w:fill="auto"/>
            <w:vAlign w:val="bottom"/>
          </w:tcPr>
          <w:p w14:paraId="324E330A" w14:textId="064D957D" w:rsidR="00EA1031" w:rsidRPr="00A06955" w:rsidRDefault="004D09B1" w:rsidP="006416C9">
            <w:pPr>
              <w:tabs>
                <w:tab w:val="decimal" w:pos="895"/>
              </w:tabs>
              <w:rPr>
                <w:color w:val="auto"/>
                <w:sz w:val="20"/>
                <w:szCs w:val="20"/>
              </w:rPr>
            </w:pPr>
            <w:r w:rsidRPr="00A06955">
              <w:rPr>
                <w:color w:val="auto"/>
                <w:sz w:val="20"/>
                <w:szCs w:val="20"/>
              </w:rPr>
              <w:t>6.3</w:t>
            </w:r>
          </w:p>
        </w:tc>
        <w:tc>
          <w:tcPr>
            <w:tcW w:w="1823" w:type="dxa"/>
            <w:shd w:val="clear" w:color="auto" w:fill="auto"/>
            <w:vAlign w:val="bottom"/>
          </w:tcPr>
          <w:p w14:paraId="7D08C964" w14:textId="696C7EE0" w:rsidR="00EA1031" w:rsidRPr="00A06955" w:rsidRDefault="000E7E71" w:rsidP="006416C9">
            <w:pPr>
              <w:tabs>
                <w:tab w:val="decimal" w:pos="799"/>
              </w:tabs>
              <w:rPr>
                <w:color w:val="auto"/>
                <w:sz w:val="20"/>
                <w:szCs w:val="20"/>
              </w:rPr>
            </w:pPr>
            <w:r>
              <w:rPr>
                <w:color w:val="auto"/>
                <w:sz w:val="20"/>
                <w:szCs w:val="20"/>
              </w:rPr>
              <w:t>-</w:t>
            </w:r>
          </w:p>
        </w:tc>
        <w:tc>
          <w:tcPr>
            <w:tcW w:w="1965" w:type="dxa"/>
            <w:shd w:val="clear" w:color="auto" w:fill="auto"/>
            <w:vAlign w:val="bottom"/>
          </w:tcPr>
          <w:p w14:paraId="5522FB76" w14:textId="024C467F" w:rsidR="00EA1031" w:rsidRPr="00A06955" w:rsidRDefault="000E7E71" w:rsidP="00E42A0F">
            <w:pPr>
              <w:tabs>
                <w:tab w:val="decimal" w:pos="884"/>
              </w:tabs>
              <w:rPr>
                <w:color w:val="auto"/>
                <w:sz w:val="20"/>
                <w:szCs w:val="20"/>
              </w:rPr>
            </w:pPr>
            <w:r>
              <w:rPr>
                <w:color w:val="auto"/>
                <w:sz w:val="20"/>
                <w:szCs w:val="20"/>
              </w:rPr>
              <w:t>-</w:t>
            </w:r>
          </w:p>
        </w:tc>
        <w:tc>
          <w:tcPr>
            <w:tcW w:w="2523" w:type="dxa"/>
            <w:tcBorders>
              <w:right w:val="single" w:sz="4" w:space="0" w:color="auto"/>
            </w:tcBorders>
            <w:shd w:val="clear" w:color="auto" w:fill="auto"/>
            <w:vAlign w:val="bottom"/>
          </w:tcPr>
          <w:p w14:paraId="3A15BAB4" w14:textId="433937ED" w:rsidR="00EA1031" w:rsidRPr="00A06955" w:rsidRDefault="000E7E71" w:rsidP="00E42A0F">
            <w:pPr>
              <w:tabs>
                <w:tab w:val="decimal" w:pos="1167"/>
              </w:tabs>
              <w:rPr>
                <w:color w:val="auto"/>
                <w:sz w:val="20"/>
                <w:szCs w:val="20"/>
              </w:rPr>
            </w:pPr>
            <w:r w:rsidRPr="00A06955">
              <w:rPr>
                <w:color w:val="auto"/>
                <w:sz w:val="20"/>
                <w:szCs w:val="20"/>
              </w:rPr>
              <w:t>(6.3)</w:t>
            </w:r>
          </w:p>
        </w:tc>
      </w:tr>
      <w:tr w:rsidR="00E42A0F" w:rsidRPr="00747B0B" w14:paraId="69FCF68B" w14:textId="77777777" w:rsidTr="00A06955">
        <w:trPr>
          <w:trHeight w:val="454"/>
        </w:trPr>
        <w:tc>
          <w:tcPr>
            <w:tcW w:w="7200" w:type="dxa"/>
            <w:tcBorders>
              <w:left w:val="single" w:sz="4" w:space="0" w:color="auto"/>
            </w:tcBorders>
            <w:shd w:val="clear" w:color="auto" w:fill="E7E6E6"/>
            <w:vAlign w:val="bottom"/>
          </w:tcPr>
          <w:p w14:paraId="4D8DF69D" w14:textId="77777777" w:rsidR="00EA1031" w:rsidRPr="00747B0B" w:rsidRDefault="009C05C8" w:rsidP="006416C9">
            <w:pPr>
              <w:jc w:val="left"/>
              <w:rPr>
                <w:b/>
                <w:color w:val="auto"/>
                <w:sz w:val="20"/>
                <w:szCs w:val="20"/>
                <w:highlight w:val="yellow"/>
              </w:rPr>
            </w:pPr>
            <w:r w:rsidRPr="00A06955">
              <w:rPr>
                <w:b/>
                <w:color w:val="auto"/>
                <w:sz w:val="20"/>
                <w:szCs w:val="20"/>
              </w:rPr>
              <w:t>Adjustments involving the Capital Grants Unapplied Account:</w:t>
            </w:r>
          </w:p>
        </w:tc>
        <w:tc>
          <w:tcPr>
            <w:tcW w:w="1824" w:type="dxa"/>
            <w:shd w:val="clear" w:color="auto" w:fill="E7E6E6"/>
            <w:vAlign w:val="bottom"/>
          </w:tcPr>
          <w:p w14:paraId="5A3AC252" w14:textId="77777777" w:rsidR="00EA1031" w:rsidRPr="00A06955" w:rsidRDefault="00EA1031" w:rsidP="006416C9">
            <w:pPr>
              <w:tabs>
                <w:tab w:val="decimal" w:pos="895"/>
              </w:tabs>
              <w:rPr>
                <w:b/>
                <w:color w:val="auto"/>
                <w:sz w:val="20"/>
                <w:szCs w:val="20"/>
              </w:rPr>
            </w:pPr>
          </w:p>
        </w:tc>
        <w:tc>
          <w:tcPr>
            <w:tcW w:w="1823" w:type="dxa"/>
            <w:shd w:val="clear" w:color="auto" w:fill="E7E6E6"/>
            <w:vAlign w:val="bottom"/>
          </w:tcPr>
          <w:p w14:paraId="1B3DA31A" w14:textId="77777777" w:rsidR="00EA1031" w:rsidRPr="00A06955" w:rsidRDefault="00EA1031" w:rsidP="006416C9">
            <w:pPr>
              <w:tabs>
                <w:tab w:val="decimal" w:pos="799"/>
              </w:tabs>
              <w:rPr>
                <w:b/>
                <w:color w:val="auto"/>
                <w:sz w:val="20"/>
                <w:szCs w:val="20"/>
              </w:rPr>
            </w:pPr>
          </w:p>
        </w:tc>
        <w:tc>
          <w:tcPr>
            <w:tcW w:w="1965" w:type="dxa"/>
            <w:shd w:val="clear" w:color="auto" w:fill="E7E6E6"/>
            <w:vAlign w:val="bottom"/>
          </w:tcPr>
          <w:p w14:paraId="26A6D1B9" w14:textId="77777777" w:rsidR="00EA1031" w:rsidRPr="00A06955" w:rsidRDefault="00EA1031" w:rsidP="00E42A0F">
            <w:pPr>
              <w:tabs>
                <w:tab w:val="decimal" w:pos="884"/>
              </w:tabs>
              <w:rPr>
                <w:b/>
                <w:color w:val="auto"/>
                <w:sz w:val="20"/>
                <w:szCs w:val="20"/>
              </w:rPr>
            </w:pPr>
          </w:p>
        </w:tc>
        <w:tc>
          <w:tcPr>
            <w:tcW w:w="2523" w:type="dxa"/>
            <w:tcBorders>
              <w:right w:val="single" w:sz="4" w:space="0" w:color="auto"/>
            </w:tcBorders>
            <w:shd w:val="clear" w:color="auto" w:fill="E7E6E6"/>
            <w:vAlign w:val="bottom"/>
          </w:tcPr>
          <w:p w14:paraId="68C85F4D" w14:textId="77777777" w:rsidR="00EA1031" w:rsidRPr="00A06955" w:rsidRDefault="00EA1031" w:rsidP="00E42A0F">
            <w:pPr>
              <w:tabs>
                <w:tab w:val="decimal" w:pos="1167"/>
              </w:tabs>
              <w:rPr>
                <w:b/>
                <w:color w:val="auto"/>
                <w:sz w:val="20"/>
                <w:szCs w:val="20"/>
              </w:rPr>
            </w:pPr>
          </w:p>
        </w:tc>
      </w:tr>
      <w:tr w:rsidR="00EA1031" w:rsidRPr="00747B0B" w14:paraId="7EB106C6" w14:textId="77777777" w:rsidTr="00A06955">
        <w:trPr>
          <w:trHeight w:val="454"/>
        </w:trPr>
        <w:tc>
          <w:tcPr>
            <w:tcW w:w="7200" w:type="dxa"/>
            <w:tcBorders>
              <w:left w:val="single" w:sz="4" w:space="0" w:color="auto"/>
            </w:tcBorders>
            <w:shd w:val="clear" w:color="auto" w:fill="auto"/>
            <w:vAlign w:val="bottom"/>
          </w:tcPr>
          <w:p w14:paraId="288B3014" w14:textId="77777777" w:rsidR="00EA1031" w:rsidRPr="00A06955" w:rsidRDefault="009C05C8" w:rsidP="006416C9">
            <w:pPr>
              <w:jc w:val="left"/>
              <w:rPr>
                <w:color w:val="auto"/>
                <w:sz w:val="20"/>
                <w:szCs w:val="20"/>
              </w:rPr>
            </w:pPr>
            <w:r w:rsidRPr="00A06955">
              <w:rPr>
                <w:color w:val="auto"/>
                <w:sz w:val="20"/>
                <w:szCs w:val="20"/>
              </w:rPr>
              <w:t>-Capital grants and contributions unapplied credited to CIES</w:t>
            </w:r>
          </w:p>
        </w:tc>
        <w:tc>
          <w:tcPr>
            <w:tcW w:w="1824" w:type="dxa"/>
            <w:shd w:val="clear" w:color="auto" w:fill="auto"/>
            <w:vAlign w:val="bottom"/>
          </w:tcPr>
          <w:p w14:paraId="7EC03339" w14:textId="7D38AD80" w:rsidR="00EA1031" w:rsidRPr="00A06955" w:rsidRDefault="0013526A" w:rsidP="00AF0D89">
            <w:pPr>
              <w:tabs>
                <w:tab w:val="decimal" w:pos="895"/>
              </w:tabs>
              <w:rPr>
                <w:color w:val="auto"/>
                <w:sz w:val="20"/>
                <w:szCs w:val="20"/>
              </w:rPr>
            </w:pPr>
            <w:r>
              <w:rPr>
                <w:color w:val="auto"/>
                <w:sz w:val="20"/>
                <w:szCs w:val="20"/>
              </w:rPr>
              <w:t>26.</w:t>
            </w:r>
            <w:r w:rsidR="00AF0D89">
              <w:rPr>
                <w:color w:val="auto"/>
                <w:sz w:val="20"/>
                <w:szCs w:val="20"/>
              </w:rPr>
              <w:t>7</w:t>
            </w:r>
          </w:p>
        </w:tc>
        <w:tc>
          <w:tcPr>
            <w:tcW w:w="1823" w:type="dxa"/>
            <w:shd w:val="clear" w:color="auto" w:fill="auto"/>
            <w:vAlign w:val="bottom"/>
          </w:tcPr>
          <w:p w14:paraId="2E7A083F" w14:textId="351B3A44" w:rsidR="00EA1031" w:rsidRPr="00A06955" w:rsidRDefault="000E7E71" w:rsidP="006416C9">
            <w:pPr>
              <w:tabs>
                <w:tab w:val="decimal" w:pos="799"/>
              </w:tabs>
              <w:rPr>
                <w:color w:val="auto"/>
                <w:sz w:val="20"/>
                <w:szCs w:val="20"/>
              </w:rPr>
            </w:pPr>
            <w:r>
              <w:rPr>
                <w:color w:val="auto"/>
                <w:sz w:val="20"/>
                <w:szCs w:val="20"/>
              </w:rPr>
              <w:t>-</w:t>
            </w:r>
          </w:p>
        </w:tc>
        <w:tc>
          <w:tcPr>
            <w:tcW w:w="1965" w:type="dxa"/>
            <w:shd w:val="clear" w:color="auto" w:fill="auto"/>
            <w:vAlign w:val="bottom"/>
          </w:tcPr>
          <w:p w14:paraId="1A9B1A27" w14:textId="026514AB" w:rsidR="00EA1031" w:rsidRPr="00A06955" w:rsidRDefault="0013526A" w:rsidP="00AF0D89">
            <w:pPr>
              <w:tabs>
                <w:tab w:val="decimal" w:pos="884"/>
              </w:tabs>
              <w:rPr>
                <w:color w:val="auto"/>
                <w:sz w:val="20"/>
                <w:szCs w:val="20"/>
              </w:rPr>
            </w:pPr>
            <w:r>
              <w:rPr>
                <w:color w:val="auto"/>
                <w:sz w:val="20"/>
                <w:szCs w:val="20"/>
              </w:rPr>
              <w:t>(26.</w:t>
            </w:r>
            <w:r w:rsidR="00AF0D89">
              <w:rPr>
                <w:color w:val="auto"/>
                <w:sz w:val="20"/>
                <w:szCs w:val="20"/>
              </w:rPr>
              <w:t>7</w:t>
            </w:r>
            <w:r w:rsidR="004D09B1" w:rsidRPr="00A06955">
              <w:rPr>
                <w:color w:val="auto"/>
                <w:sz w:val="20"/>
                <w:szCs w:val="20"/>
              </w:rPr>
              <w:t>)</w:t>
            </w:r>
          </w:p>
        </w:tc>
        <w:tc>
          <w:tcPr>
            <w:tcW w:w="2523" w:type="dxa"/>
            <w:tcBorders>
              <w:right w:val="single" w:sz="4" w:space="0" w:color="auto"/>
            </w:tcBorders>
            <w:shd w:val="clear" w:color="auto" w:fill="auto"/>
            <w:vAlign w:val="bottom"/>
          </w:tcPr>
          <w:p w14:paraId="4B4705A9" w14:textId="6C4F1EC8" w:rsidR="00EA1031" w:rsidRPr="00A06955" w:rsidRDefault="000E7E71" w:rsidP="00E42A0F">
            <w:pPr>
              <w:tabs>
                <w:tab w:val="decimal" w:pos="1167"/>
              </w:tabs>
              <w:rPr>
                <w:color w:val="auto"/>
                <w:sz w:val="20"/>
                <w:szCs w:val="20"/>
              </w:rPr>
            </w:pPr>
            <w:r w:rsidRPr="00A06955">
              <w:rPr>
                <w:color w:val="auto"/>
                <w:sz w:val="20"/>
                <w:szCs w:val="20"/>
              </w:rPr>
              <w:t>-</w:t>
            </w:r>
          </w:p>
        </w:tc>
      </w:tr>
      <w:tr w:rsidR="00EA1031" w:rsidRPr="00747B0B" w14:paraId="6AA3017E" w14:textId="77777777" w:rsidTr="00A06955">
        <w:trPr>
          <w:trHeight w:val="454"/>
        </w:trPr>
        <w:tc>
          <w:tcPr>
            <w:tcW w:w="7200" w:type="dxa"/>
            <w:tcBorders>
              <w:left w:val="single" w:sz="4" w:space="0" w:color="auto"/>
            </w:tcBorders>
            <w:shd w:val="clear" w:color="auto" w:fill="auto"/>
            <w:vAlign w:val="bottom"/>
          </w:tcPr>
          <w:p w14:paraId="685DC6B9" w14:textId="77777777" w:rsidR="00EA1031" w:rsidRPr="00A06955" w:rsidRDefault="009C05C8" w:rsidP="006416C9">
            <w:pPr>
              <w:jc w:val="left"/>
              <w:rPr>
                <w:color w:val="auto"/>
                <w:sz w:val="20"/>
                <w:szCs w:val="20"/>
              </w:rPr>
            </w:pPr>
            <w:r w:rsidRPr="00A06955">
              <w:rPr>
                <w:color w:val="auto"/>
                <w:sz w:val="20"/>
                <w:szCs w:val="20"/>
              </w:rPr>
              <w:t>-Application of grants to capital financing transferred to the Capital Adjustment Account</w:t>
            </w:r>
          </w:p>
        </w:tc>
        <w:tc>
          <w:tcPr>
            <w:tcW w:w="1824" w:type="dxa"/>
            <w:shd w:val="clear" w:color="auto" w:fill="auto"/>
            <w:vAlign w:val="bottom"/>
          </w:tcPr>
          <w:p w14:paraId="709D9D84" w14:textId="7AD69FB0" w:rsidR="00EA1031" w:rsidRPr="00A06955" w:rsidRDefault="0013526A" w:rsidP="00AF0D89">
            <w:pPr>
              <w:tabs>
                <w:tab w:val="decimal" w:pos="895"/>
              </w:tabs>
              <w:rPr>
                <w:color w:val="auto"/>
                <w:sz w:val="20"/>
                <w:szCs w:val="20"/>
              </w:rPr>
            </w:pPr>
            <w:r>
              <w:rPr>
                <w:color w:val="auto"/>
                <w:sz w:val="20"/>
                <w:szCs w:val="20"/>
              </w:rPr>
              <w:t>125.</w:t>
            </w:r>
            <w:r w:rsidR="00AF0D89">
              <w:rPr>
                <w:color w:val="auto"/>
                <w:sz w:val="20"/>
                <w:szCs w:val="20"/>
              </w:rPr>
              <w:t>5</w:t>
            </w:r>
          </w:p>
        </w:tc>
        <w:tc>
          <w:tcPr>
            <w:tcW w:w="1823" w:type="dxa"/>
            <w:shd w:val="clear" w:color="auto" w:fill="auto"/>
            <w:vAlign w:val="bottom"/>
          </w:tcPr>
          <w:p w14:paraId="69B0C9E3" w14:textId="30292C4F" w:rsidR="00EA1031" w:rsidRPr="00A06955" w:rsidRDefault="000E7E71" w:rsidP="006416C9">
            <w:pPr>
              <w:tabs>
                <w:tab w:val="decimal" w:pos="799"/>
              </w:tabs>
              <w:rPr>
                <w:color w:val="auto"/>
                <w:sz w:val="20"/>
                <w:szCs w:val="20"/>
              </w:rPr>
            </w:pPr>
            <w:r>
              <w:rPr>
                <w:color w:val="auto"/>
                <w:sz w:val="20"/>
                <w:szCs w:val="20"/>
              </w:rPr>
              <w:t>-</w:t>
            </w:r>
          </w:p>
        </w:tc>
        <w:tc>
          <w:tcPr>
            <w:tcW w:w="1965" w:type="dxa"/>
            <w:shd w:val="clear" w:color="auto" w:fill="auto"/>
            <w:vAlign w:val="bottom"/>
          </w:tcPr>
          <w:p w14:paraId="3E3DE9E6" w14:textId="19758D43" w:rsidR="00EA1031" w:rsidRPr="00A06955" w:rsidRDefault="004D09B1" w:rsidP="00E42A0F">
            <w:pPr>
              <w:tabs>
                <w:tab w:val="decimal" w:pos="884"/>
              </w:tabs>
              <w:rPr>
                <w:color w:val="auto"/>
                <w:sz w:val="20"/>
                <w:szCs w:val="20"/>
              </w:rPr>
            </w:pPr>
            <w:r w:rsidRPr="00A06955">
              <w:rPr>
                <w:color w:val="auto"/>
                <w:sz w:val="20"/>
                <w:szCs w:val="20"/>
              </w:rPr>
              <w:t>25.</w:t>
            </w:r>
            <w:r w:rsidR="00F66001">
              <w:rPr>
                <w:color w:val="auto"/>
                <w:sz w:val="20"/>
                <w:szCs w:val="20"/>
              </w:rPr>
              <w:t>3</w:t>
            </w:r>
          </w:p>
        </w:tc>
        <w:tc>
          <w:tcPr>
            <w:tcW w:w="2523" w:type="dxa"/>
            <w:tcBorders>
              <w:right w:val="single" w:sz="4" w:space="0" w:color="auto"/>
            </w:tcBorders>
            <w:shd w:val="clear" w:color="auto" w:fill="auto"/>
            <w:vAlign w:val="bottom"/>
          </w:tcPr>
          <w:p w14:paraId="6842EDA0" w14:textId="16B90C4B" w:rsidR="00EA1031" w:rsidRPr="00A06955" w:rsidRDefault="000E7E71" w:rsidP="00AF0D89">
            <w:pPr>
              <w:tabs>
                <w:tab w:val="decimal" w:pos="1167"/>
              </w:tabs>
              <w:rPr>
                <w:color w:val="auto"/>
                <w:sz w:val="20"/>
                <w:szCs w:val="20"/>
              </w:rPr>
            </w:pPr>
            <w:r w:rsidRPr="00A06955">
              <w:rPr>
                <w:color w:val="auto"/>
                <w:sz w:val="20"/>
                <w:szCs w:val="20"/>
              </w:rPr>
              <w:t>(150.</w:t>
            </w:r>
            <w:r w:rsidR="00AF0D89">
              <w:rPr>
                <w:color w:val="auto"/>
                <w:sz w:val="20"/>
                <w:szCs w:val="20"/>
              </w:rPr>
              <w:t>8</w:t>
            </w:r>
            <w:r w:rsidRPr="00A06955">
              <w:rPr>
                <w:color w:val="auto"/>
                <w:sz w:val="20"/>
                <w:szCs w:val="20"/>
              </w:rPr>
              <w:t>)</w:t>
            </w:r>
          </w:p>
        </w:tc>
      </w:tr>
      <w:tr w:rsidR="00E42A0F" w:rsidRPr="00747B0B" w14:paraId="7F5A5A77" w14:textId="77777777" w:rsidTr="00A06955">
        <w:trPr>
          <w:trHeight w:val="454"/>
        </w:trPr>
        <w:tc>
          <w:tcPr>
            <w:tcW w:w="7200" w:type="dxa"/>
            <w:tcBorders>
              <w:left w:val="single" w:sz="4" w:space="0" w:color="auto"/>
            </w:tcBorders>
            <w:shd w:val="clear" w:color="auto" w:fill="E7E6E6"/>
            <w:vAlign w:val="bottom"/>
          </w:tcPr>
          <w:p w14:paraId="0A7D2DF8" w14:textId="77777777" w:rsidR="00EA1031" w:rsidRPr="00A06955" w:rsidRDefault="009C05C8" w:rsidP="006416C9">
            <w:pPr>
              <w:jc w:val="left"/>
              <w:rPr>
                <w:b/>
                <w:color w:val="auto"/>
                <w:sz w:val="20"/>
                <w:szCs w:val="20"/>
              </w:rPr>
            </w:pPr>
            <w:r w:rsidRPr="00A06955">
              <w:rPr>
                <w:b/>
                <w:color w:val="auto"/>
                <w:sz w:val="20"/>
                <w:szCs w:val="20"/>
              </w:rPr>
              <w:t>Adjustments involving the Capital Receipts Reserve:</w:t>
            </w:r>
          </w:p>
        </w:tc>
        <w:tc>
          <w:tcPr>
            <w:tcW w:w="1824" w:type="dxa"/>
            <w:shd w:val="clear" w:color="auto" w:fill="E7E6E6"/>
            <w:vAlign w:val="bottom"/>
          </w:tcPr>
          <w:p w14:paraId="7F594BD8" w14:textId="77777777" w:rsidR="00EA1031" w:rsidRPr="00A06955" w:rsidRDefault="00EA1031" w:rsidP="009C05C8">
            <w:pPr>
              <w:jc w:val="left"/>
              <w:rPr>
                <w:b/>
                <w:color w:val="auto"/>
                <w:sz w:val="20"/>
                <w:szCs w:val="20"/>
              </w:rPr>
            </w:pPr>
          </w:p>
        </w:tc>
        <w:tc>
          <w:tcPr>
            <w:tcW w:w="1823" w:type="dxa"/>
            <w:shd w:val="clear" w:color="auto" w:fill="E7E6E6"/>
            <w:vAlign w:val="bottom"/>
          </w:tcPr>
          <w:p w14:paraId="1FBFABFC" w14:textId="77777777" w:rsidR="00EA1031" w:rsidRPr="00A06955" w:rsidRDefault="00EA1031" w:rsidP="009C05C8">
            <w:pPr>
              <w:jc w:val="left"/>
              <w:rPr>
                <w:b/>
                <w:color w:val="auto"/>
                <w:sz w:val="20"/>
                <w:szCs w:val="20"/>
              </w:rPr>
            </w:pPr>
          </w:p>
        </w:tc>
        <w:tc>
          <w:tcPr>
            <w:tcW w:w="1965" w:type="dxa"/>
            <w:shd w:val="clear" w:color="auto" w:fill="E7E6E6"/>
            <w:vAlign w:val="bottom"/>
          </w:tcPr>
          <w:p w14:paraId="1735A89C" w14:textId="77777777" w:rsidR="00EA1031" w:rsidRPr="00A06955" w:rsidRDefault="00EA1031" w:rsidP="00E42A0F">
            <w:pPr>
              <w:tabs>
                <w:tab w:val="decimal" w:pos="884"/>
              </w:tabs>
              <w:jc w:val="left"/>
              <w:rPr>
                <w:b/>
                <w:color w:val="auto"/>
                <w:sz w:val="20"/>
                <w:szCs w:val="20"/>
              </w:rPr>
            </w:pPr>
          </w:p>
        </w:tc>
        <w:tc>
          <w:tcPr>
            <w:tcW w:w="2523" w:type="dxa"/>
            <w:tcBorders>
              <w:right w:val="single" w:sz="4" w:space="0" w:color="auto"/>
            </w:tcBorders>
            <w:shd w:val="clear" w:color="auto" w:fill="E7E6E6"/>
            <w:vAlign w:val="bottom"/>
          </w:tcPr>
          <w:p w14:paraId="009215C8" w14:textId="77777777" w:rsidR="00EA1031" w:rsidRPr="00A06955" w:rsidRDefault="00EA1031" w:rsidP="00E42A0F">
            <w:pPr>
              <w:tabs>
                <w:tab w:val="decimal" w:pos="1167"/>
              </w:tabs>
              <w:jc w:val="left"/>
              <w:rPr>
                <w:b/>
                <w:color w:val="auto"/>
                <w:sz w:val="20"/>
                <w:szCs w:val="20"/>
              </w:rPr>
            </w:pPr>
          </w:p>
        </w:tc>
      </w:tr>
      <w:tr w:rsidR="00EA1031" w:rsidRPr="00747B0B" w14:paraId="36295AE3" w14:textId="77777777" w:rsidTr="00A06955">
        <w:trPr>
          <w:trHeight w:val="454"/>
        </w:trPr>
        <w:tc>
          <w:tcPr>
            <w:tcW w:w="7200" w:type="dxa"/>
            <w:tcBorders>
              <w:left w:val="single" w:sz="4" w:space="0" w:color="auto"/>
            </w:tcBorders>
            <w:shd w:val="clear" w:color="auto" w:fill="auto"/>
            <w:vAlign w:val="bottom"/>
          </w:tcPr>
          <w:p w14:paraId="484D8C01" w14:textId="77777777" w:rsidR="00EA1031" w:rsidRPr="00A06955" w:rsidRDefault="009C05C8" w:rsidP="006416C9">
            <w:pPr>
              <w:jc w:val="left"/>
              <w:rPr>
                <w:color w:val="auto"/>
                <w:sz w:val="20"/>
                <w:szCs w:val="20"/>
              </w:rPr>
            </w:pPr>
            <w:r w:rsidRPr="00A06955">
              <w:rPr>
                <w:color w:val="auto"/>
                <w:sz w:val="20"/>
                <w:szCs w:val="20"/>
              </w:rPr>
              <w:lastRenderedPageBreak/>
              <w:t>-Transfer of sale proceeds credited as part of the gain/loss on disposal to the CIES</w:t>
            </w:r>
          </w:p>
        </w:tc>
        <w:tc>
          <w:tcPr>
            <w:tcW w:w="1824" w:type="dxa"/>
            <w:shd w:val="clear" w:color="auto" w:fill="auto"/>
            <w:vAlign w:val="bottom"/>
          </w:tcPr>
          <w:p w14:paraId="6200E2A5" w14:textId="1CCA65C0" w:rsidR="00EA1031" w:rsidRPr="00A06955" w:rsidRDefault="00E80A5D" w:rsidP="006416C9">
            <w:pPr>
              <w:tabs>
                <w:tab w:val="decimal" w:pos="895"/>
              </w:tabs>
              <w:rPr>
                <w:color w:val="auto"/>
                <w:sz w:val="20"/>
                <w:szCs w:val="20"/>
              </w:rPr>
            </w:pPr>
            <w:r>
              <w:rPr>
                <w:color w:val="auto"/>
                <w:sz w:val="20"/>
                <w:szCs w:val="20"/>
              </w:rPr>
              <w:t>13.1</w:t>
            </w:r>
          </w:p>
        </w:tc>
        <w:tc>
          <w:tcPr>
            <w:tcW w:w="1823" w:type="dxa"/>
            <w:shd w:val="clear" w:color="auto" w:fill="auto"/>
            <w:vAlign w:val="bottom"/>
          </w:tcPr>
          <w:p w14:paraId="5703BD70" w14:textId="40C7415B" w:rsidR="00EA1031" w:rsidRPr="00A06955" w:rsidRDefault="004D09B1" w:rsidP="00814732">
            <w:pPr>
              <w:tabs>
                <w:tab w:val="decimal" w:pos="799"/>
              </w:tabs>
              <w:rPr>
                <w:color w:val="auto"/>
                <w:sz w:val="20"/>
                <w:szCs w:val="20"/>
              </w:rPr>
            </w:pPr>
            <w:r w:rsidRPr="00A06955">
              <w:rPr>
                <w:color w:val="auto"/>
                <w:sz w:val="20"/>
                <w:szCs w:val="20"/>
              </w:rPr>
              <w:t>(</w:t>
            </w:r>
            <w:r w:rsidR="0074334C">
              <w:rPr>
                <w:color w:val="auto"/>
                <w:sz w:val="20"/>
                <w:szCs w:val="20"/>
              </w:rPr>
              <w:t>1.7</w:t>
            </w:r>
            <w:r w:rsidRPr="00A06955">
              <w:rPr>
                <w:color w:val="auto"/>
                <w:sz w:val="20"/>
                <w:szCs w:val="20"/>
              </w:rPr>
              <w:t>)</w:t>
            </w:r>
          </w:p>
        </w:tc>
        <w:tc>
          <w:tcPr>
            <w:tcW w:w="1965" w:type="dxa"/>
            <w:shd w:val="clear" w:color="auto" w:fill="auto"/>
            <w:vAlign w:val="bottom"/>
          </w:tcPr>
          <w:p w14:paraId="4587684D" w14:textId="6CC552A6" w:rsidR="00EA1031" w:rsidRPr="00A06955" w:rsidRDefault="000E7E71" w:rsidP="00E42A0F">
            <w:pPr>
              <w:tabs>
                <w:tab w:val="decimal" w:pos="884"/>
              </w:tabs>
              <w:rPr>
                <w:color w:val="auto"/>
                <w:sz w:val="20"/>
                <w:szCs w:val="20"/>
              </w:rPr>
            </w:pPr>
            <w:r>
              <w:rPr>
                <w:color w:val="auto"/>
                <w:sz w:val="20"/>
                <w:szCs w:val="20"/>
              </w:rPr>
              <w:t>-</w:t>
            </w:r>
          </w:p>
        </w:tc>
        <w:tc>
          <w:tcPr>
            <w:tcW w:w="2523" w:type="dxa"/>
            <w:tcBorders>
              <w:right w:val="single" w:sz="4" w:space="0" w:color="auto"/>
            </w:tcBorders>
            <w:shd w:val="clear" w:color="auto" w:fill="auto"/>
            <w:vAlign w:val="bottom"/>
          </w:tcPr>
          <w:p w14:paraId="76B91A0D" w14:textId="05FDE912" w:rsidR="00EA1031" w:rsidRPr="00A06955" w:rsidRDefault="00E80A5D" w:rsidP="00E42A0F">
            <w:pPr>
              <w:tabs>
                <w:tab w:val="decimal" w:pos="1167"/>
              </w:tabs>
              <w:rPr>
                <w:color w:val="auto"/>
                <w:sz w:val="20"/>
                <w:szCs w:val="20"/>
              </w:rPr>
            </w:pPr>
            <w:r w:rsidRPr="00E80A5D">
              <w:rPr>
                <w:color w:val="auto"/>
                <w:sz w:val="20"/>
                <w:szCs w:val="20"/>
              </w:rPr>
              <w:t>(11.4</w:t>
            </w:r>
            <w:r w:rsidR="00814732" w:rsidRPr="00E80A5D">
              <w:rPr>
                <w:color w:val="auto"/>
                <w:sz w:val="20"/>
                <w:szCs w:val="20"/>
              </w:rPr>
              <w:t>)</w:t>
            </w:r>
          </w:p>
        </w:tc>
      </w:tr>
      <w:tr w:rsidR="00EA1031" w:rsidRPr="00747B0B" w14:paraId="3E89219A" w14:textId="77777777" w:rsidTr="00A06955">
        <w:trPr>
          <w:trHeight w:val="454"/>
        </w:trPr>
        <w:tc>
          <w:tcPr>
            <w:tcW w:w="7200" w:type="dxa"/>
            <w:tcBorders>
              <w:left w:val="single" w:sz="4" w:space="0" w:color="auto"/>
            </w:tcBorders>
            <w:shd w:val="clear" w:color="auto" w:fill="F2F2F2" w:themeFill="background1" w:themeFillShade="F2"/>
            <w:vAlign w:val="bottom"/>
          </w:tcPr>
          <w:p w14:paraId="6B907B2C" w14:textId="77777777" w:rsidR="00EA1031" w:rsidRPr="00A06955" w:rsidRDefault="009C05C8" w:rsidP="006416C9">
            <w:pPr>
              <w:jc w:val="left"/>
              <w:rPr>
                <w:b/>
                <w:color w:val="auto"/>
                <w:sz w:val="20"/>
                <w:szCs w:val="20"/>
              </w:rPr>
            </w:pPr>
            <w:r w:rsidRPr="00A06955">
              <w:rPr>
                <w:b/>
                <w:color w:val="auto"/>
                <w:sz w:val="20"/>
                <w:szCs w:val="20"/>
              </w:rPr>
              <w:t>Adjustments involving the Financial Instruments Adjustment Account:</w:t>
            </w:r>
          </w:p>
        </w:tc>
        <w:tc>
          <w:tcPr>
            <w:tcW w:w="1824" w:type="dxa"/>
            <w:shd w:val="clear" w:color="auto" w:fill="F2F2F2" w:themeFill="background1" w:themeFillShade="F2"/>
            <w:vAlign w:val="bottom"/>
          </w:tcPr>
          <w:p w14:paraId="20D2367B" w14:textId="77777777" w:rsidR="00EA1031" w:rsidRPr="00A06955" w:rsidRDefault="00EA1031" w:rsidP="006416C9">
            <w:pPr>
              <w:tabs>
                <w:tab w:val="decimal" w:pos="895"/>
              </w:tabs>
              <w:rPr>
                <w:color w:val="auto"/>
                <w:sz w:val="20"/>
                <w:szCs w:val="20"/>
              </w:rPr>
            </w:pPr>
          </w:p>
        </w:tc>
        <w:tc>
          <w:tcPr>
            <w:tcW w:w="1823" w:type="dxa"/>
            <w:shd w:val="clear" w:color="auto" w:fill="F2F2F2" w:themeFill="background1" w:themeFillShade="F2"/>
            <w:vAlign w:val="bottom"/>
          </w:tcPr>
          <w:p w14:paraId="3B80CAF3" w14:textId="4911AA67" w:rsidR="00EA1031" w:rsidRPr="00A06955" w:rsidRDefault="00EA1031" w:rsidP="006416C9">
            <w:pPr>
              <w:tabs>
                <w:tab w:val="decimal" w:pos="799"/>
              </w:tabs>
              <w:rPr>
                <w:color w:val="auto"/>
                <w:sz w:val="20"/>
                <w:szCs w:val="20"/>
              </w:rPr>
            </w:pPr>
          </w:p>
        </w:tc>
        <w:tc>
          <w:tcPr>
            <w:tcW w:w="1965" w:type="dxa"/>
            <w:shd w:val="clear" w:color="auto" w:fill="F2F2F2" w:themeFill="background1" w:themeFillShade="F2"/>
            <w:vAlign w:val="bottom"/>
          </w:tcPr>
          <w:p w14:paraId="56F6A3F1" w14:textId="77777777" w:rsidR="00EA1031" w:rsidRPr="00A06955" w:rsidRDefault="00EA1031" w:rsidP="00E42A0F">
            <w:pPr>
              <w:tabs>
                <w:tab w:val="decimal" w:pos="884"/>
              </w:tabs>
              <w:rPr>
                <w:color w:val="auto"/>
                <w:sz w:val="20"/>
                <w:szCs w:val="20"/>
              </w:rPr>
            </w:pPr>
          </w:p>
        </w:tc>
        <w:tc>
          <w:tcPr>
            <w:tcW w:w="2523" w:type="dxa"/>
            <w:tcBorders>
              <w:right w:val="single" w:sz="4" w:space="0" w:color="auto"/>
            </w:tcBorders>
            <w:shd w:val="clear" w:color="auto" w:fill="F2F2F2" w:themeFill="background1" w:themeFillShade="F2"/>
            <w:vAlign w:val="bottom"/>
          </w:tcPr>
          <w:p w14:paraId="4EFC4252" w14:textId="77777777" w:rsidR="00EA1031" w:rsidRPr="00A06955" w:rsidRDefault="00EA1031" w:rsidP="00E42A0F">
            <w:pPr>
              <w:tabs>
                <w:tab w:val="decimal" w:pos="1167"/>
              </w:tabs>
              <w:rPr>
                <w:color w:val="auto"/>
                <w:sz w:val="20"/>
                <w:szCs w:val="20"/>
              </w:rPr>
            </w:pPr>
          </w:p>
        </w:tc>
      </w:tr>
      <w:tr w:rsidR="00EA1031" w:rsidRPr="00747B0B" w14:paraId="5B3A8527" w14:textId="77777777" w:rsidTr="00A06955">
        <w:trPr>
          <w:trHeight w:val="454"/>
        </w:trPr>
        <w:tc>
          <w:tcPr>
            <w:tcW w:w="7200" w:type="dxa"/>
            <w:tcBorders>
              <w:left w:val="single" w:sz="4" w:space="0" w:color="auto"/>
            </w:tcBorders>
            <w:shd w:val="clear" w:color="auto" w:fill="auto"/>
            <w:vAlign w:val="bottom"/>
          </w:tcPr>
          <w:p w14:paraId="2DDAD44F" w14:textId="77777777" w:rsidR="00EA1031" w:rsidRPr="00A06955" w:rsidRDefault="009C05C8" w:rsidP="006416C9">
            <w:pPr>
              <w:jc w:val="left"/>
              <w:rPr>
                <w:color w:val="auto"/>
                <w:sz w:val="20"/>
                <w:szCs w:val="20"/>
              </w:rPr>
            </w:pPr>
            <w:r w:rsidRPr="00A06955">
              <w:rPr>
                <w:color w:val="auto"/>
                <w:sz w:val="20"/>
                <w:szCs w:val="20"/>
              </w:rPr>
              <w:t>-Amount by which finance costs charged to the CIES are different from finance costs chargeable in the year in accordance with statutory requirements</w:t>
            </w:r>
          </w:p>
        </w:tc>
        <w:tc>
          <w:tcPr>
            <w:tcW w:w="1824" w:type="dxa"/>
            <w:shd w:val="clear" w:color="auto" w:fill="auto"/>
            <w:vAlign w:val="bottom"/>
          </w:tcPr>
          <w:p w14:paraId="3F0F997D" w14:textId="4CBBF7C5" w:rsidR="00EA1031" w:rsidRPr="00A06955" w:rsidRDefault="00F66001" w:rsidP="006416C9">
            <w:pPr>
              <w:tabs>
                <w:tab w:val="decimal" w:pos="895"/>
              </w:tabs>
              <w:rPr>
                <w:color w:val="auto"/>
                <w:sz w:val="20"/>
                <w:szCs w:val="20"/>
              </w:rPr>
            </w:pPr>
            <w:r>
              <w:rPr>
                <w:color w:val="auto"/>
                <w:sz w:val="20"/>
                <w:szCs w:val="20"/>
              </w:rPr>
              <w:t>(21.1)</w:t>
            </w:r>
          </w:p>
        </w:tc>
        <w:tc>
          <w:tcPr>
            <w:tcW w:w="1823" w:type="dxa"/>
            <w:shd w:val="clear" w:color="auto" w:fill="auto"/>
            <w:vAlign w:val="bottom"/>
          </w:tcPr>
          <w:p w14:paraId="5480327E" w14:textId="5AF05020" w:rsidR="00EA1031" w:rsidRPr="00A06955" w:rsidRDefault="000E7E71" w:rsidP="006416C9">
            <w:pPr>
              <w:tabs>
                <w:tab w:val="decimal" w:pos="799"/>
              </w:tabs>
              <w:rPr>
                <w:color w:val="auto"/>
                <w:sz w:val="20"/>
                <w:szCs w:val="20"/>
              </w:rPr>
            </w:pPr>
            <w:r>
              <w:rPr>
                <w:color w:val="auto"/>
                <w:sz w:val="20"/>
                <w:szCs w:val="20"/>
              </w:rPr>
              <w:t>-</w:t>
            </w:r>
          </w:p>
        </w:tc>
        <w:tc>
          <w:tcPr>
            <w:tcW w:w="1965" w:type="dxa"/>
            <w:shd w:val="clear" w:color="auto" w:fill="auto"/>
            <w:vAlign w:val="bottom"/>
          </w:tcPr>
          <w:p w14:paraId="551DDCB2" w14:textId="503EC799" w:rsidR="00EA1031" w:rsidRPr="00A06955" w:rsidRDefault="000E7E71" w:rsidP="00E42A0F">
            <w:pPr>
              <w:tabs>
                <w:tab w:val="decimal" w:pos="884"/>
              </w:tabs>
              <w:rPr>
                <w:color w:val="auto"/>
                <w:sz w:val="20"/>
                <w:szCs w:val="20"/>
              </w:rPr>
            </w:pPr>
            <w:r>
              <w:rPr>
                <w:color w:val="auto"/>
                <w:sz w:val="20"/>
                <w:szCs w:val="20"/>
              </w:rPr>
              <w:t>-</w:t>
            </w:r>
          </w:p>
        </w:tc>
        <w:tc>
          <w:tcPr>
            <w:tcW w:w="2523" w:type="dxa"/>
            <w:tcBorders>
              <w:right w:val="single" w:sz="4" w:space="0" w:color="auto"/>
            </w:tcBorders>
            <w:shd w:val="clear" w:color="auto" w:fill="auto"/>
            <w:vAlign w:val="bottom"/>
          </w:tcPr>
          <w:p w14:paraId="75A87918" w14:textId="621D13A9" w:rsidR="00EA1031" w:rsidRPr="00A06955" w:rsidRDefault="00F66001" w:rsidP="00E42A0F">
            <w:pPr>
              <w:tabs>
                <w:tab w:val="decimal" w:pos="1167"/>
              </w:tabs>
              <w:rPr>
                <w:color w:val="auto"/>
                <w:sz w:val="20"/>
                <w:szCs w:val="20"/>
              </w:rPr>
            </w:pPr>
            <w:r>
              <w:rPr>
                <w:color w:val="auto"/>
                <w:sz w:val="20"/>
                <w:szCs w:val="20"/>
              </w:rPr>
              <w:t>21.1</w:t>
            </w:r>
          </w:p>
        </w:tc>
      </w:tr>
      <w:tr w:rsidR="00E42A0F" w:rsidRPr="00747B0B" w14:paraId="4A5FF884" w14:textId="77777777" w:rsidTr="00A06955">
        <w:trPr>
          <w:trHeight w:val="454"/>
        </w:trPr>
        <w:tc>
          <w:tcPr>
            <w:tcW w:w="7200" w:type="dxa"/>
            <w:tcBorders>
              <w:left w:val="single" w:sz="4" w:space="0" w:color="auto"/>
            </w:tcBorders>
            <w:shd w:val="clear" w:color="auto" w:fill="E7E6E6"/>
            <w:vAlign w:val="bottom"/>
          </w:tcPr>
          <w:p w14:paraId="6F1317AF" w14:textId="77777777" w:rsidR="00EA1031" w:rsidRPr="00A06955" w:rsidRDefault="009C05C8" w:rsidP="006416C9">
            <w:pPr>
              <w:jc w:val="left"/>
              <w:rPr>
                <w:b/>
                <w:color w:val="auto"/>
                <w:sz w:val="20"/>
                <w:szCs w:val="20"/>
              </w:rPr>
            </w:pPr>
            <w:r w:rsidRPr="00A06955">
              <w:rPr>
                <w:b/>
                <w:color w:val="auto"/>
                <w:sz w:val="20"/>
                <w:szCs w:val="20"/>
              </w:rPr>
              <w:t>Adjustments involving the Pensions Reserve:</w:t>
            </w:r>
          </w:p>
        </w:tc>
        <w:tc>
          <w:tcPr>
            <w:tcW w:w="1824" w:type="dxa"/>
            <w:shd w:val="clear" w:color="auto" w:fill="E7E6E6"/>
            <w:vAlign w:val="bottom"/>
          </w:tcPr>
          <w:p w14:paraId="4A8091B4" w14:textId="77777777" w:rsidR="00EA1031" w:rsidRPr="00A06955" w:rsidRDefault="00EA1031" w:rsidP="006416C9">
            <w:pPr>
              <w:tabs>
                <w:tab w:val="decimal" w:pos="895"/>
              </w:tabs>
              <w:rPr>
                <w:b/>
                <w:color w:val="auto"/>
                <w:sz w:val="20"/>
                <w:szCs w:val="20"/>
              </w:rPr>
            </w:pPr>
          </w:p>
        </w:tc>
        <w:tc>
          <w:tcPr>
            <w:tcW w:w="1823" w:type="dxa"/>
            <w:shd w:val="clear" w:color="auto" w:fill="E7E6E6"/>
            <w:vAlign w:val="bottom"/>
          </w:tcPr>
          <w:p w14:paraId="41628D6B" w14:textId="77777777" w:rsidR="00EA1031" w:rsidRPr="00A06955" w:rsidRDefault="00EA1031" w:rsidP="006416C9">
            <w:pPr>
              <w:tabs>
                <w:tab w:val="decimal" w:pos="799"/>
              </w:tabs>
              <w:rPr>
                <w:b/>
                <w:color w:val="auto"/>
                <w:sz w:val="20"/>
                <w:szCs w:val="20"/>
              </w:rPr>
            </w:pPr>
          </w:p>
        </w:tc>
        <w:tc>
          <w:tcPr>
            <w:tcW w:w="1965" w:type="dxa"/>
            <w:shd w:val="clear" w:color="auto" w:fill="E7E6E6"/>
            <w:vAlign w:val="bottom"/>
          </w:tcPr>
          <w:p w14:paraId="7CD81257" w14:textId="77777777" w:rsidR="00EA1031" w:rsidRPr="00A06955" w:rsidRDefault="00EA1031" w:rsidP="00E42A0F">
            <w:pPr>
              <w:tabs>
                <w:tab w:val="decimal" w:pos="884"/>
              </w:tabs>
              <w:rPr>
                <w:b/>
                <w:color w:val="auto"/>
                <w:sz w:val="20"/>
                <w:szCs w:val="20"/>
              </w:rPr>
            </w:pPr>
          </w:p>
        </w:tc>
        <w:tc>
          <w:tcPr>
            <w:tcW w:w="2523" w:type="dxa"/>
            <w:tcBorders>
              <w:right w:val="single" w:sz="4" w:space="0" w:color="auto"/>
            </w:tcBorders>
            <w:shd w:val="clear" w:color="auto" w:fill="E7E6E6"/>
            <w:vAlign w:val="bottom"/>
          </w:tcPr>
          <w:p w14:paraId="084496F5" w14:textId="77777777" w:rsidR="00EA1031" w:rsidRPr="00A06955" w:rsidRDefault="00EA1031" w:rsidP="00E42A0F">
            <w:pPr>
              <w:tabs>
                <w:tab w:val="decimal" w:pos="1167"/>
              </w:tabs>
              <w:rPr>
                <w:b/>
                <w:color w:val="auto"/>
                <w:sz w:val="20"/>
                <w:szCs w:val="20"/>
              </w:rPr>
            </w:pPr>
          </w:p>
        </w:tc>
      </w:tr>
      <w:tr w:rsidR="00EA1031" w:rsidRPr="00747B0B" w14:paraId="0B544D51" w14:textId="77777777" w:rsidTr="00A06955">
        <w:trPr>
          <w:trHeight w:val="454"/>
        </w:trPr>
        <w:tc>
          <w:tcPr>
            <w:tcW w:w="7200" w:type="dxa"/>
            <w:tcBorders>
              <w:left w:val="single" w:sz="4" w:space="0" w:color="auto"/>
            </w:tcBorders>
            <w:shd w:val="clear" w:color="auto" w:fill="auto"/>
            <w:vAlign w:val="bottom"/>
          </w:tcPr>
          <w:p w14:paraId="5ECDACAE" w14:textId="77777777" w:rsidR="00EA1031" w:rsidRPr="00A06955" w:rsidRDefault="009C05C8" w:rsidP="006416C9">
            <w:pPr>
              <w:jc w:val="left"/>
              <w:rPr>
                <w:color w:val="auto"/>
                <w:sz w:val="20"/>
                <w:szCs w:val="20"/>
              </w:rPr>
            </w:pPr>
            <w:r w:rsidRPr="00A06955">
              <w:rPr>
                <w:color w:val="auto"/>
                <w:sz w:val="20"/>
                <w:szCs w:val="20"/>
              </w:rPr>
              <w:t>-Employer’s pensions contributions and direct payments to pensioners payable in the year</w:t>
            </w:r>
          </w:p>
        </w:tc>
        <w:tc>
          <w:tcPr>
            <w:tcW w:w="1824" w:type="dxa"/>
            <w:shd w:val="clear" w:color="auto" w:fill="auto"/>
            <w:vAlign w:val="bottom"/>
          </w:tcPr>
          <w:p w14:paraId="1366690E" w14:textId="1862FBDA" w:rsidR="00EA1031" w:rsidRPr="00A06955" w:rsidRDefault="004D09B1" w:rsidP="006416C9">
            <w:pPr>
              <w:tabs>
                <w:tab w:val="decimal" w:pos="895"/>
              </w:tabs>
              <w:rPr>
                <w:color w:val="auto"/>
                <w:sz w:val="20"/>
                <w:szCs w:val="20"/>
              </w:rPr>
            </w:pPr>
            <w:r w:rsidRPr="00A06955">
              <w:rPr>
                <w:color w:val="auto"/>
                <w:sz w:val="20"/>
                <w:szCs w:val="20"/>
              </w:rPr>
              <w:t>93.8</w:t>
            </w:r>
          </w:p>
        </w:tc>
        <w:tc>
          <w:tcPr>
            <w:tcW w:w="1823" w:type="dxa"/>
            <w:shd w:val="clear" w:color="auto" w:fill="auto"/>
            <w:vAlign w:val="bottom"/>
          </w:tcPr>
          <w:p w14:paraId="5AD8E965" w14:textId="28648FFF" w:rsidR="00EA1031" w:rsidRPr="00A06955" w:rsidRDefault="000E7E71" w:rsidP="006416C9">
            <w:pPr>
              <w:tabs>
                <w:tab w:val="decimal" w:pos="799"/>
              </w:tabs>
              <w:rPr>
                <w:color w:val="auto"/>
                <w:sz w:val="20"/>
                <w:szCs w:val="20"/>
              </w:rPr>
            </w:pPr>
            <w:r>
              <w:rPr>
                <w:color w:val="auto"/>
                <w:sz w:val="20"/>
                <w:szCs w:val="20"/>
              </w:rPr>
              <w:t>-</w:t>
            </w:r>
          </w:p>
        </w:tc>
        <w:tc>
          <w:tcPr>
            <w:tcW w:w="1965" w:type="dxa"/>
            <w:shd w:val="clear" w:color="auto" w:fill="auto"/>
            <w:vAlign w:val="bottom"/>
          </w:tcPr>
          <w:p w14:paraId="4E7EA115" w14:textId="34F4ED26" w:rsidR="00EA1031" w:rsidRPr="00A06955" w:rsidRDefault="000E7E71" w:rsidP="00E42A0F">
            <w:pPr>
              <w:tabs>
                <w:tab w:val="decimal" w:pos="884"/>
              </w:tabs>
              <w:rPr>
                <w:color w:val="auto"/>
                <w:sz w:val="20"/>
                <w:szCs w:val="20"/>
              </w:rPr>
            </w:pPr>
            <w:r>
              <w:rPr>
                <w:color w:val="auto"/>
                <w:sz w:val="20"/>
                <w:szCs w:val="20"/>
              </w:rPr>
              <w:t>-</w:t>
            </w:r>
          </w:p>
        </w:tc>
        <w:tc>
          <w:tcPr>
            <w:tcW w:w="2523" w:type="dxa"/>
            <w:tcBorders>
              <w:right w:val="single" w:sz="4" w:space="0" w:color="auto"/>
            </w:tcBorders>
            <w:shd w:val="clear" w:color="auto" w:fill="auto"/>
            <w:vAlign w:val="bottom"/>
          </w:tcPr>
          <w:p w14:paraId="6AF670DA" w14:textId="333A9788" w:rsidR="00EA1031" w:rsidRPr="00A06955" w:rsidRDefault="000E7E71" w:rsidP="00E42A0F">
            <w:pPr>
              <w:tabs>
                <w:tab w:val="decimal" w:pos="1167"/>
              </w:tabs>
              <w:rPr>
                <w:color w:val="auto"/>
                <w:sz w:val="20"/>
                <w:szCs w:val="20"/>
              </w:rPr>
            </w:pPr>
            <w:r w:rsidRPr="00A06955">
              <w:rPr>
                <w:color w:val="auto"/>
                <w:sz w:val="20"/>
                <w:szCs w:val="20"/>
              </w:rPr>
              <w:t>(93.8)</w:t>
            </w:r>
          </w:p>
        </w:tc>
      </w:tr>
      <w:tr w:rsidR="00EA1031" w:rsidRPr="00747B0B" w14:paraId="7A79FB12" w14:textId="77777777" w:rsidTr="00A06955">
        <w:trPr>
          <w:trHeight w:val="454"/>
        </w:trPr>
        <w:tc>
          <w:tcPr>
            <w:tcW w:w="7200" w:type="dxa"/>
            <w:tcBorders>
              <w:left w:val="single" w:sz="4" w:space="0" w:color="auto"/>
            </w:tcBorders>
            <w:shd w:val="clear" w:color="auto" w:fill="auto"/>
            <w:vAlign w:val="bottom"/>
          </w:tcPr>
          <w:p w14:paraId="3C26C21E" w14:textId="77777777" w:rsidR="00EA1031" w:rsidRPr="00A06955" w:rsidRDefault="009C05C8" w:rsidP="006416C9">
            <w:pPr>
              <w:jc w:val="left"/>
              <w:rPr>
                <w:color w:val="auto"/>
                <w:sz w:val="20"/>
                <w:szCs w:val="20"/>
              </w:rPr>
            </w:pPr>
            <w:r w:rsidRPr="00A06955">
              <w:rPr>
                <w:color w:val="auto"/>
                <w:sz w:val="20"/>
                <w:szCs w:val="20"/>
              </w:rPr>
              <w:t>-Reversal of items relating to retirement benefits debited or credited to the Comprehensive Income and Expenditure Statement</w:t>
            </w:r>
          </w:p>
        </w:tc>
        <w:tc>
          <w:tcPr>
            <w:tcW w:w="1824" w:type="dxa"/>
            <w:shd w:val="clear" w:color="auto" w:fill="auto"/>
            <w:vAlign w:val="bottom"/>
          </w:tcPr>
          <w:p w14:paraId="35F1BA63" w14:textId="69D4163E" w:rsidR="00EA1031" w:rsidRPr="00A06955" w:rsidRDefault="004D09B1" w:rsidP="006416C9">
            <w:pPr>
              <w:tabs>
                <w:tab w:val="decimal" w:pos="895"/>
              </w:tabs>
              <w:rPr>
                <w:color w:val="auto"/>
                <w:sz w:val="20"/>
                <w:szCs w:val="20"/>
              </w:rPr>
            </w:pPr>
            <w:r w:rsidRPr="00A06955">
              <w:rPr>
                <w:color w:val="auto"/>
                <w:sz w:val="20"/>
                <w:szCs w:val="20"/>
              </w:rPr>
              <w:t>(125.0)</w:t>
            </w:r>
          </w:p>
        </w:tc>
        <w:tc>
          <w:tcPr>
            <w:tcW w:w="1823" w:type="dxa"/>
            <w:shd w:val="clear" w:color="auto" w:fill="auto"/>
            <w:vAlign w:val="bottom"/>
          </w:tcPr>
          <w:p w14:paraId="1588385E" w14:textId="08664090" w:rsidR="00EA1031" w:rsidRPr="00A06955" w:rsidRDefault="000E7E71" w:rsidP="006416C9">
            <w:pPr>
              <w:tabs>
                <w:tab w:val="decimal" w:pos="799"/>
              </w:tabs>
              <w:rPr>
                <w:color w:val="auto"/>
                <w:sz w:val="20"/>
                <w:szCs w:val="20"/>
              </w:rPr>
            </w:pPr>
            <w:r>
              <w:rPr>
                <w:color w:val="auto"/>
                <w:sz w:val="20"/>
                <w:szCs w:val="20"/>
              </w:rPr>
              <w:t>-</w:t>
            </w:r>
          </w:p>
        </w:tc>
        <w:tc>
          <w:tcPr>
            <w:tcW w:w="1965" w:type="dxa"/>
            <w:shd w:val="clear" w:color="auto" w:fill="auto"/>
            <w:vAlign w:val="bottom"/>
          </w:tcPr>
          <w:p w14:paraId="25E71DCE" w14:textId="55C78756" w:rsidR="00EA1031" w:rsidRPr="00A06955" w:rsidRDefault="000E7E71" w:rsidP="00E42A0F">
            <w:pPr>
              <w:tabs>
                <w:tab w:val="decimal" w:pos="884"/>
              </w:tabs>
              <w:rPr>
                <w:color w:val="auto"/>
                <w:sz w:val="20"/>
                <w:szCs w:val="20"/>
              </w:rPr>
            </w:pPr>
            <w:r>
              <w:rPr>
                <w:color w:val="auto"/>
                <w:sz w:val="20"/>
                <w:szCs w:val="20"/>
              </w:rPr>
              <w:t>-</w:t>
            </w:r>
          </w:p>
        </w:tc>
        <w:tc>
          <w:tcPr>
            <w:tcW w:w="2523" w:type="dxa"/>
            <w:tcBorders>
              <w:right w:val="single" w:sz="4" w:space="0" w:color="auto"/>
            </w:tcBorders>
            <w:shd w:val="clear" w:color="auto" w:fill="auto"/>
            <w:vAlign w:val="bottom"/>
          </w:tcPr>
          <w:p w14:paraId="2E6F2F65" w14:textId="629FE2D4" w:rsidR="00EA1031" w:rsidRPr="00A06955" w:rsidRDefault="000E7E71" w:rsidP="00E42A0F">
            <w:pPr>
              <w:tabs>
                <w:tab w:val="decimal" w:pos="1167"/>
              </w:tabs>
              <w:rPr>
                <w:color w:val="auto"/>
                <w:sz w:val="20"/>
                <w:szCs w:val="20"/>
              </w:rPr>
            </w:pPr>
            <w:r w:rsidRPr="00A06955">
              <w:rPr>
                <w:color w:val="auto"/>
                <w:sz w:val="20"/>
                <w:szCs w:val="20"/>
              </w:rPr>
              <w:t>125.0</w:t>
            </w:r>
          </w:p>
        </w:tc>
      </w:tr>
      <w:tr w:rsidR="00E42A0F" w:rsidRPr="00747B0B" w14:paraId="0584F9BC" w14:textId="77777777" w:rsidTr="00A06955">
        <w:trPr>
          <w:trHeight w:val="454"/>
        </w:trPr>
        <w:tc>
          <w:tcPr>
            <w:tcW w:w="7200" w:type="dxa"/>
            <w:tcBorders>
              <w:left w:val="single" w:sz="4" w:space="0" w:color="auto"/>
            </w:tcBorders>
            <w:shd w:val="clear" w:color="auto" w:fill="E7E6E6"/>
            <w:vAlign w:val="bottom"/>
          </w:tcPr>
          <w:p w14:paraId="34A1E963" w14:textId="77777777" w:rsidR="00EA1031" w:rsidRPr="00747B0B" w:rsidRDefault="009C05C8" w:rsidP="006416C9">
            <w:pPr>
              <w:jc w:val="left"/>
              <w:rPr>
                <w:b/>
                <w:color w:val="auto"/>
                <w:sz w:val="20"/>
                <w:szCs w:val="20"/>
                <w:highlight w:val="yellow"/>
              </w:rPr>
            </w:pPr>
            <w:r w:rsidRPr="00A06955">
              <w:rPr>
                <w:b/>
                <w:color w:val="auto"/>
                <w:sz w:val="20"/>
                <w:szCs w:val="20"/>
              </w:rPr>
              <w:t>Adjustments involving the Collection Fund Adjustment Account:</w:t>
            </w:r>
          </w:p>
        </w:tc>
        <w:tc>
          <w:tcPr>
            <w:tcW w:w="1824" w:type="dxa"/>
            <w:shd w:val="clear" w:color="auto" w:fill="E7E6E6"/>
            <w:vAlign w:val="bottom"/>
          </w:tcPr>
          <w:p w14:paraId="42833A94" w14:textId="77777777" w:rsidR="00EA1031" w:rsidRPr="00A06955" w:rsidRDefault="00EA1031" w:rsidP="006416C9">
            <w:pPr>
              <w:tabs>
                <w:tab w:val="decimal" w:pos="895"/>
              </w:tabs>
              <w:rPr>
                <w:color w:val="auto"/>
                <w:sz w:val="20"/>
                <w:szCs w:val="20"/>
              </w:rPr>
            </w:pPr>
          </w:p>
        </w:tc>
        <w:tc>
          <w:tcPr>
            <w:tcW w:w="1823" w:type="dxa"/>
            <w:shd w:val="clear" w:color="auto" w:fill="E7E6E6"/>
            <w:vAlign w:val="bottom"/>
          </w:tcPr>
          <w:p w14:paraId="3F6B21C6" w14:textId="77777777" w:rsidR="00EA1031" w:rsidRPr="00A06955" w:rsidRDefault="00EA1031" w:rsidP="006416C9">
            <w:pPr>
              <w:tabs>
                <w:tab w:val="decimal" w:pos="799"/>
              </w:tabs>
              <w:rPr>
                <w:color w:val="auto"/>
                <w:sz w:val="20"/>
                <w:szCs w:val="20"/>
              </w:rPr>
            </w:pPr>
          </w:p>
        </w:tc>
        <w:tc>
          <w:tcPr>
            <w:tcW w:w="1965" w:type="dxa"/>
            <w:shd w:val="clear" w:color="auto" w:fill="E7E6E6"/>
            <w:vAlign w:val="bottom"/>
          </w:tcPr>
          <w:p w14:paraId="0BFB72E3" w14:textId="77777777" w:rsidR="00EA1031" w:rsidRPr="00A06955" w:rsidRDefault="00EA1031" w:rsidP="00E42A0F">
            <w:pPr>
              <w:tabs>
                <w:tab w:val="decimal" w:pos="884"/>
              </w:tabs>
              <w:rPr>
                <w:color w:val="auto"/>
                <w:sz w:val="20"/>
                <w:szCs w:val="20"/>
              </w:rPr>
            </w:pPr>
          </w:p>
        </w:tc>
        <w:tc>
          <w:tcPr>
            <w:tcW w:w="2523" w:type="dxa"/>
            <w:tcBorders>
              <w:right w:val="single" w:sz="4" w:space="0" w:color="auto"/>
            </w:tcBorders>
            <w:shd w:val="clear" w:color="auto" w:fill="E7E6E6"/>
            <w:vAlign w:val="bottom"/>
          </w:tcPr>
          <w:p w14:paraId="48732CA8" w14:textId="77777777" w:rsidR="00EA1031" w:rsidRPr="00A06955" w:rsidRDefault="00EA1031" w:rsidP="00E42A0F">
            <w:pPr>
              <w:tabs>
                <w:tab w:val="decimal" w:pos="1167"/>
              </w:tabs>
              <w:rPr>
                <w:color w:val="auto"/>
                <w:sz w:val="20"/>
                <w:szCs w:val="20"/>
              </w:rPr>
            </w:pPr>
          </w:p>
        </w:tc>
      </w:tr>
      <w:tr w:rsidR="00EA1031" w:rsidRPr="00747B0B" w14:paraId="521CED2E" w14:textId="77777777" w:rsidTr="00A06955">
        <w:trPr>
          <w:trHeight w:val="454"/>
        </w:trPr>
        <w:tc>
          <w:tcPr>
            <w:tcW w:w="7200" w:type="dxa"/>
            <w:tcBorders>
              <w:left w:val="single" w:sz="4" w:space="0" w:color="auto"/>
            </w:tcBorders>
            <w:shd w:val="clear" w:color="auto" w:fill="auto"/>
            <w:vAlign w:val="bottom"/>
          </w:tcPr>
          <w:p w14:paraId="596D4676" w14:textId="2ACDD122" w:rsidR="00EA1031" w:rsidRPr="00A06955" w:rsidRDefault="009C05C8" w:rsidP="00274F0F">
            <w:pPr>
              <w:jc w:val="left"/>
              <w:rPr>
                <w:color w:val="auto"/>
                <w:sz w:val="20"/>
                <w:szCs w:val="20"/>
              </w:rPr>
            </w:pPr>
            <w:r w:rsidRPr="00A06955">
              <w:rPr>
                <w:color w:val="auto"/>
                <w:sz w:val="20"/>
                <w:szCs w:val="20"/>
              </w:rPr>
              <w:t xml:space="preserve">-Amount by which council tax </w:t>
            </w:r>
            <w:r w:rsidR="00232714" w:rsidRPr="00A06955">
              <w:rPr>
                <w:color w:val="auto"/>
                <w:sz w:val="20"/>
                <w:szCs w:val="20"/>
              </w:rPr>
              <w:t xml:space="preserve">and NDR </w:t>
            </w:r>
            <w:r w:rsidRPr="00A06955">
              <w:rPr>
                <w:color w:val="auto"/>
                <w:sz w:val="20"/>
                <w:szCs w:val="20"/>
              </w:rPr>
              <w:t>income credited to the CIES is different from council tax</w:t>
            </w:r>
            <w:r w:rsidR="00274F0F" w:rsidRPr="00A06955">
              <w:rPr>
                <w:color w:val="auto"/>
                <w:sz w:val="20"/>
                <w:szCs w:val="20"/>
              </w:rPr>
              <w:t xml:space="preserve"> and NDR</w:t>
            </w:r>
            <w:r w:rsidRPr="00A06955">
              <w:rPr>
                <w:color w:val="auto"/>
                <w:sz w:val="20"/>
                <w:szCs w:val="20"/>
              </w:rPr>
              <w:t xml:space="preserve"> income</w:t>
            </w:r>
            <w:r w:rsidR="0025449C" w:rsidRPr="00A06955">
              <w:rPr>
                <w:color w:val="auto"/>
                <w:sz w:val="20"/>
                <w:szCs w:val="20"/>
              </w:rPr>
              <w:t xml:space="preserve"> </w:t>
            </w:r>
            <w:r w:rsidRPr="00A06955">
              <w:rPr>
                <w:color w:val="auto"/>
                <w:sz w:val="20"/>
                <w:szCs w:val="20"/>
              </w:rPr>
              <w:t>calculated for the year in accordance with statutory requirements</w:t>
            </w:r>
          </w:p>
        </w:tc>
        <w:tc>
          <w:tcPr>
            <w:tcW w:w="1824" w:type="dxa"/>
            <w:shd w:val="clear" w:color="auto" w:fill="auto"/>
            <w:vAlign w:val="bottom"/>
          </w:tcPr>
          <w:p w14:paraId="5034FA4D" w14:textId="54194C45" w:rsidR="00EA1031" w:rsidRPr="00A06955" w:rsidRDefault="004D09B1" w:rsidP="00AF0D89">
            <w:pPr>
              <w:tabs>
                <w:tab w:val="decimal" w:pos="895"/>
              </w:tabs>
              <w:rPr>
                <w:color w:val="auto"/>
                <w:sz w:val="20"/>
                <w:szCs w:val="20"/>
              </w:rPr>
            </w:pPr>
            <w:r w:rsidRPr="00A06955">
              <w:rPr>
                <w:color w:val="auto"/>
                <w:sz w:val="20"/>
                <w:szCs w:val="20"/>
              </w:rPr>
              <w:t>3.</w:t>
            </w:r>
            <w:r w:rsidR="00AF0D89">
              <w:rPr>
                <w:color w:val="auto"/>
                <w:sz w:val="20"/>
                <w:szCs w:val="20"/>
              </w:rPr>
              <w:t>6</w:t>
            </w:r>
          </w:p>
        </w:tc>
        <w:tc>
          <w:tcPr>
            <w:tcW w:w="1823" w:type="dxa"/>
            <w:shd w:val="clear" w:color="auto" w:fill="auto"/>
            <w:vAlign w:val="bottom"/>
          </w:tcPr>
          <w:p w14:paraId="1B734938" w14:textId="16576467" w:rsidR="00EA1031" w:rsidRPr="00A06955" w:rsidRDefault="000E7E71" w:rsidP="006416C9">
            <w:pPr>
              <w:tabs>
                <w:tab w:val="decimal" w:pos="799"/>
              </w:tabs>
              <w:rPr>
                <w:color w:val="auto"/>
                <w:sz w:val="20"/>
                <w:szCs w:val="20"/>
              </w:rPr>
            </w:pPr>
            <w:r>
              <w:rPr>
                <w:color w:val="auto"/>
                <w:sz w:val="20"/>
                <w:szCs w:val="20"/>
              </w:rPr>
              <w:t>-</w:t>
            </w:r>
          </w:p>
        </w:tc>
        <w:tc>
          <w:tcPr>
            <w:tcW w:w="1965" w:type="dxa"/>
            <w:shd w:val="clear" w:color="auto" w:fill="auto"/>
            <w:vAlign w:val="bottom"/>
          </w:tcPr>
          <w:p w14:paraId="30CCBCBD" w14:textId="31B37193" w:rsidR="00EA1031" w:rsidRPr="00A06955" w:rsidRDefault="000E7E71" w:rsidP="00E42A0F">
            <w:pPr>
              <w:tabs>
                <w:tab w:val="decimal" w:pos="884"/>
              </w:tabs>
              <w:rPr>
                <w:color w:val="auto"/>
                <w:sz w:val="20"/>
                <w:szCs w:val="20"/>
              </w:rPr>
            </w:pPr>
            <w:r>
              <w:rPr>
                <w:color w:val="auto"/>
                <w:sz w:val="20"/>
                <w:szCs w:val="20"/>
              </w:rPr>
              <w:t>-</w:t>
            </w:r>
          </w:p>
        </w:tc>
        <w:tc>
          <w:tcPr>
            <w:tcW w:w="2523" w:type="dxa"/>
            <w:tcBorders>
              <w:right w:val="single" w:sz="4" w:space="0" w:color="auto"/>
            </w:tcBorders>
            <w:shd w:val="clear" w:color="auto" w:fill="auto"/>
            <w:vAlign w:val="bottom"/>
          </w:tcPr>
          <w:p w14:paraId="39717EDE" w14:textId="698FE7A7" w:rsidR="00EA1031" w:rsidRPr="00A06955" w:rsidRDefault="000E7E71" w:rsidP="00AF0D89">
            <w:pPr>
              <w:tabs>
                <w:tab w:val="decimal" w:pos="1167"/>
              </w:tabs>
              <w:rPr>
                <w:color w:val="auto"/>
                <w:sz w:val="20"/>
                <w:szCs w:val="20"/>
              </w:rPr>
            </w:pPr>
            <w:r w:rsidRPr="00A06955">
              <w:rPr>
                <w:color w:val="auto"/>
                <w:sz w:val="20"/>
                <w:szCs w:val="20"/>
              </w:rPr>
              <w:t>(3.</w:t>
            </w:r>
            <w:r w:rsidR="00AF0D89">
              <w:rPr>
                <w:color w:val="auto"/>
                <w:sz w:val="20"/>
                <w:szCs w:val="20"/>
              </w:rPr>
              <w:t>6</w:t>
            </w:r>
            <w:r w:rsidRPr="00A06955">
              <w:rPr>
                <w:color w:val="auto"/>
                <w:sz w:val="20"/>
                <w:szCs w:val="20"/>
              </w:rPr>
              <w:t>)</w:t>
            </w:r>
          </w:p>
        </w:tc>
      </w:tr>
      <w:tr w:rsidR="00E42A0F" w:rsidRPr="00747B0B" w14:paraId="40A2FA5F" w14:textId="77777777" w:rsidTr="00A06955">
        <w:trPr>
          <w:trHeight w:val="454"/>
        </w:trPr>
        <w:tc>
          <w:tcPr>
            <w:tcW w:w="7200" w:type="dxa"/>
            <w:tcBorders>
              <w:left w:val="single" w:sz="4" w:space="0" w:color="auto"/>
            </w:tcBorders>
            <w:shd w:val="clear" w:color="auto" w:fill="E7E6E6"/>
            <w:vAlign w:val="bottom"/>
          </w:tcPr>
          <w:p w14:paraId="3AC3D215" w14:textId="77777777" w:rsidR="00EA1031" w:rsidRPr="00A06955" w:rsidRDefault="00E42A0F" w:rsidP="006416C9">
            <w:pPr>
              <w:jc w:val="left"/>
              <w:rPr>
                <w:b/>
                <w:color w:val="auto"/>
                <w:sz w:val="20"/>
                <w:szCs w:val="20"/>
              </w:rPr>
            </w:pPr>
            <w:r w:rsidRPr="00A06955">
              <w:rPr>
                <w:b/>
                <w:color w:val="auto"/>
                <w:sz w:val="20"/>
                <w:szCs w:val="20"/>
              </w:rPr>
              <w:t>Adjustment involving the Accumulated Absences Account</w:t>
            </w:r>
          </w:p>
        </w:tc>
        <w:tc>
          <w:tcPr>
            <w:tcW w:w="1824" w:type="dxa"/>
            <w:shd w:val="clear" w:color="auto" w:fill="E7E6E6"/>
            <w:vAlign w:val="bottom"/>
          </w:tcPr>
          <w:p w14:paraId="055F3757" w14:textId="77777777" w:rsidR="00EA1031" w:rsidRPr="00A06955" w:rsidRDefault="00EA1031" w:rsidP="006416C9">
            <w:pPr>
              <w:tabs>
                <w:tab w:val="decimal" w:pos="895"/>
              </w:tabs>
              <w:rPr>
                <w:b/>
                <w:color w:val="auto"/>
                <w:sz w:val="20"/>
                <w:szCs w:val="20"/>
              </w:rPr>
            </w:pPr>
          </w:p>
        </w:tc>
        <w:tc>
          <w:tcPr>
            <w:tcW w:w="1823" w:type="dxa"/>
            <w:shd w:val="clear" w:color="auto" w:fill="E7E6E6"/>
            <w:vAlign w:val="bottom"/>
          </w:tcPr>
          <w:p w14:paraId="30DAB190" w14:textId="77777777" w:rsidR="00EA1031" w:rsidRPr="00A06955" w:rsidRDefault="00EA1031" w:rsidP="006416C9">
            <w:pPr>
              <w:tabs>
                <w:tab w:val="decimal" w:pos="799"/>
              </w:tabs>
              <w:rPr>
                <w:b/>
                <w:color w:val="auto"/>
                <w:sz w:val="20"/>
                <w:szCs w:val="20"/>
              </w:rPr>
            </w:pPr>
          </w:p>
        </w:tc>
        <w:tc>
          <w:tcPr>
            <w:tcW w:w="1965" w:type="dxa"/>
            <w:shd w:val="clear" w:color="auto" w:fill="E7E6E6"/>
            <w:vAlign w:val="bottom"/>
          </w:tcPr>
          <w:p w14:paraId="50DABA8D" w14:textId="77777777" w:rsidR="00EA1031" w:rsidRPr="00A06955" w:rsidRDefault="00EA1031" w:rsidP="00E42A0F">
            <w:pPr>
              <w:tabs>
                <w:tab w:val="decimal" w:pos="884"/>
              </w:tabs>
              <w:rPr>
                <w:b/>
                <w:color w:val="auto"/>
                <w:sz w:val="20"/>
                <w:szCs w:val="20"/>
              </w:rPr>
            </w:pPr>
          </w:p>
        </w:tc>
        <w:tc>
          <w:tcPr>
            <w:tcW w:w="2523" w:type="dxa"/>
            <w:tcBorders>
              <w:right w:val="single" w:sz="4" w:space="0" w:color="auto"/>
            </w:tcBorders>
            <w:shd w:val="clear" w:color="auto" w:fill="E7E6E6"/>
            <w:vAlign w:val="bottom"/>
          </w:tcPr>
          <w:p w14:paraId="723399DF" w14:textId="77777777" w:rsidR="00EA1031" w:rsidRPr="00A06955" w:rsidRDefault="00EA1031" w:rsidP="00E42A0F">
            <w:pPr>
              <w:tabs>
                <w:tab w:val="decimal" w:pos="1167"/>
              </w:tabs>
              <w:rPr>
                <w:b/>
                <w:color w:val="auto"/>
                <w:sz w:val="20"/>
                <w:szCs w:val="20"/>
              </w:rPr>
            </w:pPr>
          </w:p>
        </w:tc>
      </w:tr>
      <w:tr w:rsidR="00EA1031" w:rsidRPr="00747B0B" w14:paraId="2491747A" w14:textId="77777777" w:rsidTr="00A06955">
        <w:trPr>
          <w:trHeight w:val="454"/>
        </w:trPr>
        <w:tc>
          <w:tcPr>
            <w:tcW w:w="7200" w:type="dxa"/>
            <w:tcBorders>
              <w:left w:val="single" w:sz="4" w:space="0" w:color="auto"/>
            </w:tcBorders>
            <w:shd w:val="clear" w:color="auto" w:fill="auto"/>
            <w:vAlign w:val="bottom"/>
          </w:tcPr>
          <w:p w14:paraId="476BD9D1" w14:textId="77777777" w:rsidR="00EA1031" w:rsidRPr="00A06955" w:rsidRDefault="00E42A0F" w:rsidP="006416C9">
            <w:pPr>
              <w:jc w:val="left"/>
              <w:rPr>
                <w:color w:val="auto"/>
                <w:sz w:val="20"/>
                <w:szCs w:val="20"/>
              </w:rPr>
            </w:pPr>
            <w:r w:rsidRPr="00A06955">
              <w:rPr>
                <w:color w:val="auto"/>
                <w:sz w:val="20"/>
                <w:szCs w:val="20"/>
              </w:rPr>
              <w:t>-Amount by which officer remuneration charged to the CIES on an accruals basis is different from remuneration chargeable in the year in accordance with statutory requirements</w:t>
            </w:r>
          </w:p>
        </w:tc>
        <w:tc>
          <w:tcPr>
            <w:tcW w:w="1824" w:type="dxa"/>
            <w:tcBorders>
              <w:bottom w:val="single" w:sz="4" w:space="0" w:color="auto"/>
            </w:tcBorders>
            <w:shd w:val="clear" w:color="auto" w:fill="auto"/>
            <w:vAlign w:val="bottom"/>
          </w:tcPr>
          <w:p w14:paraId="0F8FEF76" w14:textId="50B6E3C8" w:rsidR="00EA1031" w:rsidRPr="00A06955" w:rsidRDefault="004D09B1" w:rsidP="00AF0D89">
            <w:pPr>
              <w:tabs>
                <w:tab w:val="decimal" w:pos="895"/>
              </w:tabs>
              <w:rPr>
                <w:color w:val="auto"/>
                <w:sz w:val="20"/>
                <w:szCs w:val="20"/>
              </w:rPr>
            </w:pPr>
            <w:r w:rsidRPr="00A06955">
              <w:rPr>
                <w:color w:val="auto"/>
                <w:sz w:val="20"/>
                <w:szCs w:val="20"/>
              </w:rPr>
              <w:t>6.</w:t>
            </w:r>
            <w:r w:rsidR="00AF0D89">
              <w:rPr>
                <w:color w:val="auto"/>
                <w:sz w:val="20"/>
                <w:szCs w:val="20"/>
              </w:rPr>
              <w:t>5</w:t>
            </w:r>
          </w:p>
        </w:tc>
        <w:tc>
          <w:tcPr>
            <w:tcW w:w="1823" w:type="dxa"/>
            <w:tcBorders>
              <w:bottom w:val="single" w:sz="4" w:space="0" w:color="auto"/>
            </w:tcBorders>
            <w:shd w:val="clear" w:color="auto" w:fill="auto"/>
            <w:vAlign w:val="bottom"/>
          </w:tcPr>
          <w:p w14:paraId="1FE22EC0" w14:textId="542637AD" w:rsidR="00EA1031" w:rsidRPr="00A06955" w:rsidRDefault="000E7E71" w:rsidP="006416C9">
            <w:pPr>
              <w:tabs>
                <w:tab w:val="decimal" w:pos="799"/>
              </w:tabs>
              <w:rPr>
                <w:color w:val="auto"/>
                <w:sz w:val="20"/>
                <w:szCs w:val="20"/>
              </w:rPr>
            </w:pPr>
            <w:r>
              <w:rPr>
                <w:color w:val="auto"/>
                <w:sz w:val="20"/>
                <w:szCs w:val="20"/>
              </w:rPr>
              <w:t>-</w:t>
            </w:r>
          </w:p>
        </w:tc>
        <w:tc>
          <w:tcPr>
            <w:tcW w:w="1965" w:type="dxa"/>
            <w:tcBorders>
              <w:bottom w:val="single" w:sz="4" w:space="0" w:color="auto"/>
            </w:tcBorders>
            <w:shd w:val="clear" w:color="auto" w:fill="auto"/>
            <w:vAlign w:val="bottom"/>
          </w:tcPr>
          <w:p w14:paraId="43284E05" w14:textId="5932C788" w:rsidR="00EA1031" w:rsidRPr="00A06955" w:rsidRDefault="000E7E71" w:rsidP="00E42A0F">
            <w:pPr>
              <w:tabs>
                <w:tab w:val="decimal" w:pos="884"/>
              </w:tabs>
              <w:rPr>
                <w:color w:val="auto"/>
                <w:sz w:val="20"/>
                <w:szCs w:val="20"/>
              </w:rPr>
            </w:pPr>
            <w:r>
              <w:rPr>
                <w:color w:val="auto"/>
                <w:sz w:val="20"/>
                <w:szCs w:val="20"/>
              </w:rPr>
              <w:t>-</w:t>
            </w:r>
          </w:p>
        </w:tc>
        <w:tc>
          <w:tcPr>
            <w:tcW w:w="2523" w:type="dxa"/>
            <w:tcBorders>
              <w:bottom w:val="single" w:sz="4" w:space="0" w:color="auto"/>
              <w:right w:val="single" w:sz="4" w:space="0" w:color="auto"/>
            </w:tcBorders>
            <w:shd w:val="clear" w:color="auto" w:fill="auto"/>
            <w:vAlign w:val="bottom"/>
          </w:tcPr>
          <w:p w14:paraId="7C460096" w14:textId="134D6200" w:rsidR="00EA1031" w:rsidRPr="00A06955" w:rsidRDefault="000E7E71" w:rsidP="00AF0D89">
            <w:pPr>
              <w:tabs>
                <w:tab w:val="decimal" w:pos="1167"/>
              </w:tabs>
              <w:rPr>
                <w:color w:val="auto"/>
                <w:sz w:val="20"/>
                <w:szCs w:val="20"/>
              </w:rPr>
            </w:pPr>
            <w:r w:rsidRPr="00A06955">
              <w:rPr>
                <w:color w:val="auto"/>
                <w:sz w:val="20"/>
                <w:szCs w:val="20"/>
              </w:rPr>
              <w:t>(6.</w:t>
            </w:r>
            <w:r w:rsidR="00AF0D89">
              <w:rPr>
                <w:color w:val="auto"/>
                <w:sz w:val="20"/>
                <w:szCs w:val="20"/>
              </w:rPr>
              <w:t>5</w:t>
            </w:r>
            <w:r w:rsidRPr="00A06955">
              <w:rPr>
                <w:color w:val="auto"/>
                <w:sz w:val="20"/>
                <w:szCs w:val="20"/>
              </w:rPr>
              <w:t>)</w:t>
            </w:r>
          </w:p>
        </w:tc>
      </w:tr>
      <w:tr w:rsidR="00EA1031" w:rsidRPr="00F13104" w14:paraId="2710F737" w14:textId="77777777" w:rsidTr="00A06955">
        <w:trPr>
          <w:trHeight w:val="454"/>
        </w:trPr>
        <w:tc>
          <w:tcPr>
            <w:tcW w:w="7200" w:type="dxa"/>
            <w:tcBorders>
              <w:left w:val="single" w:sz="4" w:space="0" w:color="auto"/>
              <w:bottom w:val="single" w:sz="4" w:space="0" w:color="auto"/>
            </w:tcBorders>
            <w:shd w:val="clear" w:color="auto" w:fill="auto"/>
            <w:vAlign w:val="bottom"/>
          </w:tcPr>
          <w:p w14:paraId="7B2E3B11" w14:textId="77777777" w:rsidR="00EA1031" w:rsidRPr="00A06955" w:rsidRDefault="00E42A0F" w:rsidP="006416C9">
            <w:pPr>
              <w:jc w:val="left"/>
              <w:rPr>
                <w:b/>
                <w:color w:val="auto"/>
                <w:sz w:val="20"/>
                <w:szCs w:val="20"/>
              </w:rPr>
            </w:pPr>
            <w:r w:rsidRPr="00A06955">
              <w:rPr>
                <w:b/>
                <w:color w:val="auto"/>
                <w:sz w:val="20"/>
                <w:szCs w:val="20"/>
              </w:rPr>
              <w:t>Total adjustments</w:t>
            </w:r>
          </w:p>
        </w:tc>
        <w:tc>
          <w:tcPr>
            <w:tcW w:w="1824" w:type="dxa"/>
            <w:tcBorders>
              <w:top w:val="single" w:sz="4" w:space="0" w:color="auto"/>
              <w:bottom w:val="single" w:sz="4" w:space="0" w:color="auto"/>
            </w:tcBorders>
            <w:shd w:val="clear" w:color="auto" w:fill="auto"/>
            <w:vAlign w:val="bottom"/>
          </w:tcPr>
          <w:p w14:paraId="379CF7B5" w14:textId="70DE41DE" w:rsidR="00EA1031" w:rsidRPr="00A06955" w:rsidRDefault="004D09B1">
            <w:pPr>
              <w:tabs>
                <w:tab w:val="decimal" w:pos="895"/>
              </w:tabs>
              <w:rPr>
                <w:b/>
                <w:color w:val="auto"/>
                <w:sz w:val="20"/>
                <w:szCs w:val="20"/>
              </w:rPr>
            </w:pPr>
            <w:r w:rsidRPr="00A06955">
              <w:rPr>
                <w:b/>
                <w:color w:val="auto"/>
                <w:sz w:val="20"/>
                <w:szCs w:val="20"/>
              </w:rPr>
              <w:t>(</w:t>
            </w:r>
            <w:r w:rsidR="001B5046">
              <w:rPr>
                <w:b/>
                <w:color w:val="auto"/>
                <w:sz w:val="20"/>
                <w:szCs w:val="20"/>
              </w:rPr>
              <w:t>30.2</w:t>
            </w:r>
            <w:r w:rsidRPr="00A06955">
              <w:rPr>
                <w:b/>
                <w:color w:val="auto"/>
                <w:sz w:val="20"/>
                <w:szCs w:val="20"/>
              </w:rPr>
              <w:t>)</w:t>
            </w:r>
          </w:p>
        </w:tc>
        <w:tc>
          <w:tcPr>
            <w:tcW w:w="1823" w:type="dxa"/>
            <w:tcBorders>
              <w:top w:val="single" w:sz="4" w:space="0" w:color="auto"/>
              <w:bottom w:val="single" w:sz="4" w:space="0" w:color="auto"/>
            </w:tcBorders>
            <w:shd w:val="clear" w:color="auto" w:fill="auto"/>
            <w:vAlign w:val="bottom"/>
          </w:tcPr>
          <w:p w14:paraId="1BD7B066" w14:textId="04AF6516" w:rsidR="00EA1031" w:rsidRPr="00A06955" w:rsidRDefault="001B5046" w:rsidP="0074334C">
            <w:pPr>
              <w:tabs>
                <w:tab w:val="decimal" w:pos="799"/>
              </w:tabs>
              <w:rPr>
                <w:b/>
                <w:color w:val="auto"/>
                <w:sz w:val="20"/>
                <w:szCs w:val="20"/>
              </w:rPr>
            </w:pPr>
            <w:r>
              <w:rPr>
                <w:b/>
                <w:color w:val="auto"/>
                <w:sz w:val="20"/>
                <w:szCs w:val="20"/>
              </w:rPr>
              <w:t>(</w:t>
            </w:r>
            <w:r w:rsidR="0074334C">
              <w:rPr>
                <w:b/>
                <w:color w:val="auto"/>
                <w:sz w:val="20"/>
                <w:szCs w:val="20"/>
              </w:rPr>
              <w:t>1.7</w:t>
            </w:r>
            <w:r w:rsidR="004D09B1" w:rsidRPr="00A06955">
              <w:rPr>
                <w:b/>
                <w:color w:val="auto"/>
                <w:sz w:val="20"/>
                <w:szCs w:val="20"/>
              </w:rPr>
              <w:t>)</w:t>
            </w:r>
          </w:p>
        </w:tc>
        <w:tc>
          <w:tcPr>
            <w:tcW w:w="1965" w:type="dxa"/>
            <w:tcBorders>
              <w:top w:val="single" w:sz="4" w:space="0" w:color="auto"/>
              <w:bottom w:val="single" w:sz="4" w:space="0" w:color="auto"/>
            </w:tcBorders>
            <w:shd w:val="clear" w:color="auto" w:fill="auto"/>
            <w:vAlign w:val="bottom"/>
          </w:tcPr>
          <w:p w14:paraId="3C970422" w14:textId="1AB55486" w:rsidR="00EA1031" w:rsidRPr="00A06955" w:rsidRDefault="004D09B1" w:rsidP="00AF0D89">
            <w:pPr>
              <w:tabs>
                <w:tab w:val="decimal" w:pos="884"/>
              </w:tabs>
              <w:rPr>
                <w:b/>
                <w:color w:val="auto"/>
                <w:sz w:val="20"/>
                <w:szCs w:val="20"/>
              </w:rPr>
            </w:pPr>
            <w:r w:rsidRPr="00A06955">
              <w:rPr>
                <w:b/>
                <w:color w:val="auto"/>
                <w:sz w:val="20"/>
                <w:szCs w:val="20"/>
              </w:rPr>
              <w:t>(1.</w:t>
            </w:r>
            <w:r w:rsidR="00AF0D89">
              <w:rPr>
                <w:b/>
                <w:color w:val="auto"/>
                <w:sz w:val="20"/>
                <w:szCs w:val="20"/>
              </w:rPr>
              <w:t>4</w:t>
            </w:r>
            <w:r w:rsidRPr="00A06955">
              <w:rPr>
                <w:b/>
                <w:color w:val="auto"/>
                <w:sz w:val="20"/>
                <w:szCs w:val="20"/>
              </w:rPr>
              <w:t>)</w:t>
            </w:r>
          </w:p>
        </w:tc>
        <w:tc>
          <w:tcPr>
            <w:tcW w:w="2523" w:type="dxa"/>
            <w:tcBorders>
              <w:top w:val="single" w:sz="4" w:space="0" w:color="auto"/>
              <w:bottom w:val="single" w:sz="4" w:space="0" w:color="auto"/>
              <w:right w:val="single" w:sz="4" w:space="0" w:color="auto"/>
            </w:tcBorders>
            <w:shd w:val="clear" w:color="auto" w:fill="auto"/>
            <w:vAlign w:val="bottom"/>
          </w:tcPr>
          <w:p w14:paraId="08866658" w14:textId="397846D6" w:rsidR="00EA1031" w:rsidRPr="000E7E71" w:rsidRDefault="00433FEC" w:rsidP="00AF0D89">
            <w:pPr>
              <w:tabs>
                <w:tab w:val="decimal" w:pos="1167"/>
              </w:tabs>
              <w:rPr>
                <w:b/>
                <w:color w:val="auto"/>
                <w:sz w:val="20"/>
                <w:szCs w:val="20"/>
              </w:rPr>
            </w:pPr>
            <w:r>
              <w:rPr>
                <w:b/>
                <w:color w:val="auto"/>
                <w:sz w:val="20"/>
                <w:szCs w:val="20"/>
              </w:rPr>
              <w:t>33.</w:t>
            </w:r>
            <w:r w:rsidR="00AF0D89">
              <w:rPr>
                <w:b/>
                <w:color w:val="auto"/>
                <w:sz w:val="20"/>
                <w:szCs w:val="20"/>
              </w:rPr>
              <w:t>3</w:t>
            </w:r>
          </w:p>
        </w:tc>
      </w:tr>
    </w:tbl>
    <w:p w14:paraId="50E8CA21" w14:textId="7FE97E7A" w:rsidR="00853936" w:rsidRDefault="001A6E72" w:rsidP="00853936">
      <w:pPr>
        <w:rPr>
          <w:b/>
          <w:u w:val="single"/>
          <w:lang w:eastAsia="en-GB"/>
        </w:rPr>
      </w:pPr>
      <w:r>
        <w:rPr>
          <w:lang w:eastAsia="en-GB"/>
        </w:rPr>
        <w:br w:type="page"/>
      </w:r>
      <w:r w:rsidRPr="001A6E72">
        <w:rPr>
          <w:b/>
          <w:u w:val="single"/>
          <w:lang w:eastAsia="en-GB"/>
        </w:rPr>
        <w:lastRenderedPageBreak/>
        <w:t xml:space="preserve">2013/14 </w:t>
      </w:r>
    </w:p>
    <w:tbl>
      <w:tblPr>
        <w:tblW w:w="4982" w:type="pct"/>
        <w:tblLook w:val="04A0" w:firstRow="1" w:lastRow="0" w:firstColumn="1" w:lastColumn="0" w:noHBand="0" w:noVBand="1"/>
      </w:tblPr>
      <w:tblGrid>
        <w:gridCol w:w="7185"/>
        <w:gridCol w:w="1829"/>
        <w:gridCol w:w="1827"/>
        <w:gridCol w:w="1967"/>
        <w:gridCol w:w="2527"/>
      </w:tblGrid>
      <w:tr w:rsidR="001A6E72" w:rsidRPr="00F13104" w14:paraId="0E1F085A" w14:textId="77777777" w:rsidTr="00A06955">
        <w:trPr>
          <w:trHeight w:val="454"/>
          <w:tblHeader/>
        </w:trPr>
        <w:tc>
          <w:tcPr>
            <w:tcW w:w="7185" w:type="dxa"/>
            <w:tcBorders>
              <w:top w:val="single" w:sz="4" w:space="0" w:color="auto"/>
              <w:left w:val="single" w:sz="4" w:space="0" w:color="auto"/>
            </w:tcBorders>
            <w:shd w:val="clear" w:color="auto" w:fill="D0CECE"/>
            <w:vAlign w:val="bottom"/>
          </w:tcPr>
          <w:p w14:paraId="2D0D2271" w14:textId="77777777" w:rsidR="001A6E72" w:rsidRPr="00F13104" w:rsidRDefault="001A6E72" w:rsidP="006416C9">
            <w:pPr>
              <w:jc w:val="left"/>
              <w:rPr>
                <w:color w:val="auto"/>
                <w:sz w:val="20"/>
                <w:szCs w:val="20"/>
              </w:rPr>
            </w:pPr>
          </w:p>
        </w:tc>
        <w:tc>
          <w:tcPr>
            <w:tcW w:w="5623" w:type="dxa"/>
            <w:gridSpan w:val="3"/>
            <w:tcBorders>
              <w:top w:val="single" w:sz="4" w:space="0" w:color="auto"/>
            </w:tcBorders>
            <w:shd w:val="clear" w:color="auto" w:fill="D0CECE"/>
            <w:vAlign w:val="bottom"/>
          </w:tcPr>
          <w:p w14:paraId="6BEF122E" w14:textId="77777777" w:rsidR="001A6E72" w:rsidRPr="00E42A0F" w:rsidRDefault="001A6E72" w:rsidP="006416C9">
            <w:pPr>
              <w:jc w:val="center"/>
              <w:rPr>
                <w:b/>
                <w:color w:val="auto"/>
                <w:sz w:val="20"/>
                <w:szCs w:val="20"/>
                <w:u w:val="single"/>
              </w:rPr>
            </w:pPr>
            <w:r>
              <w:rPr>
                <w:b/>
                <w:color w:val="auto"/>
                <w:sz w:val="20"/>
                <w:szCs w:val="20"/>
                <w:u w:val="single"/>
              </w:rPr>
              <w:t>Usable Reserves £m</w:t>
            </w:r>
          </w:p>
        </w:tc>
        <w:tc>
          <w:tcPr>
            <w:tcW w:w="2527" w:type="dxa"/>
            <w:tcBorders>
              <w:top w:val="single" w:sz="4" w:space="0" w:color="auto"/>
              <w:right w:val="single" w:sz="4" w:space="0" w:color="auto"/>
            </w:tcBorders>
            <w:shd w:val="clear" w:color="auto" w:fill="D0CECE"/>
            <w:vAlign w:val="bottom"/>
          </w:tcPr>
          <w:p w14:paraId="4D995357" w14:textId="77777777" w:rsidR="001A6E72" w:rsidRPr="00E42A0F" w:rsidRDefault="001A6E72" w:rsidP="006416C9">
            <w:pPr>
              <w:jc w:val="center"/>
              <w:rPr>
                <w:b/>
                <w:color w:val="auto"/>
                <w:sz w:val="20"/>
                <w:szCs w:val="20"/>
                <w:u w:val="single"/>
              </w:rPr>
            </w:pPr>
            <w:r w:rsidRPr="00E42A0F">
              <w:rPr>
                <w:b/>
                <w:color w:val="auto"/>
                <w:sz w:val="20"/>
                <w:szCs w:val="20"/>
                <w:u w:val="single"/>
              </w:rPr>
              <w:t>Unusable Reserves £m</w:t>
            </w:r>
          </w:p>
        </w:tc>
      </w:tr>
      <w:tr w:rsidR="001A6E72" w:rsidRPr="00F13104" w14:paraId="144F88ED" w14:textId="77777777" w:rsidTr="00A06955">
        <w:trPr>
          <w:trHeight w:val="454"/>
          <w:tblHeader/>
        </w:trPr>
        <w:tc>
          <w:tcPr>
            <w:tcW w:w="7185" w:type="dxa"/>
            <w:tcBorders>
              <w:left w:val="single" w:sz="4" w:space="0" w:color="auto"/>
            </w:tcBorders>
            <w:shd w:val="clear" w:color="auto" w:fill="D0CECE"/>
            <w:vAlign w:val="bottom"/>
          </w:tcPr>
          <w:p w14:paraId="57900CB5" w14:textId="77777777" w:rsidR="001A6E72" w:rsidRPr="00F13104" w:rsidRDefault="001A6E72" w:rsidP="006416C9">
            <w:pPr>
              <w:jc w:val="left"/>
              <w:rPr>
                <w:color w:val="auto"/>
                <w:sz w:val="20"/>
                <w:szCs w:val="20"/>
              </w:rPr>
            </w:pPr>
          </w:p>
        </w:tc>
        <w:tc>
          <w:tcPr>
            <w:tcW w:w="1829" w:type="dxa"/>
            <w:shd w:val="clear" w:color="auto" w:fill="D0CECE"/>
            <w:vAlign w:val="bottom"/>
          </w:tcPr>
          <w:p w14:paraId="4C445571" w14:textId="77777777" w:rsidR="001A6E72" w:rsidRPr="00F13104" w:rsidRDefault="001A6E72" w:rsidP="006416C9">
            <w:pPr>
              <w:jc w:val="center"/>
              <w:rPr>
                <w:b/>
                <w:color w:val="auto"/>
                <w:sz w:val="20"/>
                <w:szCs w:val="20"/>
              </w:rPr>
            </w:pPr>
            <w:r>
              <w:rPr>
                <w:b/>
                <w:color w:val="auto"/>
                <w:sz w:val="20"/>
                <w:szCs w:val="20"/>
              </w:rPr>
              <w:t>County Fund</w:t>
            </w:r>
          </w:p>
        </w:tc>
        <w:tc>
          <w:tcPr>
            <w:tcW w:w="1827" w:type="dxa"/>
            <w:shd w:val="clear" w:color="auto" w:fill="D0CECE"/>
            <w:vAlign w:val="bottom"/>
          </w:tcPr>
          <w:p w14:paraId="748EBA25" w14:textId="77777777" w:rsidR="001A6E72" w:rsidRPr="00F13104" w:rsidRDefault="001A6E72" w:rsidP="006416C9">
            <w:pPr>
              <w:jc w:val="center"/>
              <w:rPr>
                <w:b/>
                <w:color w:val="auto"/>
                <w:sz w:val="20"/>
                <w:szCs w:val="20"/>
              </w:rPr>
            </w:pPr>
            <w:r>
              <w:rPr>
                <w:b/>
                <w:color w:val="auto"/>
                <w:sz w:val="20"/>
                <w:szCs w:val="20"/>
              </w:rPr>
              <w:t>Capital Receipts Reserve</w:t>
            </w:r>
          </w:p>
        </w:tc>
        <w:tc>
          <w:tcPr>
            <w:tcW w:w="1967" w:type="dxa"/>
            <w:shd w:val="clear" w:color="auto" w:fill="D0CECE"/>
            <w:vAlign w:val="bottom"/>
          </w:tcPr>
          <w:p w14:paraId="22882570" w14:textId="77777777" w:rsidR="001A6E72" w:rsidRPr="00F13104" w:rsidRDefault="001A6E72" w:rsidP="006416C9">
            <w:pPr>
              <w:jc w:val="center"/>
              <w:rPr>
                <w:b/>
                <w:color w:val="auto"/>
                <w:sz w:val="20"/>
                <w:szCs w:val="20"/>
              </w:rPr>
            </w:pPr>
            <w:r>
              <w:rPr>
                <w:b/>
                <w:color w:val="auto"/>
                <w:sz w:val="20"/>
                <w:szCs w:val="20"/>
              </w:rPr>
              <w:t>Capital Grants Unapplied</w:t>
            </w:r>
          </w:p>
        </w:tc>
        <w:tc>
          <w:tcPr>
            <w:tcW w:w="2527" w:type="dxa"/>
            <w:tcBorders>
              <w:right w:val="single" w:sz="4" w:space="0" w:color="auto"/>
            </w:tcBorders>
            <w:shd w:val="clear" w:color="auto" w:fill="D0CECE"/>
            <w:vAlign w:val="bottom"/>
          </w:tcPr>
          <w:p w14:paraId="5C11073D" w14:textId="77777777" w:rsidR="001A6E72" w:rsidRPr="00F13104" w:rsidRDefault="001A6E72" w:rsidP="006416C9">
            <w:pPr>
              <w:jc w:val="center"/>
              <w:rPr>
                <w:b/>
                <w:color w:val="auto"/>
                <w:sz w:val="20"/>
                <w:szCs w:val="20"/>
              </w:rPr>
            </w:pPr>
            <w:r>
              <w:rPr>
                <w:b/>
                <w:color w:val="auto"/>
                <w:sz w:val="20"/>
                <w:szCs w:val="20"/>
              </w:rPr>
              <w:t>Total Unusable Reserves</w:t>
            </w:r>
          </w:p>
        </w:tc>
      </w:tr>
      <w:tr w:rsidR="001A6E72" w:rsidRPr="00F13104" w14:paraId="78D2A917" w14:textId="77777777" w:rsidTr="00A06955">
        <w:trPr>
          <w:trHeight w:val="454"/>
        </w:trPr>
        <w:tc>
          <w:tcPr>
            <w:tcW w:w="7185" w:type="dxa"/>
            <w:tcBorders>
              <w:left w:val="single" w:sz="4" w:space="0" w:color="auto"/>
            </w:tcBorders>
            <w:shd w:val="clear" w:color="auto" w:fill="D0CECE"/>
            <w:vAlign w:val="bottom"/>
          </w:tcPr>
          <w:p w14:paraId="4A44B6CD" w14:textId="77777777" w:rsidR="001A6E72" w:rsidRPr="00EA1031" w:rsidRDefault="001A6E72" w:rsidP="006416C9">
            <w:pPr>
              <w:jc w:val="left"/>
              <w:rPr>
                <w:b/>
                <w:color w:val="auto"/>
                <w:sz w:val="20"/>
                <w:szCs w:val="20"/>
              </w:rPr>
            </w:pPr>
            <w:r w:rsidRPr="00EA1031">
              <w:rPr>
                <w:b/>
                <w:color w:val="auto"/>
                <w:sz w:val="20"/>
                <w:szCs w:val="20"/>
              </w:rPr>
              <w:t>Adjustments involving the Capital Adjustment Account</w:t>
            </w:r>
          </w:p>
        </w:tc>
        <w:tc>
          <w:tcPr>
            <w:tcW w:w="1829" w:type="dxa"/>
            <w:shd w:val="clear" w:color="auto" w:fill="D0CECE"/>
            <w:vAlign w:val="bottom"/>
          </w:tcPr>
          <w:p w14:paraId="4925B3FC" w14:textId="77777777" w:rsidR="001A6E72" w:rsidRPr="00F13104" w:rsidRDefault="001A6E72" w:rsidP="006416C9">
            <w:pPr>
              <w:jc w:val="center"/>
              <w:rPr>
                <w:b/>
                <w:color w:val="auto"/>
                <w:sz w:val="20"/>
                <w:szCs w:val="20"/>
              </w:rPr>
            </w:pPr>
          </w:p>
        </w:tc>
        <w:tc>
          <w:tcPr>
            <w:tcW w:w="1827" w:type="dxa"/>
            <w:shd w:val="clear" w:color="auto" w:fill="D0CECE"/>
            <w:vAlign w:val="bottom"/>
          </w:tcPr>
          <w:p w14:paraId="46769866" w14:textId="77777777" w:rsidR="001A6E72" w:rsidRPr="00F13104" w:rsidRDefault="001A6E72" w:rsidP="006416C9">
            <w:pPr>
              <w:jc w:val="center"/>
              <w:rPr>
                <w:b/>
                <w:color w:val="auto"/>
                <w:sz w:val="20"/>
                <w:szCs w:val="20"/>
              </w:rPr>
            </w:pPr>
          </w:p>
        </w:tc>
        <w:tc>
          <w:tcPr>
            <w:tcW w:w="1967" w:type="dxa"/>
            <w:shd w:val="clear" w:color="auto" w:fill="D0CECE"/>
            <w:vAlign w:val="bottom"/>
          </w:tcPr>
          <w:p w14:paraId="4EC15054" w14:textId="77777777" w:rsidR="001A6E72" w:rsidRPr="00F13104" w:rsidRDefault="001A6E72" w:rsidP="006416C9">
            <w:pPr>
              <w:jc w:val="center"/>
              <w:rPr>
                <w:b/>
                <w:color w:val="auto"/>
                <w:sz w:val="20"/>
                <w:szCs w:val="20"/>
              </w:rPr>
            </w:pPr>
          </w:p>
        </w:tc>
        <w:tc>
          <w:tcPr>
            <w:tcW w:w="2527" w:type="dxa"/>
            <w:tcBorders>
              <w:right w:val="single" w:sz="4" w:space="0" w:color="auto"/>
            </w:tcBorders>
            <w:shd w:val="clear" w:color="auto" w:fill="D0CECE"/>
            <w:vAlign w:val="bottom"/>
          </w:tcPr>
          <w:p w14:paraId="69338719" w14:textId="77777777" w:rsidR="001A6E72" w:rsidRPr="00F13104" w:rsidRDefault="001A6E72" w:rsidP="006416C9">
            <w:pPr>
              <w:jc w:val="center"/>
              <w:rPr>
                <w:b/>
                <w:color w:val="auto"/>
                <w:sz w:val="20"/>
                <w:szCs w:val="20"/>
              </w:rPr>
            </w:pPr>
          </w:p>
        </w:tc>
      </w:tr>
      <w:tr w:rsidR="001A6E72" w:rsidRPr="00F13104" w14:paraId="0A696C53" w14:textId="77777777" w:rsidTr="00A06955">
        <w:trPr>
          <w:trHeight w:val="408"/>
        </w:trPr>
        <w:tc>
          <w:tcPr>
            <w:tcW w:w="7185" w:type="dxa"/>
            <w:tcBorders>
              <w:left w:val="single" w:sz="4" w:space="0" w:color="auto"/>
            </w:tcBorders>
            <w:shd w:val="clear" w:color="auto" w:fill="E7E6E6"/>
            <w:vAlign w:val="bottom"/>
          </w:tcPr>
          <w:p w14:paraId="44ADBD7C" w14:textId="77777777" w:rsidR="001A6E72" w:rsidRPr="00EA1031" w:rsidRDefault="001A6E72" w:rsidP="006416C9">
            <w:pPr>
              <w:jc w:val="left"/>
              <w:rPr>
                <w:b/>
                <w:color w:val="auto"/>
                <w:sz w:val="20"/>
                <w:szCs w:val="20"/>
              </w:rPr>
            </w:pPr>
            <w:r w:rsidRPr="00EA1031">
              <w:rPr>
                <w:b/>
                <w:color w:val="auto"/>
                <w:sz w:val="20"/>
                <w:szCs w:val="20"/>
              </w:rPr>
              <w:t>Reversal of items debited or credited to the Comprehensive Income and Expenditure Statement:</w:t>
            </w:r>
          </w:p>
        </w:tc>
        <w:tc>
          <w:tcPr>
            <w:tcW w:w="1829" w:type="dxa"/>
            <w:shd w:val="clear" w:color="auto" w:fill="E7E6E6"/>
            <w:vAlign w:val="bottom"/>
          </w:tcPr>
          <w:p w14:paraId="584B07B3" w14:textId="77777777" w:rsidR="001A6E72" w:rsidRPr="00F13104" w:rsidRDefault="001A6E72" w:rsidP="006416C9">
            <w:pPr>
              <w:jc w:val="center"/>
              <w:rPr>
                <w:b/>
                <w:color w:val="auto"/>
                <w:sz w:val="20"/>
                <w:szCs w:val="20"/>
              </w:rPr>
            </w:pPr>
          </w:p>
        </w:tc>
        <w:tc>
          <w:tcPr>
            <w:tcW w:w="1827" w:type="dxa"/>
            <w:shd w:val="clear" w:color="auto" w:fill="E7E6E6"/>
            <w:vAlign w:val="bottom"/>
          </w:tcPr>
          <w:p w14:paraId="51734D12" w14:textId="77777777" w:rsidR="001A6E72" w:rsidRPr="00F13104" w:rsidRDefault="001A6E72" w:rsidP="006416C9">
            <w:pPr>
              <w:jc w:val="center"/>
              <w:rPr>
                <w:b/>
                <w:color w:val="auto"/>
                <w:sz w:val="20"/>
                <w:szCs w:val="20"/>
              </w:rPr>
            </w:pPr>
          </w:p>
        </w:tc>
        <w:tc>
          <w:tcPr>
            <w:tcW w:w="1967" w:type="dxa"/>
            <w:shd w:val="clear" w:color="auto" w:fill="E7E6E6"/>
            <w:vAlign w:val="bottom"/>
          </w:tcPr>
          <w:p w14:paraId="4F608CB8" w14:textId="77777777" w:rsidR="001A6E72" w:rsidRPr="00F13104" w:rsidRDefault="001A6E72" w:rsidP="006416C9">
            <w:pPr>
              <w:jc w:val="center"/>
              <w:rPr>
                <w:b/>
                <w:color w:val="auto"/>
                <w:sz w:val="20"/>
                <w:szCs w:val="20"/>
              </w:rPr>
            </w:pPr>
          </w:p>
        </w:tc>
        <w:tc>
          <w:tcPr>
            <w:tcW w:w="2527" w:type="dxa"/>
            <w:tcBorders>
              <w:right w:val="single" w:sz="4" w:space="0" w:color="auto"/>
            </w:tcBorders>
            <w:shd w:val="clear" w:color="auto" w:fill="E7E6E6"/>
            <w:vAlign w:val="bottom"/>
          </w:tcPr>
          <w:p w14:paraId="46035F3C" w14:textId="77777777" w:rsidR="001A6E72" w:rsidRPr="00F13104" w:rsidRDefault="001A6E72" w:rsidP="006416C9">
            <w:pPr>
              <w:jc w:val="center"/>
              <w:rPr>
                <w:b/>
                <w:color w:val="auto"/>
                <w:sz w:val="20"/>
                <w:szCs w:val="20"/>
              </w:rPr>
            </w:pPr>
          </w:p>
        </w:tc>
      </w:tr>
      <w:tr w:rsidR="001A6E72" w:rsidRPr="00F13104" w14:paraId="3B91769E" w14:textId="77777777" w:rsidTr="00A06955">
        <w:trPr>
          <w:trHeight w:val="454"/>
        </w:trPr>
        <w:tc>
          <w:tcPr>
            <w:tcW w:w="7185" w:type="dxa"/>
            <w:tcBorders>
              <w:left w:val="single" w:sz="4" w:space="0" w:color="auto"/>
            </w:tcBorders>
            <w:shd w:val="clear" w:color="auto" w:fill="auto"/>
            <w:vAlign w:val="bottom"/>
          </w:tcPr>
          <w:p w14:paraId="096D525F" w14:textId="3BA610D9" w:rsidR="001A6E72" w:rsidRPr="00A118ED" w:rsidRDefault="001A6E72">
            <w:pPr>
              <w:jc w:val="left"/>
              <w:rPr>
                <w:color w:val="auto"/>
                <w:sz w:val="20"/>
                <w:szCs w:val="20"/>
              </w:rPr>
            </w:pPr>
            <w:r w:rsidRPr="00A118ED">
              <w:rPr>
                <w:color w:val="auto"/>
                <w:sz w:val="20"/>
                <w:szCs w:val="20"/>
              </w:rPr>
              <w:t xml:space="preserve">-Charges for depreciation </w:t>
            </w:r>
            <w:r w:rsidR="000E7E71" w:rsidRPr="00A118ED">
              <w:rPr>
                <w:color w:val="auto"/>
                <w:sz w:val="20"/>
                <w:szCs w:val="20"/>
              </w:rPr>
              <w:t xml:space="preserve">and impairment </w:t>
            </w:r>
            <w:r w:rsidRPr="00A118ED">
              <w:rPr>
                <w:color w:val="auto"/>
                <w:sz w:val="20"/>
                <w:szCs w:val="20"/>
              </w:rPr>
              <w:t>of non</w:t>
            </w:r>
            <w:r w:rsidR="00DF6CCD" w:rsidRPr="00A118ED">
              <w:rPr>
                <w:color w:val="auto"/>
                <w:sz w:val="20"/>
                <w:szCs w:val="20"/>
              </w:rPr>
              <w:t>-</w:t>
            </w:r>
            <w:r w:rsidRPr="00A118ED">
              <w:rPr>
                <w:color w:val="auto"/>
                <w:sz w:val="20"/>
                <w:szCs w:val="20"/>
              </w:rPr>
              <w:t>current assets</w:t>
            </w:r>
          </w:p>
        </w:tc>
        <w:tc>
          <w:tcPr>
            <w:tcW w:w="1829" w:type="dxa"/>
            <w:shd w:val="clear" w:color="auto" w:fill="auto"/>
            <w:vAlign w:val="bottom"/>
          </w:tcPr>
          <w:p w14:paraId="41FDAC0D" w14:textId="77777777" w:rsidR="001A6E72" w:rsidRPr="00F13104" w:rsidRDefault="001A6E72" w:rsidP="002831E1">
            <w:pPr>
              <w:tabs>
                <w:tab w:val="decimal" w:pos="895"/>
              </w:tabs>
              <w:rPr>
                <w:color w:val="auto"/>
                <w:sz w:val="20"/>
                <w:szCs w:val="20"/>
              </w:rPr>
            </w:pPr>
            <w:r>
              <w:rPr>
                <w:color w:val="auto"/>
                <w:sz w:val="20"/>
                <w:szCs w:val="20"/>
              </w:rPr>
              <w:t>(47.2)</w:t>
            </w:r>
          </w:p>
        </w:tc>
        <w:tc>
          <w:tcPr>
            <w:tcW w:w="1827" w:type="dxa"/>
            <w:shd w:val="clear" w:color="auto" w:fill="auto"/>
            <w:vAlign w:val="bottom"/>
          </w:tcPr>
          <w:p w14:paraId="3BBE48A3" w14:textId="77777777" w:rsidR="001A6E72" w:rsidRPr="00F13104" w:rsidRDefault="001A6E72" w:rsidP="006416C9">
            <w:pPr>
              <w:tabs>
                <w:tab w:val="decimal" w:pos="799"/>
              </w:tabs>
              <w:rPr>
                <w:color w:val="auto"/>
                <w:sz w:val="20"/>
                <w:szCs w:val="20"/>
              </w:rPr>
            </w:pPr>
            <w:r>
              <w:rPr>
                <w:color w:val="auto"/>
                <w:sz w:val="20"/>
                <w:szCs w:val="20"/>
              </w:rPr>
              <w:t>-</w:t>
            </w:r>
          </w:p>
        </w:tc>
        <w:tc>
          <w:tcPr>
            <w:tcW w:w="1967" w:type="dxa"/>
            <w:shd w:val="clear" w:color="auto" w:fill="auto"/>
            <w:vAlign w:val="bottom"/>
          </w:tcPr>
          <w:p w14:paraId="0DF56DDC" w14:textId="77777777" w:rsidR="001A6E72" w:rsidRPr="00F13104" w:rsidRDefault="001A6E72" w:rsidP="006416C9">
            <w:pPr>
              <w:tabs>
                <w:tab w:val="decimal" w:pos="884"/>
              </w:tabs>
              <w:rPr>
                <w:color w:val="auto"/>
                <w:sz w:val="20"/>
                <w:szCs w:val="20"/>
              </w:rPr>
            </w:pPr>
            <w:r>
              <w:rPr>
                <w:color w:val="auto"/>
                <w:sz w:val="20"/>
                <w:szCs w:val="20"/>
              </w:rPr>
              <w:t>-</w:t>
            </w:r>
          </w:p>
        </w:tc>
        <w:tc>
          <w:tcPr>
            <w:tcW w:w="2527" w:type="dxa"/>
            <w:tcBorders>
              <w:right w:val="single" w:sz="4" w:space="0" w:color="auto"/>
            </w:tcBorders>
            <w:shd w:val="clear" w:color="auto" w:fill="auto"/>
            <w:vAlign w:val="bottom"/>
          </w:tcPr>
          <w:p w14:paraId="1B843FD4" w14:textId="77777777" w:rsidR="001A6E72" w:rsidRPr="00F13104" w:rsidRDefault="002831E1" w:rsidP="006416C9">
            <w:pPr>
              <w:tabs>
                <w:tab w:val="decimal" w:pos="1167"/>
              </w:tabs>
              <w:rPr>
                <w:color w:val="auto"/>
                <w:sz w:val="20"/>
                <w:szCs w:val="20"/>
              </w:rPr>
            </w:pPr>
            <w:r>
              <w:rPr>
                <w:color w:val="auto"/>
                <w:sz w:val="20"/>
                <w:szCs w:val="20"/>
              </w:rPr>
              <w:t>47.2</w:t>
            </w:r>
          </w:p>
        </w:tc>
      </w:tr>
      <w:tr w:rsidR="001A6E72" w:rsidRPr="00F13104" w14:paraId="13290F77" w14:textId="77777777" w:rsidTr="00A06955">
        <w:trPr>
          <w:trHeight w:val="454"/>
        </w:trPr>
        <w:tc>
          <w:tcPr>
            <w:tcW w:w="7185" w:type="dxa"/>
            <w:tcBorders>
              <w:left w:val="single" w:sz="4" w:space="0" w:color="auto"/>
            </w:tcBorders>
            <w:shd w:val="clear" w:color="auto" w:fill="auto"/>
            <w:vAlign w:val="bottom"/>
          </w:tcPr>
          <w:p w14:paraId="568053A1" w14:textId="77777777" w:rsidR="001A6E72" w:rsidRPr="00A118ED" w:rsidRDefault="001A6E72" w:rsidP="006416C9">
            <w:pPr>
              <w:jc w:val="left"/>
              <w:rPr>
                <w:color w:val="auto"/>
                <w:sz w:val="20"/>
                <w:szCs w:val="20"/>
              </w:rPr>
            </w:pPr>
            <w:r w:rsidRPr="00A118ED">
              <w:rPr>
                <w:color w:val="auto"/>
                <w:sz w:val="20"/>
                <w:szCs w:val="20"/>
              </w:rPr>
              <w:t>-Revaluation losses on Property Plant and Equipment (charged to surplus or deficit on the provision of services)</w:t>
            </w:r>
          </w:p>
        </w:tc>
        <w:tc>
          <w:tcPr>
            <w:tcW w:w="1829" w:type="dxa"/>
            <w:shd w:val="clear" w:color="auto" w:fill="auto"/>
            <w:vAlign w:val="bottom"/>
          </w:tcPr>
          <w:p w14:paraId="1415253A" w14:textId="77777777" w:rsidR="001A6E72" w:rsidRPr="00F13104" w:rsidRDefault="001A6E72" w:rsidP="006416C9">
            <w:pPr>
              <w:tabs>
                <w:tab w:val="decimal" w:pos="895"/>
              </w:tabs>
              <w:rPr>
                <w:color w:val="auto"/>
                <w:sz w:val="20"/>
                <w:szCs w:val="20"/>
              </w:rPr>
            </w:pPr>
            <w:r>
              <w:rPr>
                <w:color w:val="auto"/>
                <w:sz w:val="20"/>
                <w:szCs w:val="20"/>
              </w:rPr>
              <w:t>(37.6)</w:t>
            </w:r>
          </w:p>
        </w:tc>
        <w:tc>
          <w:tcPr>
            <w:tcW w:w="1827" w:type="dxa"/>
            <w:shd w:val="clear" w:color="auto" w:fill="auto"/>
            <w:vAlign w:val="bottom"/>
          </w:tcPr>
          <w:p w14:paraId="0A41DE77" w14:textId="77777777" w:rsidR="001A6E72" w:rsidRPr="00F13104" w:rsidRDefault="001A6E72" w:rsidP="006416C9">
            <w:pPr>
              <w:tabs>
                <w:tab w:val="decimal" w:pos="799"/>
              </w:tabs>
              <w:rPr>
                <w:color w:val="auto"/>
                <w:sz w:val="20"/>
                <w:szCs w:val="20"/>
              </w:rPr>
            </w:pPr>
            <w:r>
              <w:rPr>
                <w:color w:val="auto"/>
                <w:sz w:val="20"/>
                <w:szCs w:val="20"/>
              </w:rPr>
              <w:t>-</w:t>
            </w:r>
          </w:p>
        </w:tc>
        <w:tc>
          <w:tcPr>
            <w:tcW w:w="1967" w:type="dxa"/>
            <w:shd w:val="clear" w:color="auto" w:fill="auto"/>
            <w:vAlign w:val="bottom"/>
          </w:tcPr>
          <w:p w14:paraId="1C003E25" w14:textId="77777777" w:rsidR="001A6E72" w:rsidRPr="00F13104" w:rsidRDefault="001A6E72" w:rsidP="006416C9">
            <w:pPr>
              <w:tabs>
                <w:tab w:val="decimal" w:pos="884"/>
              </w:tabs>
              <w:rPr>
                <w:color w:val="auto"/>
                <w:sz w:val="20"/>
                <w:szCs w:val="20"/>
              </w:rPr>
            </w:pPr>
            <w:r>
              <w:rPr>
                <w:color w:val="auto"/>
                <w:sz w:val="20"/>
                <w:szCs w:val="20"/>
              </w:rPr>
              <w:t>-</w:t>
            </w:r>
          </w:p>
        </w:tc>
        <w:tc>
          <w:tcPr>
            <w:tcW w:w="2527" w:type="dxa"/>
            <w:tcBorders>
              <w:right w:val="single" w:sz="4" w:space="0" w:color="auto"/>
            </w:tcBorders>
            <w:shd w:val="clear" w:color="auto" w:fill="auto"/>
            <w:vAlign w:val="bottom"/>
          </w:tcPr>
          <w:p w14:paraId="505CCCC9" w14:textId="77777777" w:rsidR="001A6E72" w:rsidRPr="00F13104" w:rsidRDefault="002831E1" w:rsidP="006416C9">
            <w:pPr>
              <w:tabs>
                <w:tab w:val="decimal" w:pos="1167"/>
              </w:tabs>
              <w:rPr>
                <w:color w:val="auto"/>
                <w:sz w:val="20"/>
                <w:szCs w:val="20"/>
              </w:rPr>
            </w:pPr>
            <w:r>
              <w:rPr>
                <w:color w:val="auto"/>
                <w:sz w:val="20"/>
                <w:szCs w:val="20"/>
              </w:rPr>
              <w:t>37.6</w:t>
            </w:r>
          </w:p>
        </w:tc>
      </w:tr>
      <w:tr w:rsidR="001A6E72" w:rsidRPr="00F13104" w14:paraId="743EC69B" w14:textId="77777777" w:rsidTr="00A06955">
        <w:trPr>
          <w:trHeight w:val="454"/>
        </w:trPr>
        <w:tc>
          <w:tcPr>
            <w:tcW w:w="7185" w:type="dxa"/>
            <w:tcBorders>
              <w:left w:val="single" w:sz="4" w:space="0" w:color="auto"/>
            </w:tcBorders>
            <w:shd w:val="clear" w:color="auto" w:fill="auto"/>
            <w:vAlign w:val="bottom"/>
          </w:tcPr>
          <w:p w14:paraId="294316E8" w14:textId="77777777" w:rsidR="001A6E72" w:rsidRPr="00F13104" w:rsidRDefault="001A6E72" w:rsidP="006416C9">
            <w:pPr>
              <w:jc w:val="left"/>
              <w:rPr>
                <w:color w:val="auto"/>
                <w:sz w:val="20"/>
                <w:szCs w:val="20"/>
              </w:rPr>
            </w:pPr>
            <w:r w:rsidRPr="00EA1031">
              <w:rPr>
                <w:color w:val="auto"/>
                <w:sz w:val="20"/>
                <w:szCs w:val="20"/>
              </w:rPr>
              <w:t>-Revaluation losses on Assets held for sale</w:t>
            </w:r>
          </w:p>
        </w:tc>
        <w:tc>
          <w:tcPr>
            <w:tcW w:w="1829" w:type="dxa"/>
            <w:shd w:val="clear" w:color="auto" w:fill="auto"/>
            <w:vAlign w:val="bottom"/>
          </w:tcPr>
          <w:p w14:paraId="0DD2917C" w14:textId="77777777" w:rsidR="001A6E72" w:rsidRPr="00F13104" w:rsidRDefault="001A6E72" w:rsidP="006416C9">
            <w:pPr>
              <w:tabs>
                <w:tab w:val="decimal" w:pos="895"/>
              </w:tabs>
              <w:rPr>
                <w:color w:val="auto"/>
                <w:sz w:val="20"/>
                <w:szCs w:val="20"/>
              </w:rPr>
            </w:pPr>
            <w:r>
              <w:rPr>
                <w:color w:val="auto"/>
                <w:sz w:val="20"/>
                <w:szCs w:val="20"/>
              </w:rPr>
              <w:t>(0.8)</w:t>
            </w:r>
          </w:p>
        </w:tc>
        <w:tc>
          <w:tcPr>
            <w:tcW w:w="1827" w:type="dxa"/>
            <w:shd w:val="clear" w:color="auto" w:fill="auto"/>
            <w:vAlign w:val="bottom"/>
          </w:tcPr>
          <w:p w14:paraId="6223F54C" w14:textId="77777777" w:rsidR="001A6E72" w:rsidRPr="00F13104" w:rsidRDefault="001A6E72" w:rsidP="006416C9">
            <w:pPr>
              <w:tabs>
                <w:tab w:val="decimal" w:pos="799"/>
              </w:tabs>
              <w:rPr>
                <w:color w:val="auto"/>
                <w:sz w:val="20"/>
                <w:szCs w:val="20"/>
              </w:rPr>
            </w:pPr>
            <w:r>
              <w:rPr>
                <w:color w:val="auto"/>
                <w:sz w:val="20"/>
                <w:szCs w:val="20"/>
              </w:rPr>
              <w:t>-</w:t>
            </w:r>
          </w:p>
        </w:tc>
        <w:tc>
          <w:tcPr>
            <w:tcW w:w="1967" w:type="dxa"/>
            <w:shd w:val="clear" w:color="auto" w:fill="auto"/>
            <w:vAlign w:val="bottom"/>
          </w:tcPr>
          <w:p w14:paraId="188647BE" w14:textId="77777777" w:rsidR="001A6E72" w:rsidRPr="00F13104" w:rsidRDefault="001A6E72" w:rsidP="006416C9">
            <w:pPr>
              <w:tabs>
                <w:tab w:val="decimal" w:pos="884"/>
              </w:tabs>
              <w:rPr>
                <w:color w:val="auto"/>
                <w:sz w:val="20"/>
                <w:szCs w:val="20"/>
              </w:rPr>
            </w:pPr>
            <w:r>
              <w:rPr>
                <w:color w:val="auto"/>
                <w:sz w:val="20"/>
                <w:szCs w:val="20"/>
              </w:rPr>
              <w:t>-</w:t>
            </w:r>
          </w:p>
        </w:tc>
        <w:tc>
          <w:tcPr>
            <w:tcW w:w="2527" w:type="dxa"/>
            <w:tcBorders>
              <w:right w:val="single" w:sz="4" w:space="0" w:color="auto"/>
            </w:tcBorders>
            <w:shd w:val="clear" w:color="auto" w:fill="auto"/>
            <w:vAlign w:val="bottom"/>
          </w:tcPr>
          <w:p w14:paraId="727B0369" w14:textId="77777777" w:rsidR="001A6E72" w:rsidRPr="00F13104" w:rsidRDefault="002831E1" w:rsidP="006416C9">
            <w:pPr>
              <w:tabs>
                <w:tab w:val="decimal" w:pos="1167"/>
              </w:tabs>
              <w:rPr>
                <w:color w:val="auto"/>
                <w:sz w:val="20"/>
                <w:szCs w:val="20"/>
              </w:rPr>
            </w:pPr>
            <w:r>
              <w:rPr>
                <w:color w:val="auto"/>
                <w:sz w:val="20"/>
                <w:szCs w:val="20"/>
              </w:rPr>
              <w:t>0.8</w:t>
            </w:r>
          </w:p>
        </w:tc>
      </w:tr>
      <w:tr w:rsidR="001A6E72" w:rsidRPr="00F13104" w14:paraId="05E173B3" w14:textId="77777777" w:rsidTr="00A06955">
        <w:trPr>
          <w:trHeight w:val="454"/>
        </w:trPr>
        <w:tc>
          <w:tcPr>
            <w:tcW w:w="7185" w:type="dxa"/>
            <w:tcBorders>
              <w:left w:val="single" w:sz="4" w:space="0" w:color="auto"/>
            </w:tcBorders>
            <w:shd w:val="clear" w:color="auto" w:fill="auto"/>
            <w:vAlign w:val="bottom"/>
          </w:tcPr>
          <w:p w14:paraId="1EE228D8" w14:textId="77777777" w:rsidR="001A6E72" w:rsidRPr="00F13104" w:rsidRDefault="001A6E72" w:rsidP="006416C9">
            <w:pPr>
              <w:jc w:val="left"/>
              <w:rPr>
                <w:color w:val="auto"/>
                <w:sz w:val="20"/>
                <w:szCs w:val="20"/>
              </w:rPr>
            </w:pPr>
            <w:r w:rsidRPr="00EA1031">
              <w:rPr>
                <w:color w:val="auto"/>
                <w:sz w:val="20"/>
                <w:szCs w:val="20"/>
              </w:rPr>
              <w:t>-Movements in the fair value of Investment Properties</w:t>
            </w:r>
          </w:p>
        </w:tc>
        <w:tc>
          <w:tcPr>
            <w:tcW w:w="1829" w:type="dxa"/>
            <w:shd w:val="clear" w:color="auto" w:fill="auto"/>
            <w:vAlign w:val="bottom"/>
          </w:tcPr>
          <w:p w14:paraId="65459AD7" w14:textId="77777777" w:rsidR="001A6E72" w:rsidRPr="00F13104" w:rsidRDefault="001A6E72" w:rsidP="006416C9">
            <w:pPr>
              <w:tabs>
                <w:tab w:val="decimal" w:pos="895"/>
              </w:tabs>
              <w:rPr>
                <w:color w:val="auto"/>
                <w:sz w:val="20"/>
                <w:szCs w:val="20"/>
              </w:rPr>
            </w:pPr>
            <w:r>
              <w:rPr>
                <w:color w:val="auto"/>
                <w:sz w:val="20"/>
                <w:szCs w:val="20"/>
              </w:rPr>
              <w:t>(1.5)</w:t>
            </w:r>
          </w:p>
        </w:tc>
        <w:tc>
          <w:tcPr>
            <w:tcW w:w="1827" w:type="dxa"/>
            <w:shd w:val="clear" w:color="auto" w:fill="auto"/>
            <w:vAlign w:val="bottom"/>
          </w:tcPr>
          <w:p w14:paraId="3A522909" w14:textId="77777777" w:rsidR="001A6E72" w:rsidRPr="00F13104" w:rsidRDefault="001A6E72" w:rsidP="006416C9">
            <w:pPr>
              <w:tabs>
                <w:tab w:val="decimal" w:pos="799"/>
              </w:tabs>
              <w:rPr>
                <w:color w:val="auto"/>
                <w:sz w:val="20"/>
                <w:szCs w:val="20"/>
              </w:rPr>
            </w:pPr>
            <w:r>
              <w:rPr>
                <w:color w:val="auto"/>
                <w:sz w:val="20"/>
                <w:szCs w:val="20"/>
              </w:rPr>
              <w:t>-</w:t>
            </w:r>
          </w:p>
        </w:tc>
        <w:tc>
          <w:tcPr>
            <w:tcW w:w="1967" w:type="dxa"/>
            <w:shd w:val="clear" w:color="auto" w:fill="auto"/>
            <w:vAlign w:val="bottom"/>
          </w:tcPr>
          <w:p w14:paraId="7CFD0C91" w14:textId="77777777" w:rsidR="001A6E72" w:rsidRPr="00F13104" w:rsidRDefault="001A6E72" w:rsidP="006416C9">
            <w:pPr>
              <w:tabs>
                <w:tab w:val="decimal" w:pos="884"/>
              </w:tabs>
              <w:rPr>
                <w:color w:val="auto"/>
                <w:sz w:val="20"/>
                <w:szCs w:val="20"/>
              </w:rPr>
            </w:pPr>
            <w:r>
              <w:rPr>
                <w:color w:val="auto"/>
                <w:sz w:val="20"/>
                <w:szCs w:val="20"/>
              </w:rPr>
              <w:t>-</w:t>
            </w:r>
          </w:p>
        </w:tc>
        <w:tc>
          <w:tcPr>
            <w:tcW w:w="2527" w:type="dxa"/>
            <w:tcBorders>
              <w:right w:val="single" w:sz="4" w:space="0" w:color="auto"/>
            </w:tcBorders>
            <w:shd w:val="clear" w:color="auto" w:fill="auto"/>
            <w:vAlign w:val="bottom"/>
          </w:tcPr>
          <w:p w14:paraId="12D80FC3" w14:textId="77777777" w:rsidR="001A6E72" w:rsidRPr="00F13104" w:rsidRDefault="002831E1" w:rsidP="006416C9">
            <w:pPr>
              <w:tabs>
                <w:tab w:val="decimal" w:pos="1167"/>
              </w:tabs>
              <w:rPr>
                <w:color w:val="auto"/>
                <w:sz w:val="20"/>
                <w:szCs w:val="20"/>
              </w:rPr>
            </w:pPr>
            <w:r>
              <w:rPr>
                <w:color w:val="auto"/>
                <w:sz w:val="20"/>
                <w:szCs w:val="20"/>
              </w:rPr>
              <w:t>1.5</w:t>
            </w:r>
          </w:p>
        </w:tc>
      </w:tr>
      <w:tr w:rsidR="000E7E71" w:rsidRPr="00F13104" w14:paraId="058320BC" w14:textId="77777777" w:rsidTr="00A06955">
        <w:trPr>
          <w:trHeight w:val="454"/>
        </w:trPr>
        <w:tc>
          <w:tcPr>
            <w:tcW w:w="7185" w:type="dxa"/>
            <w:tcBorders>
              <w:left w:val="single" w:sz="4" w:space="0" w:color="auto"/>
            </w:tcBorders>
            <w:shd w:val="clear" w:color="auto" w:fill="auto"/>
            <w:vAlign w:val="bottom"/>
          </w:tcPr>
          <w:p w14:paraId="6FBDE746" w14:textId="52F3A8B7" w:rsidR="000E7E71" w:rsidRPr="00EA1031" w:rsidRDefault="000E7E71" w:rsidP="006416C9">
            <w:pPr>
              <w:jc w:val="left"/>
              <w:rPr>
                <w:color w:val="auto"/>
                <w:sz w:val="20"/>
                <w:szCs w:val="20"/>
              </w:rPr>
            </w:pPr>
            <w:r>
              <w:rPr>
                <w:color w:val="auto"/>
                <w:sz w:val="20"/>
                <w:szCs w:val="20"/>
              </w:rPr>
              <w:t>- Amortisation of intangible assets</w:t>
            </w:r>
          </w:p>
        </w:tc>
        <w:tc>
          <w:tcPr>
            <w:tcW w:w="1829" w:type="dxa"/>
            <w:shd w:val="clear" w:color="auto" w:fill="auto"/>
            <w:vAlign w:val="bottom"/>
          </w:tcPr>
          <w:p w14:paraId="635E67BB" w14:textId="689C634C" w:rsidR="000E7E71" w:rsidRDefault="000E7E71" w:rsidP="006416C9">
            <w:pPr>
              <w:tabs>
                <w:tab w:val="decimal" w:pos="895"/>
              </w:tabs>
              <w:rPr>
                <w:color w:val="auto"/>
                <w:sz w:val="20"/>
                <w:szCs w:val="20"/>
              </w:rPr>
            </w:pPr>
            <w:r>
              <w:rPr>
                <w:color w:val="auto"/>
                <w:sz w:val="20"/>
                <w:szCs w:val="20"/>
              </w:rPr>
              <w:t>(2.8)</w:t>
            </w:r>
          </w:p>
        </w:tc>
        <w:tc>
          <w:tcPr>
            <w:tcW w:w="1827" w:type="dxa"/>
            <w:shd w:val="clear" w:color="auto" w:fill="auto"/>
            <w:vAlign w:val="bottom"/>
          </w:tcPr>
          <w:p w14:paraId="37BE6227" w14:textId="049266A5" w:rsidR="000E7E71" w:rsidRDefault="000E7E71" w:rsidP="006416C9">
            <w:pPr>
              <w:tabs>
                <w:tab w:val="decimal" w:pos="799"/>
              </w:tabs>
              <w:rPr>
                <w:color w:val="auto"/>
                <w:sz w:val="20"/>
                <w:szCs w:val="20"/>
              </w:rPr>
            </w:pPr>
            <w:r>
              <w:rPr>
                <w:color w:val="auto"/>
                <w:sz w:val="20"/>
                <w:szCs w:val="20"/>
              </w:rPr>
              <w:t>-</w:t>
            </w:r>
          </w:p>
        </w:tc>
        <w:tc>
          <w:tcPr>
            <w:tcW w:w="1967" w:type="dxa"/>
            <w:shd w:val="clear" w:color="auto" w:fill="auto"/>
            <w:vAlign w:val="bottom"/>
          </w:tcPr>
          <w:p w14:paraId="1DC83741" w14:textId="7F788BF9" w:rsidR="000E7E71" w:rsidRDefault="000E7E71" w:rsidP="006416C9">
            <w:pPr>
              <w:tabs>
                <w:tab w:val="decimal" w:pos="884"/>
              </w:tabs>
              <w:rPr>
                <w:color w:val="auto"/>
                <w:sz w:val="20"/>
                <w:szCs w:val="20"/>
              </w:rPr>
            </w:pPr>
            <w:r>
              <w:rPr>
                <w:color w:val="auto"/>
                <w:sz w:val="20"/>
                <w:szCs w:val="20"/>
              </w:rPr>
              <w:t>-</w:t>
            </w:r>
          </w:p>
        </w:tc>
        <w:tc>
          <w:tcPr>
            <w:tcW w:w="2527" w:type="dxa"/>
            <w:tcBorders>
              <w:right w:val="single" w:sz="4" w:space="0" w:color="auto"/>
            </w:tcBorders>
            <w:shd w:val="clear" w:color="auto" w:fill="auto"/>
            <w:vAlign w:val="bottom"/>
          </w:tcPr>
          <w:p w14:paraId="24FC7E39" w14:textId="529A4D40" w:rsidR="000E7E71" w:rsidRDefault="000E7E71" w:rsidP="006416C9">
            <w:pPr>
              <w:tabs>
                <w:tab w:val="decimal" w:pos="1167"/>
              </w:tabs>
              <w:rPr>
                <w:color w:val="auto"/>
                <w:sz w:val="20"/>
                <w:szCs w:val="20"/>
              </w:rPr>
            </w:pPr>
            <w:r>
              <w:rPr>
                <w:color w:val="auto"/>
                <w:sz w:val="20"/>
                <w:szCs w:val="20"/>
              </w:rPr>
              <w:t>2.8</w:t>
            </w:r>
          </w:p>
        </w:tc>
      </w:tr>
      <w:tr w:rsidR="001A6E72" w:rsidRPr="00F13104" w14:paraId="3368512B" w14:textId="77777777" w:rsidTr="00A06955">
        <w:trPr>
          <w:trHeight w:val="454"/>
        </w:trPr>
        <w:tc>
          <w:tcPr>
            <w:tcW w:w="7185" w:type="dxa"/>
            <w:tcBorders>
              <w:left w:val="single" w:sz="4" w:space="0" w:color="auto"/>
            </w:tcBorders>
            <w:shd w:val="clear" w:color="auto" w:fill="auto"/>
            <w:vAlign w:val="bottom"/>
          </w:tcPr>
          <w:p w14:paraId="352054EC" w14:textId="77777777" w:rsidR="001A6E72" w:rsidRPr="00F13104" w:rsidRDefault="001A6E72" w:rsidP="006416C9">
            <w:pPr>
              <w:jc w:val="left"/>
              <w:rPr>
                <w:color w:val="auto"/>
                <w:sz w:val="20"/>
                <w:szCs w:val="20"/>
              </w:rPr>
            </w:pPr>
            <w:r w:rsidRPr="00EA1031">
              <w:rPr>
                <w:color w:val="auto"/>
                <w:sz w:val="20"/>
                <w:szCs w:val="20"/>
              </w:rPr>
              <w:t>-Revenue expenditure funded from capital under statute</w:t>
            </w:r>
          </w:p>
        </w:tc>
        <w:tc>
          <w:tcPr>
            <w:tcW w:w="1829" w:type="dxa"/>
            <w:shd w:val="clear" w:color="auto" w:fill="auto"/>
            <w:vAlign w:val="bottom"/>
          </w:tcPr>
          <w:p w14:paraId="3466B2BC" w14:textId="77777777" w:rsidR="001A6E72" w:rsidRPr="00F13104" w:rsidRDefault="001A6E72" w:rsidP="006416C9">
            <w:pPr>
              <w:tabs>
                <w:tab w:val="decimal" w:pos="895"/>
              </w:tabs>
              <w:rPr>
                <w:color w:val="auto"/>
                <w:sz w:val="20"/>
                <w:szCs w:val="20"/>
              </w:rPr>
            </w:pPr>
            <w:r>
              <w:rPr>
                <w:color w:val="auto"/>
                <w:sz w:val="20"/>
                <w:szCs w:val="20"/>
              </w:rPr>
              <w:t>(8.7)</w:t>
            </w:r>
          </w:p>
        </w:tc>
        <w:tc>
          <w:tcPr>
            <w:tcW w:w="1827" w:type="dxa"/>
            <w:shd w:val="clear" w:color="auto" w:fill="auto"/>
            <w:vAlign w:val="bottom"/>
          </w:tcPr>
          <w:p w14:paraId="62E39755" w14:textId="77777777" w:rsidR="001A6E72" w:rsidRPr="00F13104" w:rsidRDefault="001A6E72" w:rsidP="006416C9">
            <w:pPr>
              <w:tabs>
                <w:tab w:val="decimal" w:pos="799"/>
              </w:tabs>
              <w:rPr>
                <w:color w:val="auto"/>
                <w:sz w:val="20"/>
                <w:szCs w:val="20"/>
              </w:rPr>
            </w:pPr>
            <w:r>
              <w:rPr>
                <w:color w:val="auto"/>
                <w:sz w:val="20"/>
                <w:szCs w:val="20"/>
              </w:rPr>
              <w:t>-</w:t>
            </w:r>
          </w:p>
        </w:tc>
        <w:tc>
          <w:tcPr>
            <w:tcW w:w="1967" w:type="dxa"/>
            <w:shd w:val="clear" w:color="auto" w:fill="auto"/>
            <w:vAlign w:val="bottom"/>
          </w:tcPr>
          <w:p w14:paraId="50318B31" w14:textId="77777777" w:rsidR="001A6E72" w:rsidRPr="00F13104" w:rsidRDefault="001A6E72" w:rsidP="006416C9">
            <w:pPr>
              <w:tabs>
                <w:tab w:val="decimal" w:pos="884"/>
              </w:tabs>
              <w:rPr>
                <w:color w:val="auto"/>
                <w:sz w:val="20"/>
                <w:szCs w:val="20"/>
              </w:rPr>
            </w:pPr>
            <w:r>
              <w:rPr>
                <w:color w:val="auto"/>
                <w:sz w:val="20"/>
                <w:szCs w:val="20"/>
              </w:rPr>
              <w:t>-</w:t>
            </w:r>
          </w:p>
        </w:tc>
        <w:tc>
          <w:tcPr>
            <w:tcW w:w="2527" w:type="dxa"/>
            <w:tcBorders>
              <w:right w:val="single" w:sz="4" w:space="0" w:color="auto"/>
            </w:tcBorders>
            <w:shd w:val="clear" w:color="auto" w:fill="auto"/>
            <w:vAlign w:val="bottom"/>
          </w:tcPr>
          <w:p w14:paraId="17B5C58C" w14:textId="77777777" w:rsidR="001A6E72" w:rsidRPr="00F13104" w:rsidRDefault="002831E1" w:rsidP="006416C9">
            <w:pPr>
              <w:tabs>
                <w:tab w:val="decimal" w:pos="1167"/>
              </w:tabs>
              <w:rPr>
                <w:color w:val="auto"/>
                <w:sz w:val="20"/>
                <w:szCs w:val="20"/>
              </w:rPr>
            </w:pPr>
            <w:r>
              <w:rPr>
                <w:color w:val="auto"/>
                <w:sz w:val="20"/>
                <w:szCs w:val="20"/>
              </w:rPr>
              <w:t>8.7</w:t>
            </w:r>
          </w:p>
        </w:tc>
      </w:tr>
      <w:tr w:rsidR="001A6E72" w:rsidRPr="00F13104" w14:paraId="416FBC68" w14:textId="77777777" w:rsidTr="00A06955">
        <w:trPr>
          <w:trHeight w:val="454"/>
        </w:trPr>
        <w:tc>
          <w:tcPr>
            <w:tcW w:w="7185" w:type="dxa"/>
            <w:tcBorders>
              <w:left w:val="single" w:sz="4" w:space="0" w:color="auto"/>
            </w:tcBorders>
            <w:shd w:val="clear" w:color="auto" w:fill="auto"/>
            <w:vAlign w:val="bottom"/>
          </w:tcPr>
          <w:p w14:paraId="43FEB922" w14:textId="6CE1187D" w:rsidR="001A6E72" w:rsidRPr="00F13104" w:rsidRDefault="001A6E72">
            <w:pPr>
              <w:jc w:val="left"/>
              <w:rPr>
                <w:color w:val="auto"/>
                <w:sz w:val="20"/>
                <w:szCs w:val="20"/>
              </w:rPr>
            </w:pPr>
            <w:r w:rsidRPr="00EA1031">
              <w:rPr>
                <w:color w:val="auto"/>
                <w:sz w:val="20"/>
                <w:szCs w:val="20"/>
              </w:rPr>
              <w:t>-Amounts of non</w:t>
            </w:r>
            <w:r w:rsidR="00DF6CCD">
              <w:rPr>
                <w:color w:val="auto"/>
                <w:sz w:val="20"/>
                <w:szCs w:val="20"/>
              </w:rPr>
              <w:t>-</w:t>
            </w:r>
            <w:r w:rsidRPr="00EA1031">
              <w:rPr>
                <w:color w:val="auto"/>
                <w:sz w:val="20"/>
                <w:szCs w:val="20"/>
              </w:rPr>
              <w:t>current assets written off on disposal or sale as part of the gain/loss on disposal to the CIES</w:t>
            </w:r>
          </w:p>
        </w:tc>
        <w:tc>
          <w:tcPr>
            <w:tcW w:w="1829" w:type="dxa"/>
            <w:shd w:val="clear" w:color="auto" w:fill="auto"/>
            <w:vAlign w:val="bottom"/>
          </w:tcPr>
          <w:p w14:paraId="1E113761" w14:textId="77777777" w:rsidR="001A6E72" w:rsidRPr="00F13104" w:rsidRDefault="001A6E72" w:rsidP="006416C9">
            <w:pPr>
              <w:tabs>
                <w:tab w:val="decimal" w:pos="895"/>
              </w:tabs>
              <w:rPr>
                <w:color w:val="auto"/>
                <w:sz w:val="20"/>
                <w:szCs w:val="20"/>
              </w:rPr>
            </w:pPr>
            <w:r>
              <w:rPr>
                <w:color w:val="auto"/>
                <w:sz w:val="20"/>
                <w:szCs w:val="20"/>
              </w:rPr>
              <w:t>(36.0)</w:t>
            </w:r>
          </w:p>
        </w:tc>
        <w:tc>
          <w:tcPr>
            <w:tcW w:w="1827" w:type="dxa"/>
            <w:shd w:val="clear" w:color="auto" w:fill="auto"/>
            <w:vAlign w:val="bottom"/>
          </w:tcPr>
          <w:p w14:paraId="1586388B" w14:textId="77777777" w:rsidR="001A6E72" w:rsidRPr="00F13104" w:rsidRDefault="001A6E72" w:rsidP="006416C9">
            <w:pPr>
              <w:tabs>
                <w:tab w:val="decimal" w:pos="799"/>
              </w:tabs>
              <w:rPr>
                <w:color w:val="auto"/>
                <w:sz w:val="20"/>
                <w:szCs w:val="20"/>
              </w:rPr>
            </w:pPr>
            <w:r>
              <w:rPr>
                <w:color w:val="auto"/>
                <w:sz w:val="20"/>
                <w:szCs w:val="20"/>
              </w:rPr>
              <w:t>-</w:t>
            </w:r>
          </w:p>
        </w:tc>
        <w:tc>
          <w:tcPr>
            <w:tcW w:w="1967" w:type="dxa"/>
            <w:shd w:val="clear" w:color="auto" w:fill="auto"/>
            <w:vAlign w:val="bottom"/>
          </w:tcPr>
          <w:p w14:paraId="5933D7BA" w14:textId="77777777" w:rsidR="001A6E72" w:rsidRPr="00F13104" w:rsidRDefault="001A6E72" w:rsidP="006416C9">
            <w:pPr>
              <w:tabs>
                <w:tab w:val="decimal" w:pos="884"/>
              </w:tabs>
              <w:rPr>
                <w:color w:val="auto"/>
                <w:sz w:val="20"/>
                <w:szCs w:val="20"/>
              </w:rPr>
            </w:pPr>
            <w:r>
              <w:rPr>
                <w:color w:val="auto"/>
                <w:sz w:val="20"/>
                <w:szCs w:val="20"/>
              </w:rPr>
              <w:t>-</w:t>
            </w:r>
          </w:p>
        </w:tc>
        <w:tc>
          <w:tcPr>
            <w:tcW w:w="2527" w:type="dxa"/>
            <w:tcBorders>
              <w:right w:val="single" w:sz="4" w:space="0" w:color="auto"/>
            </w:tcBorders>
            <w:shd w:val="clear" w:color="auto" w:fill="auto"/>
            <w:vAlign w:val="bottom"/>
          </w:tcPr>
          <w:p w14:paraId="34E7F35B" w14:textId="77777777" w:rsidR="001A6E72" w:rsidRPr="00F13104" w:rsidRDefault="002831E1" w:rsidP="006416C9">
            <w:pPr>
              <w:tabs>
                <w:tab w:val="decimal" w:pos="1167"/>
              </w:tabs>
              <w:rPr>
                <w:color w:val="auto"/>
                <w:sz w:val="20"/>
                <w:szCs w:val="20"/>
              </w:rPr>
            </w:pPr>
            <w:r>
              <w:rPr>
                <w:color w:val="auto"/>
                <w:sz w:val="20"/>
                <w:szCs w:val="20"/>
              </w:rPr>
              <w:t>36.0</w:t>
            </w:r>
          </w:p>
        </w:tc>
      </w:tr>
      <w:tr w:rsidR="001A6E72" w:rsidRPr="00F13104" w14:paraId="5C974A89" w14:textId="77777777" w:rsidTr="00A06955">
        <w:trPr>
          <w:trHeight w:val="454"/>
        </w:trPr>
        <w:tc>
          <w:tcPr>
            <w:tcW w:w="7185" w:type="dxa"/>
            <w:tcBorders>
              <w:left w:val="single" w:sz="4" w:space="0" w:color="auto"/>
            </w:tcBorders>
            <w:shd w:val="clear" w:color="auto" w:fill="auto"/>
            <w:vAlign w:val="bottom"/>
          </w:tcPr>
          <w:p w14:paraId="769BAD28" w14:textId="77777777" w:rsidR="001A6E72" w:rsidRPr="00F13104" w:rsidRDefault="001A6E72" w:rsidP="006416C9">
            <w:pPr>
              <w:jc w:val="left"/>
              <w:rPr>
                <w:color w:val="auto"/>
                <w:sz w:val="20"/>
                <w:szCs w:val="20"/>
              </w:rPr>
            </w:pPr>
            <w:r w:rsidRPr="00EA1031">
              <w:rPr>
                <w:color w:val="auto"/>
                <w:sz w:val="20"/>
                <w:szCs w:val="20"/>
              </w:rPr>
              <w:t>-Revenue Contribution to Finance Capital Expenditure</w:t>
            </w:r>
          </w:p>
        </w:tc>
        <w:tc>
          <w:tcPr>
            <w:tcW w:w="1829" w:type="dxa"/>
            <w:shd w:val="clear" w:color="auto" w:fill="auto"/>
            <w:vAlign w:val="bottom"/>
          </w:tcPr>
          <w:p w14:paraId="4D4ECD65" w14:textId="77777777" w:rsidR="001A6E72" w:rsidRPr="00F13104" w:rsidRDefault="001A6E72" w:rsidP="006416C9">
            <w:pPr>
              <w:tabs>
                <w:tab w:val="decimal" w:pos="895"/>
              </w:tabs>
              <w:rPr>
                <w:color w:val="auto"/>
                <w:sz w:val="20"/>
                <w:szCs w:val="20"/>
              </w:rPr>
            </w:pPr>
            <w:r>
              <w:rPr>
                <w:color w:val="auto"/>
                <w:sz w:val="20"/>
                <w:szCs w:val="20"/>
              </w:rPr>
              <w:t>16.4</w:t>
            </w:r>
          </w:p>
        </w:tc>
        <w:tc>
          <w:tcPr>
            <w:tcW w:w="1827" w:type="dxa"/>
            <w:shd w:val="clear" w:color="auto" w:fill="auto"/>
            <w:vAlign w:val="bottom"/>
          </w:tcPr>
          <w:p w14:paraId="632A6AE4" w14:textId="77777777" w:rsidR="001A6E72" w:rsidRPr="00F13104" w:rsidRDefault="001A6E72" w:rsidP="006416C9">
            <w:pPr>
              <w:tabs>
                <w:tab w:val="decimal" w:pos="799"/>
              </w:tabs>
              <w:rPr>
                <w:color w:val="auto"/>
                <w:sz w:val="20"/>
                <w:szCs w:val="20"/>
              </w:rPr>
            </w:pPr>
            <w:r>
              <w:rPr>
                <w:color w:val="auto"/>
                <w:sz w:val="20"/>
                <w:szCs w:val="20"/>
              </w:rPr>
              <w:t>-</w:t>
            </w:r>
          </w:p>
        </w:tc>
        <w:tc>
          <w:tcPr>
            <w:tcW w:w="1967" w:type="dxa"/>
            <w:shd w:val="clear" w:color="auto" w:fill="auto"/>
            <w:vAlign w:val="bottom"/>
          </w:tcPr>
          <w:p w14:paraId="6D538671" w14:textId="77777777" w:rsidR="001A6E72" w:rsidRPr="00F13104" w:rsidRDefault="001A6E72" w:rsidP="006416C9">
            <w:pPr>
              <w:tabs>
                <w:tab w:val="decimal" w:pos="884"/>
              </w:tabs>
              <w:rPr>
                <w:color w:val="auto"/>
                <w:sz w:val="20"/>
                <w:szCs w:val="20"/>
              </w:rPr>
            </w:pPr>
            <w:r>
              <w:rPr>
                <w:color w:val="auto"/>
                <w:sz w:val="20"/>
                <w:szCs w:val="20"/>
              </w:rPr>
              <w:t>-</w:t>
            </w:r>
          </w:p>
        </w:tc>
        <w:tc>
          <w:tcPr>
            <w:tcW w:w="2527" w:type="dxa"/>
            <w:tcBorders>
              <w:right w:val="single" w:sz="4" w:space="0" w:color="auto"/>
            </w:tcBorders>
            <w:shd w:val="clear" w:color="auto" w:fill="auto"/>
            <w:vAlign w:val="bottom"/>
          </w:tcPr>
          <w:p w14:paraId="3859802F" w14:textId="77777777" w:rsidR="001A6E72" w:rsidRPr="00F13104" w:rsidRDefault="002831E1" w:rsidP="002831E1">
            <w:pPr>
              <w:tabs>
                <w:tab w:val="decimal" w:pos="1167"/>
              </w:tabs>
              <w:rPr>
                <w:color w:val="auto"/>
                <w:sz w:val="20"/>
                <w:szCs w:val="20"/>
              </w:rPr>
            </w:pPr>
            <w:r>
              <w:rPr>
                <w:color w:val="auto"/>
                <w:sz w:val="20"/>
                <w:szCs w:val="20"/>
              </w:rPr>
              <w:t>(16.4)</w:t>
            </w:r>
          </w:p>
        </w:tc>
      </w:tr>
      <w:tr w:rsidR="001A6E72" w:rsidRPr="00F13104" w14:paraId="61A3CCBA" w14:textId="77777777" w:rsidTr="00A06955">
        <w:trPr>
          <w:trHeight w:val="454"/>
        </w:trPr>
        <w:tc>
          <w:tcPr>
            <w:tcW w:w="7185" w:type="dxa"/>
            <w:tcBorders>
              <w:left w:val="single" w:sz="4" w:space="0" w:color="auto"/>
            </w:tcBorders>
            <w:shd w:val="clear" w:color="auto" w:fill="E7E6E6"/>
            <w:vAlign w:val="bottom"/>
          </w:tcPr>
          <w:p w14:paraId="33136434" w14:textId="77777777" w:rsidR="001A6E72" w:rsidRPr="009C05C8" w:rsidRDefault="001A6E72" w:rsidP="006416C9">
            <w:pPr>
              <w:jc w:val="left"/>
              <w:rPr>
                <w:b/>
                <w:color w:val="auto"/>
                <w:sz w:val="20"/>
                <w:szCs w:val="20"/>
              </w:rPr>
            </w:pPr>
            <w:r w:rsidRPr="009C05C8">
              <w:rPr>
                <w:b/>
                <w:color w:val="auto"/>
                <w:sz w:val="20"/>
                <w:szCs w:val="20"/>
              </w:rPr>
              <w:t>Inclusion of items not debited or credited to the Comprehensive Income and Expenditure Statement:</w:t>
            </w:r>
          </w:p>
        </w:tc>
        <w:tc>
          <w:tcPr>
            <w:tcW w:w="1829" w:type="dxa"/>
            <w:shd w:val="clear" w:color="auto" w:fill="E7E6E6"/>
            <w:vAlign w:val="bottom"/>
          </w:tcPr>
          <w:p w14:paraId="09F7F117" w14:textId="77777777" w:rsidR="001A6E72" w:rsidRPr="00F13104" w:rsidRDefault="001A6E72" w:rsidP="006416C9">
            <w:pPr>
              <w:tabs>
                <w:tab w:val="decimal" w:pos="895"/>
              </w:tabs>
              <w:rPr>
                <w:color w:val="auto"/>
                <w:sz w:val="20"/>
                <w:szCs w:val="20"/>
              </w:rPr>
            </w:pPr>
          </w:p>
        </w:tc>
        <w:tc>
          <w:tcPr>
            <w:tcW w:w="1827" w:type="dxa"/>
            <w:shd w:val="clear" w:color="auto" w:fill="E7E6E6"/>
            <w:vAlign w:val="bottom"/>
          </w:tcPr>
          <w:p w14:paraId="07E8BCCD" w14:textId="77777777" w:rsidR="001A6E72" w:rsidRPr="00F13104" w:rsidRDefault="001A6E72" w:rsidP="006416C9">
            <w:pPr>
              <w:tabs>
                <w:tab w:val="decimal" w:pos="799"/>
              </w:tabs>
              <w:rPr>
                <w:color w:val="auto"/>
                <w:sz w:val="20"/>
                <w:szCs w:val="20"/>
              </w:rPr>
            </w:pPr>
          </w:p>
        </w:tc>
        <w:tc>
          <w:tcPr>
            <w:tcW w:w="1967" w:type="dxa"/>
            <w:shd w:val="clear" w:color="auto" w:fill="E7E6E6"/>
            <w:vAlign w:val="bottom"/>
          </w:tcPr>
          <w:p w14:paraId="069FB5DB" w14:textId="77777777" w:rsidR="001A6E72" w:rsidRPr="00F13104" w:rsidRDefault="001A6E72" w:rsidP="006416C9">
            <w:pPr>
              <w:tabs>
                <w:tab w:val="decimal" w:pos="884"/>
              </w:tabs>
              <w:rPr>
                <w:color w:val="auto"/>
                <w:sz w:val="20"/>
                <w:szCs w:val="20"/>
              </w:rPr>
            </w:pPr>
          </w:p>
        </w:tc>
        <w:tc>
          <w:tcPr>
            <w:tcW w:w="2527" w:type="dxa"/>
            <w:tcBorders>
              <w:right w:val="single" w:sz="4" w:space="0" w:color="auto"/>
            </w:tcBorders>
            <w:shd w:val="clear" w:color="auto" w:fill="E7E6E6"/>
            <w:vAlign w:val="bottom"/>
          </w:tcPr>
          <w:p w14:paraId="38103A92" w14:textId="77777777" w:rsidR="001A6E72" w:rsidRPr="00F13104" w:rsidRDefault="001A6E72" w:rsidP="006416C9">
            <w:pPr>
              <w:tabs>
                <w:tab w:val="decimal" w:pos="1167"/>
              </w:tabs>
              <w:rPr>
                <w:color w:val="auto"/>
                <w:sz w:val="20"/>
                <w:szCs w:val="20"/>
              </w:rPr>
            </w:pPr>
          </w:p>
        </w:tc>
      </w:tr>
      <w:tr w:rsidR="001A6E72" w:rsidRPr="00F13104" w14:paraId="120459EA" w14:textId="77777777" w:rsidTr="00A06955">
        <w:trPr>
          <w:trHeight w:val="454"/>
        </w:trPr>
        <w:tc>
          <w:tcPr>
            <w:tcW w:w="7185" w:type="dxa"/>
            <w:tcBorders>
              <w:left w:val="single" w:sz="4" w:space="0" w:color="auto"/>
            </w:tcBorders>
            <w:shd w:val="clear" w:color="auto" w:fill="auto"/>
            <w:vAlign w:val="bottom"/>
          </w:tcPr>
          <w:p w14:paraId="63F1E5AB" w14:textId="77777777" w:rsidR="001A6E72" w:rsidRPr="00F13104" w:rsidRDefault="001A6E72" w:rsidP="006416C9">
            <w:pPr>
              <w:jc w:val="left"/>
              <w:rPr>
                <w:color w:val="auto"/>
                <w:sz w:val="20"/>
                <w:szCs w:val="20"/>
              </w:rPr>
            </w:pPr>
            <w:r w:rsidRPr="009C05C8">
              <w:rPr>
                <w:color w:val="auto"/>
                <w:sz w:val="20"/>
                <w:szCs w:val="20"/>
              </w:rPr>
              <w:t>-Statutory provision for the financing of capital investment (MRP)</w:t>
            </w:r>
          </w:p>
        </w:tc>
        <w:tc>
          <w:tcPr>
            <w:tcW w:w="1829" w:type="dxa"/>
            <w:shd w:val="clear" w:color="auto" w:fill="auto"/>
            <w:vAlign w:val="bottom"/>
          </w:tcPr>
          <w:p w14:paraId="5204B2C0" w14:textId="77777777" w:rsidR="001A6E72" w:rsidRPr="00F13104" w:rsidRDefault="002831E1" w:rsidP="006416C9">
            <w:pPr>
              <w:tabs>
                <w:tab w:val="decimal" w:pos="895"/>
              </w:tabs>
              <w:rPr>
                <w:color w:val="auto"/>
                <w:sz w:val="20"/>
                <w:szCs w:val="20"/>
              </w:rPr>
            </w:pPr>
            <w:r>
              <w:rPr>
                <w:color w:val="auto"/>
                <w:sz w:val="20"/>
                <w:szCs w:val="20"/>
              </w:rPr>
              <w:t>27.6</w:t>
            </w:r>
          </w:p>
        </w:tc>
        <w:tc>
          <w:tcPr>
            <w:tcW w:w="1827" w:type="dxa"/>
            <w:shd w:val="clear" w:color="auto" w:fill="auto"/>
            <w:vAlign w:val="bottom"/>
          </w:tcPr>
          <w:p w14:paraId="194A6398" w14:textId="77777777" w:rsidR="001A6E72" w:rsidRPr="00F13104" w:rsidRDefault="001A6E72" w:rsidP="006416C9">
            <w:pPr>
              <w:tabs>
                <w:tab w:val="decimal" w:pos="799"/>
              </w:tabs>
              <w:rPr>
                <w:color w:val="auto"/>
                <w:sz w:val="20"/>
                <w:szCs w:val="20"/>
              </w:rPr>
            </w:pPr>
            <w:r>
              <w:rPr>
                <w:color w:val="auto"/>
                <w:sz w:val="20"/>
                <w:szCs w:val="20"/>
              </w:rPr>
              <w:t>-</w:t>
            </w:r>
          </w:p>
        </w:tc>
        <w:tc>
          <w:tcPr>
            <w:tcW w:w="1967" w:type="dxa"/>
            <w:shd w:val="clear" w:color="auto" w:fill="auto"/>
            <w:vAlign w:val="bottom"/>
          </w:tcPr>
          <w:p w14:paraId="55DB6AA6" w14:textId="77777777" w:rsidR="001A6E72" w:rsidRPr="00F13104" w:rsidRDefault="001A6E72" w:rsidP="006416C9">
            <w:pPr>
              <w:tabs>
                <w:tab w:val="decimal" w:pos="884"/>
              </w:tabs>
              <w:rPr>
                <w:color w:val="auto"/>
                <w:sz w:val="20"/>
                <w:szCs w:val="20"/>
              </w:rPr>
            </w:pPr>
            <w:r>
              <w:rPr>
                <w:color w:val="auto"/>
                <w:sz w:val="20"/>
                <w:szCs w:val="20"/>
              </w:rPr>
              <w:t>-</w:t>
            </w:r>
          </w:p>
        </w:tc>
        <w:tc>
          <w:tcPr>
            <w:tcW w:w="2527" w:type="dxa"/>
            <w:tcBorders>
              <w:right w:val="single" w:sz="4" w:space="0" w:color="auto"/>
            </w:tcBorders>
            <w:shd w:val="clear" w:color="auto" w:fill="auto"/>
            <w:vAlign w:val="bottom"/>
          </w:tcPr>
          <w:p w14:paraId="5D97577E" w14:textId="77777777" w:rsidR="001A6E72" w:rsidRPr="00F13104" w:rsidRDefault="002831E1" w:rsidP="006416C9">
            <w:pPr>
              <w:tabs>
                <w:tab w:val="decimal" w:pos="1167"/>
              </w:tabs>
              <w:rPr>
                <w:color w:val="auto"/>
                <w:sz w:val="20"/>
                <w:szCs w:val="20"/>
              </w:rPr>
            </w:pPr>
            <w:r>
              <w:rPr>
                <w:color w:val="auto"/>
                <w:sz w:val="20"/>
                <w:szCs w:val="20"/>
              </w:rPr>
              <w:t>(27.6)</w:t>
            </w:r>
          </w:p>
        </w:tc>
      </w:tr>
      <w:tr w:rsidR="001A6E72" w:rsidRPr="00F13104" w14:paraId="37C11460" w14:textId="77777777" w:rsidTr="00A06955">
        <w:trPr>
          <w:trHeight w:val="454"/>
        </w:trPr>
        <w:tc>
          <w:tcPr>
            <w:tcW w:w="7185" w:type="dxa"/>
            <w:tcBorders>
              <w:left w:val="single" w:sz="4" w:space="0" w:color="auto"/>
            </w:tcBorders>
            <w:shd w:val="clear" w:color="auto" w:fill="auto"/>
            <w:vAlign w:val="bottom"/>
          </w:tcPr>
          <w:p w14:paraId="4BFA1104" w14:textId="77777777" w:rsidR="001A6E72" w:rsidRPr="00F13104" w:rsidRDefault="001A6E72" w:rsidP="006416C9">
            <w:pPr>
              <w:jc w:val="left"/>
              <w:rPr>
                <w:color w:val="auto"/>
                <w:sz w:val="20"/>
                <w:szCs w:val="20"/>
              </w:rPr>
            </w:pPr>
            <w:r w:rsidRPr="009C05C8">
              <w:rPr>
                <w:color w:val="auto"/>
                <w:sz w:val="20"/>
                <w:szCs w:val="20"/>
              </w:rPr>
              <w:t>-Statutory provision for the financing of capital investment (MRP PFI)</w:t>
            </w:r>
          </w:p>
        </w:tc>
        <w:tc>
          <w:tcPr>
            <w:tcW w:w="1829" w:type="dxa"/>
            <w:shd w:val="clear" w:color="auto" w:fill="auto"/>
            <w:vAlign w:val="bottom"/>
          </w:tcPr>
          <w:p w14:paraId="536BAA55" w14:textId="77777777" w:rsidR="001A6E72" w:rsidRPr="00F13104" w:rsidRDefault="002831E1" w:rsidP="006416C9">
            <w:pPr>
              <w:tabs>
                <w:tab w:val="decimal" w:pos="895"/>
              </w:tabs>
              <w:rPr>
                <w:color w:val="auto"/>
                <w:sz w:val="20"/>
                <w:szCs w:val="20"/>
              </w:rPr>
            </w:pPr>
            <w:r>
              <w:rPr>
                <w:color w:val="auto"/>
                <w:sz w:val="20"/>
                <w:szCs w:val="20"/>
              </w:rPr>
              <w:t>7.6</w:t>
            </w:r>
          </w:p>
        </w:tc>
        <w:tc>
          <w:tcPr>
            <w:tcW w:w="1827" w:type="dxa"/>
            <w:shd w:val="clear" w:color="auto" w:fill="auto"/>
            <w:vAlign w:val="bottom"/>
          </w:tcPr>
          <w:p w14:paraId="64725D96" w14:textId="77777777" w:rsidR="001A6E72" w:rsidRPr="00F13104" w:rsidRDefault="001A6E72" w:rsidP="006416C9">
            <w:pPr>
              <w:tabs>
                <w:tab w:val="decimal" w:pos="799"/>
              </w:tabs>
              <w:rPr>
                <w:color w:val="auto"/>
                <w:sz w:val="20"/>
                <w:szCs w:val="20"/>
              </w:rPr>
            </w:pPr>
            <w:r>
              <w:rPr>
                <w:color w:val="auto"/>
                <w:sz w:val="20"/>
                <w:szCs w:val="20"/>
              </w:rPr>
              <w:t>-</w:t>
            </w:r>
          </w:p>
        </w:tc>
        <w:tc>
          <w:tcPr>
            <w:tcW w:w="1967" w:type="dxa"/>
            <w:shd w:val="clear" w:color="auto" w:fill="auto"/>
            <w:vAlign w:val="bottom"/>
          </w:tcPr>
          <w:p w14:paraId="127D341D" w14:textId="77777777" w:rsidR="001A6E72" w:rsidRPr="00F13104" w:rsidRDefault="001A6E72" w:rsidP="006416C9">
            <w:pPr>
              <w:tabs>
                <w:tab w:val="decimal" w:pos="884"/>
              </w:tabs>
              <w:rPr>
                <w:color w:val="auto"/>
                <w:sz w:val="20"/>
                <w:szCs w:val="20"/>
              </w:rPr>
            </w:pPr>
            <w:r w:rsidRPr="00F13104">
              <w:rPr>
                <w:color w:val="auto"/>
                <w:sz w:val="20"/>
                <w:szCs w:val="20"/>
              </w:rPr>
              <w:t>-</w:t>
            </w:r>
          </w:p>
        </w:tc>
        <w:tc>
          <w:tcPr>
            <w:tcW w:w="2527" w:type="dxa"/>
            <w:tcBorders>
              <w:right w:val="single" w:sz="4" w:space="0" w:color="auto"/>
            </w:tcBorders>
            <w:shd w:val="clear" w:color="auto" w:fill="auto"/>
            <w:vAlign w:val="bottom"/>
          </w:tcPr>
          <w:p w14:paraId="6844F03C" w14:textId="77777777" w:rsidR="001A6E72" w:rsidRPr="00F13104" w:rsidRDefault="002831E1" w:rsidP="006416C9">
            <w:pPr>
              <w:tabs>
                <w:tab w:val="decimal" w:pos="1167"/>
              </w:tabs>
              <w:rPr>
                <w:color w:val="auto"/>
                <w:sz w:val="20"/>
                <w:szCs w:val="20"/>
              </w:rPr>
            </w:pPr>
            <w:r>
              <w:rPr>
                <w:color w:val="auto"/>
                <w:sz w:val="20"/>
                <w:szCs w:val="20"/>
              </w:rPr>
              <w:t>(7.6)</w:t>
            </w:r>
          </w:p>
        </w:tc>
      </w:tr>
      <w:tr w:rsidR="001A6E72" w:rsidRPr="00F13104" w14:paraId="0B57D16D" w14:textId="77777777" w:rsidTr="00A06955">
        <w:trPr>
          <w:trHeight w:val="454"/>
        </w:trPr>
        <w:tc>
          <w:tcPr>
            <w:tcW w:w="7185" w:type="dxa"/>
            <w:tcBorders>
              <w:left w:val="single" w:sz="4" w:space="0" w:color="auto"/>
            </w:tcBorders>
            <w:shd w:val="clear" w:color="auto" w:fill="E7E6E6"/>
            <w:vAlign w:val="bottom"/>
          </w:tcPr>
          <w:p w14:paraId="053773E8" w14:textId="77777777" w:rsidR="001A6E72" w:rsidRPr="009C05C8" w:rsidRDefault="001A6E72" w:rsidP="006416C9">
            <w:pPr>
              <w:jc w:val="left"/>
              <w:rPr>
                <w:b/>
                <w:color w:val="auto"/>
                <w:sz w:val="20"/>
                <w:szCs w:val="20"/>
              </w:rPr>
            </w:pPr>
            <w:r w:rsidRPr="009C05C8">
              <w:rPr>
                <w:b/>
                <w:color w:val="auto"/>
                <w:sz w:val="20"/>
                <w:szCs w:val="20"/>
              </w:rPr>
              <w:t>Adjustments involving the Capital Grants Unapplied Account</w:t>
            </w:r>
            <w:r>
              <w:rPr>
                <w:b/>
                <w:color w:val="auto"/>
                <w:sz w:val="20"/>
                <w:szCs w:val="20"/>
              </w:rPr>
              <w:t>:</w:t>
            </w:r>
          </w:p>
        </w:tc>
        <w:tc>
          <w:tcPr>
            <w:tcW w:w="1829" w:type="dxa"/>
            <w:shd w:val="clear" w:color="auto" w:fill="E7E6E6"/>
            <w:vAlign w:val="bottom"/>
          </w:tcPr>
          <w:p w14:paraId="3B663445" w14:textId="77777777" w:rsidR="001A6E72" w:rsidRPr="00150029" w:rsidRDefault="001A6E72" w:rsidP="006416C9">
            <w:pPr>
              <w:tabs>
                <w:tab w:val="decimal" w:pos="895"/>
              </w:tabs>
              <w:rPr>
                <w:b/>
                <w:color w:val="auto"/>
                <w:sz w:val="20"/>
                <w:szCs w:val="20"/>
              </w:rPr>
            </w:pPr>
          </w:p>
        </w:tc>
        <w:tc>
          <w:tcPr>
            <w:tcW w:w="1827" w:type="dxa"/>
            <w:shd w:val="clear" w:color="auto" w:fill="E7E6E6"/>
            <w:vAlign w:val="bottom"/>
          </w:tcPr>
          <w:p w14:paraId="5AEFFC41" w14:textId="77777777" w:rsidR="001A6E72" w:rsidRPr="00F13104" w:rsidRDefault="001A6E72" w:rsidP="006416C9">
            <w:pPr>
              <w:tabs>
                <w:tab w:val="decimal" w:pos="799"/>
              </w:tabs>
              <w:rPr>
                <w:b/>
                <w:color w:val="auto"/>
                <w:sz w:val="20"/>
                <w:szCs w:val="20"/>
              </w:rPr>
            </w:pPr>
          </w:p>
        </w:tc>
        <w:tc>
          <w:tcPr>
            <w:tcW w:w="1967" w:type="dxa"/>
            <w:shd w:val="clear" w:color="auto" w:fill="E7E6E6"/>
            <w:vAlign w:val="bottom"/>
          </w:tcPr>
          <w:p w14:paraId="43AD2480" w14:textId="77777777" w:rsidR="001A6E72" w:rsidRPr="00F13104" w:rsidRDefault="001A6E72" w:rsidP="006416C9">
            <w:pPr>
              <w:tabs>
                <w:tab w:val="decimal" w:pos="884"/>
              </w:tabs>
              <w:rPr>
                <w:b/>
                <w:color w:val="auto"/>
                <w:sz w:val="20"/>
                <w:szCs w:val="20"/>
              </w:rPr>
            </w:pPr>
          </w:p>
        </w:tc>
        <w:tc>
          <w:tcPr>
            <w:tcW w:w="2527" w:type="dxa"/>
            <w:tcBorders>
              <w:right w:val="single" w:sz="4" w:space="0" w:color="auto"/>
            </w:tcBorders>
            <w:shd w:val="clear" w:color="auto" w:fill="E7E6E6"/>
            <w:vAlign w:val="bottom"/>
          </w:tcPr>
          <w:p w14:paraId="645E2900" w14:textId="77777777" w:rsidR="001A6E72" w:rsidRPr="00F13104" w:rsidRDefault="001A6E72" w:rsidP="006416C9">
            <w:pPr>
              <w:tabs>
                <w:tab w:val="decimal" w:pos="1167"/>
              </w:tabs>
              <w:rPr>
                <w:b/>
                <w:color w:val="auto"/>
                <w:sz w:val="20"/>
                <w:szCs w:val="20"/>
              </w:rPr>
            </w:pPr>
          </w:p>
        </w:tc>
      </w:tr>
      <w:tr w:rsidR="001A6E72" w:rsidRPr="00F13104" w14:paraId="4840818C" w14:textId="77777777" w:rsidTr="00A06955">
        <w:trPr>
          <w:trHeight w:val="454"/>
        </w:trPr>
        <w:tc>
          <w:tcPr>
            <w:tcW w:w="7185" w:type="dxa"/>
            <w:tcBorders>
              <w:left w:val="single" w:sz="4" w:space="0" w:color="auto"/>
            </w:tcBorders>
            <w:shd w:val="clear" w:color="auto" w:fill="auto"/>
            <w:vAlign w:val="bottom"/>
          </w:tcPr>
          <w:p w14:paraId="4309EFB4" w14:textId="77777777" w:rsidR="001A6E72" w:rsidRPr="00F13104" w:rsidRDefault="001A6E72" w:rsidP="006416C9">
            <w:pPr>
              <w:jc w:val="left"/>
              <w:rPr>
                <w:color w:val="auto"/>
                <w:sz w:val="20"/>
                <w:szCs w:val="20"/>
              </w:rPr>
            </w:pPr>
            <w:r w:rsidRPr="009C05C8">
              <w:rPr>
                <w:color w:val="auto"/>
                <w:sz w:val="20"/>
                <w:szCs w:val="20"/>
              </w:rPr>
              <w:t>-Capital grants and contributions unapplied credited to CIES</w:t>
            </w:r>
          </w:p>
        </w:tc>
        <w:tc>
          <w:tcPr>
            <w:tcW w:w="1829" w:type="dxa"/>
            <w:shd w:val="clear" w:color="auto" w:fill="auto"/>
            <w:vAlign w:val="bottom"/>
          </w:tcPr>
          <w:p w14:paraId="6F3DB390" w14:textId="77777777" w:rsidR="001A6E72" w:rsidRPr="00F13104" w:rsidRDefault="002831E1" w:rsidP="006416C9">
            <w:pPr>
              <w:tabs>
                <w:tab w:val="decimal" w:pos="895"/>
              </w:tabs>
              <w:rPr>
                <w:color w:val="auto"/>
                <w:sz w:val="20"/>
                <w:szCs w:val="20"/>
              </w:rPr>
            </w:pPr>
            <w:r>
              <w:rPr>
                <w:color w:val="auto"/>
                <w:sz w:val="20"/>
                <w:szCs w:val="20"/>
              </w:rPr>
              <w:t>19.6</w:t>
            </w:r>
          </w:p>
        </w:tc>
        <w:tc>
          <w:tcPr>
            <w:tcW w:w="1827" w:type="dxa"/>
            <w:shd w:val="clear" w:color="auto" w:fill="auto"/>
            <w:vAlign w:val="bottom"/>
          </w:tcPr>
          <w:p w14:paraId="2D1EA016" w14:textId="77777777" w:rsidR="001A6E72" w:rsidRPr="00F13104" w:rsidRDefault="001A6E72" w:rsidP="006416C9">
            <w:pPr>
              <w:tabs>
                <w:tab w:val="decimal" w:pos="799"/>
              </w:tabs>
              <w:rPr>
                <w:color w:val="auto"/>
                <w:sz w:val="20"/>
                <w:szCs w:val="20"/>
              </w:rPr>
            </w:pPr>
            <w:r>
              <w:rPr>
                <w:color w:val="auto"/>
                <w:sz w:val="20"/>
                <w:szCs w:val="20"/>
              </w:rPr>
              <w:t>-</w:t>
            </w:r>
          </w:p>
        </w:tc>
        <w:tc>
          <w:tcPr>
            <w:tcW w:w="1967" w:type="dxa"/>
            <w:shd w:val="clear" w:color="auto" w:fill="auto"/>
            <w:vAlign w:val="bottom"/>
          </w:tcPr>
          <w:p w14:paraId="0AF040BD" w14:textId="77777777" w:rsidR="001A6E72" w:rsidRPr="00F13104" w:rsidRDefault="002831E1" w:rsidP="006416C9">
            <w:pPr>
              <w:tabs>
                <w:tab w:val="decimal" w:pos="884"/>
              </w:tabs>
              <w:rPr>
                <w:color w:val="auto"/>
                <w:sz w:val="20"/>
                <w:szCs w:val="20"/>
              </w:rPr>
            </w:pPr>
            <w:r>
              <w:rPr>
                <w:color w:val="auto"/>
                <w:sz w:val="20"/>
                <w:szCs w:val="20"/>
              </w:rPr>
              <w:t>(19.6)</w:t>
            </w:r>
          </w:p>
        </w:tc>
        <w:tc>
          <w:tcPr>
            <w:tcW w:w="2527" w:type="dxa"/>
            <w:tcBorders>
              <w:right w:val="single" w:sz="4" w:space="0" w:color="auto"/>
            </w:tcBorders>
            <w:shd w:val="clear" w:color="auto" w:fill="auto"/>
            <w:vAlign w:val="bottom"/>
          </w:tcPr>
          <w:p w14:paraId="3DF056D8" w14:textId="77777777" w:rsidR="001A6E72" w:rsidRPr="00F13104" w:rsidRDefault="001A6E72" w:rsidP="006416C9">
            <w:pPr>
              <w:tabs>
                <w:tab w:val="decimal" w:pos="1167"/>
              </w:tabs>
              <w:rPr>
                <w:color w:val="auto"/>
                <w:sz w:val="20"/>
                <w:szCs w:val="20"/>
              </w:rPr>
            </w:pPr>
            <w:r>
              <w:rPr>
                <w:color w:val="auto"/>
                <w:sz w:val="20"/>
                <w:szCs w:val="20"/>
              </w:rPr>
              <w:t>-</w:t>
            </w:r>
          </w:p>
        </w:tc>
      </w:tr>
      <w:tr w:rsidR="001A6E72" w:rsidRPr="009C05C8" w14:paraId="26BEAD55" w14:textId="77777777" w:rsidTr="00A06955">
        <w:trPr>
          <w:trHeight w:val="454"/>
        </w:trPr>
        <w:tc>
          <w:tcPr>
            <w:tcW w:w="7185" w:type="dxa"/>
            <w:tcBorders>
              <w:left w:val="single" w:sz="4" w:space="0" w:color="auto"/>
            </w:tcBorders>
            <w:shd w:val="clear" w:color="auto" w:fill="auto"/>
            <w:vAlign w:val="bottom"/>
          </w:tcPr>
          <w:p w14:paraId="6DB6B2F8" w14:textId="77777777" w:rsidR="001A6E72" w:rsidRPr="009C05C8" w:rsidRDefault="001A6E72" w:rsidP="006416C9">
            <w:pPr>
              <w:jc w:val="left"/>
              <w:rPr>
                <w:color w:val="auto"/>
                <w:sz w:val="20"/>
                <w:szCs w:val="20"/>
              </w:rPr>
            </w:pPr>
            <w:r w:rsidRPr="009C05C8">
              <w:rPr>
                <w:color w:val="auto"/>
                <w:sz w:val="20"/>
                <w:szCs w:val="20"/>
              </w:rPr>
              <w:t>-Application of grants to capital financing transferred to the Capital Adjustment Account</w:t>
            </w:r>
          </w:p>
        </w:tc>
        <w:tc>
          <w:tcPr>
            <w:tcW w:w="1829" w:type="dxa"/>
            <w:shd w:val="clear" w:color="auto" w:fill="auto"/>
            <w:vAlign w:val="bottom"/>
          </w:tcPr>
          <w:p w14:paraId="14FCCF81" w14:textId="77777777" w:rsidR="001A6E72" w:rsidRPr="009C05C8" w:rsidRDefault="002831E1" w:rsidP="006416C9">
            <w:pPr>
              <w:tabs>
                <w:tab w:val="decimal" w:pos="895"/>
              </w:tabs>
              <w:rPr>
                <w:color w:val="auto"/>
                <w:sz w:val="20"/>
                <w:szCs w:val="20"/>
              </w:rPr>
            </w:pPr>
            <w:r>
              <w:rPr>
                <w:color w:val="auto"/>
                <w:sz w:val="20"/>
                <w:szCs w:val="20"/>
              </w:rPr>
              <w:t>78.6</w:t>
            </w:r>
          </w:p>
        </w:tc>
        <w:tc>
          <w:tcPr>
            <w:tcW w:w="1827" w:type="dxa"/>
            <w:shd w:val="clear" w:color="auto" w:fill="auto"/>
            <w:vAlign w:val="bottom"/>
          </w:tcPr>
          <w:p w14:paraId="41B141A2" w14:textId="77777777" w:rsidR="001A6E72" w:rsidRPr="009C05C8" w:rsidRDefault="001A6E72" w:rsidP="006416C9">
            <w:pPr>
              <w:tabs>
                <w:tab w:val="decimal" w:pos="799"/>
              </w:tabs>
              <w:rPr>
                <w:color w:val="auto"/>
                <w:sz w:val="20"/>
                <w:szCs w:val="20"/>
              </w:rPr>
            </w:pPr>
            <w:r>
              <w:rPr>
                <w:color w:val="auto"/>
                <w:sz w:val="20"/>
                <w:szCs w:val="20"/>
              </w:rPr>
              <w:t>-</w:t>
            </w:r>
          </w:p>
        </w:tc>
        <w:tc>
          <w:tcPr>
            <w:tcW w:w="1967" w:type="dxa"/>
            <w:shd w:val="clear" w:color="auto" w:fill="auto"/>
            <w:vAlign w:val="bottom"/>
          </w:tcPr>
          <w:p w14:paraId="482FBF6A" w14:textId="77777777" w:rsidR="001A6E72" w:rsidRPr="009C05C8" w:rsidRDefault="002831E1" w:rsidP="006416C9">
            <w:pPr>
              <w:tabs>
                <w:tab w:val="decimal" w:pos="884"/>
              </w:tabs>
              <w:rPr>
                <w:color w:val="auto"/>
                <w:sz w:val="20"/>
                <w:szCs w:val="20"/>
              </w:rPr>
            </w:pPr>
            <w:r>
              <w:rPr>
                <w:color w:val="auto"/>
                <w:sz w:val="20"/>
                <w:szCs w:val="20"/>
              </w:rPr>
              <w:t>59.5</w:t>
            </w:r>
          </w:p>
        </w:tc>
        <w:tc>
          <w:tcPr>
            <w:tcW w:w="2527" w:type="dxa"/>
            <w:tcBorders>
              <w:right w:val="single" w:sz="4" w:space="0" w:color="auto"/>
            </w:tcBorders>
            <w:shd w:val="clear" w:color="auto" w:fill="auto"/>
            <w:vAlign w:val="bottom"/>
          </w:tcPr>
          <w:p w14:paraId="6ACF1DFF" w14:textId="77777777" w:rsidR="001A6E72" w:rsidRPr="009C05C8" w:rsidRDefault="002831E1" w:rsidP="006416C9">
            <w:pPr>
              <w:tabs>
                <w:tab w:val="decimal" w:pos="1167"/>
              </w:tabs>
              <w:rPr>
                <w:color w:val="auto"/>
                <w:sz w:val="20"/>
                <w:szCs w:val="20"/>
              </w:rPr>
            </w:pPr>
            <w:r>
              <w:rPr>
                <w:color w:val="auto"/>
                <w:sz w:val="20"/>
                <w:szCs w:val="20"/>
              </w:rPr>
              <w:t>(138.1)</w:t>
            </w:r>
          </w:p>
        </w:tc>
      </w:tr>
      <w:tr w:rsidR="001A6E72" w:rsidRPr="00F13104" w14:paraId="3498AE7F" w14:textId="77777777" w:rsidTr="00A06955">
        <w:trPr>
          <w:trHeight w:val="454"/>
        </w:trPr>
        <w:tc>
          <w:tcPr>
            <w:tcW w:w="7185" w:type="dxa"/>
            <w:tcBorders>
              <w:left w:val="single" w:sz="4" w:space="0" w:color="auto"/>
            </w:tcBorders>
            <w:shd w:val="clear" w:color="auto" w:fill="E7E6E6"/>
            <w:vAlign w:val="bottom"/>
          </w:tcPr>
          <w:p w14:paraId="7C0C6CB8" w14:textId="77777777" w:rsidR="001A6E72" w:rsidRPr="00F13104" w:rsidRDefault="001A6E72" w:rsidP="006416C9">
            <w:pPr>
              <w:jc w:val="left"/>
              <w:rPr>
                <w:b/>
                <w:color w:val="auto"/>
                <w:sz w:val="20"/>
                <w:szCs w:val="20"/>
              </w:rPr>
            </w:pPr>
            <w:r w:rsidRPr="009C05C8">
              <w:rPr>
                <w:b/>
                <w:color w:val="auto"/>
                <w:sz w:val="20"/>
                <w:szCs w:val="20"/>
              </w:rPr>
              <w:t>Adjustments involving the Capital Receipts Reserve:</w:t>
            </w:r>
          </w:p>
        </w:tc>
        <w:tc>
          <w:tcPr>
            <w:tcW w:w="1829" w:type="dxa"/>
            <w:shd w:val="clear" w:color="auto" w:fill="E7E6E6"/>
            <w:vAlign w:val="bottom"/>
          </w:tcPr>
          <w:p w14:paraId="03B3BCB1" w14:textId="77777777" w:rsidR="001A6E72" w:rsidRPr="00F13104" w:rsidRDefault="001A6E72" w:rsidP="006416C9">
            <w:pPr>
              <w:jc w:val="left"/>
              <w:rPr>
                <w:b/>
                <w:color w:val="auto"/>
                <w:sz w:val="20"/>
                <w:szCs w:val="20"/>
              </w:rPr>
            </w:pPr>
          </w:p>
        </w:tc>
        <w:tc>
          <w:tcPr>
            <w:tcW w:w="1827" w:type="dxa"/>
            <w:shd w:val="clear" w:color="auto" w:fill="E7E6E6"/>
            <w:vAlign w:val="bottom"/>
          </w:tcPr>
          <w:p w14:paraId="215A90DE" w14:textId="77777777" w:rsidR="001A6E72" w:rsidRPr="00F13104" w:rsidRDefault="001A6E72" w:rsidP="006416C9">
            <w:pPr>
              <w:jc w:val="left"/>
              <w:rPr>
                <w:b/>
                <w:color w:val="auto"/>
                <w:sz w:val="20"/>
                <w:szCs w:val="20"/>
              </w:rPr>
            </w:pPr>
          </w:p>
        </w:tc>
        <w:tc>
          <w:tcPr>
            <w:tcW w:w="1967" w:type="dxa"/>
            <w:shd w:val="clear" w:color="auto" w:fill="E7E6E6"/>
            <w:vAlign w:val="bottom"/>
          </w:tcPr>
          <w:p w14:paraId="2A7461D4" w14:textId="77777777" w:rsidR="001A6E72" w:rsidRPr="00F13104" w:rsidRDefault="001A6E72" w:rsidP="006416C9">
            <w:pPr>
              <w:tabs>
                <w:tab w:val="decimal" w:pos="884"/>
              </w:tabs>
              <w:jc w:val="left"/>
              <w:rPr>
                <w:b/>
                <w:color w:val="auto"/>
                <w:sz w:val="20"/>
                <w:szCs w:val="20"/>
              </w:rPr>
            </w:pPr>
          </w:p>
        </w:tc>
        <w:tc>
          <w:tcPr>
            <w:tcW w:w="2527" w:type="dxa"/>
            <w:tcBorders>
              <w:right w:val="single" w:sz="4" w:space="0" w:color="auto"/>
            </w:tcBorders>
            <w:shd w:val="clear" w:color="auto" w:fill="E7E6E6"/>
            <w:vAlign w:val="bottom"/>
          </w:tcPr>
          <w:p w14:paraId="4DD9B8F0" w14:textId="77777777" w:rsidR="001A6E72" w:rsidRPr="00F13104" w:rsidRDefault="001A6E72" w:rsidP="006416C9">
            <w:pPr>
              <w:tabs>
                <w:tab w:val="decimal" w:pos="1167"/>
              </w:tabs>
              <w:jc w:val="left"/>
              <w:rPr>
                <w:b/>
                <w:color w:val="auto"/>
                <w:sz w:val="20"/>
                <w:szCs w:val="20"/>
              </w:rPr>
            </w:pPr>
          </w:p>
        </w:tc>
      </w:tr>
      <w:tr w:rsidR="001A6E72" w:rsidRPr="00F13104" w14:paraId="559F0534" w14:textId="77777777" w:rsidTr="00A06955">
        <w:trPr>
          <w:trHeight w:val="454"/>
        </w:trPr>
        <w:tc>
          <w:tcPr>
            <w:tcW w:w="7185" w:type="dxa"/>
            <w:tcBorders>
              <w:left w:val="single" w:sz="4" w:space="0" w:color="auto"/>
            </w:tcBorders>
            <w:shd w:val="clear" w:color="auto" w:fill="auto"/>
            <w:vAlign w:val="bottom"/>
          </w:tcPr>
          <w:p w14:paraId="606B19C6" w14:textId="77777777" w:rsidR="001A6E72" w:rsidRPr="00F13104" w:rsidRDefault="001A6E72" w:rsidP="006416C9">
            <w:pPr>
              <w:jc w:val="left"/>
              <w:rPr>
                <w:color w:val="auto"/>
                <w:sz w:val="20"/>
                <w:szCs w:val="20"/>
              </w:rPr>
            </w:pPr>
            <w:r w:rsidRPr="009C05C8">
              <w:rPr>
                <w:color w:val="auto"/>
                <w:sz w:val="20"/>
                <w:szCs w:val="20"/>
              </w:rPr>
              <w:t>-Transfer of sale proceeds credited as part of the gain/loss on disposal to the CIES</w:t>
            </w:r>
          </w:p>
        </w:tc>
        <w:tc>
          <w:tcPr>
            <w:tcW w:w="1829" w:type="dxa"/>
            <w:shd w:val="clear" w:color="auto" w:fill="auto"/>
            <w:vAlign w:val="bottom"/>
          </w:tcPr>
          <w:p w14:paraId="07C8A064" w14:textId="77777777" w:rsidR="001A6E72" w:rsidRPr="00F13104" w:rsidRDefault="002831E1" w:rsidP="006416C9">
            <w:pPr>
              <w:tabs>
                <w:tab w:val="decimal" w:pos="895"/>
              </w:tabs>
              <w:rPr>
                <w:color w:val="auto"/>
                <w:sz w:val="20"/>
                <w:szCs w:val="20"/>
              </w:rPr>
            </w:pPr>
            <w:r>
              <w:rPr>
                <w:color w:val="auto"/>
                <w:sz w:val="20"/>
                <w:szCs w:val="20"/>
              </w:rPr>
              <w:t>4.7</w:t>
            </w:r>
          </w:p>
        </w:tc>
        <w:tc>
          <w:tcPr>
            <w:tcW w:w="1827" w:type="dxa"/>
            <w:shd w:val="clear" w:color="auto" w:fill="auto"/>
            <w:vAlign w:val="bottom"/>
          </w:tcPr>
          <w:p w14:paraId="36BDDF8A" w14:textId="77777777" w:rsidR="001A6E72" w:rsidRPr="00F13104" w:rsidRDefault="002831E1" w:rsidP="006416C9">
            <w:pPr>
              <w:tabs>
                <w:tab w:val="decimal" w:pos="799"/>
              </w:tabs>
              <w:rPr>
                <w:color w:val="auto"/>
                <w:sz w:val="20"/>
                <w:szCs w:val="20"/>
              </w:rPr>
            </w:pPr>
            <w:r>
              <w:rPr>
                <w:color w:val="auto"/>
                <w:sz w:val="20"/>
                <w:szCs w:val="20"/>
              </w:rPr>
              <w:t>(4.7)</w:t>
            </w:r>
          </w:p>
        </w:tc>
        <w:tc>
          <w:tcPr>
            <w:tcW w:w="1967" w:type="dxa"/>
            <w:shd w:val="clear" w:color="auto" w:fill="auto"/>
            <w:vAlign w:val="bottom"/>
          </w:tcPr>
          <w:p w14:paraId="2D35885A" w14:textId="77777777" w:rsidR="001A6E72" w:rsidRPr="00F13104" w:rsidRDefault="001A6E72" w:rsidP="006416C9">
            <w:pPr>
              <w:tabs>
                <w:tab w:val="decimal" w:pos="884"/>
              </w:tabs>
              <w:rPr>
                <w:color w:val="auto"/>
                <w:sz w:val="20"/>
                <w:szCs w:val="20"/>
              </w:rPr>
            </w:pPr>
            <w:r>
              <w:rPr>
                <w:color w:val="auto"/>
                <w:sz w:val="20"/>
                <w:szCs w:val="20"/>
              </w:rPr>
              <w:t>-</w:t>
            </w:r>
          </w:p>
        </w:tc>
        <w:tc>
          <w:tcPr>
            <w:tcW w:w="2527" w:type="dxa"/>
            <w:tcBorders>
              <w:right w:val="single" w:sz="4" w:space="0" w:color="auto"/>
            </w:tcBorders>
            <w:shd w:val="clear" w:color="auto" w:fill="auto"/>
            <w:vAlign w:val="bottom"/>
          </w:tcPr>
          <w:p w14:paraId="79BCA8A7" w14:textId="77777777" w:rsidR="001A6E72" w:rsidRPr="00F13104" w:rsidRDefault="001A6E72" w:rsidP="006416C9">
            <w:pPr>
              <w:tabs>
                <w:tab w:val="decimal" w:pos="1167"/>
              </w:tabs>
              <w:rPr>
                <w:color w:val="auto"/>
                <w:sz w:val="20"/>
                <w:szCs w:val="20"/>
              </w:rPr>
            </w:pPr>
            <w:r>
              <w:rPr>
                <w:color w:val="auto"/>
                <w:sz w:val="20"/>
                <w:szCs w:val="20"/>
              </w:rPr>
              <w:t>-</w:t>
            </w:r>
          </w:p>
        </w:tc>
      </w:tr>
      <w:tr w:rsidR="001A6E72" w:rsidRPr="00F13104" w14:paraId="3DA35DE9" w14:textId="77777777" w:rsidTr="00A06955">
        <w:trPr>
          <w:trHeight w:val="454"/>
        </w:trPr>
        <w:tc>
          <w:tcPr>
            <w:tcW w:w="7185" w:type="dxa"/>
            <w:tcBorders>
              <w:left w:val="single" w:sz="4" w:space="0" w:color="auto"/>
            </w:tcBorders>
            <w:shd w:val="clear" w:color="auto" w:fill="F2F2F2" w:themeFill="background1" w:themeFillShade="F2"/>
            <w:vAlign w:val="bottom"/>
          </w:tcPr>
          <w:p w14:paraId="50978384" w14:textId="77777777" w:rsidR="001A6E72" w:rsidRPr="009C05C8" w:rsidRDefault="001A6E72" w:rsidP="006416C9">
            <w:pPr>
              <w:jc w:val="left"/>
              <w:rPr>
                <w:b/>
                <w:color w:val="auto"/>
                <w:sz w:val="20"/>
                <w:szCs w:val="20"/>
              </w:rPr>
            </w:pPr>
            <w:r w:rsidRPr="009C05C8">
              <w:rPr>
                <w:b/>
                <w:color w:val="auto"/>
                <w:sz w:val="20"/>
                <w:szCs w:val="20"/>
              </w:rPr>
              <w:t>Adjustments involving the Financial Instruments Adjustment Account:</w:t>
            </w:r>
          </w:p>
        </w:tc>
        <w:tc>
          <w:tcPr>
            <w:tcW w:w="1829" w:type="dxa"/>
            <w:shd w:val="clear" w:color="auto" w:fill="F2F2F2" w:themeFill="background1" w:themeFillShade="F2"/>
            <w:vAlign w:val="bottom"/>
          </w:tcPr>
          <w:p w14:paraId="5F9D40CF" w14:textId="77777777" w:rsidR="001A6E72" w:rsidRPr="00F13104" w:rsidRDefault="001A6E72" w:rsidP="006416C9">
            <w:pPr>
              <w:tabs>
                <w:tab w:val="decimal" w:pos="895"/>
              </w:tabs>
              <w:rPr>
                <w:color w:val="auto"/>
                <w:sz w:val="20"/>
                <w:szCs w:val="20"/>
              </w:rPr>
            </w:pPr>
          </w:p>
        </w:tc>
        <w:tc>
          <w:tcPr>
            <w:tcW w:w="1827" w:type="dxa"/>
            <w:shd w:val="clear" w:color="auto" w:fill="F2F2F2" w:themeFill="background1" w:themeFillShade="F2"/>
            <w:vAlign w:val="bottom"/>
          </w:tcPr>
          <w:p w14:paraId="2ECC2795" w14:textId="77777777" w:rsidR="001A6E72" w:rsidRPr="00F13104" w:rsidRDefault="001A6E72" w:rsidP="006416C9">
            <w:pPr>
              <w:tabs>
                <w:tab w:val="decimal" w:pos="799"/>
              </w:tabs>
              <w:rPr>
                <w:color w:val="auto"/>
                <w:sz w:val="20"/>
                <w:szCs w:val="20"/>
              </w:rPr>
            </w:pPr>
          </w:p>
        </w:tc>
        <w:tc>
          <w:tcPr>
            <w:tcW w:w="1967" w:type="dxa"/>
            <w:shd w:val="clear" w:color="auto" w:fill="F2F2F2" w:themeFill="background1" w:themeFillShade="F2"/>
            <w:vAlign w:val="bottom"/>
          </w:tcPr>
          <w:p w14:paraId="6917458F" w14:textId="77777777" w:rsidR="001A6E72" w:rsidRPr="00F13104" w:rsidRDefault="001A6E72" w:rsidP="006416C9">
            <w:pPr>
              <w:tabs>
                <w:tab w:val="decimal" w:pos="884"/>
              </w:tabs>
              <w:rPr>
                <w:color w:val="auto"/>
                <w:sz w:val="20"/>
                <w:szCs w:val="20"/>
              </w:rPr>
            </w:pPr>
          </w:p>
        </w:tc>
        <w:tc>
          <w:tcPr>
            <w:tcW w:w="2527" w:type="dxa"/>
            <w:tcBorders>
              <w:right w:val="single" w:sz="4" w:space="0" w:color="auto"/>
            </w:tcBorders>
            <w:shd w:val="clear" w:color="auto" w:fill="F2F2F2" w:themeFill="background1" w:themeFillShade="F2"/>
            <w:vAlign w:val="bottom"/>
          </w:tcPr>
          <w:p w14:paraId="3CD47543" w14:textId="77777777" w:rsidR="001A6E72" w:rsidRPr="00F13104" w:rsidRDefault="001A6E72" w:rsidP="006416C9">
            <w:pPr>
              <w:tabs>
                <w:tab w:val="decimal" w:pos="1167"/>
              </w:tabs>
              <w:rPr>
                <w:color w:val="auto"/>
                <w:sz w:val="20"/>
                <w:szCs w:val="20"/>
              </w:rPr>
            </w:pPr>
          </w:p>
        </w:tc>
      </w:tr>
      <w:tr w:rsidR="001A6E72" w:rsidRPr="00F13104" w14:paraId="774FC484" w14:textId="77777777" w:rsidTr="00A06955">
        <w:trPr>
          <w:trHeight w:val="454"/>
        </w:trPr>
        <w:tc>
          <w:tcPr>
            <w:tcW w:w="7185" w:type="dxa"/>
            <w:tcBorders>
              <w:left w:val="single" w:sz="4" w:space="0" w:color="auto"/>
            </w:tcBorders>
            <w:shd w:val="clear" w:color="auto" w:fill="auto"/>
            <w:vAlign w:val="bottom"/>
          </w:tcPr>
          <w:p w14:paraId="3F5693EE" w14:textId="77777777" w:rsidR="001A6E72" w:rsidRPr="00F13104" w:rsidRDefault="001A6E72" w:rsidP="006416C9">
            <w:pPr>
              <w:jc w:val="left"/>
              <w:rPr>
                <w:color w:val="auto"/>
                <w:sz w:val="20"/>
                <w:szCs w:val="20"/>
              </w:rPr>
            </w:pPr>
            <w:r w:rsidRPr="009C05C8">
              <w:rPr>
                <w:color w:val="auto"/>
                <w:sz w:val="20"/>
                <w:szCs w:val="20"/>
              </w:rPr>
              <w:t>-Amount by which finance costs charged to the CIES are different from finance costs chargeable in the year in accordance with statutory requirements</w:t>
            </w:r>
          </w:p>
        </w:tc>
        <w:tc>
          <w:tcPr>
            <w:tcW w:w="1829" w:type="dxa"/>
            <w:shd w:val="clear" w:color="auto" w:fill="auto"/>
            <w:vAlign w:val="bottom"/>
          </w:tcPr>
          <w:p w14:paraId="7775D498" w14:textId="77777777" w:rsidR="001A6E72" w:rsidRPr="00F13104" w:rsidRDefault="002831E1" w:rsidP="006416C9">
            <w:pPr>
              <w:tabs>
                <w:tab w:val="decimal" w:pos="895"/>
              </w:tabs>
              <w:rPr>
                <w:color w:val="auto"/>
                <w:sz w:val="20"/>
                <w:szCs w:val="20"/>
              </w:rPr>
            </w:pPr>
            <w:r>
              <w:rPr>
                <w:color w:val="auto"/>
                <w:sz w:val="20"/>
                <w:szCs w:val="20"/>
              </w:rPr>
              <w:t>2.5</w:t>
            </w:r>
          </w:p>
        </w:tc>
        <w:tc>
          <w:tcPr>
            <w:tcW w:w="1827" w:type="dxa"/>
            <w:shd w:val="clear" w:color="auto" w:fill="auto"/>
            <w:vAlign w:val="bottom"/>
          </w:tcPr>
          <w:p w14:paraId="7E69C1D4" w14:textId="77777777" w:rsidR="001A6E72" w:rsidRPr="00F13104" w:rsidRDefault="001A6E72" w:rsidP="006416C9">
            <w:pPr>
              <w:tabs>
                <w:tab w:val="decimal" w:pos="799"/>
              </w:tabs>
              <w:rPr>
                <w:color w:val="auto"/>
                <w:sz w:val="20"/>
                <w:szCs w:val="20"/>
              </w:rPr>
            </w:pPr>
            <w:r w:rsidRPr="00F13104">
              <w:rPr>
                <w:color w:val="auto"/>
                <w:sz w:val="20"/>
                <w:szCs w:val="20"/>
              </w:rPr>
              <w:t>-</w:t>
            </w:r>
          </w:p>
        </w:tc>
        <w:tc>
          <w:tcPr>
            <w:tcW w:w="1967" w:type="dxa"/>
            <w:shd w:val="clear" w:color="auto" w:fill="auto"/>
            <w:vAlign w:val="bottom"/>
          </w:tcPr>
          <w:p w14:paraId="3A3DD089" w14:textId="77777777" w:rsidR="001A6E72" w:rsidRPr="00F13104" w:rsidRDefault="001A6E72" w:rsidP="006416C9">
            <w:pPr>
              <w:tabs>
                <w:tab w:val="decimal" w:pos="884"/>
              </w:tabs>
              <w:rPr>
                <w:color w:val="auto"/>
                <w:sz w:val="20"/>
                <w:szCs w:val="20"/>
              </w:rPr>
            </w:pPr>
            <w:r>
              <w:rPr>
                <w:color w:val="auto"/>
                <w:sz w:val="20"/>
                <w:szCs w:val="20"/>
              </w:rPr>
              <w:t>-</w:t>
            </w:r>
          </w:p>
        </w:tc>
        <w:tc>
          <w:tcPr>
            <w:tcW w:w="2527" w:type="dxa"/>
            <w:tcBorders>
              <w:right w:val="single" w:sz="4" w:space="0" w:color="auto"/>
            </w:tcBorders>
            <w:shd w:val="clear" w:color="auto" w:fill="auto"/>
            <w:vAlign w:val="bottom"/>
          </w:tcPr>
          <w:p w14:paraId="7075EE9C" w14:textId="77777777" w:rsidR="001A6E72" w:rsidRPr="00F13104" w:rsidRDefault="002831E1" w:rsidP="006416C9">
            <w:pPr>
              <w:tabs>
                <w:tab w:val="decimal" w:pos="1167"/>
              </w:tabs>
              <w:rPr>
                <w:color w:val="auto"/>
                <w:sz w:val="20"/>
                <w:szCs w:val="20"/>
              </w:rPr>
            </w:pPr>
            <w:r>
              <w:rPr>
                <w:color w:val="auto"/>
                <w:sz w:val="20"/>
                <w:szCs w:val="20"/>
              </w:rPr>
              <w:t>(2.5)</w:t>
            </w:r>
          </w:p>
        </w:tc>
      </w:tr>
      <w:tr w:rsidR="001A6E72" w:rsidRPr="00F13104" w14:paraId="20267B76" w14:textId="77777777" w:rsidTr="00A06955">
        <w:trPr>
          <w:trHeight w:val="454"/>
        </w:trPr>
        <w:tc>
          <w:tcPr>
            <w:tcW w:w="7185" w:type="dxa"/>
            <w:tcBorders>
              <w:left w:val="single" w:sz="4" w:space="0" w:color="auto"/>
            </w:tcBorders>
            <w:shd w:val="clear" w:color="auto" w:fill="E7E6E6"/>
            <w:vAlign w:val="bottom"/>
          </w:tcPr>
          <w:p w14:paraId="4A32E0E2" w14:textId="77777777" w:rsidR="001A6E72" w:rsidRPr="00F13104" w:rsidRDefault="001A6E72" w:rsidP="006416C9">
            <w:pPr>
              <w:jc w:val="left"/>
              <w:rPr>
                <w:b/>
                <w:color w:val="auto"/>
                <w:sz w:val="20"/>
                <w:szCs w:val="20"/>
              </w:rPr>
            </w:pPr>
            <w:r w:rsidRPr="009C05C8">
              <w:rPr>
                <w:b/>
                <w:color w:val="auto"/>
                <w:sz w:val="20"/>
                <w:szCs w:val="20"/>
              </w:rPr>
              <w:t>Adjustments involving the Pensions Reserve:</w:t>
            </w:r>
          </w:p>
        </w:tc>
        <w:tc>
          <w:tcPr>
            <w:tcW w:w="1829" w:type="dxa"/>
            <w:shd w:val="clear" w:color="auto" w:fill="E7E6E6"/>
            <w:vAlign w:val="bottom"/>
          </w:tcPr>
          <w:p w14:paraId="1CEA0B5B" w14:textId="77777777" w:rsidR="001A6E72" w:rsidRPr="00F13104" w:rsidRDefault="001A6E72" w:rsidP="006416C9">
            <w:pPr>
              <w:tabs>
                <w:tab w:val="decimal" w:pos="895"/>
              </w:tabs>
              <w:rPr>
                <w:b/>
                <w:color w:val="auto"/>
                <w:sz w:val="20"/>
                <w:szCs w:val="20"/>
              </w:rPr>
            </w:pPr>
          </w:p>
        </w:tc>
        <w:tc>
          <w:tcPr>
            <w:tcW w:w="1827" w:type="dxa"/>
            <w:shd w:val="clear" w:color="auto" w:fill="E7E6E6"/>
            <w:vAlign w:val="bottom"/>
          </w:tcPr>
          <w:p w14:paraId="59C25FF3" w14:textId="77777777" w:rsidR="001A6E72" w:rsidRPr="00F13104" w:rsidRDefault="001A6E72" w:rsidP="006416C9">
            <w:pPr>
              <w:tabs>
                <w:tab w:val="decimal" w:pos="799"/>
              </w:tabs>
              <w:rPr>
                <w:b/>
                <w:color w:val="auto"/>
                <w:sz w:val="20"/>
                <w:szCs w:val="20"/>
              </w:rPr>
            </w:pPr>
          </w:p>
        </w:tc>
        <w:tc>
          <w:tcPr>
            <w:tcW w:w="1967" w:type="dxa"/>
            <w:shd w:val="clear" w:color="auto" w:fill="E7E6E6"/>
            <w:vAlign w:val="bottom"/>
          </w:tcPr>
          <w:p w14:paraId="10E7C878" w14:textId="77777777" w:rsidR="001A6E72" w:rsidRPr="00F13104" w:rsidRDefault="001A6E72" w:rsidP="006416C9">
            <w:pPr>
              <w:tabs>
                <w:tab w:val="decimal" w:pos="884"/>
              </w:tabs>
              <w:rPr>
                <w:b/>
                <w:color w:val="auto"/>
                <w:sz w:val="20"/>
                <w:szCs w:val="20"/>
              </w:rPr>
            </w:pPr>
          </w:p>
        </w:tc>
        <w:tc>
          <w:tcPr>
            <w:tcW w:w="2527" w:type="dxa"/>
            <w:tcBorders>
              <w:right w:val="single" w:sz="4" w:space="0" w:color="auto"/>
            </w:tcBorders>
            <w:shd w:val="clear" w:color="auto" w:fill="E7E6E6"/>
            <w:vAlign w:val="bottom"/>
          </w:tcPr>
          <w:p w14:paraId="2702593F" w14:textId="77777777" w:rsidR="001A6E72" w:rsidRPr="00F13104" w:rsidRDefault="001A6E72" w:rsidP="006416C9">
            <w:pPr>
              <w:tabs>
                <w:tab w:val="decimal" w:pos="1167"/>
              </w:tabs>
              <w:rPr>
                <w:b/>
                <w:color w:val="auto"/>
                <w:sz w:val="20"/>
                <w:szCs w:val="20"/>
              </w:rPr>
            </w:pPr>
          </w:p>
        </w:tc>
      </w:tr>
      <w:tr w:rsidR="001A6E72" w:rsidRPr="00F13104" w14:paraId="3512C6DB" w14:textId="77777777" w:rsidTr="00A06955">
        <w:trPr>
          <w:trHeight w:val="454"/>
        </w:trPr>
        <w:tc>
          <w:tcPr>
            <w:tcW w:w="7185" w:type="dxa"/>
            <w:tcBorders>
              <w:left w:val="single" w:sz="4" w:space="0" w:color="auto"/>
            </w:tcBorders>
            <w:shd w:val="clear" w:color="auto" w:fill="auto"/>
            <w:vAlign w:val="bottom"/>
          </w:tcPr>
          <w:p w14:paraId="7F5B32D5" w14:textId="77777777" w:rsidR="001A6E72" w:rsidRPr="009C05C8" w:rsidRDefault="001A6E72" w:rsidP="006416C9">
            <w:pPr>
              <w:jc w:val="left"/>
              <w:rPr>
                <w:color w:val="auto"/>
                <w:sz w:val="20"/>
                <w:szCs w:val="20"/>
              </w:rPr>
            </w:pPr>
            <w:r w:rsidRPr="009C05C8">
              <w:rPr>
                <w:color w:val="auto"/>
                <w:sz w:val="20"/>
                <w:szCs w:val="20"/>
              </w:rPr>
              <w:t>-Employer’s pensions contributions and direct payments to pensioners payable in the year</w:t>
            </w:r>
          </w:p>
        </w:tc>
        <w:tc>
          <w:tcPr>
            <w:tcW w:w="1829" w:type="dxa"/>
            <w:shd w:val="clear" w:color="auto" w:fill="auto"/>
            <w:vAlign w:val="bottom"/>
          </w:tcPr>
          <w:p w14:paraId="68BA14D4" w14:textId="77777777" w:rsidR="001A6E72" w:rsidRPr="009C05C8" w:rsidRDefault="002831E1" w:rsidP="006416C9">
            <w:pPr>
              <w:tabs>
                <w:tab w:val="decimal" w:pos="895"/>
              </w:tabs>
              <w:rPr>
                <w:color w:val="auto"/>
                <w:sz w:val="20"/>
                <w:szCs w:val="20"/>
              </w:rPr>
            </w:pPr>
            <w:r>
              <w:rPr>
                <w:color w:val="auto"/>
                <w:sz w:val="20"/>
                <w:szCs w:val="20"/>
              </w:rPr>
              <w:t>83.1</w:t>
            </w:r>
          </w:p>
        </w:tc>
        <w:tc>
          <w:tcPr>
            <w:tcW w:w="1827" w:type="dxa"/>
            <w:shd w:val="clear" w:color="auto" w:fill="auto"/>
            <w:vAlign w:val="bottom"/>
          </w:tcPr>
          <w:p w14:paraId="45BE082B" w14:textId="77777777" w:rsidR="001A6E72" w:rsidRPr="009C05C8" w:rsidRDefault="001A6E72" w:rsidP="006416C9">
            <w:pPr>
              <w:tabs>
                <w:tab w:val="decimal" w:pos="799"/>
              </w:tabs>
              <w:rPr>
                <w:color w:val="auto"/>
                <w:sz w:val="20"/>
                <w:szCs w:val="20"/>
              </w:rPr>
            </w:pPr>
            <w:r w:rsidRPr="009C05C8">
              <w:rPr>
                <w:color w:val="auto"/>
                <w:sz w:val="20"/>
                <w:szCs w:val="20"/>
              </w:rPr>
              <w:t>-</w:t>
            </w:r>
          </w:p>
        </w:tc>
        <w:tc>
          <w:tcPr>
            <w:tcW w:w="1967" w:type="dxa"/>
            <w:shd w:val="clear" w:color="auto" w:fill="auto"/>
            <w:vAlign w:val="bottom"/>
          </w:tcPr>
          <w:p w14:paraId="264C3CD4" w14:textId="77777777" w:rsidR="001A6E72" w:rsidRPr="009C05C8" w:rsidRDefault="001A6E72" w:rsidP="006416C9">
            <w:pPr>
              <w:tabs>
                <w:tab w:val="decimal" w:pos="884"/>
              </w:tabs>
              <w:rPr>
                <w:color w:val="auto"/>
                <w:sz w:val="20"/>
                <w:szCs w:val="20"/>
              </w:rPr>
            </w:pPr>
            <w:r w:rsidRPr="009C05C8">
              <w:rPr>
                <w:color w:val="auto"/>
                <w:sz w:val="20"/>
                <w:szCs w:val="20"/>
              </w:rPr>
              <w:t>-</w:t>
            </w:r>
          </w:p>
        </w:tc>
        <w:tc>
          <w:tcPr>
            <w:tcW w:w="2527" w:type="dxa"/>
            <w:tcBorders>
              <w:right w:val="single" w:sz="4" w:space="0" w:color="auto"/>
            </w:tcBorders>
            <w:shd w:val="clear" w:color="auto" w:fill="auto"/>
            <w:vAlign w:val="bottom"/>
          </w:tcPr>
          <w:p w14:paraId="55C6575F" w14:textId="77777777" w:rsidR="001A6E72" w:rsidRPr="009C05C8" w:rsidRDefault="002831E1" w:rsidP="006416C9">
            <w:pPr>
              <w:tabs>
                <w:tab w:val="decimal" w:pos="1167"/>
              </w:tabs>
              <w:rPr>
                <w:color w:val="auto"/>
                <w:sz w:val="20"/>
                <w:szCs w:val="20"/>
              </w:rPr>
            </w:pPr>
            <w:r>
              <w:rPr>
                <w:color w:val="auto"/>
                <w:sz w:val="20"/>
                <w:szCs w:val="20"/>
              </w:rPr>
              <w:t>(83.1)</w:t>
            </w:r>
          </w:p>
        </w:tc>
      </w:tr>
      <w:tr w:rsidR="001A6E72" w:rsidRPr="00F13104" w14:paraId="62C4E65D" w14:textId="77777777" w:rsidTr="00A06955">
        <w:trPr>
          <w:trHeight w:val="454"/>
        </w:trPr>
        <w:tc>
          <w:tcPr>
            <w:tcW w:w="7185" w:type="dxa"/>
            <w:tcBorders>
              <w:left w:val="single" w:sz="4" w:space="0" w:color="auto"/>
            </w:tcBorders>
            <w:shd w:val="clear" w:color="auto" w:fill="auto"/>
            <w:vAlign w:val="bottom"/>
          </w:tcPr>
          <w:p w14:paraId="2C639641" w14:textId="77777777" w:rsidR="001A6E72" w:rsidRPr="00F13104" w:rsidRDefault="001A6E72" w:rsidP="006416C9">
            <w:pPr>
              <w:jc w:val="left"/>
              <w:rPr>
                <w:color w:val="auto"/>
                <w:sz w:val="20"/>
                <w:szCs w:val="20"/>
              </w:rPr>
            </w:pPr>
            <w:r w:rsidRPr="009C05C8">
              <w:rPr>
                <w:color w:val="auto"/>
                <w:sz w:val="20"/>
                <w:szCs w:val="20"/>
              </w:rPr>
              <w:t>-Reversal of items relating to retirement benefits debited or credited to the Comprehensive Income and Expenditure Statement</w:t>
            </w:r>
          </w:p>
        </w:tc>
        <w:tc>
          <w:tcPr>
            <w:tcW w:w="1829" w:type="dxa"/>
            <w:shd w:val="clear" w:color="auto" w:fill="auto"/>
            <w:vAlign w:val="bottom"/>
          </w:tcPr>
          <w:p w14:paraId="0387F52A" w14:textId="77777777" w:rsidR="001A6E72" w:rsidRPr="00F13104" w:rsidRDefault="002831E1" w:rsidP="006416C9">
            <w:pPr>
              <w:tabs>
                <w:tab w:val="decimal" w:pos="895"/>
              </w:tabs>
              <w:rPr>
                <w:color w:val="auto"/>
                <w:sz w:val="20"/>
                <w:szCs w:val="20"/>
              </w:rPr>
            </w:pPr>
            <w:r>
              <w:rPr>
                <w:color w:val="auto"/>
                <w:sz w:val="20"/>
                <w:szCs w:val="20"/>
              </w:rPr>
              <w:t>(134.9)</w:t>
            </w:r>
          </w:p>
        </w:tc>
        <w:tc>
          <w:tcPr>
            <w:tcW w:w="1827" w:type="dxa"/>
            <w:shd w:val="clear" w:color="auto" w:fill="auto"/>
            <w:vAlign w:val="bottom"/>
          </w:tcPr>
          <w:p w14:paraId="11D4EC8E" w14:textId="77777777" w:rsidR="001A6E72" w:rsidRPr="00F13104" w:rsidRDefault="001A6E72" w:rsidP="006416C9">
            <w:pPr>
              <w:tabs>
                <w:tab w:val="decimal" w:pos="799"/>
              </w:tabs>
              <w:rPr>
                <w:color w:val="auto"/>
                <w:sz w:val="20"/>
                <w:szCs w:val="20"/>
              </w:rPr>
            </w:pPr>
            <w:r>
              <w:rPr>
                <w:color w:val="auto"/>
                <w:sz w:val="20"/>
                <w:szCs w:val="20"/>
              </w:rPr>
              <w:t>-</w:t>
            </w:r>
          </w:p>
        </w:tc>
        <w:tc>
          <w:tcPr>
            <w:tcW w:w="1967" w:type="dxa"/>
            <w:shd w:val="clear" w:color="auto" w:fill="auto"/>
            <w:vAlign w:val="bottom"/>
          </w:tcPr>
          <w:p w14:paraId="3083C214" w14:textId="77777777" w:rsidR="001A6E72" w:rsidRPr="00F13104" w:rsidRDefault="001A6E72" w:rsidP="006416C9">
            <w:pPr>
              <w:tabs>
                <w:tab w:val="decimal" w:pos="884"/>
              </w:tabs>
              <w:rPr>
                <w:color w:val="auto"/>
                <w:sz w:val="20"/>
                <w:szCs w:val="20"/>
              </w:rPr>
            </w:pPr>
            <w:r>
              <w:rPr>
                <w:color w:val="auto"/>
                <w:sz w:val="20"/>
                <w:szCs w:val="20"/>
              </w:rPr>
              <w:t>-</w:t>
            </w:r>
          </w:p>
        </w:tc>
        <w:tc>
          <w:tcPr>
            <w:tcW w:w="2527" w:type="dxa"/>
            <w:tcBorders>
              <w:right w:val="single" w:sz="4" w:space="0" w:color="auto"/>
            </w:tcBorders>
            <w:shd w:val="clear" w:color="auto" w:fill="auto"/>
            <w:vAlign w:val="bottom"/>
          </w:tcPr>
          <w:p w14:paraId="49B93F79" w14:textId="77777777" w:rsidR="001A6E72" w:rsidRPr="00F13104" w:rsidRDefault="002831E1" w:rsidP="006416C9">
            <w:pPr>
              <w:tabs>
                <w:tab w:val="decimal" w:pos="1167"/>
              </w:tabs>
              <w:rPr>
                <w:color w:val="auto"/>
                <w:sz w:val="20"/>
                <w:szCs w:val="20"/>
              </w:rPr>
            </w:pPr>
            <w:r>
              <w:rPr>
                <w:color w:val="auto"/>
                <w:sz w:val="20"/>
                <w:szCs w:val="20"/>
              </w:rPr>
              <w:t>134.9</w:t>
            </w:r>
          </w:p>
        </w:tc>
      </w:tr>
      <w:tr w:rsidR="001A6E72" w:rsidRPr="00F13104" w14:paraId="1384C3A9" w14:textId="77777777" w:rsidTr="00A06955">
        <w:trPr>
          <w:trHeight w:val="454"/>
        </w:trPr>
        <w:tc>
          <w:tcPr>
            <w:tcW w:w="7185" w:type="dxa"/>
            <w:tcBorders>
              <w:left w:val="single" w:sz="4" w:space="0" w:color="auto"/>
            </w:tcBorders>
            <w:shd w:val="clear" w:color="auto" w:fill="E7E6E6"/>
            <w:vAlign w:val="bottom"/>
          </w:tcPr>
          <w:p w14:paraId="36C65CB8" w14:textId="77777777" w:rsidR="001A6E72" w:rsidRPr="009C05C8" w:rsidRDefault="001A6E72" w:rsidP="006416C9">
            <w:pPr>
              <w:jc w:val="left"/>
              <w:rPr>
                <w:b/>
                <w:color w:val="auto"/>
                <w:sz w:val="20"/>
                <w:szCs w:val="20"/>
              </w:rPr>
            </w:pPr>
            <w:r w:rsidRPr="009C05C8">
              <w:rPr>
                <w:b/>
                <w:color w:val="auto"/>
                <w:sz w:val="20"/>
                <w:szCs w:val="20"/>
              </w:rPr>
              <w:t>Adjustments involving the Collection Fund Adjustment Account:</w:t>
            </w:r>
          </w:p>
        </w:tc>
        <w:tc>
          <w:tcPr>
            <w:tcW w:w="1829" w:type="dxa"/>
            <w:shd w:val="clear" w:color="auto" w:fill="E7E6E6"/>
            <w:vAlign w:val="bottom"/>
          </w:tcPr>
          <w:p w14:paraId="72DFDE00" w14:textId="77777777" w:rsidR="001A6E72" w:rsidRPr="00F13104" w:rsidRDefault="001A6E72" w:rsidP="006416C9">
            <w:pPr>
              <w:tabs>
                <w:tab w:val="decimal" w:pos="895"/>
              </w:tabs>
              <w:rPr>
                <w:color w:val="auto"/>
                <w:sz w:val="20"/>
                <w:szCs w:val="20"/>
              </w:rPr>
            </w:pPr>
          </w:p>
        </w:tc>
        <w:tc>
          <w:tcPr>
            <w:tcW w:w="1827" w:type="dxa"/>
            <w:shd w:val="clear" w:color="auto" w:fill="E7E6E6"/>
            <w:vAlign w:val="bottom"/>
          </w:tcPr>
          <w:p w14:paraId="11549A11" w14:textId="77777777" w:rsidR="001A6E72" w:rsidRPr="00F13104" w:rsidRDefault="001A6E72" w:rsidP="006416C9">
            <w:pPr>
              <w:tabs>
                <w:tab w:val="decimal" w:pos="799"/>
              </w:tabs>
              <w:rPr>
                <w:color w:val="auto"/>
                <w:sz w:val="20"/>
                <w:szCs w:val="20"/>
              </w:rPr>
            </w:pPr>
          </w:p>
        </w:tc>
        <w:tc>
          <w:tcPr>
            <w:tcW w:w="1967" w:type="dxa"/>
            <w:shd w:val="clear" w:color="auto" w:fill="E7E6E6"/>
            <w:vAlign w:val="bottom"/>
          </w:tcPr>
          <w:p w14:paraId="75A73F96" w14:textId="77777777" w:rsidR="001A6E72" w:rsidRPr="00F13104" w:rsidRDefault="001A6E72" w:rsidP="006416C9">
            <w:pPr>
              <w:tabs>
                <w:tab w:val="decimal" w:pos="884"/>
              </w:tabs>
              <w:rPr>
                <w:color w:val="auto"/>
                <w:sz w:val="20"/>
                <w:szCs w:val="20"/>
              </w:rPr>
            </w:pPr>
          </w:p>
        </w:tc>
        <w:tc>
          <w:tcPr>
            <w:tcW w:w="2527" w:type="dxa"/>
            <w:tcBorders>
              <w:right w:val="single" w:sz="4" w:space="0" w:color="auto"/>
            </w:tcBorders>
            <w:shd w:val="clear" w:color="auto" w:fill="E7E6E6"/>
            <w:vAlign w:val="bottom"/>
          </w:tcPr>
          <w:p w14:paraId="2C3F4D49" w14:textId="77777777" w:rsidR="001A6E72" w:rsidRPr="00F13104" w:rsidRDefault="001A6E72" w:rsidP="006416C9">
            <w:pPr>
              <w:tabs>
                <w:tab w:val="decimal" w:pos="1167"/>
              </w:tabs>
              <w:rPr>
                <w:color w:val="auto"/>
                <w:sz w:val="20"/>
                <w:szCs w:val="20"/>
              </w:rPr>
            </w:pPr>
          </w:p>
        </w:tc>
      </w:tr>
      <w:tr w:rsidR="001A6E72" w:rsidRPr="00F13104" w14:paraId="2DA3DCD9" w14:textId="77777777" w:rsidTr="00A06955">
        <w:trPr>
          <w:trHeight w:val="570"/>
        </w:trPr>
        <w:tc>
          <w:tcPr>
            <w:tcW w:w="7185" w:type="dxa"/>
            <w:tcBorders>
              <w:left w:val="single" w:sz="4" w:space="0" w:color="auto"/>
            </w:tcBorders>
            <w:shd w:val="clear" w:color="auto" w:fill="auto"/>
            <w:vAlign w:val="bottom"/>
          </w:tcPr>
          <w:p w14:paraId="6752F193" w14:textId="12757471" w:rsidR="001A6E72" w:rsidRPr="00F13104" w:rsidRDefault="001A6E72" w:rsidP="00A96B67">
            <w:pPr>
              <w:jc w:val="left"/>
              <w:rPr>
                <w:color w:val="auto"/>
                <w:sz w:val="20"/>
                <w:szCs w:val="20"/>
              </w:rPr>
            </w:pPr>
            <w:r w:rsidRPr="009C05C8">
              <w:rPr>
                <w:color w:val="auto"/>
                <w:sz w:val="20"/>
                <w:szCs w:val="20"/>
              </w:rPr>
              <w:t xml:space="preserve">-Amount by which council </w:t>
            </w:r>
            <w:r w:rsidRPr="006F47E5">
              <w:rPr>
                <w:color w:val="auto"/>
                <w:sz w:val="20"/>
                <w:szCs w:val="20"/>
              </w:rPr>
              <w:t>tax</w:t>
            </w:r>
            <w:r w:rsidR="00232714" w:rsidRPr="006F47E5">
              <w:rPr>
                <w:color w:val="auto"/>
                <w:sz w:val="20"/>
                <w:szCs w:val="20"/>
              </w:rPr>
              <w:t xml:space="preserve"> and NDR</w:t>
            </w:r>
            <w:r w:rsidR="000D69E2" w:rsidRPr="006F47E5">
              <w:rPr>
                <w:color w:val="auto"/>
                <w:sz w:val="20"/>
                <w:szCs w:val="20"/>
              </w:rPr>
              <w:t xml:space="preserve"> </w:t>
            </w:r>
            <w:r w:rsidRPr="006F47E5">
              <w:rPr>
                <w:color w:val="auto"/>
                <w:sz w:val="20"/>
                <w:szCs w:val="20"/>
              </w:rPr>
              <w:t>income</w:t>
            </w:r>
            <w:r w:rsidRPr="009C05C8">
              <w:rPr>
                <w:color w:val="auto"/>
                <w:sz w:val="20"/>
                <w:szCs w:val="20"/>
              </w:rPr>
              <w:t xml:space="preserve"> credited to the CIES is different from council </w:t>
            </w:r>
            <w:r w:rsidRPr="006F47E5">
              <w:rPr>
                <w:color w:val="auto"/>
                <w:sz w:val="20"/>
                <w:szCs w:val="20"/>
              </w:rPr>
              <w:t>tax</w:t>
            </w:r>
            <w:r w:rsidR="00274F0F" w:rsidRPr="006F47E5">
              <w:rPr>
                <w:color w:val="auto"/>
                <w:sz w:val="20"/>
                <w:szCs w:val="20"/>
              </w:rPr>
              <w:t xml:space="preserve"> and NDR</w:t>
            </w:r>
            <w:r w:rsidRPr="006F47E5">
              <w:rPr>
                <w:color w:val="auto"/>
                <w:sz w:val="20"/>
                <w:szCs w:val="20"/>
              </w:rPr>
              <w:t xml:space="preserve"> income</w:t>
            </w:r>
            <w:r w:rsidRPr="009C05C8">
              <w:rPr>
                <w:color w:val="auto"/>
                <w:sz w:val="20"/>
                <w:szCs w:val="20"/>
              </w:rPr>
              <w:t xml:space="preserve"> calculated for the year in accordance with statutory requirements</w:t>
            </w:r>
          </w:p>
        </w:tc>
        <w:tc>
          <w:tcPr>
            <w:tcW w:w="1829" w:type="dxa"/>
            <w:shd w:val="clear" w:color="auto" w:fill="auto"/>
            <w:vAlign w:val="bottom"/>
          </w:tcPr>
          <w:p w14:paraId="740A83AB" w14:textId="77777777" w:rsidR="001A6E72" w:rsidRPr="00F13104" w:rsidRDefault="002831E1" w:rsidP="006416C9">
            <w:pPr>
              <w:tabs>
                <w:tab w:val="decimal" w:pos="895"/>
              </w:tabs>
              <w:rPr>
                <w:color w:val="auto"/>
                <w:sz w:val="20"/>
                <w:szCs w:val="20"/>
              </w:rPr>
            </w:pPr>
            <w:r>
              <w:rPr>
                <w:color w:val="auto"/>
                <w:sz w:val="20"/>
                <w:szCs w:val="20"/>
              </w:rPr>
              <w:t>2.5</w:t>
            </w:r>
          </w:p>
        </w:tc>
        <w:tc>
          <w:tcPr>
            <w:tcW w:w="1827" w:type="dxa"/>
            <w:shd w:val="clear" w:color="auto" w:fill="auto"/>
            <w:vAlign w:val="bottom"/>
          </w:tcPr>
          <w:p w14:paraId="526A2D35" w14:textId="77777777" w:rsidR="001A6E72" w:rsidRPr="00F13104" w:rsidRDefault="001A6E72" w:rsidP="006416C9">
            <w:pPr>
              <w:tabs>
                <w:tab w:val="decimal" w:pos="799"/>
              </w:tabs>
              <w:rPr>
                <w:color w:val="auto"/>
                <w:sz w:val="20"/>
                <w:szCs w:val="20"/>
              </w:rPr>
            </w:pPr>
            <w:r>
              <w:rPr>
                <w:color w:val="auto"/>
                <w:sz w:val="20"/>
                <w:szCs w:val="20"/>
              </w:rPr>
              <w:t>-</w:t>
            </w:r>
          </w:p>
        </w:tc>
        <w:tc>
          <w:tcPr>
            <w:tcW w:w="1967" w:type="dxa"/>
            <w:shd w:val="clear" w:color="auto" w:fill="auto"/>
            <w:vAlign w:val="bottom"/>
          </w:tcPr>
          <w:p w14:paraId="4E552E48" w14:textId="77777777" w:rsidR="001A6E72" w:rsidRPr="00F13104" w:rsidRDefault="001A6E72" w:rsidP="006416C9">
            <w:pPr>
              <w:tabs>
                <w:tab w:val="decimal" w:pos="884"/>
              </w:tabs>
              <w:rPr>
                <w:color w:val="auto"/>
                <w:sz w:val="20"/>
                <w:szCs w:val="20"/>
              </w:rPr>
            </w:pPr>
            <w:r>
              <w:rPr>
                <w:color w:val="auto"/>
                <w:sz w:val="20"/>
                <w:szCs w:val="20"/>
              </w:rPr>
              <w:t>-</w:t>
            </w:r>
          </w:p>
        </w:tc>
        <w:tc>
          <w:tcPr>
            <w:tcW w:w="2527" w:type="dxa"/>
            <w:tcBorders>
              <w:right w:val="single" w:sz="4" w:space="0" w:color="auto"/>
            </w:tcBorders>
            <w:shd w:val="clear" w:color="auto" w:fill="auto"/>
            <w:vAlign w:val="bottom"/>
          </w:tcPr>
          <w:p w14:paraId="34DD6CCE" w14:textId="77777777" w:rsidR="001A6E72" w:rsidRPr="00F13104" w:rsidRDefault="002831E1" w:rsidP="006416C9">
            <w:pPr>
              <w:tabs>
                <w:tab w:val="decimal" w:pos="1167"/>
              </w:tabs>
              <w:rPr>
                <w:color w:val="auto"/>
                <w:sz w:val="20"/>
                <w:szCs w:val="20"/>
              </w:rPr>
            </w:pPr>
            <w:r>
              <w:rPr>
                <w:color w:val="auto"/>
                <w:sz w:val="20"/>
                <w:szCs w:val="20"/>
              </w:rPr>
              <w:t>(2.5)</w:t>
            </w:r>
          </w:p>
        </w:tc>
      </w:tr>
      <w:tr w:rsidR="001A6E72" w:rsidRPr="00F13104" w14:paraId="2C2DC875" w14:textId="77777777" w:rsidTr="00A06955">
        <w:trPr>
          <w:trHeight w:val="454"/>
        </w:trPr>
        <w:tc>
          <w:tcPr>
            <w:tcW w:w="7185" w:type="dxa"/>
            <w:tcBorders>
              <w:left w:val="single" w:sz="4" w:space="0" w:color="auto"/>
            </w:tcBorders>
            <w:shd w:val="clear" w:color="auto" w:fill="E7E6E6"/>
            <w:vAlign w:val="bottom"/>
          </w:tcPr>
          <w:p w14:paraId="025C4BA6" w14:textId="77777777" w:rsidR="001A6E72" w:rsidRPr="00F13104" w:rsidRDefault="001A6E72" w:rsidP="006416C9">
            <w:pPr>
              <w:jc w:val="left"/>
              <w:rPr>
                <w:b/>
                <w:color w:val="auto"/>
                <w:sz w:val="20"/>
                <w:szCs w:val="20"/>
              </w:rPr>
            </w:pPr>
            <w:r w:rsidRPr="00E42A0F">
              <w:rPr>
                <w:b/>
                <w:color w:val="auto"/>
                <w:sz w:val="20"/>
                <w:szCs w:val="20"/>
              </w:rPr>
              <w:t>Adjustment involving the Accumulated Absences Account</w:t>
            </w:r>
          </w:p>
        </w:tc>
        <w:tc>
          <w:tcPr>
            <w:tcW w:w="1829" w:type="dxa"/>
            <w:shd w:val="clear" w:color="auto" w:fill="E7E6E6"/>
            <w:vAlign w:val="bottom"/>
          </w:tcPr>
          <w:p w14:paraId="29CED87A" w14:textId="77777777" w:rsidR="001A6E72" w:rsidRPr="00F13104" w:rsidRDefault="001A6E72" w:rsidP="006416C9">
            <w:pPr>
              <w:tabs>
                <w:tab w:val="decimal" w:pos="895"/>
              </w:tabs>
              <w:rPr>
                <w:b/>
                <w:color w:val="auto"/>
                <w:sz w:val="20"/>
                <w:szCs w:val="20"/>
              </w:rPr>
            </w:pPr>
          </w:p>
        </w:tc>
        <w:tc>
          <w:tcPr>
            <w:tcW w:w="1827" w:type="dxa"/>
            <w:shd w:val="clear" w:color="auto" w:fill="E7E6E6"/>
            <w:vAlign w:val="bottom"/>
          </w:tcPr>
          <w:p w14:paraId="7F538A80" w14:textId="77777777" w:rsidR="001A6E72" w:rsidRPr="00F13104" w:rsidRDefault="001A6E72" w:rsidP="006416C9">
            <w:pPr>
              <w:tabs>
                <w:tab w:val="decimal" w:pos="799"/>
              </w:tabs>
              <w:rPr>
                <w:b/>
                <w:color w:val="auto"/>
                <w:sz w:val="20"/>
                <w:szCs w:val="20"/>
              </w:rPr>
            </w:pPr>
          </w:p>
        </w:tc>
        <w:tc>
          <w:tcPr>
            <w:tcW w:w="1967" w:type="dxa"/>
            <w:shd w:val="clear" w:color="auto" w:fill="E7E6E6"/>
            <w:vAlign w:val="bottom"/>
          </w:tcPr>
          <w:p w14:paraId="42F53A99" w14:textId="77777777" w:rsidR="001A6E72" w:rsidRPr="00F13104" w:rsidRDefault="001A6E72" w:rsidP="006416C9">
            <w:pPr>
              <w:tabs>
                <w:tab w:val="decimal" w:pos="884"/>
              </w:tabs>
              <w:rPr>
                <w:b/>
                <w:color w:val="auto"/>
                <w:sz w:val="20"/>
                <w:szCs w:val="20"/>
              </w:rPr>
            </w:pPr>
          </w:p>
        </w:tc>
        <w:tc>
          <w:tcPr>
            <w:tcW w:w="2527" w:type="dxa"/>
            <w:tcBorders>
              <w:right w:val="single" w:sz="4" w:space="0" w:color="auto"/>
            </w:tcBorders>
            <w:shd w:val="clear" w:color="auto" w:fill="E7E6E6"/>
            <w:vAlign w:val="bottom"/>
          </w:tcPr>
          <w:p w14:paraId="54D5E136" w14:textId="77777777" w:rsidR="001A6E72" w:rsidRPr="00F13104" w:rsidRDefault="001A6E72" w:rsidP="006416C9">
            <w:pPr>
              <w:tabs>
                <w:tab w:val="decimal" w:pos="1167"/>
              </w:tabs>
              <w:rPr>
                <w:b/>
                <w:color w:val="auto"/>
                <w:sz w:val="20"/>
                <w:szCs w:val="20"/>
              </w:rPr>
            </w:pPr>
          </w:p>
        </w:tc>
      </w:tr>
      <w:tr w:rsidR="001A6E72" w:rsidRPr="00F13104" w14:paraId="4DF19744" w14:textId="77777777" w:rsidTr="00A06955">
        <w:trPr>
          <w:trHeight w:val="454"/>
        </w:trPr>
        <w:tc>
          <w:tcPr>
            <w:tcW w:w="7185" w:type="dxa"/>
            <w:tcBorders>
              <w:left w:val="single" w:sz="4" w:space="0" w:color="auto"/>
            </w:tcBorders>
            <w:shd w:val="clear" w:color="auto" w:fill="auto"/>
            <w:vAlign w:val="bottom"/>
          </w:tcPr>
          <w:p w14:paraId="7370034C" w14:textId="77777777" w:rsidR="001A6E72" w:rsidRPr="00F13104" w:rsidRDefault="001A6E72" w:rsidP="006416C9">
            <w:pPr>
              <w:jc w:val="left"/>
              <w:rPr>
                <w:color w:val="auto"/>
                <w:sz w:val="20"/>
                <w:szCs w:val="20"/>
              </w:rPr>
            </w:pPr>
            <w:r w:rsidRPr="00E42A0F">
              <w:rPr>
                <w:color w:val="auto"/>
                <w:sz w:val="20"/>
                <w:szCs w:val="20"/>
              </w:rPr>
              <w:lastRenderedPageBreak/>
              <w:t>-Amount by which officer remuneration charged to the CIES on an accruals basis is different from remuneration chargeable in the year in accordance with statutory requirements</w:t>
            </w:r>
          </w:p>
        </w:tc>
        <w:tc>
          <w:tcPr>
            <w:tcW w:w="1829" w:type="dxa"/>
            <w:tcBorders>
              <w:bottom w:val="single" w:sz="4" w:space="0" w:color="auto"/>
            </w:tcBorders>
            <w:shd w:val="clear" w:color="auto" w:fill="auto"/>
            <w:vAlign w:val="bottom"/>
          </w:tcPr>
          <w:p w14:paraId="2B3B6FCC" w14:textId="77777777" w:rsidR="001A6E72" w:rsidRPr="00F13104" w:rsidRDefault="002831E1" w:rsidP="006416C9">
            <w:pPr>
              <w:tabs>
                <w:tab w:val="decimal" w:pos="895"/>
              </w:tabs>
              <w:rPr>
                <w:color w:val="auto"/>
                <w:sz w:val="20"/>
                <w:szCs w:val="20"/>
              </w:rPr>
            </w:pPr>
            <w:r>
              <w:rPr>
                <w:color w:val="auto"/>
                <w:sz w:val="20"/>
                <w:szCs w:val="20"/>
              </w:rPr>
              <w:t>(0.6)</w:t>
            </w:r>
          </w:p>
        </w:tc>
        <w:tc>
          <w:tcPr>
            <w:tcW w:w="1827" w:type="dxa"/>
            <w:tcBorders>
              <w:bottom w:val="single" w:sz="4" w:space="0" w:color="auto"/>
            </w:tcBorders>
            <w:shd w:val="clear" w:color="auto" w:fill="auto"/>
            <w:vAlign w:val="bottom"/>
          </w:tcPr>
          <w:p w14:paraId="223CC23F" w14:textId="77777777" w:rsidR="001A6E72" w:rsidRPr="00F13104" w:rsidRDefault="001A6E72" w:rsidP="006416C9">
            <w:pPr>
              <w:tabs>
                <w:tab w:val="decimal" w:pos="799"/>
              </w:tabs>
              <w:rPr>
                <w:color w:val="auto"/>
                <w:sz w:val="20"/>
                <w:szCs w:val="20"/>
              </w:rPr>
            </w:pPr>
            <w:r>
              <w:rPr>
                <w:color w:val="auto"/>
                <w:sz w:val="20"/>
                <w:szCs w:val="20"/>
              </w:rPr>
              <w:t>-</w:t>
            </w:r>
          </w:p>
        </w:tc>
        <w:tc>
          <w:tcPr>
            <w:tcW w:w="1967" w:type="dxa"/>
            <w:tcBorders>
              <w:bottom w:val="single" w:sz="4" w:space="0" w:color="auto"/>
            </w:tcBorders>
            <w:shd w:val="clear" w:color="auto" w:fill="auto"/>
            <w:vAlign w:val="bottom"/>
          </w:tcPr>
          <w:p w14:paraId="0FF4BC43" w14:textId="77777777" w:rsidR="001A6E72" w:rsidRPr="00F13104" w:rsidRDefault="001A6E72" w:rsidP="006416C9">
            <w:pPr>
              <w:tabs>
                <w:tab w:val="decimal" w:pos="884"/>
              </w:tabs>
              <w:rPr>
                <w:color w:val="auto"/>
                <w:sz w:val="20"/>
                <w:szCs w:val="20"/>
              </w:rPr>
            </w:pPr>
            <w:r>
              <w:rPr>
                <w:color w:val="auto"/>
                <w:sz w:val="20"/>
                <w:szCs w:val="20"/>
              </w:rPr>
              <w:t>-</w:t>
            </w:r>
          </w:p>
        </w:tc>
        <w:tc>
          <w:tcPr>
            <w:tcW w:w="2527" w:type="dxa"/>
            <w:tcBorders>
              <w:bottom w:val="single" w:sz="4" w:space="0" w:color="auto"/>
              <w:right w:val="single" w:sz="4" w:space="0" w:color="auto"/>
            </w:tcBorders>
            <w:shd w:val="clear" w:color="auto" w:fill="auto"/>
            <w:vAlign w:val="bottom"/>
          </w:tcPr>
          <w:p w14:paraId="3AE713DB" w14:textId="77777777" w:rsidR="001A6E72" w:rsidRPr="00F13104" w:rsidRDefault="002831E1" w:rsidP="006416C9">
            <w:pPr>
              <w:tabs>
                <w:tab w:val="decimal" w:pos="1167"/>
              </w:tabs>
              <w:rPr>
                <w:color w:val="auto"/>
                <w:sz w:val="20"/>
                <w:szCs w:val="20"/>
              </w:rPr>
            </w:pPr>
            <w:r>
              <w:rPr>
                <w:color w:val="auto"/>
                <w:sz w:val="20"/>
                <w:szCs w:val="20"/>
              </w:rPr>
              <w:t>0.6</w:t>
            </w:r>
          </w:p>
        </w:tc>
      </w:tr>
      <w:tr w:rsidR="001A6E72" w:rsidRPr="00F13104" w14:paraId="269FFE40" w14:textId="77777777" w:rsidTr="00A06955">
        <w:trPr>
          <w:trHeight w:val="454"/>
        </w:trPr>
        <w:tc>
          <w:tcPr>
            <w:tcW w:w="7185" w:type="dxa"/>
            <w:tcBorders>
              <w:left w:val="single" w:sz="4" w:space="0" w:color="auto"/>
              <w:bottom w:val="single" w:sz="4" w:space="0" w:color="auto"/>
            </w:tcBorders>
            <w:shd w:val="clear" w:color="auto" w:fill="auto"/>
            <w:vAlign w:val="bottom"/>
          </w:tcPr>
          <w:p w14:paraId="4844FC52" w14:textId="77777777" w:rsidR="001A6E72" w:rsidRPr="00F13104" w:rsidRDefault="001A6E72" w:rsidP="006416C9">
            <w:pPr>
              <w:jc w:val="left"/>
              <w:rPr>
                <w:b/>
                <w:color w:val="auto"/>
                <w:sz w:val="20"/>
                <w:szCs w:val="20"/>
              </w:rPr>
            </w:pPr>
            <w:r>
              <w:rPr>
                <w:b/>
                <w:color w:val="auto"/>
                <w:sz w:val="20"/>
                <w:szCs w:val="20"/>
              </w:rPr>
              <w:t>Total adjustments</w:t>
            </w:r>
          </w:p>
        </w:tc>
        <w:tc>
          <w:tcPr>
            <w:tcW w:w="1829" w:type="dxa"/>
            <w:tcBorders>
              <w:top w:val="single" w:sz="4" w:space="0" w:color="auto"/>
              <w:bottom w:val="single" w:sz="4" w:space="0" w:color="auto"/>
            </w:tcBorders>
            <w:shd w:val="clear" w:color="auto" w:fill="auto"/>
            <w:vAlign w:val="bottom"/>
          </w:tcPr>
          <w:p w14:paraId="1990AFDB" w14:textId="77777777" w:rsidR="001A6E72" w:rsidRPr="00F13104" w:rsidRDefault="002831E1" w:rsidP="006416C9">
            <w:pPr>
              <w:tabs>
                <w:tab w:val="decimal" w:pos="895"/>
              </w:tabs>
              <w:rPr>
                <w:b/>
                <w:color w:val="auto"/>
                <w:sz w:val="20"/>
                <w:szCs w:val="20"/>
              </w:rPr>
            </w:pPr>
            <w:r>
              <w:rPr>
                <w:b/>
                <w:color w:val="auto"/>
                <w:sz w:val="20"/>
                <w:szCs w:val="20"/>
              </w:rPr>
              <w:t>(27.5)</w:t>
            </w:r>
          </w:p>
        </w:tc>
        <w:tc>
          <w:tcPr>
            <w:tcW w:w="1827" w:type="dxa"/>
            <w:tcBorders>
              <w:top w:val="single" w:sz="4" w:space="0" w:color="auto"/>
              <w:bottom w:val="single" w:sz="4" w:space="0" w:color="auto"/>
            </w:tcBorders>
            <w:shd w:val="clear" w:color="auto" w:fill="auto"/>
            <w:vAlign w:val="bottom"/>
          </w:tcPr>
          <w:p w14:paraId="5EB724C5" w14:textId="77777777" w:rsidR="001A6E72" w:rsidRPr="00F13104" w:rsidRDefault="002831E1" w:rsidP="006416C9">
            <w:pPr>
              <w:tabs>
                <w:tab w:val="decimal" w:pos="799"/>
              </w:tabs>
              <w:rPr>
                <w:b/>
                <w:color w:val="auto"/>
                <w:sz w:val="20"/>
                <w:szCs w:val="20"/>
              </w:rPr>
            </w:pPr>
            <w:r>
              <w:rPr>
                <w:b/>
                <w:color w:val="auto"/>
                <w:sz w:val="20"/>
                <w:szCs w:val="20"/>
              </w:rPr>
              <w:t>(4.7)</w:t>
            </w:r>
          </w:p>
        </w:tc>
        <w:tc>
          <w:tcPr>
            <w:tcW w:w="1967" w:type="dxa"/>
            <w:tcBorders>
              <w:top w:val="single" w:sz="4" w:space="0" w:color="auto"/>
              <w:bottom w:val="single" w:sz="4" w:space="0" w:color="auto"/>
            </w:tcBorders>
            <w:shd w:val="clear" w:color="auto" w:fill="auto"/>
            <w:vAlign w:val="bottom"/>
          </w:tcPr>
          <w:p w14:paraId="330A8CF5" w14:textId="77777777" w:rsidR="001A6E72" w:rsidRPr="00F13104" w:rsidRDefault="002831E1" w:rsidP="006416C9">
            <w:pPr>
              <w:tabs>
                <w:tab w:val="decimal" w:pos="884"/>
              </w:tabs>
              <w:rPr>
                <w:b/>
                <w:color w:val="auto"/>
                <w:sz w:val="20"/>
                <w:szCs w:val="20"/>
              </w:rPr>
            </w:pPr>
            <w:r>
              <w:rPr>
                <w:b/>
                <w:color w:val="auto"/>
                <w:sz w:val="20"/>
                <w:szCs w:val="20"/>
              </w:rPr>
              <w:t>39.9</w:t>
            </w:r>
          </w:p>
        </w:tc>
        <w:tc>
          <w:tcPr>
            <w:tcW w:w="2527" w:type="dxa"/>
            <w:tcBorders>
              <w:top w:val="single" w:sz="4" w:space="0" w:color="auto"/>
              <w:bottom w:val="single" w:sz="4" w:space="0" w:color="auto"/>
              <w:right w:val="single" w:sz="4" w:space="0" w:color="auto"/>
            </w:tcBorders>
            <w:shd w:val="clear" w:color="auto" w:fill="auto"/>
            <w:vAlign w:val="bottom"/>
          </w:tcPr>
          <w:p w14:paraId="36CE625B" w14:textId="77777777" w:rsidR="001A6E72" w:rsidRPr="00F13104" w:rsidRDefault="002831E1" w:rsidP="006416C9">
            <w:pPr>
              <w:tabs>
                <w:tab w:val="decimal" w:pos="1167"/>
              </w:tabs>
              <w:rPr>
                <w:b/>
                <w:color w:val="auto"/>
                <w:sz w:val="20"/>
                <w:szCs w:val="20"/>
              </w:rPr>
            </w:pPr>
            <w:r>
              <w:rPr>
                <w:b/>
                <w:color w:val="auto"/>
                <w:sz w:val="20"/>
                <w:szCs w:val="20"/>
              </w:rPr>
              <w:t>(7.7)</w:t>
            </w:r>
          </w:p>
        </w:tc>
      </w:tr>
    </w:tbl>
    <w:p w14:paraId="62E991C6" w14:textId="77777777" w:rsidR="002831E1" w:rsidRDefault="002831E1" w:rsidP="00853936">
      <w:pPr>
        <w:rPr>
          <w:lang w:eastAsia="en-GB"/>
        </w:rPr>
        <w:sectPr w:rsidR="002831E1" w:rsidSect="00853936">
          <w:footerReference w:type="default" r:id="rId17"/>
          <w:pgSz w:w="16840" w:h="11900" w:orient="landscape" w:code="9"/>
          <w:pgMar w:top="720" w:right="720" w:bottom="720" w:left="720" w:header="284" w:footer="284" w:gutter="0"/>
          <w:cols w:space="292"/>
          <w:docGrid w:linePitch="326"/>
        </w:sectPr>
      </w:pPr>
    </w:p>
    <w:p w14:paraId="358A3F6F" w14:textId="4FCCDFCD" w:rsidR="001A6E72" w:rsidRPr="006B6F3A" w:rsidRDefault="002831E1" w:rsidP="002831E1">
      <w:pPr>
        <w:pStyle w:val="Heading2"/>
      </w:pPr>
      <w:r w:rsidRPr="006B6F3A">
        <w:lastRenderedPageBreak/>
        <w:t>7</w:t>
      </w:r>
      <w:bookmarkStart w:id="7" w:name="OLE_LINK1"/>
      <w:r w:rsidR="00B8312E">
        <w:t>. Transfers to and from earmarked r</w:t>
      </w:r>
      <w:r w:rsidRPr="006B6F3A">
        <w:t>eserves</w:t>
      </w:r>
    </w:p>
    <w:p w14:paraId="13B04B63" w14:textId="77777777" w:rsidR="002831E1" w:rsidRPr="006B6F3A" w:rsidRDefault="002831E1" w:rsidP="002831E1">
      <w:pPr>
        <w:rPr>
          <w:lang w:eastAsia="en-GB"/>
        </w:rPr>
      </w:pPr>
      <w:r w:rsidRPr="006B6F3A">
        <w:rPr>
          <w:lang w:eastAsia="en-GB"/>
        </w:rPr>
        <w:t>Detailed below are the amounts set aside from the county fund balances in earmarked reserves to provide financing for future expenditure plans, and the amounts posted back from earmarked reserves to meet county fund expenditure in 2014/15.</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1135"/>
        <w:gridCol w:w="1789"/>
        <w:gridCol w:w="1388"/>
        <w:gridCol w:w="1323"/>
      </w:tblGrid>
      <w:tr w:rsidR="000E5FE1" w:rsidRPr="006B6F3A" w14:paraId="64169AC5" w14:textId="77777777" w:rsidTr="008D0533">
        <w:trPr>
          <w:trHeight w:val="369"/>
          <w:tblHeader/>
        </w:trPr>
        <w:tc>
          <w:tcPr>
            <w:tcW w:w="2304" w:type="pct"/>
            <w:shd w:val="clear" w:color="auto" w:fill="D0CECE"/>
            <w:vAlign w:val="bottom"/>
          </w:tcPr>
          <w:p w14:paraId="6D48C212" w14:textId="77777777" w:rsidR="00C615DA" w:rsidRPr="006B6F3A" w:rsidRDefault="00C615DA" w:rsidP="00C615DA">
            <w:pPr>
              <w:jc w:val="left"/>
              <w:rPr>
                <w:color w:val="auto"/>
                <w:sz w:val="20"/>
                <w:szCs w:val="20"/>
              </w:rPr>
            </w:pPr>
          </w:p>
        </w:tc>
        <w:tc>
          <w:tcPr>
            <w:tcW w:w="543" w:type="pct"/>
            <w:shd w:val="clear" w:color="auto" w:fill="D0CECE"/>
            <w:vAlign w:val="bottom"/>
          </w:tcPr>
          <w:p w14:paraId="1B4A13B8" w14:textId="77777777" w:rsidR="00C615DA" w:rsidRPr="006B6F3A" w:rsidRDefault="00C615DA" w:rsidP="000E5FE1">
            <w:pPr>
              <w:jc w:val="center"/>
              <w:rPr>
                <w:b/>
                <w:color w:val="auto"/>
                <w:sz w:val="20"/>
                <w:szCs w:val="20"/>
              </w:rPr>
            </w:pPr>
            <w:r w:rsidRPr="006B6F3A">
              <w:rPr>
                <w:b/>
                <w:color w:val="auto"/>
                <w:sz w:val="20"/>
                <w:szCs w:val="20"/>
              </w:rPr>
              <w:t>Opening Balance</w:t>
            </w:r>
          </w:p>
        </w:tc>
        <w:tc>
          <w:tcPr>
            <w:tcW w:w="856" w:type="pct"/>
            <w:shd w:val="clear" w:color="auto" w:fill="D0CECE"/>
            <w:vAlign w:val="bottom"/>
          </w:tcPr>
          <w:p w14:paraId="03E331F8" w14:textId="77777777" w:rsidR="00C615DA" w:rsidRPr="006B6F3A" w:rsidRDefault="00C615DA" w:rsidP="00C615DA">
            <w:pPr>
              <w:jc w:val="center"/>
              <w:rPr>
                <w:b/>
                <w:color w:val="auto"/>
                <w:sz w:val="20"/>
                <w:szCs w:val="20"/>
              </w:rPr>
            </w:pPr>
            <w:r w:rsidRPr="006B6F3A">
              <w:rPr>
                <w:b/>
                <w:color w:val="auto"/>
                <w:sz w:val="20"/>
                <w:szCs w:val="20"/>
              </w:rPr>
              <w:t>Net contr</w:t>
            </w:r>
            <w:r w:rsidR="000E5FE1" w:rsidRPr="006B6F3A">
              <w:rPr>
                <w:b/>
                <w:color w:val="auto"/>
                <w:sz w:val="20"/>
                <w:szCs w:val="20"/>
              </w:rPr>
              <w:t>ibutions to and from reserves (</w:t>
            </w:r>
            <w:r w:rsidRPr="006B6F3A">
              <w:rPr>
                <w:b/>
                <w:color w:val="auto"/>
                <w:sz w:val="20"/>
                <w:szCs w:val="20"/>
              </w:rPr>
              <w:t>use of reserves)</w:t>
            </w:r>
          </w:p>
        </w:tc>
        <w:tc>
          <w:tcPr>
            <w:tcW w:w="664" w:type="pct"/>
            <w:shd w:val="clear" w:color="auto" w:fill="D0CECE"/>
            <w:vAlign w:val="bottom"/>
          </w:tcPr>
          <w:p w14:paraId="3E00AC71" w14:textId="77777777" w:rsidR="00C615DA" w:rsidRPr="006B6F3A" w:rsidRDefault="00C615DA" w:rsidP="00C615DA">
            <w:pPr>
              <w:jc w:val="center"/>
              <w:rPr>
                <w:b/>
                <w:color w:val="auto"/>
                <w:sz w:val="20"/>
                <w:szCs w:val="20"/>
              </w:rPr>
            </w:pPr>
            <w:r w:rsidRPr="006B6F3A">
              <w:rPr>
                <w:b/>
                <w:color w:val="auto"/>
                <w:sz w:val="20"/>
                <w:szCs w:val="20"/>
              </w:rPr>
              <w:t>Transfers between reserves</w:t>
            </w:r>
          </w:p>
        </w:tc>
        <w:tc>
          <w:tcPr>
            <w:tcW w:w="633" w:type="pct"/>
            <w:shd w:val="clear" w:color="auto" w:fill="D0CECE"/>
            <w:vAlign w:val="bottom"/>
          </w:tcPr>
          <w:p w14:paraId="3AE4517A" w14:textId="77777777" w:rsidR="00C615DA" w:rsidRPr="006B6F3A" w:rsidRDefault="00C615DA" w:rsidP="00C615DA">
            <w:pPr>
              <w:jc w:val="center"/>
              <w:rPr>
                <w:b/>
                <w:color w:val="auto"/>
                <w:sz w:val="20"/>
                <w:szCs w:val="20"/>
              </w:rPr>
            </w:pPr>
            <w:r w:rsidRPr="006B6F3A">
              <w:rPr>
                <w:b/>
                <w:color w:val="auto"/>
                <w:sz w:val="20"/>
                <w:szCs w:val="20"/>
              </w:rPr>
              <w:t>Closing balance</w:t>
            </w:r>
          </w:p>
        </w:tc>
      </w:tr>
      <w:tr w:rsidR="000E5FE1" w:rsidRPr="006B6F3A" w14:paraId="467C1515" w14:textId="77777777" w:rsidTr="008D0533">
        <w:trPr>
          <w:trHeight w:val="369"/>
          <w:tblHeader/>
        </w:trPr>
        <w:tc>
          <w:tcPr>
            <w:tcW w:w="2304" w:type="pct"/>
            <w:shd w:val="clear" w:color="auto" w:fill="D0CECE"/>
            <w:vAlign w:val="bottom"/>
          </w:tcPr>
          <w:p w14:paraId="523C7585" w14:textId="77777777" w:rsidR="00C615DA" w:rsidRPr="006B6F3A" w:rsidRDefault="00C615DA" w:rsidP="00C615DA">
            <w:pPr>
              <w:jc w:val="left"/>
              <w:rPr>
                <w:color w:val="auto"/>
                <w:sz w:val="20"/>
                <w:szCs w:val="20"/>
              </w:rPr>
            </w:pPr>
          </w:p>
        </w:tc>
        <w:tc>
          <w:tcPr>
            <w:tcW w:w="543" w:type="pct"/>
            <w:shd w:val="clear" w:color="auto" w:fill="D0CECE"/>
            <w:vAlign w:val="bottom"/>
          </w:tcPr>
          <w:p w14:paraId="7475561D" w14:textId="77777777" w:rsidR="00C615DA" w:rsidRPr="006B6F3A" w:rsidRDefault="00B624BD" w:rsidP="00B624BD">
            <w:pPr>
              <w:jc w:val="center"/>
              <w:rPr>
                <w:b/>
                <w:color w:val="auto"/>
                <w:sz w:val="20"/>
                <w:szCs w:val="20"/>
              </w:rPr>
            </w:pPr>
            <w:r w:rsidRPr="006B6F3A">
              <w:rPr>
                <w:b/>
                <w:color w:val="auto"/>
                <w:sz w:val="20"/>
                <w:szCs w:val="20"/>
              </w:rPr>
              <w:t>£m</w:t>
            </w:r>
          </w:p>
        </w:tc>
        <w:tc>
          <w:tcPr>
            <w:tcW w:w="856" w:type="pct"/>
            <w:shd w:val="clear" w:color="auto" w:fill="D0CECE"/>
            <w:vAlign w:val="bottom"/>
          </w:tcPr>
          <w:p w14:paraId="54759ED4" w14:textId="77777777" w:rsidR="00C615DA" w:rsidRPr="006B6F3A" w:rsidRDefault="00B624BD" w:rsidP="00B624BD">
            <w:pPr>
              <w:jc w:val="center"/>
              <w:rPr>
                <w:b/>
                <w:color w:val="auto"/>
                <w:sz w:val="20"/>
                <w:szCs w:val="20"/>
              </w:rPr>
            </w:pPr>
            <w:r w:rsidRPr="006B6F3A">
              <w:rPr>
                <w:b/>
                <w:color w:val="auto"/>
                <w:sz w:val="20"/>
                <w:szCs w:val="20"/>
              </w:rPr>
              <w:t>£m</w:t>
            </w:r>
          </w:p>
        </w:tc>
        <w:tc>
          <w:tcPr>
            <w:tcW w:w="664" w:type="pct"/>
            <w:shd w:val="clear" w:color="auto" w:fill="D0CECE"/>
            <w:vAlign w:val="bottom"/>
          </w:tcPr>
          <w:p w14:paraId="3F5B1471" w14:textId="77777777" w:rsidR="00C615DA" w:rsidRPr="006B6F3A" w:rsidRDefault="00C615DA" w:rsidP="00C615DA">
            <w:pPr>
              <w:jc w:val="center"/>
              <w:rPr>
                <w:b/>
                <w:color w:val="auto"/>
                <w:sz w:val="20"/>
                <w:szCs w:val="20"/>
              </w:rPr>
            </w:pPr>
            <w:r w:rsidRPr="006B6F3A">
              <w:rPr>
                <w:b/>
                <w:color w:val="auto"/>
                <w:sz w:val="20"/>
                <w:szCs w:val="20"/>
              </w:rPr>
              <w:t>£m</w:t>
            </w:r>
          </w:p>
        </w:tc>
        <w:tc>
          <w:tcPr>
            <w:tcW w:w="633" w:type="pct"/>
            <w:shd w:val="clear" w:color="auto" w:fill="D0CECE"/>
            <w:vAlign w:val="bottom"/>
          </w:tcPr>
          <w:p w14:paraId="242BFC55" w14:textId="77777777" w:rsidR="00C615DA" w:rsidRPr="006B6F3A" w:rsidRDefault="00C615DA" w:rsidP="00C615DA">
            <w:pPr>
              <w:jc w:val="center"/>
              <w:rPr>
                <w:b/>
                <w:color w:val="auto"/>
                <w:sz w:val="20"/>
                <w:szCs w:val="20"/>
              </w:rPr>
            </w:pPr>
            <w:r w:rsidRPr="006B6F3A">
              <w:rPr>
                <w:b/>
                <w:color w:val="auto"/>
                <w:sz w:val="20"/>
                <w:szCs w:val="20"/>
              </w:rPr>
              <w:t>£m</w:t>
            </w:r>
          </w:p>
        </w:tc>
      </w:tr>
      <w:tr w:rsidR="000E5FE1" w:rsidRPr="006B6F3A" w14:paraId="6F8C23E2" w14:textId="77777777" w:rsidTr="008D0533">
        <w:trPr>
          <w:trHeight w:val="369"/>
        </w:trPr>
        <w:tc>
          <w:tcPr>
            <w:tcW w:w="2304" w:type="pct"/>
            <w:shd w:val="clear" w:color="auto" w:fill="auto"/>
            <w:vAlign w:val="bottom"/>
          </w:tcPr>
          <w:p w14:paraId="2141960E" w14:textId="77777777" w:rsidR="00C615DA" w:rsidRPr="006B6F3A" w:rsidRDefault="000E5FE1" w:rsidP="00C615DA">
            <w:pPr>
              <w:jc w:val="left"/>
              <w:rPr>
                <w:color w:val="auto"/>
                <w:sz w:val="20"/>
                <w:szCs w:val="20"/>
                <w:u w:val="single"/>
              </w:rPr>
            </w:pPr>
            <w:r w:rsidRPr="006B6F3A">
              <w:rPr>
                <w:color w:val="auto"/>
                <w:sz w:val="20"/>
                <w:szCs w:val="20"/>
                <w:u w:val="single"/>
              </w:rPr>
              <w:t>Reserves held to meet spending pressures</w:t>
            </w:r>
          </w:p>
        </w:tc>
        <w:tc>
          <w:tcPr>
            <w:tcW w:w="543" w:type="pct"/>
            <w:shd w:val="clear" w:color="auto" w:fill="auto"/>
            <w:vAlign w:val="bottom"/>
          </w:tcPr>
          <w:p w14:paraId="6C265F3D" w14:textId="77777777" w:rsidR="00C615DA" w:rsidRPr="006B6F3A" w:rsidRDefault="00C615DA" w:rsidP="00B624BD">
            <w:pPr>
              <w:tabs>
                <w:tab w:val="decimal" w:pos="602"/>
              </w:tabs>
              <w:rPr>
                <w:color w:val="auto"/>
                <w:sz w:val="20"/>
                <w:szCs w:val="20"/>
              </w:rPr>
            </w:pPr>
          </w:p>
        </w:tc>
        <w:tc>
          <w:tcPr>
            <w:tcW w:w="856" w:type="pct"/>
            <w:vAlign w:val="bottom"/>
          </w:tcPr>
          <w:p w14:paraId="1720A44B" w14:textId="77777777" w:rsidR="00C615DA" w:rsidRPr="006B6F3A" w:rsidRDefault="00C615DA" w:rsidP="00B624BD">
            <w:pPr>
              <w:tabs>
                <w:tab w:val="decimal" w:pos="884"/>
              </w:tabs>
              <w:jc w:val="center"/>
              <w:rPr>
                <w:color w:val="auto"/>
                <w:sz w:val="20"/>
                <w:szCs w:val="20"/>
              </w:rPr>
            </w:pPr>
          </w:p>
        </w:tc>
        <w:tc>
          <w:tcPr>
            <w:tcW w:w="664" w:type="pct"/>
            <w:shd w:val="clear" w:color="auto" w:fill="auto"/>
            <w:vAlign w:val="bottom"/>
          </w:tcPr>
          <w:p w14:paraId="5A4B91E8" w14:textId="77777777" w:rsidR="00C615DA" w:rsidRPr="006B6F3A" w:rsidRDefault="00C615DA" w:rsidP="00B624BD">
            <w:pPr>
              <w:tabs>
                <w:tab w:val="decimal" w:pos="632"/>
              </w:tabs>
              <w:rPr>
                <w:color w:val="auto"/>
                <w:sz w:val="20"/>
                <w:szCs w:val="20"/>
              </w:rPr>
            </w:pPr>
          </w:p>
        </w:tc>
        <w:tc>
          <w:tcPr>
            <w:tcW w:w="633" w:type="pct"/>
            <w:shd w:val="clear" w:color="auto" w:fill="auto"/>
            <w:vAlign w:val="bottom"/>
          </w:tcPr>
          <w:p w14:paraId="2029681F" w14:textId="77777777" w:rsidR="00C615DA" w:rsidRPr="006B6F3A" w:rsidRDefault="00C615DA" w:rsidP="00846982">
            <w:pPr>
              <w:tabs>
                <w:tab w:val="decimal" w:pos="599"/>
              </w:tabs>
              <w:rPr>
                <w:color w:val="auto"/>
                <w:sz w:val="20"/>
                <w:szCs w:val="20"/>
              </w:rPr>
            </w:pPr>
          </w:p>
        </w:tc>
      </w:tr>
      <w:tr w:rsidR="000E5FE1" w:rsidRPr="006B6F3A" w14:paraId="5E2C643C" w14:textId="77777777" w:rsidTr="008D0533">
        <w:trPr>
          <w:trHeight w:val="369"/>
        </w:trPr>
        <w:tc>
          <w:tcPr>
            <w:tcW w:w="2304" w:type="pct"/>
            <w:shd w:val="clear" w:color="auto" w:fill="auto"/>
            <w:vAlign w:val="bottom"/>
          </w:tcPr>
          <w:p w14:paraId="393C660D" w14:textId="77777777" w:rsidR="00C615DA" w:rsidRPr="006B6F3A" w:rsidRDefault="000E5FE1" w:rsidP="00C615DA">
            <w:pPr>
              <w:jc w:val="left"/>
              <w:rPr>
                <w:color w:val="auto"/>
                <w:sz w:val="20"/>
                <w:szCs w:val="20"/>
              </w:rPr>
            </w:pPr>
            <w:r w:rsidRPr="006B6F3A">
              <w:rPr>
                <w:rFonts w:eastAsia="Times New Roman" w:cs="Arial"/>
                <w:sz w:val="20"/>
                <w:szCs w:val="20"/>
                <w:lang w:eastAsia="en-GB"/>
              </w:rPr>
              <w:t>Business Rates Volatility Reserve</w:t>
            </w:r>
          </w:p>
        </w:tc>
        <w:tc>
          <w:tcPr>
            <w:tcW w:w="543" w:type="pct"/>
            <w:tcBorders>
              <w:top w:val="nil"/>
              <w:bottom w:val="single" w:sz="4" w:space="0" w:color="auto"/>
            </w:tcBorders>
            <w:shd w:val="clear" w:color="auto" w:fill="auto"/>
            <w:vAlign w:val="bottom"/>
          </w:tcPr>
          <w:p w14:paraId="5D23C9B4" w14:textId="77777777" w:rsidR="00C615DA" w:rsidRPr="006B6F3A" w:rsidRDefault="006E7CBB" w:rsidP="00B624BD">
            <w:pPr>
              <w:tabs>
                <w:tab w:val="decimal" w:pos="602"/>
              </w:tabs>
              <w:rPr>
                <w:color w:val="auto"/>
                <w:sz w:val="20"/>
                <w:szCs w:val="20"/>
              </w:rPr>
            </w:pPr>
            <w:r w:rsidRPr="006B6F3A">
              <w:rPr>
                <w:color w:val="auto"/>
                <w:sz w:val="20"/>
                <w:szCs w:val="20"/>
              </w:rPr>
              <w:t>(5.0)</w:t>
            </w:r>
          </w:p>
        </w:tc>
        <w:tc>
          <w:tcPr>
            <w:tcW w:w="856" w:type="pct"/>
            <w:tcBorders>
              <w:top w:val="nil"/>
              <w:bottom w:val="single" w:sz="4" w:space="0" w:color="auto"/>
            </w:tcBorders>
            <w:vAlign w:val="bottom"/>
          </w:tcPr>
          <w:p w14:paraId="40FDD515" w14:textId="77777777" w:rsidR="00C615DA" w:rsidRPr="006B6F3A" w:rsidRDefault="00B624BD" w:rsidP="00B624BD">
            <w:pPr>
              <w:tabs>
                <w:tab w:val="decimal" w:pos="884"/>
              </w:tabs>
              <w:rPr>
                <w:color w:val="auto"/>
                <w:sz w:val="20"/>
                <w:szCs w:val="20"/>
              </w:rPr>
            </w:pPr>
            <w:r w:rsidRPr="006B6F3A">
              <w:rPr>
                <w:color w:val="auto"/>
                <w:sz w:val="20"/>
                <w:szCs w:val="20"/>
              </w:rPr>
              <w:t>-</w:t>
            </w:r>
          </w:p>
        </w:tc>
        <w:tc>
          <w:tcPr>
            <w:tcW w:w="664" w:type="pct"/>
            <w:tcBorders>
              <w:top w:val="nil"/>
              <w:bottom w:val="single" w:sz="4" w:space="0" w:color="auto"/>
            </w:tcBorders>
            <w:shd w:val="clear" w:color="auto" w:fill="auto"/>
            <w:vAlign w:val="bottom"/>
          </w:tcPr>
          <w:p w14:paraId="64E46689" w14:textId="77777777" w:rsidR="00C615DA" w:rsidRPr="006B6F3A" w:rsidRDefault="00C615DA" w:rsidP="00B624BD">
            <w:pPr>
              <w:tabs>
                <w:tab w:val="decimal" w:pos="632"/>
              </w:tabs>
              <w:rPr>
                <w:color w:val="auto"/>
                <w:sz w:val="20"/>
                <w:szCs w:val="20"/>
              </w:rPr>
            </w:pPr>
            <w:r w:rsidRPr="006B6F3A">
              <w:rPr>
                <w:color w:val="auto"/>
                <w:sz w:val="20"/>
                <w:szCs w:val="20"/>
              </w:rPr>
              <w:t>-</w:t>
            </w:r>
          </w:p>
        </w:tc>
        <w:tc>
          <w:tcPr>
            <w:tcW w:w="633" w:type="pct"/>
            <w:tcBorders>
              <w:top w:val="nil"/>
              <w:bottom w:val="single" w:sz="4" w:space="0" w:color="auto"/>
            </w:tcBorders>
            <w:shd w:val="clear" w:color="auto" w:fill="auto"/>
            <w:vAlign w:val="bottom"/>
          </w:tcPr>
          <w:p w14:paraId="293E82CB" w14:textId="77777777" w:rsidR="00C615DA" w:rsidRPr="006B6F3A" w:rsidRDefault="006E7CBB" w:rsidP="00846982">
            <w:pPr>
              <w:tabs>
                <w:tab w:val="decimal" w:pos="599"/>
              </w:tabs>
              <w:rPr>
                <w:color w:val="auto"/>
                <w:sz w:val="20"/>
                <w:szCs w:val="20"/>
              </w:rPr>
            </w:pPr>
            <w:r w:rsidRPr="006B6F3A">
              <w:rPr>
                <w:color w:val="auto"/>
                <w:sz w:val="20"/>
                <w:szCs w:val="20"/>
              </w:rPr>
              <w:t>(5.0)</w:t>
            </w:r>
          </w:p>
        </w:tc>
      </w:tr>
      <w:tr w:rsidR="000E5FE1" w:rsidRPr="006B6F3A" w14:paraId="5A332542" w14:textId="77777777" w:rsidTr="008D0533">
        <w:trPr>
          <w:trHeight w:val="369"/>
        </w:trPr>
        <w:tc>
          <w:tcPr>
            <w:tcW w:w="2304" w:type="pct"/>
            <w:shd w:val="clear" w:color="auto" w:fill="auto"/>
            <w:vAlign w:val="bottom"/>
          </w:tcPr>
          <w:p w14:paraId="680E3E5E" w14:textId="77777777" w:rsidR="00C615DA" w:rsidRPr="006B6F3A" w:rsidRDefault="00C615DA" w:rsidP="00C615DA">
            <w:pPr>
              <w:jc w:val="left"/>
              <w:rPr>
                <w:b/>
                <w:color w:val="auto"/>
                <w:sz w:val="20"/>
                <w:szCs w:val="20"/>
              </w:rPr>
            </w:pPr>
          </w:p>
        </w:tc>
        <w:tc>
          <w:tcPr>
            <w:tcW w:w="543" w:type="pct"/>
            <w:tcBorders>
              <w:top w:val="single" w:sz="4" w:space="0" w:color="auto"/>
            </w:tcBorders>
            <w:shd w:val="clear" w:color="auto" w:fill="auto"/>
            <w:vAlign w:val="bottom"/>
          </w:tcPr>
          <w:p w14:paraId="057B7D8F" w14:textId="3F00BE6F" w:rsidR="00C615DA" w:rsidRPr="006B6F3A" w:rsidRDefault="006E7CBB" w:rsidP="00B624BD">
            <w:pPr>
              <w:tabs>
                <w:tab w:val="decimal" w:pos="602"/>
              </w:tabs>
              <w:rPr>
                <w:b/>
                <w:color w:val="auto"/>
                <w:sz w:val="20"/>
                <w:szCs w:val="20"/>
              </w:rPr>
            </w:pPr>
            <w:r w:rsidRPr="006B6F3A">
              <w:rPr>
                <w:b/>
                <w:color w:val="auto"/>
                <w:sz w:val="20"/>
                <w:szCs w:val="20"/>
              </w:rPr>
              <w:t>(</w:t>
            </w:r>
            <w:r w:rsidR="008370E5">
              <w:rPr>
                <w:b/>
                <w:color w:val="auto"/>
                <w:sz w:val="20"/>
                <w:szCs w:val="20"/>
              </w:rPr>
              <w:t>5</w:t>
            </w:r>
            <w:r w:rsidRPr="006B6F3A">
              <w:rPr>
                <w:b/>
                <w:color w:val="auto"/>
                <w:sz w:val="20"/>
                <w:szCs w:val="20"/>
              </w:rPr>
              <w:t>.0)</w:t>
            </w:r>
          </w:p>
        </w:tc>
        <w:tc>
          <w:tcPr>
            <w:tcW w:w="856" w:type="pct"/>
            <w:tcBorders>
              <w:top w:val="single" w:sz="4" w:space="0" w:color="auto"/>
            </w:tcBorders>
            <w:vAlign w:val="bottom"/>
          </w:tcPr>
          <w:p w14:paraId="6D8C8F85" w14:textId="3D5DBE57" w:rsidR="00C615DA" w:rsidRPr="006B6F3A" w:rsidRDefault="008370E5" w:rsidP="00B624BD">
            <w:pPr>
              <w:tabs>
                <w:tab w:val="decimal" w:pos="884"/>
              </w:tabs>
              <w:rPr>
                <w:b/>
                <w:color w:val="auto"/>
                <w:sz w:val="20"/>
                <w:szCs w:val="20"/>
              </w:rPr>
            </w:pPr>
            <w:r>
              <w:rPr>
                <w:b/>
                <w:color w:val="auto"/>
                <w:sz w:val="20"/>
                <w:szCs w:val="20"/>
              </w:rPr>
              <w:t>-</w:t>
            </w:r>
          </w:p>
        </w:tc>
        <w:tc>
          <w:tcPr>
            <w:tcW w:w="664" w:type="pct"/>
            <w:tcBorders>
              <w:top w:val="single" w:sz="4" w:space="0" w:color="auto"/>
            </w:tcBorders>
            <w:shd w:val="clear" w:color="auto" w:fill="auto"/>
            <w:vAlign w:val="bottom"/>
          </w:tcPr>
          <w:p w14:paraId="446AC07A" w14:textId="505BD80F" w:rsidR="00C615DA" w:rsidRPr="006B6F3A" w:rsidRDefault="008370E5" w:rsidP="00B624BD">
            <w:pPr>
              <w:tabs>
                <w:tab w:val="decimal" w:pos="632"/>
              </w:tabs>
              <w:rPr>
                <w:b/>
                <w:color w:val="auto"/>
                <w:sz w:val="20"/>
                <w:szCs w:val="20"/>
              </w:rPr>
            </w:pPr>
            <w:r>
              <w:rPr>
                <w:b/>
                <w:color w:val="auto"/>
                <w:sz w:val="20"/>
                <w:szCs w:val="20"/>
              </w:rPr>
              <w:t>-</w:t>
            </w:r>
          </w:p>
        </w:tc>
        <w:tc>
          <w:tcPr>
            <w:tcW w:w="633" w:type="pct"/>
            <w:tcBorders>
              <w:top w:val="single" w:sz="4" w:space="0" w:color="auto"/>
            </w:tcBorders>
            <w:shd w:val="clear" w:color="auto" w:fill="auto"/>
            <w:vAlign w:val="bottom"/>
          </w:tcPr>
          <w:p w14:paraId="4E66D62C" w14:textId="6E7CAA16" w:rsidR="00C615DA" w:rsidRPr="006B6F3A" w:rsidRDefault="006E7CBB" w:rsidP="00846982">
            <w:pPr>
              <w:tabs>
                <w:tab w:val="decimal" w:pos="599"/>
              </w:tabs>
              <w:rPr>
                <w:b/>
                <w:color w:val="auto"/>
                <w:sz w:val="20"/>
                <w:szCs w:val="20"/>
              </w:rPr>
            </w:pPr>
            <w:r w:rsidRPr="006B6F3A">
              <w:rPr>
                <w:b/>
                <w:color w:val="auto"/>
                <w:sz w:val="20"/>
                <w:szCs w:val="20"/>
              </w:rPr>
              <w:t>(</w:t>
            </w:r>
            <w:r w:rsidR="008370E5">
              <w:rPr>
                <w:b/>
                <w:color w:val="auto"/>
                <w:sz w:val="20"/>
                <w:szCs w:val="20"/>
              </w:rPr>
              <w:t>5</w:t>
            </w:r>
            <w:r w:rsidRPr="006B6F3A">
              <w:rPr>
                <w:b/>
                <w:color w:val="auto"/>
                <w:sz w:val="20"/>
                <w:szCs w:val="20"/>
              </w:rPr>
              <w:t>.0)</w:t>
            </w:r>
          </w:p>
        </w:tc>
      </w:tr>
      <w:tr w:rsidR="000E5FE1" w:rsidRPr="006B6F3A" w14:paraId="4751C65F" w14:textId="77777777" w:rsidTr="008D0533">
        <w:trPr>
          <w:trHeight w:val="369"/>
        </w:trPr>
        <w:tc>
          <w:tcPr>
            <w:tcW w:w="2304" w:type="pct"/>
            <w:shd w:val="clear" w:color="auto" w:fill="auto"/>
            <w:vAlign w:val="bottom"/>
          </w:tcPr>
          <w:p w14:paraId="7729358E" w14:textId="77777777" w:rsidR="00C615DA" w:rsidRPr="006B6F3A" w:rsidRDefault="000E5FE1" w:rsidP="00C615DA">
            <w:pPr>
              <w:jc w:val="left"/>
              <w:rPr>
                <w:color w:val="auto"/>
                <w:sz w:val="20"/>
                <w:szCs w:val="20"/>
                <w:u w:val="single"/>
              </w:rPr>
            </w:pPr>
            <w:r w:rsidRPr="006B6F3A">
              <w:rPr>
                <w:color w:val="auto"/>
                <w:sz w:val="20"/>
                <w:szCs w:val="20"/>
                <w:u w:val="single"/>
              </w:rPr>
              <w:t>Reserves held to deliver corporate priorities</w:t>
            </w:r>
          </w:p>
        </w:tc>
        <w:tc>
          <w:tcPr>
            <w:tcW w:w="543" w:type="pct"/>
            <w:shd w:val="clear" w:color="auto" w:fill="auto"/>
            <w:vAlign w:val="bottom"/>
          </w:tcPr>
          <w:p w14:paraId="02F88DF6" w14:textId="77777777" w:rsidR="00C615DA" w:rsidRPr="006B6F3A" w:rsidRDefault="00C615DA" w:rsidP="00B624BD">
            <w:pPr>
              <w:tabs>
                <w:tab w:val="decimal" w:pos="602"/>
              </w:tabs>
              <w:jc w:val="center"/>
              <w:rPr>
                <w:color w:val="auto"/>
                <w:sz w:val="20"/>
                <w:szCs w:val="20"/>
              </w:rPr>
            </w:pPr>
          </w:p>
        </w:tc>
        <w:tc>
          <w:tcPr>
            <w:tcW w:w="856" w:type="pct"/>
            <w:vAlign w:val="bottom"/>
          </w:tcPr>
          <w:p w14:paraId="146AD622" w14:textId="77777777" w:rsidR="00C615DA" w:rsidRPr="006B6F3A" w:rsidRDefault="00C615DA" w:rsidP="00B624BD">
            <w:pPr>
              <w:tabs>
                <w:tab w:val="decimal" w:pos="884"/>
              </w:tabs>
              <w:rPr>
                <w:color w:val="auto"/>
                <w:sz w:val="20"/>
                <w:szCs w:val="20"/>
              </w:rPr>
            </w:pPr>
          </w:p>
        </w:tc>
        <w:tc>
          <w:tcPr>
            <w:tcW w:w="664" w:type="pct"/>
            <w:shd w:val="clear" w:color="auto" w:fill="auto"/>
            <w:vAlign w:val="bottom"/>
          </w:tcPr>
          <w:p w14:paraId="61A59FEF" w14:textId="77777777" w:rsidR="00C615DA" w:rsidRPr="006B6F3A" w:rsidRDefault="00C615DA" w:rsidP="00B624BD">
            <w:pPr>
              <w:tabs>
                <w:tab w:val="decimal" w:pos="632"/>
              </w:tabs>
              <w:rPr>
                <w:color w:val="auto"/>
                <w:sz w:val="20"/>
                <w:szCs w:val="20"/>
              </w:rPr>
            </w:pPr>
          </w:p>
        </w:tc>
        <w:tc>
          <w:tcPr>
            <w:tcW w:w="633" w:type="pct"/>
            <w:shd w:val="clear" w:color="auto" w:fill="auto"/>
            <w:vAlign w:val="bottom"/>
          </w:tcPr>
          <w:p w14:paraId="29F56C8A" w14:textId="77777777" w:rsidR="00C615DA" w:rsidRPr="006B6F3A" w:rsidRDefault="00C615DA" w:rsidP="00846982">
            <w:pPr>
              <w:tabs>
                <w:tab w:val="decimal" w:pos="599"/>
              </w:tabs>
              <w:rPr>
                <w:color w:val="auto"/>
                <w:sz w:val="20"/>
                <w:szCs w:val="20"/>
              </w:rPr>
            </w:pPr>
          </w:p>
        </w:tc>
      </w:tr>
      <w:tr w:rsidR="000E5FE1" w:rsidRPr="006B6F3A" w14:paraId="30FE8081" w14:textId="77777777" w:rsidTr="008D0533">
        <w:trPr>
          <w:trHeight w:val="369"/>
        </w:trPr>
        <w:tc>
          <w:tcPr>
            <w:tcW w:w="2304" w:type="pct"/>
            <w:shd w:val="clear" w:color="auto" w:fill="auto"/>
            <w:vAlign w:val="bottom"/>
          </w:tcPr>
          <w:p w14:paraId="2733F4FE" w14:textId="77777777" w:rsidR="00C615DA" w:rsidRPr="006B6F3A" w:rsidRDefault="000E5FE1" w:rsidP="00C615DA">
            <w:pPr>
              <w:jc w:val="left"/>
              <w:rPr>
                <w:color w:val="auto"/>
                <w:sz w:val="20"/>
                <w:szCs w:val="20"/>
              </w:rPr>
            </w:pPr>
            <w:r w:rsidRPr="006B6F3A">
              <w:rPr>
                <w:color w:val="auto"/>
                <w:sz w:val="20"/>
                <w:szCs w:val="20"/>
              </w:rPr>
              <w:t>Strategic Investment Reserve</w:t>
            </w:r>
          </w:p>
        </w:tc>
        <w:tc>
          <w:tcPr>
            <w:tcW w:w="543" w:type="pct"/>
            <w:shd w:val="clear" w:color="auto" w:fill="auto"/>
            <w:vAlign w:val="bottom"/>
          </w:tcPr>
          <w:p w14:paraId="0F4A7CE2" w14:textId="77777777" w:rsidR="00C615DA" w:rsidRPr="006B6F3A" w:rsidRDefault="006E7CBB" w:rsidP="00B624BD">
            <w:pPr>
              <w:tabs>
                <w:tab w:val="decimal" w:pos="602"/>
              </w:tabs>
              <w:rPr>
                <w:color w:val="auto"/>
                <w:sz w:val="20"/>
                <w:szCs w:val="20"/>
              </w:rPr>
            </w:pPr>
            <w:r w:rsidRPr="006B6F3A">
              <w:rPr>
                <w:color w:val="auto"/>
                <w:sz w:val="20"/>
                <w:szCs w:val="20"/>
              </w:rPr>
              <w:t>(26.8)</w:t>
            </w:r>
          </w:p>
        </w:tc>
        <w:tc>
          <w:tcPr>
            <w:tcW w:w="856" w:type="pct"/>
            <w:vAlign w:val="bottom"/>
          </w:tcPr>
          <w:p w14:paraId="37A59DF4" w14:textId="77777777" w:rsidR="00C615DA" w:rsidRPr="006B6F3A" w:rsidRDefault="006E7CBB" w:rsidP="00B624BD">
            <w:pPr>
              <w:tabs>
                <w:tab w:val="decimal" w:pos="884"/>
              </w:tabs>
              <w:rPr>
                <w:color w:val="auto"/>
                <w:sz w:val="20"/>
                <w:szCs w:val="20"/>
              </w:rPr>
            </w:pPr>
            <w:r w:rsidRPr="006B6F3A">
              <w:rPr>
                <w:color w:val="auto"/>
                <w:sz w:val="20"/>
                <w:szCs w:val="20"/>
              </w:rPr>
              <w:t>2.7</w:t>
            </w:r>
          </w:p>
        </w:tc>
        <w:tc>
          <w:tcPr>
            <w:tcW w:w="664" w:type="pct"/>
            <w:shd w:val="clear" w:color="auto" w:fill="auto"/>
            <w:vAlign w:val="bottom"/>
          </w:tcPr>
          <w:p w14:paraId="67A967CA" w14:textId="77777777" w:rsidR="00C615DA" w:rsidRPr="006B6F3A" w:rsidRDefault="006E7CBB" w:rsidP="00B624BD">
            <w:pPr>
              <w:tabs>
                <w:tab w:val="decimal" w:pos="632"/>
              </w:tabs>
              <w:rPr>
                <w:color w:val="auto"/>
                <w:sz w:val="20"/>
                <w:szCs w:val="20"/>
              </w:rPr>
            </w:pPr>
            <w:r w:rsidRPr="006B6F3A">
              <w:rPr>
                <w:color w:val="auto"/>
                <w:sz w:val="20"/>
                <w:szCs w:val="20"/>
              </w:rPr>
              <w:t>2.7</w:t>
            </w:r>
          </w:p>
        </w:tc>
        <w:tc>
          <w:tcPr>
            <w:tcW w:w="633" w:type="pct"/>
            <w:shd w:val="clear" w:color="auto" w:fill="auto"/>
            <w:vAlign w:val="bottom"/>
          </w:tcPr>
          <w:p w14:paraId="68FF9B87" w14:textId="77777777" w:rsidR="00C615DA" w:rsidRPr="006B6F3A" w:rsidRDefault="00285E4D" w:rsidP="00846982">
            <w:pPr>
              <w:tabs>
                <w:tab w:val="decimal" w:pos="599"/>
              </w:tabs>
              <w:rPr>
                <w:color w:val="auto"/>
                <w:sz w:val="20"/>
                <w:szCs w:val="20"/>
              </w:rPr>
            </w:pPr>
            <w:r w:rsidRPr="006B6F3A">
              <w:rPr>
                <w:color w:val="auto"/>
                <w:sz w:val="20"/>
                <w:szCs w:val="20"/>
              </w:rPr>
              <w:t>(21.4)</w:t>
            </w:r>
          </w:p>
        </w:tc>
      </w:tr>
      <w:tr w:rsidR="000E5FE1" w:rsidRPr="006B6F3A" w14:paraId="4B332451" w14:textId="77777777" w:rsidTr="008D0533">
        <w:trPr>
          <w:trHeight w:val="369"/>
        </w:trPr>
        <w:tc>
          <w:tcPr>
            <w:tcW w:w="2304" w:type="pct"/>
            <w:shd w:val="clear" w:color="auto" w:fill="auto"/>
            <w:vAlign w:val="bottom"/>
          </w:tcPr>
          <w:p w14:paraId="2E94B55F" w14:textId="77777777" w:rsidR="00C615DA" w:rsidRPr="006B6F3A" w:rsidRDefault="000E5FE1" w:rsidP="00C615DA">
            <w:pPr>
              <w:jc w:val="left"/>
              <w:rPr>
                <w:color w:val="auto"/>
                <w:sz w:val="20"/>
                <w:szCs w:val="20"/>
              </w:rPr>
            </w:pPr>
            <w:r w:rsidRPr="006B6F3A">
              <w:rPr>
                <w:color w:val="auto"/>
                <w:sz w:val="20"/>
                <w:szCs w:val="20"/>
              </w:rPr>
              <w:t>Modern Apprentices</w:t>
            </w:r>
          </w:p>
        </w:tc>
        <w:tc>
          <w:tcPr>
            <w:tcW w:w="543" w:type="pct"/>
            <w:tcBorders>
              <w:bottom w:val="nil"/>
            </w:tcBorders>
            <w:shd w:val="clear" w:color="auto" w:fill="auto"/>
            <w:vAlign w:val="bottom"/>
          </w:tcPr>
          <w:p w14:paraId="19FED58E" w14:textId="2C8FE340" w:rsidR="00C615DA" w:rsidRPr="006B6F3A" w:rsidRDefault="00285E4D" w:rsidP="00A42996">
            <w:pPr>
              <w:tabs>
                <w:tab w:val="decimal" w:pos="602"/>
              </w:tabs>
              <w:rPr>
                <w:color w:val="auto"/>
                <w:sz w:val="20"/>
                <w:szCs w:val="20"/>
              </w:rPr>
            </w:pPr>
            <w:r w:rsidRPr="006B6F3A">
              <w:rPr>
                <w:color w:val="auto"/>
                <w:sz w:val="20"/>
                <w:szCs w:val="20"/>
              </w:rPr>
              <w:t>(0.</w:t>
            </w:r>
            <w:r w:rsidR="00A42996">
              <w:rPr>
                <w:color w:val="auto"/>
                <w:sz w:val="20"/>
                <w:szCs w:val="20"/>
              </w:rPr>
              <w:t>2</w:t>
            </w:r>
            <w:r w:rsidRPr="006B6F3A">
              <w:rPr>
                <w:color w:val="auto"/>
                <w:sz w:val="20"/>
                <w:szCs w:val="20"/>
              </w:rPr>
              <w:t>)</w:t>
            </w:r>
          </w:p>
        </w:tc>
        <w:tc>
          <w:tcPr>
            <w:tcW w:w="856" w:type="pct"/>
            <w:tcBorders>
              <w:bottom w:val="nil"/>
            </w:tcBorders>
            <w:vAlign w:val="bottom"/>
          </w:tcPr>
          <w:p w14:paraId="60536C78" w14:textId="77777777" w:rsidR="00C615DA" w:rsidRPr="006B6F3A" w:rsidRDefault="00B624BD" w:rsidP="00B624BD">
            <w:pPr>
              <w:tabs>
                <w:tab w:val="decimal" w:pos="884"/>
              </w:tabs>
              <w:rPr>
                <w:color w:val="auto"/>
                <w:sz w:val="20"/>
                <w:szCs w:val="20"/>
              </w:rPr>
            </w:pPr>
            <w:r w:rsidRPr="006B6F3A">
              <w:rPr>
                <w:color w:val="auto"/>
                <w:sz w:val="20"/>
                <w:szCs w:val="20"/>
              </w:rPr>
              <w:t>-</w:t>
            </w:r>
          </w:p>
        </w:tc>
        <w:tc>
          <w:tcPr>
            <w:tcW w:w="664" w:type="pct"/>
            <w:tcBorders>
              <w:bottom w:val="nil"/>
            </w:tcBorders>
            <w:shd w:val="clear" w:color="auto" w:fill="auto"/>
            <w:vAlign w:val="bottom"/>
          </w:tcPr>
          <w:p w14:paraId="7B752729" w14:textId="58EFCA29" w:rsidR="00C615DA" w:rsidRPr="006B6F3A" w:rsidRDefault="00285E4D" w:rsidP="00A42996">
            <w:pPr>
              <w:tabs>
                <w:tab w:val="decimal" w:pos="632"/>
              </w:tabs>
              <w:rPr>
                <w:color w:val="auto"/>
                <w:sz w:val="20"/>
                <w:szCs w:val="20"/>
              </w:rPr>
            </w:pPr>
            <w:r w:rsidRPr="006B6F3A">
              <w:rPr>
                <w:color w:val="auto"/>
                <w:sz w:val="20"/>
                <w:szCs w:val="20"/>
              </w:rPr>
              <w:t>0.</w:t>
            </w:r>
            <w:r w:rsidR="00A42996">
              <w:rPr>
                <w:color w:val="auto"/>
                <w:sz w:val="20"/>
                <w:szCs w:val="20"/>
              </w:rPr>
              <w:t>2</w:t>
            </w:r>
          </w:p>
        </w:tc>
        <w:tc>
          <w:tcPr>
            <w:tcW w:w="633" w:type="pct"/>
            <w:tcBorders>
              <w:bottom w:val="nil"/>
            </w:tcBorders>
            <w:shd w:val="clear" w:color="auto" w:fill="auto"/>
            <w:vAlign w:val="bottom"/>
          </w:tcPr>
          <w:p w14:paraId="586C3B7E" w14:textId="77777777" w:rsidR="00C615DA" w:rsidRPr="006B6F3A" w:rsidRDefault="00285E4D" w:rsidP="00846982">
            <w:pPr>
              <w:tabs>
                <w:tab w:val="decimal" w:pos="599"/>
              </w:tabs>
              <w:rPr>
                <w:color w:val="auto"/>
                <w:sz w:val="20"/>
                <w:szCs w:val="20"/>
              </w:rPr>
            </w:pPr>
            <w:r w:rsidRPr="006B6F3A">
              <w:rPr>
                <w:color w:val="auto"/>
                <w:sz w:val="20"/>
                <w:szCs w:val="20"/>
              </w:rPr>
              <w:t>-</w:t>
            </w:r>
          </w:p>
        </w:tc>
      </w:tr>
      <w:tr w:rsidR="000E5FE1" w:rsidRPr="006B6F3A" w14:paraId="7333B49A" w14:textId="77777777" w:rsidTr="008D0533">
        <w:trPr>
          <w:trHeight w:val="369"/>
        </w:trPr>
        <w:tc>
          <w:tcPr>
            <w:tcW w:w="2304" w:type="pct"/>
            <w:shd w:val="clear" w:color="auto" w:fill="auto"/>
            <w:vAlign w:val="bottom"/>
          </w:tcPr>
          <w:p w14:paraId="04052593" w14:textId="77777777" w:rsidR="00C615DA" w:rsidRPr="006B6F3A" w:rsidRDefault="000E5FE1" w:rsidP="00C615DA">
            <w:pPr>
              <w:jc w:val="left"/>
              <w:rPr>
                <w:color w:val="auto"/>
                <w:sz w:val="20"/>
                <w:szCs w:val="20"/>
              </w:rPr>
            </w:pPr>
            <w:r w:rsidRPr="006B6F3A">
              <w:rPr>
                <w:color w:val="auto"/>
                <w:sz w:val="20"/>
                <w:szCs w:val="20"/>
              </w:rPr>
              <w:t>Local Welfare Reserve</w:t>
            </w:r>
          </w:p>
        </w:tc>
        <w:tc>
          <w:tcPr>
            <w:tcW w:w="543" w:type="pct"/>
            <w:tcBorders>
              <w:top w:val="nil"/>
              <w:bottom w:val="single" w:sz="4" w:space="0" w:color="auto"/>
            </w:tcBorders>
            <w:shd w:val="clear" w:color="auto" w:fill="auto"/>
            <w:vAlign w:val="bottom"/>
          </w:tcPr>
          <w:p w14:paraId="547F2C54" w14:textId="5544BCCE" w:rsidR="00C615DA" w:rsidRPr="006B6F3A" w:rsidRDefault="00285E4D" w:rsidP="00A42996">
            <w:pPr>
              <w:tabs>
                <w:tab w:val="decimal" w:pos="602"/>
              </w:tabs>
              <w:rPr>
                <w:color w:val="auto"/>
                <w:sz w:val="20"/>
                <w:szCs w:val="20"/>
              </w:rPr>
            </w:pPr>
            <w:r w:rsidRPr="006B6F3A">
              <w:rPr>
                <w:color w:val="auto"/>
                <w:sz w:val="20"/>
                <w:szCs w:val="20"/>
              </w:rPr>
              <w:t>(1.</w:t>
            </w:r>
            <w:r w:rsidR="00A42996">
              <w:rPr>
                <w:color w:val="auto"/>
                <w:sz w:val="20"/>
                <w:szCs w:val="20"/>
              </w:rPr>
              <w:t>8</w:t>
            </w:r>
            <w:r w:rsidRPr="006B6F3A">
              <w:rPr>
                <w:color w:val="auto"/>
                <w:sz w:val="20"/>
                <w:szCs w:val="20"/>
              </w:rPr>
              <w:t>)</w:t>
            </w:r>
          </w:p>
        </w:tc>
        <w:tc>
          <w:tcPr>
            <w:tcW w:w="856" w:type="pct"/>
            <w:tcBorders>
              <w:top w:val="nil"/>
              <w:bottom w:val="single" w:sz="4" w:space="0" w:color="auto"/>
            </w:tcBorders>
            <w:vAlign w:val="bottom"/>
          </w:tcPr>
          <w:p w14:paraId="2DD467A3" w14:textId="77777777" w:rsidR="00C615DA" w:rsidRPr="006B6F3A" w:rsidRDefault="00B624BD" w:rsidP="00B624BD">
            <w:pPr>
              <w:tabs>
                <w:tab w:val="decimal" w:pos="884"/>
              </w:tabs>
              <w:rPr>
                <w:color w:val="auto"/>
                <w:sz w:val="20"/>
                <w:szCs w:val="20"/>
              </w:rPr>
            </w:pPr>
            <w:r w:rsidRPr="006B6F3A">
              <w:rPr>
                <w:color w:val="auto"/>
                <w:sz w:val="20"/>
                <w:szCs w:val="20"/>
              </w:rPr>
              <w:t>-</w:t>
            </w:r>
          </w:p>
        </w:tc>
        <w:tc>
          <w:tcPr>
            <w:tcW w:w="664" w:type="pct"/>
            <w:tcBorders>
              <w:top w:val="nil"/>
              <w:bottom w:val="single" w:sz="4" w:space="0" w:color="auto"/>
            </w:tcBorders>
            <w:shd w:val="clear" w:color="auto" w:fill="auto"/>
            <w:vAlign w:val="bottom"/>
          </w:tcPr>
          <w:p w14:paraId="489898E1" w14:textId="6D3BE819" w:rsidR="00C615DA" w:rsidRPr="006B6F3A" w:rsidRDefault="00285E4D" w:rsidP="00A42996">
            <w:pPr>
              <w:tabs>
                <w:tab w:val="decimal" w:pos="632"/>
              </w:tabs>
              <w:rPr>
                <w:color w:val="auto"/>
                <w:sz w:val="20"/>
                <w:szCs w:val="20"/>
              </w:rPr>
            </w:pPr>
            <w:r w:rsidRPr="006B6F3A">
              <w:rPr>
                <w:color w:val="auto"/>
                <w:sz w:val="20"/>
                <w:szCs w:val="20"/>
              </w:rPr>
              <w:t>1.</w:t>
            </w:r>
            <w:r w:rsidR="00A42996">
              <w:rPr>
                <w:color w:val="auto"/>
                <w:sz w:val="20"/>
                <w:szCs w:val="20"/>
              </w:rPr>
              <w:t>8</w:t>
            </w:r>
          </w:p>
        </w:tc>
        <w:tc>
          <w:tcPr>
            <w:tcW w:w="633" w:type="pct"/>
            <w:tcBorders>
              <w:top w:val="nil"/>
              <w:bottom w:val="single" w:sz="4" w:space="0" w:color="auto"/>
            </w:tcBorders>
            <w:shd w:val="clear" w:color="auto" w:fill="auto"/>
            <w:vAlign w:val="bottom"/>
          </w:tcPr>
          <w:p w14:paraId="212DC037" w14:textId="77777777" w:rsidR="00C615DA" w:rsidRPr="006B6F3A" w:rsidRDefault="00B624BD" w:rsidP="00846982">
            <w:pPr>
              <w:tabs>
                <w:tab w:val="decimal" w:pos="599"/>
              </w:tabs>
              <w:rPr>
                <w:color w:val="auto"/>
                <w:sz w:val="20"/>
                <w:szCs w:val="20"/>
              </w:rPr>
            </w:pPr>
            <w:r w:rsidRPr="006B6F3A">
              <w:rPr>
                <w:color w:val="auto"/>
                <w:sz w:val="20"/>
                <w:szCs w:val="20"/>
              </w:rPr>
              <w:t>-</w:t>
            </w:r>
          </w:p>
        </w:tc>
      </w:tr>
      <w:tr w:rsidR="000E5FE1" w:rsidRPr="006B6F3A" w14:paraId="0B3EF329" w14:textId="77777777" w:rsidTr="008D0533">
        <w:trPr>
          <w:trHeight w:val="369"/>
        </w:trPr>
        <w:tc>
          <w:tcPr>
            <w:tcW w:w="2304" w:type="pct"/>
            <w:shd w:val="clear" w:color="auto" w:fill="auto"/>
            <w:vAlign w:val="bottom"/>
          </w:tcPr>
          <w:p w14:paraId="21A461BF" w14:textId="77777777" w:rsidR="00C615DA" w:rsidRPr="006B6F3A" w:rsidRDefault="00C615DA" w:rsidP="00C615DA">
            <w:pPr>
              <w:jc w:val="left"/>
              <w:rPr>
                <w:b/>
                <w:color w:val="auto"/>
                <w:sz w:val="20"/>
                <w:szCs w:val="20"/>
              </w:rPr>
            </w:pPr>
          </w:p>
        </w:tc>
        <w:tc>
          <w:tcPr>
            <w:tcW w:w="543" w:type="pct"/>
            <w:tcBorders>
              <w:top w:val="single" w:sz="4" w:space="0" w:color="auto"/>
            </w:tcBorders>
            <w:shd w:val="clear" w:color="auto" w:fill="auto"/>
            <w:vAlign w:val="bottom"/>
          </w:tcPr>
          <w:p w14:paraId="3A46A225" w14:textId="690EE54F" w:rsidR="00C615DA" w:rsidRPr="006B6F3A" w:rsidRDefault="00285E4D" w:rsidP="00A42996">
            <w:pPr>
              <w:tabs>
                <w:tab w:val="decimal" w:pos="602"/>
              </w:tabs>
              <w:rPr>
                <w:b/>
                <w:color w:val="auto"/>
                <w:sz w:val="20"/>
                <w:szCs w:val="20"/>
              </w:rPr>
            </w:pPr>
            <w:r w:rsidRPr="006B6F3A">
              <w:rPr>
                <w:b/>
                <w:color w:val="auto"/>
                <w:sz w:val="20"/>
                <w:szCs w:val="20"/>
              </w:rPr>
              <w:t>(2</w:t>
            </w:r>
            <w:r w:rsidR="00A42996">
              <w:rPr>
                <w:b/>
                <w:color w:val="auto"/>
                <w:sz w:val="20"/>
                <w:szCs w:val="20"/>
              </w:rPr>
              <w:t>8.8</w:t>
            </w:r>
            <w:r w:rsidRPr="006B6F3A">
              <w:rPr>
                <w:b/>
                <w:color w:val="auto"/>
                <w:sz w:val="20"/>
                <w:szCs w:val="20"/>
              </w:rPr>
              <w:t>)</w:t>
            </w:r>
          </w:p>
        </w:tc>
        <w:tc>
          <w:tcPr>
            <w:tcW w:w="856" w:type="pct"/>
            <w:tcBorders>
              <w:top w:val="single" w:sz="4" w:space="0" w:color="auto"/>
            </w:tcBorders>
            <w:vAlign w:val="bottom"/>
          </w:tcPr>
          <w:p w14:paraId="42C74367" w14:textId="77777777" w:rsidR="00C615DA" w:rsidRPr="006B6F3A" w:rsidRDefault="00285E4D" w:rsidP="00B624BD">
            <w:pPr>
              <w:tabs>
                <w:tab w:val="decimal" w:pos="884"/>
              </w:tabs>
              <w:rPr>
                <w:b/>
                <w:color w:val="auto"/>
                <w:sz w:val="20"/>
                <w:szCs w:val="20"/>
              </w:rPr>
            </w:pPr>
            <w:r w:rsidRPr="006B6F3A">
              <w:rPr>
                <w:b/>
                <w:color w:val="auto"/>
                <w:sz w:val="20"/>
                <w:szCs w:val="20"/>
              </w:rPr>
              <w:t>2.7</w:t>
            </w:r>
          </w:p>
        </w:tc>
        <w:tc>
          <w:tcPr>
            <w:tcW w:w="664" w:type="pct"/>
            <w:tcBorders>
              <w:top w:val="single" w:sz="4" w:space="0" w:color="auto"/>
              <w:bottom w:val="nil"/>
            </w:tcBorders>
            <w:shd w:val="clear" w:color="auto" w:fill="auto"/>
            <w:vAlign w:val="bottom"/>
          </w:tcPr>
          <w:p w14:paraId="717197B6" w14:textId="6F68E9AC" w:rsidR="00C615DA" w:rsidRPr="006B6F3A" w:rsidRDefault="00A42996" w:rsidP="008E05BA">
            <w:pPr>
              <w:tabs>
                <w:tab w:val="decimal" w:pos="632"/>
              </w:tabs>
              <w:rPr>
                <w:b/>
                <w:color w:val="auto"/>
                <w:sz w:val="20"/>
                <w:szCs w:val="20"/>
              </w:rPr>
            </w:pPr>
            <w:r>
              <w:rPr>
                <w:b/>
                <w:color w:val="auto"/>
                <w:sz w:val="20"/>
                <w:szCs w:val="20"/>
              </w:rPr>
              <w:t>4.7</w:t>
            </w:r>
          </w:p>
        </w:tc>
        <w:tc>
          <w:tcPr>
            <w:tcW w:w="633" w:type="pct"/>
            <w:tcBorders>
              <w:top w:val="single" w:sz="4" w:space="0" w:color="auto"/>
              <w:bottom w:val="nil"/>
            </w:tcBorders>
            <w:shd w:val="clear" w:color="auto" w:fill="auto"/>
            <w:vAlign w:val="bottom"/>
          </w:tcPr>
          <w:p w14:paraId="2DD62465" w14:textId="77777777" w:rsidR="00C615DA" w:rsidRPr="006B6F3A" w:rsidRDefault="00285E4D" w:rsidP="00846982">
            <w:pPr>
              <w:tabs>
                <w:tab w:val="decimal" w:pos="599"/>
              </w:tabs>
              <w:rPr>
                <w:b/>
                <w:color w:val="auto"/>
                <w:sz w:val="20"/>
                <w:szCs w:val="20"/>
              </w:rPr>
            </w:pPr>
            <w:r w:rsidRPr="006B6F3A">
              <w:rPr>
                <w:b/>
                <w:color w:val="auto"/>
                <w:sz w:val="20"/>
                <w:szCs w:val="20"/>
              </w:rPr>
              <w:t>(</w:t>
            </w:r>
            <w:r w:rsidR="008E05BA">
              <w:rPr>
                <w:b/>
                <w:color w:val="auto"/>
                <w:sz w:val="20"/>
                <w:szCs w:val="20"/>
              </w:rPr>
              <w:t>21</w:t>
            </w:r>
            <w:r w:rsidRPr="006B6F3A">
              <w:rPr>
                <w:b/>
                <w:color w:val="auto"/>
                <w:sz w:val="20"/>
                <w:szCs w:val="20"/>
              </w:rPr>
              <w:t>.4)</w:t>
            </w:r>
          </w:p>
        </w:tc>
      </w:tr>
      <w:tr w:rsidR="000E5FE1" w:rsidRPr="006B6F3A" w14:paraId="014BE8FC" w14:textId="77777777" w:rsidTr="008D0533">
        <w:trPr>
          <w:trHeight w:val="369"/>
        </w:trPr>
        <w:tc>
          <w:tcPr>
            <w:tcW w:w="2304" w:type="pct"/>
            <w:shd w:val="clear" w:color="auto" w:fill="auto"/>
            <w:vAlign w:val="bottom"/>
          </w:tcPr>
          <w:p w14:paraId="090335C7" w14:textId="77777777" w:rsidR="00C615DA" w:rsidRPr="006B6F3A" w:rsidRDefault="000E5FE1" w:rsidP="00C615DA">
            <w:pPr>
              <w:jc w:val="left"/>
              <w:rPr>
                <w:color w:val="auto"/>
                <w:sz w:val="20"/>
                <w:szCs w:val="20"/>
                <w:u w:val="single"/>
              </w:rPr>
            </w:pPr>
            <w:r w:rsidRPr="006B6F3A">
              <w:rPr>
                <w:color w:val="auto"/>
                <w:sz w:val="20"/>
                <w:szCs w:val="20"/>
                <w:u w:val="single"/>
              </w:rPr>
              <w:t>Reserves held to deliver organisational change</w:t>
            </w:r>
          </w:p>
        </w:tc>
        <w:tc>
          <w:tcPr>
            <w:tcW w:w="543" w:type="pct"/>
            <w:shd w:val="clear" w:color="auto" w:fill="auto"/>
            <w:vAlign w:val="bottom"/>
          </w:tcPr>
          <w:p w14:paraId="5B32CA84" w14:textId="77777777" w:rsidR="00C615DA" w:rsidRPr="006B6F3A" w:rsidRDefault="00C615DA" w:rsidP="00B624BD">
            <w:pPr>
              <w:tabs>
                <w:tab w:val="decimal" w:pos="602"/>
              </w:tabs>
              <w:jc w:val="center"/>
              <w:rPr>
                <w:color w:val="auto"/>
                <w:sz w:val="20"/>
                <w:szCs w:val="20"/>
              </w:rPr>
            </w:pPr>
          </w:p>
        </w:tc>
        <w:tc>
          <w:tcPr>
            <w:tcW w:w="856" w:type="pct"/>
            <w:vAlign w:val="bottom"/>
          </w:tcPr>
          <w:p w14:paraId="468FFEC6" w14:textId="77777777" w:rsidR="00C615DA" w:rsidRPr="006B6F3A" w:rsidRDefault="00C615DA" w:rsidP="00B624BD">
            <w:pPr>
              <w:tabs>
                <w:tab w:val="decimal" w:pos="884"/>
              </w:tabs>
              <w:jc w:val="center"/>
              <w:rPr>
                <w:color w:val="auto"/>
                <w:sz w:val="20"/>
                <w:szCs w:val="20"/>
              </w:rPr>
            </w:pPr>
          </w:p>
        </w:tc>
        <w:tc>
          <w:tcPr>
            <w:tcW w:w="664" w:type="pct"/>
            <w:tcBorders>
              <w:top w:val="nil"/>
            </w:tcBorders>
            <w:shd w:val="clear" w:color="auto" w:fill="auto"/>
            <w:vAlign w:val="bottom"/>
          </w:tcPr>
          <w:p w14:paraId="1D2DBD16" w14:textId="77777777" w:rsidR="00C615DA" w:rsidRPr="006B6F3A" w:rsidRDefault="00C615DA" w:rsidP="00B624BD">
            <w:pPr>
              <w:tabs>
                <w:tab w:val="decimal" w:pos="632"/>
              </w:tabs>
              <w:rPr>
                <w:color w:val="auto"/>
                <w:sz w:val="20"/>
                <w:szCs w:val="20"/>
              </w:rPr>
            </w:pPr>
          </w:p>
        </w:tc>
        <w:tc>
          <w:tcPr>
            <w:tcW w:w="633" w:type="pct"/>
            <w:tcBorders>
              <w:top w:val="nil"/>
            </w:tcBorders>
            <w:shd w:val="clear" w:color="auto" w:fill="auto"/>
            <w:vAlign w:val="bottom"/>
          </w:tcPr>
          <w:p w14:paraId="7EBBAF95" w14:textId="77777777" w:rsidR="00C615DA" w:rsidRPr="006B6F3A" w:rsidRDefault="00C615DA" w:rsidP="00846982">
            <w:pPr>
              <w:tabs>
                <w:tab w:val="decimal" w:pos="599"/>
              </w:tabs>
              <w:rPr>
                <w:color w:val="auto"/>
                <w:sz w:val="20"/>
                <w:szCs w:val="20"/>
              </w:rPr>
            </w:pPr>
          </w:p>
        </w:tc>
      </w:tr>
      <w:tr w:rsidR="000E5FE1" w:rsidRPr="006B6F3A" w14:paraId="382564E0" w14:textId="77777777" w:rsidTr="008D0533">
        <w:trPr>
          <w:trHeight w:val="369"/>
        </w:trPr>
        <w:tc>
          <w:tcPr>
            <w:tcW w:w="2304" w:type="pct"/>
            <w:shd w:val="clear" w:color="auto" w:fill="auto"/>
            <w:vAlign w:val="bottom"/>
          </w:tcPr>
          <w:p w14:paraId="5835B6C8" w14:textId="77777777" w:rsidR="00C615DA" w:rsidRPr="006B6F3A" w:rsidRDefault="00511271" w:rsidP="00C615DA">
            <w:pPr>
              <w:jc w:val="left"/>
              <w:rPr>
                <w:color w:val="auto"/>
                <w:sz w:val="20"/>
                <w:szCs w:val="20"/>
              </w:rPr>
            </w:pPr>
            <w:r w:rsidRPr="006B6F3A">
              <w:rPr>
                <w:color w:val="auto"/>
                <w:sz w:val="20"/>
                <w:szCs w:val="20"/>
              </w:rPr>
              <w:t>Downsizing Reserve</w:t>
            </w:r>
          </w:p>
        </w:tc>
        <w:tc>
          <w:tcPr>
            <w:tcW w:w="543" w:type="pct"/>
            <w:shd w:val="clear" w:color="auto" w:fill="auto"/>
            <w:vAlign w:val="bottom"/>
          </w:tcPr>
          <w:p w14:paraId="1FB1E915" w14:textId="77777777" w:rsidR="00C615DA" w:rsidRPr="006B6F3A" w:rsidRDefault="00285E4D" w:rsidP="00B624BD">
            <w:pPr>
              <w:tabs>
                <w:tab w:val="decimal" w:pos="602"/>
              </w:tabs>
              <w:rPr>
                <w:color w:val="auto"/>
                <w:sz w:val="20"/>
                <w:szCs w:val="20"/>
              </w:rPr>
            </w:pPr>
            <w:r w:rsidRPr="006B6F3A">
              <w:rPr>
                <w:color w:val="auto"/>
                <w:sz w:val="20"/>
                <w:szCs w:val="20"/>
              </w:rPr>
              <w:t>(99.2)</w:t>
            </w:r>
          </w:p>
        </w:tc>
        <w:tc>
          <w:tcPr>
            <w:tcW w:w="856" w:type="pct"/>
            <w:vAlign w:val="bottom"/>
          </w:tcPr>
          <w:p w14:paraId="07478214" w14:textId="3F960AC0" w:rsidR="00C615DA" w:rsidRPr="006B6F3A" w:rsidRDefault="00285E4D" w:rsidP="00B624BD">
            <w:pPr>
              <w:tabs>
                <w:tab w:val="decimal" w:pos="884"/>
              </w:tabs>
              <w:rPr>
                <w:color w:val="auto"/>
                <w:sz w:val="20"/>
                <w:szCs w:val="20"/>
              </w:rPr>
            </w:pPr>
            <w:r w:rsidRPr="006B6F3A">
              <w:rPr>
                <w:color w:val="auto"/>
                <w:sz w:val="20"/>
                <w:szCs w:val="20"/>
              </w:rPr>
              <w:t>17.</w:t>
            </w:r>
            <w:r w:rsidR="001477BC">
              <w:rPr>
                <w:color w:val="auto"/>
                <w:sz w:val="20"/>
                <w:szCs w:val="20"/>
              </w:rPr>
              <w:t>4</w:t>
            </w:r>
          </w:p>
        </w:tc>
        <w:tc>
          <w:tcPr>
            <w:tcW w:w="664" w:type="pct"/>
            <w:shd w:val="clear" w:color="auto" w:fill="auto"/>
            <w:vAlign w:val="bottom"/>
          </w:tcPr>
          <w:p w14:paraId="5D55FCA0" w14:textId="77777777" w:rsidR="00C615DA" w:rsidRPr="006B6F3A" w:rsidRDefault="00285E4D" w:rsidP="00B624BD">
            <w:pPr>
              <w:tabs>
                <w:tab w:val="decimal" w:pos="632"/>
              </w:tabs>
              <w:rPr>
                <w:color w:val="auto"/>
                <w:sz w:val="20"/>
                <w:szCs w:val="20"/>
              </w:rPr>
            </w:pPr>
            <w:r w:rsidRPr="006B6F3A">
              <w:rPr>
                <w:color w:val="auto"/>
                <w:sz w:val="20"/>
                <w:szCs w:val="20"/>
              </w:rPr>
              <w:t>1.2</w:t>
            </w:r>
          </w:p>
        </w:tc>
        <w:tc>
          <w:tcPr>
            <w:tcW w:w="633" w:type="pct"/>
            <w:shd w:val="clear" w:color="auto" w:fill="auto"/>
            <w:vAlign w:val="bottom"/>
          </w:tcPr>
          <w:p w14:paraId="46C96B47" w14:textId="7A272BDB" w:rsidR="00C615DA" w:rsidRPr="006B6F3A" w:rsidRDefault="00285E4D" w:rsidP="00846982">
            <w:pPr>
              <w:tabs>
                <w:tab w:val="decimal" w:pos="599"/>
              </w:tabs>
              <w:rPr>
                <w:color w:val="auto"/>
                <w:sz w:val="20"/>
                <w:szCs w:val="20"/>
              </w:rPr>
            </w:pPr>
            <w:r w:rsidRPr="006B6F3A">
              <w:rPr>
                <w:color w:val="auto"/>
                <w:sz w:val="20"/>
                <w:szCs w:val="20"/>
              </w:rPr>
              <w:t>(80.</w:t>
            </w:r>
            <w:r w:rsidR="001477BC">
              <w:rPr>
                <w:color w:val="auto"/>
                <w:sz w:val="20"/>
                <w:szCs w:val="20"/>
              </w:rPr>
              <w:t>6</w:t>
            </w:r>
            <w:r w:rsidRPr="006B6F3A">
              <w:rPr>
                <w:color w:val="auto"/>
                <w:sz w:val="20"/>
                <w:szCs w:val="20"/>
              </w:rPr>
              <w:t>)</w:t>
            </w:r>
          </w:p>
        </w:tc>
      </w:tr>
      <w:tr w:rsidR="008E05BA" w:rsidRPr="006B6F3A" w14:paraId="7A4BA86B" w14:textId="77777777" w:rsidTr="008D0533">
        <w:trPr>
          <w:trHeight w:val="369"/>
        </w:trPr>
        <w:tc>
          <w:tcPr>
            <w:tcW w:w="2304" w:type="pct"/>
            <w:shd w:val="clear" w:color="auto" w:fill="auto"/>
            <w:vAlign w:val="bottom"/>
          </w:tcPr>
          <w:p w14:paraId="6E9C5C12" w14:textId="77777777" w:rsidR="008E05BA" w:rsidRPr="006B6F3A" w:rsidRDefault="008E05BA" w:rsidP="008E05BA">
            <w:pPr>
              <w:jc w:val="left"/>
              <w:rPr>
                <w:color w:val="auto"/>
                <w:sz w:val="20"/>
                <w:szCs w:val="20"/>
              </w:rPr>
            </w:pPr>
            <w:r w:rsidRPr="006B6F3A">
              <w:rPr>
                <w:color w:val="auto"/>
                <w:sz w:val="20"/>
                <w:szCs w:val="20"/>
              </w:rPr>
              <w:t>Risk Management Reserve</w:t>
            </w:r>
          </w:p>
        </w:tc>
        <w:tc>
          <w:tcPr>
            <w:tcW w:w="543" w:type="pct"/>
            <w:tcBorders>
              <w:bottom w:val="nil"/>
            </w:tcBorders>
            <w:shd w:val="clear" w:color="auto" w:fill="auto"/>
            <w:vAlign w:val="bottom"/>
          </w:tcPr>
          <w:p w14:paraId="7F850E07" w14:textId="77777777" w:rsidR="008E05BA" w:rsidRPr="006B6F3A" w:rsidRDefault="008E05BA" w:rsidP="008E05BA">
            <w:pPr>
              <w:tabs>
                <w:tab w:val="decimal" w:pos="602"/>
              </w:tabs>
              <w:rPr>
                <w:color w:val="auto"/>
                <w:sz w:val="20"/>
                <w:szCs w:val="20"/>
              </w:rPr>
            </w:pPr>
            <w:r w:rsidRPr="006B6F3A">
              <w:rPr>
                <w:color w:val="auto"/>
                <w:sz w:val="20"/>
                <w:szCs w:val="20"/>
              </w:rPr>
              <w:t>-</w:t>
            </w:r>
          </w:p>
        </w:tc>
        <w:tc>
          <w:tcPr>
            <w:tcW w:w="856" w:type="pct"/>
            <w:tcBorders>
              <w:bottom w:val="nil"/>
            </w:tcBorders>
            <w:vAlign w:val="bottom"/>
          </w:tcPr>
          <w:p w14:paraId="2E782D89" w14:textId="77777777" w:rsidR="008E05BA" w:rsidRPr="006B6F3A" w:rsidRDefault="008E05BA" w:rsidP="008E05BA">
            <w:pPr>
              <w:tabs>
                <w:tab w:val="decimal" w:pos="884"/>
              </w:tabs>
              <w:rPr>
                <w:color w:val="auto"/>
                <w:sz w:val="20"/>
                <w:szCs w:val="20"/>
              </w:rPr>
            </w:pPr>
            <w:r w:rsidRPr="006B6F3A">
              <w:rPr>
                <w:color w:val="auto"/>
                <w:sz w:val="20"/>
                <w:szCs w:val="20"/>
              </w:rPr>
              <w:t>-</w:t>
            </w:r>
          </w:p>
        </w:tc>
        <w:tc>
          <w:tcPr>
            <w:tcW w:w="664" w:type="pct"/>
            <w:tcBorders>
              <w:bottom w:val="nil"/>
            </w:tcBorders>
            <w:shd w:val="clear" w:color="auto" w:fill="auto"/>
            <w:vAlign w:val="bottom"/>
          </w:tcPr>
          <w:p w14:paraId="5377B882" w14:textId="77777777" w:rsidR="008E05BA" w:rsidRPr="006B6F3A" w:rsidRDefault="008E05BA" w:rsidP="008E05BA">
            <w:pPr>
              <w:tabs>
                <w:tab w:val="decimal" w:pos="632"/>
              </w:tabs>
              <w:rPr>
                <w:color w:val="auto"/>
                <w:sz w:val="20"/>
                <w:szCs w:val="20"/>
              </w:rPr>
            </w:pPr>
            <w:r w:rsidRPr="006B6F3A">
              <w:rPr>
                <w:color w:val="auto"/>
                <w:sz w:val="20"/>
                <w:szCs w:val="20"/>
              </w:rPr>
              <w:t>(82.0)</w:t>
            </w:r>
          </w:p>
        </w:tc>
        <w:tc>
          <w:tcPr>
            <w:tcW w:w="633" w:type="pct"/>
            <w:tcBorders>
              <w:bottom w:val="nil"/>
            </w:tcBorders>
            <w:shd w:val="clear" w:color="auto" w:fill="auto"/>
            <w:vAlign w:val="bottom"/>
          </w:tcPr>
          <w:p w14:paraId="32EE47F7" w14:textId="77777777" w:rsidR="008E05BA" w:rsidRPr="006B6F3A" w:rsidRDefault="008E05BA" w:rsidP="008E05BA">
            <w:pPr>
              <w:tabs>
                <w:tab w:val="decimal" w:pos="599"/>
              </w:tabs>
              <w:rPr>
                <w:color w:val="auto"/>
                <w:sz w:val="20"/>
                <w:szCs w:val="20"/>
              </w:rPr>
            </w:pPr>
            <w:r w:rsidRPr="006B6F3A">
              <w:rPr>
                <w:color w:val="auto"/>
                <w:sz w:val="20"/>
                <w:szCs w:val="20"/>
              </w:rPr>
              <w:t>(82.0)</w:t>
            </w:r>
          </w:p>
        </w:tc>
      </w:tr>
      <w:tr w:rsidR="008E05BA" w:rsidRPr="006B6F3A" w14:paraId="686A71F9" w14:textId="77777777" w:rsidTr="008D0533">
        <w:trPr>
          <w:trHeight w:val="369"/>
        </w:trPr>
        <w:tc>
          <w:tcPr>
            <w:tcW w:w="2304" w:type="pct"/>
            <w:shd w:val="clear" w:color="auto" w:fill="auto"/>
            <w:vAlign w:val="bottom"/>
          </w:tcPr>
          <w:p w14:paraId="4388FAF8" w14:textId="77777777" w:rsidR="008E05BA" w:rsidRPr="00F76406" w:rsidRDefault="008E05BA" w:rsidP="008E05BA">
            <w:pPr>
              <w:jc w:val="left"/>
              <w:rPr>
                <w:color w:val="auto"/>
                <w:sz w:val="20"/>
                <w:szCs w:val="20"/>
              </w:rPr>
            </w:pPr>
            <w:r w:rsidRPr="00F76406">
              <w:rPr>
                <w:color w:val="auto"/>
                <w:sz w:val="20"/>
                <w:szCs w:val="20"/>
              </w:rPr>
              <w:t>LAA PRG Monies – Lancashire</w:t>
            </w:r>
          </w:p>
        </w:tc>
        <w:tc>
          <w:tcPr>
            <w:tcW w:w="543" w:type="pct"/>
            <w:tcBorders>
              <w:top w:val="nil"/>
              <w:bottom w:val="single" w:sz="4" w:space="0" w:color="auto"/>
            </w:tcBorders>
            <w:shd w:val="clear" w:color="auto" w:fill="auto"/>
            <w:vAlign w:val="bottom"/>
          </w:tcPr>
          <w:p w14:paraId="7910DDB9" w14:textId="77777777" w:rsidR="008E05BA" w:rsidRPr="00F76406" w:rsidRDefault="008E05BA" w:rsidP="008E05BA">
            <w:pPr>
              <w:tabs>
                <w:tab w:val="decimal" w:pos="602"/>
              </w:tabs>
              <w:rPr>
                <w:color w:val="auto"/>
                <w:sz w:val="20"/>
                <w:szCs w:val="20"/>
              </w:rPr>
            </w:pPr>
            <w:r w:rsidRPr="00F76406">
              <w:rPr>
                <w:color w:val="auto"/>
                <w:sz w:val="20"/>
                <w:szCs w:val="20"/>
              </w:rPr>
              <w:t>(3.9)</w:t>
            </w:r>
          </w:p>
        </w:tc>
        <w:tc>
          <w:tcPr>
            <w:tcW w:w="856" w:type="pct"/>
            <w:tcBorders>
              <w:top w:val="nil"/>
              <w:bottom w:val="single" w:sz="4" w:space="0" w:color="auto"/>
            </w:tcBorders>
            <w:vAlign w:val="bottom"/>
          </w:tcPr>
          <w:p w14:paraId="1716F60D" w14:textId="4B31A0BF" w:rsidR="008E05BA" w:rsidRPr="00F76406" w:rsidRDefault="00F76406" w:rsidP="008E05BA">
            <w:pPr>
              <w:tabs>
                <w:tab w:val="decimal" w:pos="884"/>
              </w:tabs>
              <w:rPr>
                <w:color w:val="auto"/>
                <w:sz w:val="20"/>
                <w:szCs w:val="20"/>
              </w:rPr>
            </w:pPr>
            <w:r w:rsidRPr="00F76406">
              <w:rPr>
                <w:color w:val="auto"/>
                <w:sz w:val="20"/>
                <w:szCs w:val="20"/>
              </w:rPr>
              <w:t>3.1</w:t>
            </w:r>
          </w:p>
        </w:tc>
        <w:tc>
          <w:tcPr>
            <w:tcW w:w="664" w:type="pct"/>
            <w:tcBorders>
              <w:top w:val="nil"/>
              <w:bottom w:val="single" w:sz="4" w:space="0" w:color="auto"/>
            </w:tcBorders>
            <w:shd w:val="clear" w:color="auto" w:fill="auto"/>
            <w:vAlign w:val="bottom"/>
          </w:tcPr>
          <w:p w14:paraId="66E9FD4E" w14:textId="2FA8C6EE" w:rsidR="008E05BA" w:rsidRPr="00A06955" w:rsidRDefault="00F76406" w:rsidP="008E05BA">
            <w:pPr>
              <w:tabs>
                <w:tab w:val="decimal" w:pos="632"/>
              </w:tabs>
              <w:rPr>
                <w:color w:val="auto"/>
                <w:sz w:val="20"/>
                <w:szCs w:val="20"/>
              </w:rPr>
            </w:pPr>
            <w:r w:rsidRPr="00A06955">
              <w:rPr>
                <w:color w:val="auto"/>
                <w:sz w:val="20"/>
                <w:szCs w:val="20"/>
              </w:rPr>
              <w:t>0.8</w:t>
            </w:r>
          </w:p>
        </w:tc>
        <w:tc>
          <w:tcPr>
            <w:tcW w:w="633" w:type="pct"/>
            <w:tcBorders>
              <w:top w:val="nil"/>
              <w:bottom w:val="single" w:sz="4" w:space="0" w:color="auto"/>
            </w:tcBorders>
            <w:shd w:val="clear" w:color="auto" w:fill="auto"/>
            <w:vAlign w:val="bottom"/>
          </w:tcPr>
          <w:p w14:paraId="39A77619" w14:textId="78E47332" w:rsidR="008E05BA" w:rsidRPr="00F76406" w:rsidRDefault="00CB361E" w:rsidP="008E05BA">
            <w:pPr>
              <w:tabs>
                <w:tab w:val="decimal" w:pos="599"/>
              </w:tabs>
              <w:rPr>
                <w:color w:val="auto"/>
                <w:sz w:val="20"/>
                <w:szCs w:val="20"/>
              </w:rPr>
            </w:pPr>
            <w:r w:rsidRPr="00F76406">
              <w:rPr>
                <w:color w:val="auto"/>
                <w:sz w:val="20"/>
                <w:szCs w:val="20"/>
              </w:rPr>
              <w:t>-</w:t>
            </w:r>
          </w:p>
        </w:tc>
      </w:tr>
      <w:tr w:rsidR="008E05BA" w:rsidRPr="006B6F3A" w14:paraId="7C1ADB18" w14:textId="77777777" w:rsidTr="008D0533">
        <w:trPr>
          <w:trHeight w:val="369"/>
        </w:trPr>
        <w:tc>
          <w:tcPr>
            <w:tcW w:w="2304" w:type="pct"/>
            <w:shd w:val="clear" w:color="auto" w:fill="auto"/>
            <w:vAlign w:val="bottom"/>
          </w:tcPr>
          <w:p w14:paraId="56A355F1" w14:textId="77777777" w:rsidR="008E05BA" w:rsidRPr="006B6F3A" w:rsidRDefault="008E05BA" w:rsidP="008E05BA">
            <w:pPr>
              <w:jc w:val="left"/>
              <w:rPr>
                <w:b/>
                <w:color w:val="auto"/>
                <w:sz w:val="20"/>
                <w:szCs w:val="20"/>
              </w:rPr>
            </w:pPr>
          </w:p>
        </w:tc>
        <w:tc>
          <w:tcPr>
            <w:tcW w:w="543" w:type="pct"/>
            <w:tcBorders>
              <w:top w:val="single" w:sz="4" w:space="0" w:color="auto"/>
            </w:tcBorders>
            <w:shd w:val="clear" w:color="auto" w:fill="auto"/>
            <w:vAlign w:val="bottom"/>
          </w:tcPr>
          <w:p w14:paraId="5324DB63" w14:textId="77777777" w:rsidR="008E05BA" w:rsidRPr="006B6F3A" w:rsidRDefault="008E05BA" w:rsidP="008E05BA">
            <w:pPr>
              <w:tabs>
                <w:tab w:val="decimal" w:pos="602"/>
              </w:tabs>
              <w:rPr>
                <w:b/>
                <w:color w:val="auto"/>
                <w:sz w:val="20"/>
                <w:szCs w:val="20"/>
              </w:rPr>
            </w:pPr>
            <w:r w:rsidRPr="006B6F3A">
              <w:rPr>
                <w:b/>
                <w:color w:val="auto"/>
                <w:sz w:val="20"/>
                <w:szCs w:val="20"/>
              </w:rPr>
              <w:t>(103.1)</w:t>
            </w:r>
          </w:p>
        </w:tc>
        <w:tc>
          <w:tcPr>
            <w:tcW w:w="856" w:type="pct"/>
            <w:tcBorders>
              <w:top w:val="single" w:sz="4" w:space="0" w:color="auto"/>
            </w:tcBorders>
            <w:vAlign w:val="bottom"/>
          </w:tcPr>
          <w:p w14:paraId="480140D4" w14:textId="2500215B" w:rsidR="008E05BA" w:rsidRPr="006B6F3A" w:rsidRDefault="00F76406" w:rsidP="008E05BA">
            <w:pPr>
              <w:tabs>
                <w:tab w:val="decimal" w:pos="884"/>
              </w:tabs>
              <w:rPr>
                <w:b/>
                <w:color w:val="auto"/>
                <w:sz w:val="20"/>
                <w:szCs w:val="20"/>
              </w:rPr>
            </w:pPr>
            <w:r>
              <w:rPr>
                <w:b/>
                <w:color w:val="auto"/>
                <w:sz w:val="20"/>
                <w:szCs w:val="20"/>
              </w:rPr>
              <w:t>20.5</w:t>
            </w:r>
          </w:p>
        </w:tc>
        <w:tc>
          <w:tcPr>
            <w:tcW w:w="664" w:type="pct"/>
            <w:tcBorders>
              <w:top w:val="single" w:sz="4" w:space="0" w:color="auto"/>
              <w:bottom w:val="nil"/>
            </w:tcBorders>
            <w:shd w:val="clear" w:color="auto" w:fill="auto"/>
            <w:vAlign w:val="bottom"/>
          </w:tcPr>
          <w:p w14:paraId="7320D303" w14:textId="23CA7F77" w:rsidR="008E05BA" w:rsidRPr="006B6F3A" w:rsidRDefault="008E05BA" w:rsidP="008E05BA">
            <w:pPr>
              <w:tabs>
                <w:tab w:val="decimal" w:pos="632"/>
              </w:tabs>
              <w:rPr>
                <w:b/>
                <w:color w:val="auto"/>
                <w:sz w:val="20"/>
                <w:szCs w:val="20"/>
              </w:rPr>
            </w:pPr>
            <w:r>
              <w:rPr>
                <w:b/>
                <w:color w:val="auto"/>
                <w:sz w:val="20"/>
                <w:szCs w:val="20"/>
              </w:rPr>
              <w:t>(8</w:t>
            </w:r>
            <w:r w:rsidR="00F76406">
              <w:rPr>
                <w:b/>
                <w:color w:val="auto"/>
                <w:sz w:val="20"/>
                <w:szCs w:val="20"/>
              </w:rPr>
              <w:t>0.0</w:t>
            </w:r>
            <w:r w:rsidRPr="006B6F3A">
              <w:rPr>
                <w:b/>
                <w:color w:val="auto"/>
                <w:sz w:val="20"/>
                <w:szCs w:val="20"/>
              </w:rPr>
              <w:t>)</w:t>
            </w:r>
          </w:p>
        </w:tc>
        <w:tc>
          <w:tcPr>
            <w:tcW w:w="633" w:type="pct"/>
            <w:tcBorders>
              <w:top w:val="single" w:sz="4" w:space="0" w:color="auto"/>
              <w:bottom w:val="nil"/>
            </w:tcBorders>
            <w:shd w:val="clear" w:color="auto" w:fill="auto"/>
            <w:vAlign w:val="bottom"/>
          </w:tcPr>
          <w:p w14:paraId="4D4C1DAA" w14:textId="5B9CC8FB" w:rsidR="008E05BA" w:rsidRPr="006B6F3A" w:rsidRDefault="008E05BA" w:rsidP="001477BC">
            <w:pPr>
              <w:tabs>
                <w:tab w:val="decimal" w:pos="599"/>
              </w:tabs>
              <w:rPr>
                <w:b/>
                <w:color w:val="auto"/>
                <w:sz w:val="20"/>
                <w:szCs w:val="20"/>
              </w:rPr>
            </w:pPr>
            <w:r>
              <w:rPr>
                <w:b/>
                <w:color w:val="auto"/>
                <w:sz w:val="20"/>
                <w:szCs w:val="20"/>
              </w:rPr>
              <w:t>(16</w:t>
            </w:r>
            <w:r w:rsidR="00CB361E">
              <w:rPr>
                <w:b/>
                <w:color w:val="auto"/>
                <w:sz w:val="20"/>
                <w:szCs w:val="20"/>
              </w:rPr>
              <w:t>2.</w:t>
            </w:r>
            <w:r w:rsidR="001477BC">
              <w:rPr>
                <w:b/>
                <w:color w:val="auto"/>
                <w:sz w:val="20"/>
                <w:szCs w:val="20"/>
              </w:rPr>
              <w:t>6</w:t>
            </w:r>
            <w:r w:rsidR="00CB361E">
              <w:rPr>
                <w:b/>
                <w:color w:val="auto"/>
                <w:sz w:val="20"/>
                <w:szCs w:val="20"/>
              </w:rPr>
              <w:t>)</w:t>
            </w:r>
          </w:p>
        </w:tc>
      </w:tr>
      <w:tr w:rsidR="008E05BA" w:rsidRPr="006B6F3A" w14:paraId="14D16EB6" w14:textId="77777777" w:rsidTr="008D0533">
        <w:trPr>
          <w:trHeight w:val="369"/>
        </w:trPr>
        <w:tc>
          <w:tcPr>
            <w:tcW w:w="2304" w:type="pct"/>
            <w:shd w:val="clear" w:color="auto" w:fill="auto"/>
            <w:vAlign w:val="bottom"/>
          </w:tcPr>
          <w:p w14:paraId="2D542DD8" w14:textId="77777777" w:rsidR="008E05BA" w:rsidRPr="006B6F3A" w:rsidRDefault="008E05BA" w:rsidP="008E05BA">
            <w:pPr>
              <w:jc w:val="left"/>
              <w:rPr>
                <w:color w:val="auto"/>
                <w:sz w:val="20"/>
                <w:szCs w:val="20"/>
                <w:u w:val="single"/>
              </w:rPr>
            </w:pPr>
            <w:r w:rsidRPr="006B6F3A">
              <w:rPr>
                <w:color w:val="auto"/>
                <w:sz w:val="20"/>
                <w:szCs w:val="20"/>
                <w:u w:val="single"/>
              </w:rPr>
              <w:t>Reserves held to pay for expenditure commitments</w:t>
            </w:r>
          </w:p>
        </w:tc>
        <w:tc>
          <w:tcPr>
            <w:tcW w:w="543" w:type="pct"/>
            <w:shd w:val="clear" w:color="auto" w:fill="auto"/>
            <w:vAlign w:val="bottom"/>
          </w:tcPr>
          <w:p w14:paraId="116F7058" w14:textId="77777777" w:rsidR="008E05BA" w:rsidRPr="006B6F3A" w:rsidRDefault="008E05BA" w:rsidP="008E05BA">
            <w:pPr>
              <w:tabs>
                <w:tab w:val="decimal" w:pos="602"/>
              </w:tabs>
              <w:jc w:val="center"/>
              <w:rPr>
                <w:color w:val="auto"/>
                <w:sz w:val="20"/>
                <w:szCs w:val="20"/>
              </w:rPr>
            </w:pPr>
          </w:p>
        </w:tc>
        <w:tc>
          <w:tcPr>
            <w:tcW w:w="856" w:type="pct"/>
            <w:vAlign w:val="bottom"/>
          </w:tcPr>
          <w:p w14:paraId="7B358E45" w14:textId="77777777" w:rsidR="008E05BA" w:rsidRPr="006B6F3A" w:rsidRDefault="008E05BA" w:rsidP="008E05BA">
            <w:pPr>
              <w:tabs>
                <w:tab w:val="decimal" w:pos="884"/>
              </w:tabs>
              <w:jc w:val="center"/>
              <w:rPr>
                <w:color w:val="auto"/>
                <w:sz w:val="20"/>
                <w:szCs w:val="20"/>
              </w:rPr>
            </w:pPr>
          </w:p>
        </w:tc>
        <w:tc>
          <w:tcPr>
            <w:tcW w:w="664" w:type="pct"/>
            <w:tcBorders>
              <w:top w:val="nil"/>
              <w:bottom w:val="nil"/>
            </w:tcBorders>
            <w:shd w:val="clear" w:color="auto" w:fill="auto"/>
            <w:vAlign w:val="bottom"/>
          </w:tcPr>
          <w:p w14:paraId="509FF702" w14:textId="77777777" w:rsidR="008E05BA" w:rsidRPr="006B6F3A" w:rsidRDefault="008E05BA" w:rsidP="008E05BA">
            <w:pPr>
              <w:tabs>
                <w:tab w:val="decimal" w:pos="632"/>
              </w:tabs>
              <w:rPr>
                <w:color w:val="auto"/>
                <w:sz w:val="20"/>
                <w:szCs w:val="20"/>
              </w:rPr>
            </w:pPr>
          </w:p>
        </w:tc>
        <w:tc>
          <w:tcPr>
            <w:tcW w:w="633" w:type="pct"/>
            <w:tcBorders>
              <w:top w:val="nil"/>
              <w:bottom w:val="nil"/>
            </w:tcBorders>
            <w:shd w:val="clear" w:color="auto" w:fill="auto"/>
            <w:vAlign w:val="bottom"/>
          </w:tcPr>
          <w:p w14:paraId="23D3F101" w14:textId="77777777" w:rsidR="008E05BA" w:rsidRPr="006B6F3A" w:rsidRDefault="008E05BA" w:rsidP="008E05BA">
            <w:pPr>
              <w:tabs>
                <w:tab w:val="decimal" w:pos="599"/>
              </w:tabs>
              <w:rPr>
                <w:color w:val="auto"/>
                <w:sz w:val="20"/>
                <w:szCs w:val="20"/>
              </w:rPr>
            </w:pPr>
          </w:p>
        </w:tc>
      </w:tr>
      <w:tr w:rsidR="008E05BA" w:rsidRPr="006B6F3A" w14:paraId="0350FD5B" w14:textId="77777777" w:rsidTr="008D0533">
        <w:trPr>
          <w:trHeight w:val="369"/>
        </w:trPr>
        <w:tc>
          <w:tcPr>
            <w:tcW w:w="2304" w:type="pct"/>
            <w:shd w:val="clear" w:color="auto" w:fill="auto"/>
            <w:vAlign w:val="bottom"/>
          </w:tcPr>
          <w:p w14:paraId="4190EA33" w14:textId="77777777" w:rsidR="008E05BA" w:rsidRPr="006B6F3A" w:rsidRDefault="008E05BA" w:rsidP="008E05BA">
            <w:pPr>
              <w:jc w:val="left"/>
              <w:rPr>
                <w:color w:val="auto"/>
                <w:sz w:val="20"/>
                <w:szCs w:val="20"/>
              </w:rPr>
            </w:pPr>
            <w:r w:rsidRPr="006B6F3A">
              <w:rPr>
                <w:color w:val="auto"/>
                <w:sz w:val="20"/>
                <w:szCs w:val="20"/>
              </w:rPr>
              <w:t>Equal Pay Review Reserve</w:t>
            </w:r>
          </w:p>
        </w:tc>
        <w:tc>
          <w:tcPr>
            <w:tcW w:w="543" w:type="pct"/>
            <w:shd w:val="clear" w:color="auto" w:fill="auto"/>
            <w:vAlign w:val="bottom"/>
          </w:tcPr>
          <w:p w14:paraId="6F757533" w14:textId="77777777" w:rsidR="008E05BA" w:rsidRPr="006B6F3A" w:rsidRDefault="008E05BA" w:rsidP="008E05BA">
            <w:pPr>
              <w:tabs>
                <w:tab w:val="decimal" w:pos="602"/>
              </w:tabs>
              <w:rPr>
                <w:color w:val="auto"/>
                <w:sz w:val="20"/>
                <w:szCs w:val="20"/>
              </w:rPr>
            </w:pPr>
            <w:r w:rsidRPr="006B6F3A">
              <w:rPr>
                <w:color w:val="auto"/>
                <w:sz w:val="20"/>
                <w:szCs w:val="20"/>
              </w:rPr>
              <w:t>(0.4)</w:t>
            </w:r>
          </w:p>
        </w:tc>
        <w:tc>
          <w:tcPr>
            <w:tcW w:w="856" w:type="pct"/>
            <w:vAlign w:val="bottom"/>
          </w:tcPr>
          <w:p w14:paraId="081E1B18" w14:textId="77777777" w:rsidR="008E05BA" w:rsidRPr="006B6F3A" w:rsidRDefault="008E05BA" w:rsidP="008E05BA">
            <w:pPr>
              <w:tabs>
                <w:tab w:val="decimal" w:pos="884"/>
              </w:tabs>
              <w:rPr>
                <w:color w:val="auto"/>
                <w:sz w:val="20"/>
                <w:szCs w:val="20"/>
              </w:rPr>
            </w:pPr>
            <w:r w:rsidRPr="006B6F3A">
              <w:rPr>
                <w:color w:val="auto"/>
                <w:sz w:val="20"/>
                <w:szCs w:val="20"/>
              </w:rPr>
              <w:t>-</w:t>
            </w:r>
          </w:p>
        </w:tc>
        <w:tc>
          <w:tcPr>
            <w:tcW w:w="664" w:type="pct"/>
            <w:tcBorders>
              <w:top w:val="nil"/>
              <w:bottom w:val="nil"/>
            </w:tcBorders>
            <w:shd w:val="clear" w:color="auto" w:fill="auto"/>
            <w:vAlign w:val="bottom"/>
          </w:tcPr>
          <w:p w14:paraId="06021B0C" w14:textId="77777777" w:rsidR="008E05BA" w:rsidRPr="006B6F3A" w:rsidRDefault="008E05BA" w:rsidP="008E05BA">
            <w:pPr>
              <w:tabs>
                <w:tab w:val="decimal" w:pos="632"/>
              </w:tabs>
              <w:rPr>
                <w:color w:val="auto"/>
                <w:sz w:val="20"/>
                <w:szCs w:val="20"/>
              </w:rPr>
            </w:pPr>
            <w:r w:rsidRPr="006B6F3A">
              <w:rPr>
                <w:color w:val="auto"/>
                <w:sz w:val="20"/>
                <w:szCs w:val="20"/>
              </w:rPr>
              <w:t>0.4</w:t>
            </w:r>
          </w:p>
        </w:tc>
        <w:tc>
          <w:tcPr>
            <w:tcW w:w="633" w:type="pct"/>
            <w:tcBorders>
              <w:top w:val="nil"/>
              <w:bottom w:val="nil"/>
            </w:tcBorders>
            <w:shd w:val="clear" w:color="auto" w:fill="auto"/>
            <w:vAlign w:val="bottom"/>
          </w:tcPr>
          <w:p w14:paraId="19D45F19" w14:textId="77777777" w:rsidR="008E05BA" w:rsidRPr="006B6F3A" w:rsidRDefault="008E05BA" w:rsidP="008E05BA">
            <w:pPr>
              <w:tabs>
                <w:tab w:val="decimal" w:pos="599"/>
              </w:tabs>
              <w:rPr>
                <w:color w:val="auto"/>
                <w:sz w:val="20"/>
                <w:szCs w:val="20"/>
              </w:rPr>
            </w:pPr>
            <w:r w:rsidRPr="006B6F3A">
              <w:rPr>
                <w:color w:val="auto"/>
                <w:sz w:val="20"/>
                <w:szCs w:val="20"/>
              </w:rPr>
              <w:t>-</w:t>
            </w:r>
          </w:p>
        </w:tc>
      </w:tr>
      <w:tr w:rsidR="008E05BA" w:rsidRPr="006B6F3A" w14:paraId="45EEE9D2" w14:textId="77777777" w:rsidTr="008D0533">
        <w:trPr>
          <w:trHeight w:val="369"/>
        </w:trPr>
        <w:tc>
          <w:tcPr>
            <w:tcW w:w="2304" w:type="pct"/>
            <w:shd w:val="clear" w:color="auto" w:fill="auto"/>
            <w:vAlign w:val="bottom"/>
          </w:tcPr>
          <w:p w14:paraId="5514332C" w14:textId="77777777" w:rsidR="008E05BA" w:rsidRPr="006B6F3A" w:rsidRDefault="008E05BA" w:rsidP="008E05BA">
            <w:pPr>
              <w:jc w:val="left"/>
              <w:rPr>
                <w:color w:val="auto"/>
                <w:sz w:val="20"/>
                <w:szCs w:val="20"/>
              </w:rPr>
            </w:pPr>
            <w:r w:rsidRPr="006B6F3A">
              <w:rPr>
                <w:color w:val="auto"/>
                <w:sz w:val="20"/>
                <w:szCs w:val="20"/>
              </w:rPr>
              <w:t>CC Election Reserve</w:t>
            </w:r>
          </w:p>
        </w:tc>
        <w:tc>
          <w:tcPr>
            <w:tcW w:w="543" w:type="pct"/>
            <w:shd w:val="clear" w:color="auto" w:fill="auto"/>
            <w:vAlign w:val="bottom"/>
          </w:tcPr>
          <w:p w14:paraId="02FBF1C9" w14:textId="77777777" w:rsidR="008E05BA" w:rsidRPr="006B6F3A" w:rsidRDefault="008E05BA" w:rsidP="008E05BA">
            <w:pPr>
              <w:tabs>
                <w:tab w:val="decimal" w:pos="602"/>
              </w:tabs>
              <w:rPr>
                <w:color w:val="auto"/>
                <w:sz w:val="20"/>
                <w:szCs w:val="20"/>
              </w:rPr>
            </w:pPr>
            <w:r w:rsidRPr="006B6F3A">
              <w:rPr>
                <w:color w:val="auto"/>
                <w:sz w:val="20"/>
                <w:szCs w:val="20"/>
              </w:rPr>
              <w:t>(0.5)</w:t>
            </w:r>
          </w:p>
        </w:tc>
        <w:tc>
          <w:tcPr>
            <w:tcW w:w="856" w:type="pct"/>
            <w:vAlign w:val="bottom"/>
          </w:tcPr>
          <w:p w14:paraId="16776B7D" w14:textId="77777777" w:rsidR="008E05BA" w:rsidRPr="006B6F3A" w:rsidRDefault="008E05BA" w:rsidP="008E05BA">
            <w:pPr>
              <w:tabs>
                <w:tab w:val="decimal" w:pos="884"/>
              </w:tabs>
              <w:rPr>
                <w:color w:val="auto"/>
                <w:sz w:val="20"/>
                <w:szCs w:val="20"/>
              </w:rPr>
            </w:pPr>
            <w:r w:rsidRPr="006B6F3A">
              <w:rPr>
                <w:color w:val="auto"/>
                <w:sz w:val="20"/>
                <w:szCs w:val="20"/>
              </w:rPr>
              <w:t>(0.3)</w:t>
            </w:r>
          </w:p>
        </w:tc>
        <w:tc>
          <w:tcPr>
            <w:tcW w:w="664" w:type="pct"/>
            <w:tcBorders>
              <w:top w:val="nil"/>
            </w:tcBorders>
            <w:shd w:val="clear" w:color="auto" w:fill="auto"/>
            <w:vAlign w:val="bottom"/>
          </w:tcPr>
          <w:p w14:paraId="7E63481E" w14:textId="77777777" w:rsidR="008E05BA" w:rsidRPr="006B6F3A" w:rsidRDefault="008E05BA" w:rsidP="008E05BA">
            <w:pPr>
              <w:tabs>
                <w:tab w:val="decimal" w:pos="632"/>
              </w:tabs>
              <w:rPr>
                <w:color w:val="auto"/>
                <w:sz w:val="20"/>
                <w:szCs w:val="20"/>
              </w:rPr>
            </w:pPr>
            <w:r w:rsidRPr="006B6F3A">
              <w:rPr>
                <w:color w:val="auto"/>
                <w:sz w:val="20"/>
                <w:szCs w:val="20"/>
              </w:rPr>
              <w:t>-</w:t>
            </w:r>
          </w:p>
        </w:tc>
        <w:tc>
          <w:tcPr>
            <w:tcW w:w="633" w:type="pct"/>
            <w:tcBorders>
              <w:top w:val="nil"/>
            </w:tcBorders>
            <w:shd w:val="clear" w:color="auto" w:fill="auto"/>
            <w:vAlign w:val="bottom"/>
          </w:tcPr>
          <w:p w14:paraId="41D29019" w14:textId="77777777" w:rsidR="008E05BA" w:rsidRPr="006B6F3A" w:rsidRDefault="008E05BA" w:rsidP="008E05BA">
            <w:pPr>
              <w:tabs>
                <w:tab w:val="decimal" w:pos="599"/>
              </w:tabs>
              <w:rPr>
                <w:color w:val="auto"/>
                <w:sz w:val="20"/>
                <w:szCs w:val="20"/>
              </w:rPr>
            </w:pPr>
            <w:r w:rsidRPr="006B6F3A">
              <w:rPr>
                <w:color w:val="auto"/>
                <w:sz w:val="20"/>
                <w:szCs w:val="20"/>
              </w:rPr>
              <w:t>(0.8)</w:t>
            </w:r>
          </w:p>
        </w:tc>
      </w:tr>
      <w:tr w:rsidR="008E05BA" w:rsidRPr="006B6F3A" w14:paraId="3277EB92" w14:textId="77777777" w:rsidTr="008D0533">
        <w:trPr>
          <w:trHeight w:val="369"/>
        </w:trPr>
        <w:tc>
          <w:tcPr>
            <w:tcW w:w="2304" w:type="pct"/>
            <w:shd w:val="clear" w:color="auto" w:fill="auto"/>
            <w:vAlign w:val="bottom"/>
          </w:tcPr>
          <w:p w14:paraId="1DC70F37" w14:textId="77777777" w:rsidR="008E05BA" w:rsidRPr="006B6F3A" w:rsidRDefault="008E05BA" w:rsidP="008E05BA">
            <w:pPr>
              <w:jc w:val="left"/>
              <w:rPr>
                <w:color w:val="auto"/>
                <w:sz w:val="20"/>
                <w:szCs w:val="20"/>
              </w:rPr>
            </w:pPr>
            <w:r w:rsidRPr="006B6F3A">
              <w:rPr>
                <w:color w:val="auto"/>
                <w:sz w:val="20"/>
                <w:szCs w:val="20"/>
              </w:rPr>
              <w:t>Funding of Capital Projects</w:t>
            </w:r>
          </w:p>
        </w:tc>
        <w:tc>
          <w:tcPr>
            <w:tcW w:w="543" w:type="pct"/>
            <w:tcBorders>
              <w:top w:val="nil"/>
              <w:bottom w:val="single" w:sz="4" w:space="0" w:color="auto"/>
            </w:tcBorders>
            <w:shd w:val="clear" w:color="auto" w:fill="auto"/>
            <w:vAlign w:val="bottom"/>
          </w:tcPr>
          <w:p w14:paraId="789F6966" w14:textId="77777777" w:rsidR="008E05BA" w:rsidRPr="006B6F3A" w:rsidRDefault="008E05BA" w:rsidP="008E05BA">
            <w:pPr>
              <w:tabs>
                <w:tab w:val="decimal" w:pos="602"/>
              </w:tabs>
              <w:rPr>
                <w:color w:val="auto"/>
                <w:sz w:val="20"/>
                <w:szCs w:val="20"/>
              </w:rPr>
            </w:pPr>
            <w:r w:rsidRPr="006B6F3A">
              <w:rPr>
                <w:color w:val="auto"/>
                <w:sz w:val="20"/>
                <w:szCs w:val="20"/>
              </w:rPr>
              <w:t>(13.2)</w:t>
            </w:r>
          </w:p>
        </w:tc>
        <w:tc>
          <w:tcPr>
            <w:tcW w:w="856" w:type="pct"/>
            <w:tcBorders>
              <w:top w:val="nil"/>
              <w:bottom w:val="single" w:sz="4" w:space="0" w:color="auto"/>
            </w:tcBorders>
            <w:vAlign w:val="bottom"/>
          </w:tcPr>
          <w:p w14:paraId="169B65A5" w14:textId="28D727A4" w:rsidR="008E05BA" w:rsidRPr="006B6F3A" w:rsidRDefault="00F76406" w:rsidP="008E05BA">
            <w:pPr>
              <w:tabs>
                <w:tab w:val="decimal" w:pos="884"/>
              </w:tabs>
              <w:rPr>
                <w:color w:val="auto"/>
                <w:sz w:val="20"/>
                <w:szCs w:val="20"/>
              </w:rPr>
            </w:pPr>
            <w:r>
              <w:rPr>
                <w:color w:val="auto"/>
                <w:sz w:val="20"/>
                <w:szCs w:val="20"/>
              </w:rPr>
              <w:t>1.9</w:t>
            </w:r>
          </w:p>
        </w:tc>
        <w:tc>
          <w:tcPr>
            <w:tcW w:w="664" w:type="pct"/>
            <w:tcBorders>
              <w:top w:val="nil"/>
              <w:bottom w:val="single" w:sz="4" w:space="0" w:color="auto"/>
            </w:tcBorders>
            <w:shd w:val="clear" w:color="auto" w:fill="auto"/>
            <w:vAlign w:val="bottom"/>
          </w:tcPr>
          <w:p w14:paraId="62971A85" w14:textId="05BEE804" w:rsidR="008E05BA" w:rsidRPr="003946ED" w:rsidRDefault="0007390C">
            <w:pPr>
              <w:tabs>
                <w:tab w:val="decimal" w:pos="632"/>
              </w:tabs>
              <w:rPr>
                <w:color w:val="auto"/>
                <w:sz w:val="20"/>
                <w:szCs w:val="20"/>
              </w:rPr>
            </w:pPr>
            <w:r w:rsidRPr="008D0533">
              <w:rPr>
                <w:color w:val="auto"/>
                <w:sz w:val="20"/>
                <w:szCs w:val="20"/>
              </w:rPr>
              <w:t>(1.</w:t>
            </w:r>
            <w:r w:rsidR="00F76406" w:rsidRPr="008D0533">
              <w:rPr>
                <w:color w:val="auto"/>
                <w:sz w:val="20"/>
                <w:szCs w:val="20"/>
              </w:rPr>
              <w:t>2</w:t>
            </w:r>
            <w:r w:rsidRPr="008D0533">
              <w:rPr>
                <w:color w:val="auto"/>
                <w:sz w:val="20"/>
                <w:szCs w:val="20"/>
              </w:rPr>
              <w:t>)</w:t>
            </w:r>
          </w:p>
        </w:tc>
        <w:tc>
          <w:tcPr>
            <w:tcW w:w="633" w:type="pct"/>
            <w:tcBorders>
              <w:top w:val="nil"/>
              <w:bottom w:val="single" w:sz="4" w:space="0" w:color="auto"/>
            </w:tcBorders>
            <w:shd w:val="clear" w:color="auto" w:fill="auto"/>
            <w:vAlign w:val="bottom"/>
          </w:tcPr>
          <w:p w14:paraId="59E14744" w14:textId="07D78E0A" w:rsidR="008E05BA" w:rsidRPr="006B6F3A" w:rsidRDefault="008E05BA" w:rsidP="008E05BA">
            <w:pPr>
              <w:tabs>
                <w:tab w:val="decimal" w:pos="599"/>
              </w:tabs>
              <w:rPr>
                <w:color w:val="auto"/>
                <w:sz w:val="20"/>
                <w:szCs w:val="20"/>
              </w:rPr>
            </w:pPr>
            <w:r w:rsidRPr="006B6F3A">
              <w:rPr>
                <w:color w:val="auto"/>
                <w:sz w:val="20"/>
                <w:szCs w:val="20"/>
              </w:rPr>
              <w:t>(</w:t>
            </w:r>
            <w:r w:rsidR="00F76406">
              <w:rPr>
                <w:color w:val="auto"/>
                <w:sz w:val="20"/>
                <w:szCs w:val="20"/>
              </w:rPr>
              <w:t>12</w:t>
            </w:r>
            <w:r w:rsidR="0007390C">
              <w:rPr>
                <w:color w:val="auto"/>
                <w:sz w:val="20"/>
                <w:szCs w:val="20"/>
              </w:rPr>
              <w:t>.5</w:t>
            </w:r>
            <w:r w:rsidRPr="006B6F3A">
              <w:rPr>
                <w:color w:val="auto"/>
                <w:sz w:val="20"/>
                <w:szCs w:val="20"/>
              </w:rPr>
              <w:t>)</w:t>
            </w:r>
          </w:p>
        </w:tc>
      </w:tr>
      <w:tr w:rsidR="008E05BA" w:rsidRPr="006B6F3A" w14:paraId="0613803C" w14:textId="77777777" w:rsidTr="008D0533">
        <w:trPr>
          <w:trHeight w:val="369"/>
        </w:trPr>
        <w:tc>
          <w:tcPr>
            <w:tcW w:w="2304" w:type="pct"/>
            <w:shd w:val="clear" w:color="auto" w:fill="auto"/>
            <w:vAlign w:val="bottom"/>
          </w:tcPr>
          <w:p w14:paraId="3D952126" w14:textId="77777777" w:rsidR="008E05BA" w:rsidRPr="006B6F3A" w:rsidRDefault="008E05BA" w:rsidP="008E05BA">
            <w:pPr>
              <w:jc w:val="left"/>
              <w:rPr>
                <w:b/>
                <w:color w:val="auto"/>
                <w:sz w:val="20"/>
                <w:szCs w:val="20"/>
              </w:rPr>
            </w:pPr>
          </w:p>
        </w:tc>
        <w:tc>
          <w:tcPr>
            <w:tcW w:w="543" w:type="pct"/>
            <w:tcBorders>
              <w:top w:val="single" w:sz="4" w:space="0" w:color="auto"/>
            </w:tcBorders>
            <w:shd w:val="clear" w:color="auto" w:fill="auto"/>
            <w:vAlign w:val="bottom"/>
          </w:tcPr>
          <w:p w14:paraId="1D2571DE" w14:textId="77777777" w:rsidR="008E05BA" w:rsidRPr="006B6F3A" w:rsidRDefault="008E05BA" w:rsidP="008E05BA">
            <w:pPr>
              <w:tabs>
                <w:tab w:val="decimal" w:pos="602"/>
              </w:tabs>
              <w:rPr>
                <w:b/>
                <w:color w:val="auto"/>
                <w:sz w:val="20"/>
                <w:szCs w:val="20"/>
              </w:rPr>
            </w:pPr>
            <w:r w:rsidRPr="006B6F3A">
              <w:rPr>
                <w:b/>
                <w:color w:val="auto"/>
                <w:sz w:val="20"/>
                <w:szCs w:val="20"/>
              </w:rPr>
              <w:t>(14.1)</w:t>
            </w:r>
          </w:p>
        </w:tc>
        <w:tc>
          <w:tcPr>
            <w:tcW w:w="856" w:type="pct"/>
            <w:tcBorders>
              <w:top w:val="single" w:sz="4" w:space="0" w:color="auto"/>
            </w:tcBorders>
            <w:vAlign w:val="bottom"/>
          </w:tcPr>
          <w:p w14:paraId="408E1AEE" w14:textId="7370CC07" w:rsidR="008E05BA" w:rsidRPr="006B6F3A" w:rsidRDefault="00F76406" w:rsidP="008E05BA">
            <w:pPr>
              <w:tabs>
                <w:tab w:val="decimal" w:pos="884"/>
              </w:tabs>
              <w:rPr>
                <w:b/>
                <w:color w:val="auto"/>
                <w:sz w:val="20"/>
                <w:szCs w:val="20"/>
              </w:rPr>
            </w:pPr>
            <w:r>
              <w:rPr>
                <w:b/>
                <w:color w:val="auto"/>
                <w:sz w:val="20"/>
                <w:szCs w:val="20"/>
              </w:rPr>
              <w:t>1.6</w:t>
            </w:r>
          </w:p>
        </w:tc>
        <w:tc>
          <w:tcPr>
            <w:tcW w:w="664" w:type="pct"/>
            <w:tcBorders>
              <w:top w:val="single" w:sz="4" w:space="0" w:color="auto"/>
            </w:tcBorders>
            <w:shd w:val="clear" w:color="auto" w:fill="auto"/>
            <w:vAlign w:val="bottom"/>
          </w:tcPr>
          <w:p w14:paraId="26ABE8AA" w14:textId="473620ED" w:rsidR="008E05BA" w:rsidRPr="006B6F3A" w:rsidRDefault="00AD0FE1" w:rsidP="008E05BA">
            <w:pPr>
              <w:tabs>
                <w:tab w:val="decimal" w:pos="632"/>
              </w:tabs>
              <w:rPr>
                <w:b/>
                <w:color w:val="auto"/>
                <w:sz w:val="20"/>
                <w:szCs w:val="20"/>
              </w:rPr>
            </w:pPr>
            <w:r>
              <w:rPr>
                <w:b/>
                <w:color w:val="auto"/>
                <w:sz w:val="20"/>
                <w:szCs w:val="20"/>
              </w:rPr>
              <w:t>(</w:t>
            </w:r>
            <w:r w:rsidR="00F76406">
              <w:rPr>
                <w:b/>
                <w:color w:val="auto"/>
                <w:sz w:val="20"/>
                <w:szCs w:val="20"/>
              </w:rPr>
              <w:t>0.8</w:t>
            </w:r>
            <w:r>
              <w:rPr>
                <w:b/>
                <w:color w:val="auto"/>
                <w:sz w:val="20"/>
                <w:szCs w:val="20"/>
              </w:rPr>
              <w:t>)</w:t>
            </w:r>
          </w:p>
        </w:tc>
        <w:tc>
          <w:tcPr>
            <w:tcW w:w="633" w:type="pct"/>
            <w:tcBorders>
              <w:top w:val="single" w:sz="4" w:space="0" w:color="auto"/>
            </w:tcBorders>
            <w:shd w:val="clear" w:color="auto" w:fill="auto"/>
            <w:vAlign w:val="bottom"/>
          </w:tcPr>
          <w:p w14:paraId="2C09912F" w14:textId="0299FBD8" w:rsidR="008E05BA" w:rsidRPr="006B6F3A" w:rsidRDefault="008E05BA">
            <w:pPr>
              <w:tabs>
                <w:tab w:val="decimal" w:pos="599"/>
              </w:tabs>
              <w:rPr>
                <w:b/>
                <w:color w:val="auto"/>
                <w:sz w:val="20"/>
                <w:szCs w:val="20"/>
              </w:rPr>
            </w:pPr>
            <w:r w:rsidRPr="006B6F3A">
              <w:rPr>
                <w:b/>
                <w:color w:val="auto"/>
                <w:sz w:val="20"/>
                <w:szCs w:val="20"/>
              </w:rPr>
              <w:t>(</w:t>
            </w:r>
            <w:r w:rsidR="00AD0FE1">
              <w:rPr>
                <w:b/>
                <w:color w:val="auto"/>
                <w:sz w:val="20"/>
                <w:szCs w:val="20"/>
              </w:rPr>
              <w:t>1</w:t>
            </w:r>
            <w:r w:rsidR="00F76406">
              <w:rPr>
                <w:b/>
                <w:color w:val="auto"/>
                <w:sz w:val="20"/>
                <w:szCs w:val="20"/>
              </w:rPr>
              <w:t>3</w:t>
            </w:r>
            <w:r w:rsidR="00AD0FE1">
              <w:rPr>
                <w:b/>
                <w:color w:val="auto"/>
                <w:sz w:val="20"/>
                <w:szCs w:val="20"/>
              </w:rPr>
              <w:t>.3</w:t>
            </w:r>
            <w:r w:rsidRPr="006B6F3A">
              <w:rPr>
                <w:b/>
                <w:color w:val="auto"/>
                <w:sz w:val="20"/>
                <w:szCs w:val="20"/>
              </w:rPr>
              <w:t>)</w:t>
            </w:r>
          </w:p>
        </w:tc>
      </w:tr>
      <w:tr w:rsidR="008E05BA" w:rsidRPr="006B6F3A" w14:paraId="79BE2396" w14:textId="77777777" w:rsidTr="008D0533">
        <w:trPr>
          <w:trHeight w:val="369"/>
        </w:trPr>
        <w:tc>
          <w:tcPr>
            <w:tcW w:w="2304" w:type="pct"/>
            <w:shd w:val="clear" w:color="auto" w:fill="auto"/>
            <w:vAlign w:val="bottom"/>
          </w:tcPr>
          <w:p w14:paraId="352B2E34" w14:textId="77777777" w:rsidR="008E05BA" w:rsidRPr="006B6F3A" w:rsidRDefault="008E05BA" w:rsidP="008E05BA">
            <w:pPr>
              <w:jc w:val="left"/>
              <w:rPr>
                <w:color w:val="auto"/>
                <w:sz w:val="20"/>
                <w:szCs w:val="20"/>
                <w:u w:val="single"/>
              </w:rPr>
            </w:pPr>
            <w:r w:rsidRPr="006B6F3A">
              <w:rPr>
                <w:color w:val="auto"/>
                <w:sz w:val="20"/>
                <w:szCs w:val="20"/>
                <w:u w:val="single"/>
              </w:rPr>
              <w:lastRenderedPageBreak/>
              <w:t>School reserves</w:t>
            </w:r>
          </w:p>
        </w:tc>
        <w:tc>
          <w:tcPr>
            <w:tcW w:w="543" w:type="pct"/>
            <w:shd w:val="clear" w:color="auto" w:fill="auto"/>
            <w:vAlign w:val="bottom"/>
          </w:tcPr>
          <w:p w14:paraId="54984167" w14:textId="77777777" w:rsidR="008E05BA" w:rsidRPr="006B6F3A" w:rsidRDefault="008E05BA" w:rsidP="008E05BA">
            <w:pPr>
              <w:tabs>
                <w:tab w:val="decimal" w:pos="602"/>
              </w:tabs>
              <w:jc w:val="center"/>
              <w:rPr>
                <w:color w:val="auto"/>
                <w:sz w:val="20"/>
                <w:szCs w:val="20"/>
              </w:rPr>
            </w:pPr>
          </w:p>
        </w:tc>
        <w:tc>
          <w:tcPr>
            <w:tcW w:w="856" w:type="pct"/>
            <w:vAlign w:val="bottom"/>
          </w:tcPr>
          <w:p w14:paraId="7011F551" w14:textId="77777777" w:rsidR="008E05BA" w:rsidRPr="006B6F3A" w:rsidRDefault="008E05BA" w:rsidP="008E05BA">
            <w:pPr>
              <w:tabs>
                <w:tab w:val="decimal" w:pos="884"/>
              </w:tabs>
              <w:jc w:val="center"/>
              <w:rPr>
                <w:color w:val="auto"/>
                <w:sz w:val="20"/>
                <w:szCs w:val="20"/>
              </w:rPr>
            </w:pPr>
          </w:p>
        </w:tc>
        <w:tc>
          <w:tcPr>
            <w:tcW w:w="664" w:type="pct"/>
            <w:tcBorders>
              <w:bottom w:val="nil"/>
            </w:tcBorders>
            <w:shd w:val="clear" w:color="auto" w:fill="auto"/>
            <w:vAlign w:val="bottom"/>
          </w:tcPr>
          <w:p w14:paraId="7BFD09A7" w14:textId="77777777" w:rsidR="008E05BA" w:rsidRPr="006B6F3A" w:rsidRDefault="008E05BA" w:rsidP="008E05BA">
            <w:pPr>
              <w:tabs>
                <w:tab w:val="decimal" w:pos="632"/>
              </w:tabs>
              <w:rPr>
                <w:color w:val="auto"/>
                <w:sz w:val="20"/>
                <w:szCs w:val="20"/>
              </w:rPr>
            </w:pPr>
          </w:p>
        </w:tc>
        <w:tc>
          <w:tcPr>
            <w:tcW w:w="633" w:type="pct"/>
            <w:tcBorders>
              <w:bottom w:val="nil"/>
            </w:tcBorders>
            <w:shd w:val="clear" w:color="auto" w:fill="auto"/>
            <w:vAlign w:val="bottom"/>
          </w:tcPr>
          <w:p w14:paraId="356834CB" w14:textId="77777777" w:rsidR="008E05BA" w:rsidRPr="006B6F3A" w:rsidRDefault="008E05BA" w:rsidP="008E05BA">
            <w:pPr>
              <w:tabs>
                <w:tab w:val="decimal" w:pos="599"/>
              </w:tabs>
              <w:rPr>
                <w:color w:val="auto"/>
                <w:sz w:val="20"/>
                <w:szCs w:val="20"/>
              </w:rPr>
            </w:pPr>
          </w:p>
        </w:tc>
      </w:tr>
      <w:tr w:rsidR="008E05BA" w:rsidRPr="006B6F3A" w14:paraId="4AE29A46" w14:textId="77777777" w:rsidTr="008D0533">
        <w:trPr>
          <w:trHeight w:val="369"/>
        </w:trPr>
        <w:tc>
          <w:tcPr>
            <w:tcW w:w="2304" w:type="pct"/>
            <w:shd w:val="clear" w:color="auto" w:fill="auto"/>
            <w:vAlign w:val="bottom"/>
          </w:tcPr>
          <w:p w14:paraId="0E683B83" w14:textId="77777777" w:rsidR="008E05BA" w:rsidRPr="006B6F3A" w:rsidRDefault="008E05BA" w:rsidP="008E05BA">
            <w:pPr>
              <w:jc w:val="left"/>
              <w:rPr>
                <w:color w:val="auto"/>
                <w:sz w:val="20"/>
                <w:szCs w:val="20"/>
              </w:rPr>
            </w:pPr>
            <w:r w:rsidRPr="006B6F3A">
              <w:rPr>
                <w:color w:val="auto"/>
                <w:sz w:val="20"/>
                <w:szCs w:val="20"/>
              </w:rPr>
              <w:t>Individual School Reserves</w:t>
            </w:r>
          </w:p>
        </w:tc>
        <w:tc>
          <w:tcPr>
            <w:tcW w:w="543" w:type="pct"/>
            <w:shd w:val="clear" w:color="auto" w:fill="auto"/>
            <w:vAlign w:val="bottom"/>
          </w:tcPr>
          <w:p w14:paraId="4FBFDA8B" w14:textId="77777777" w:rsidR="008E05BA" w:rsidRPr="006B6F3A" w:rsidRDefault="008E05BA" w:rsidP="008E05BA">
            <w:pPr>
              <w:tabs>
                <w:tab w:val="decimal" w:pos="602"/>
              </w:tabs>
              <w:rPr>
                <w:color w:val="auto"/>
                <w:sz w:val="20"/>
                <w:szCs w:val="20"/>
              </w:rPr>
            </w:pPr>
            <w:r w:rsidRPr="006B6F3A">
              <w:rPr>
                <w:color w:val="auto"/>
                <w:sz w:val="20"/>
                <w:szCs w:val="20"/>
              </w:rPr>
              <w:t>(55.9)</w:t>
            </w:r>
          </w:p>
        </w:tc>
        <w:tc>
          <w:tcPr>
            <w:tcW w:w="856" w:type="pct"/>
            <w:vAlign w:val="bottom"/>
          </w:tcPr>
          <w:p w14:paraId="0E2FEB0E" w14:textId="77777777" w:rsidR="008E05BA" w:rsidRPr="006B6F3A" w:rsidRDefault="008E05BA" w:rsidP="008E05BA">
            <w:pPr>
              <w:tabs>
                <w:tab w:val="decimal" w:pos="884"/>
              </w:tabs>
              <w:rPr>
                <w:color w:val="auto"/>
                <w:sz w:val="20"/>
                <w:szCs w:val="20"/>
              </w:rPr>
            </w:pPr>
            <w:r w:rsidRPr="006B6F3A">
              <w:rPr>
                <w:color w:val="auto"/>
                <w:sz w:val="20"/>
                <w:szCs w:val="20"/>
              </w:rPr>
              <w:t>(0.8)</w:t>
            </w:r>
          </w:p>
        </w:tc>
        <w:tc>
          <w:tcPr>
            <w:tcW w:w="664" w:type="pct"/>
            <w:tcBorders>
              <w:top w:val="nil"/>
              <w:bottom w:val="nil"/>
            </w:tcBorders>
            <w:shd w:val="clear" w:color="auto" w:fill="auto"/>
            <w:vAlign w:val="bottom"/>
          </w:tcPr>
          <w:p w14:paraId="5F59226B" w14:textId="77777777" w:rsidR="008E05BA" w:rsidRPr="006B6F3A" w:rsidRDefault="008E05BA" w:rsidP="008E05BA">
            <w:pPr>
              <w:tabs>
                <w:tab w:val="decimal" w:pos="632"/>
              </w:tabs>
              <w:rPr>
                <w:color w:val="auto"/>
                <w:sz w:val="20"/>
                <w:szCs w:val="20"/>
              </w:rPr>
            </w:pPr>
            <w:r w:rsidRPr="006B6F3A">
              <w:rPr>
                <w:color w:val="auto"/>
                <w:sz w:val="20"/>
                <w:szCs w:val="20"/>
              </w:rPr>
              <w:t>0.3</w:t>
            </w:r>
          </w:p>
        </w:tc>
        <w:tc>
          <w:tcPr>
            <w:tcW w:w="633" w:type="pct"/>
            <w:tcBorders>
              <w:top w:val="nil"/>
              <w:bottom w:val="nil"/>
            </w:tcBorders>
            <w:shd w:val="clear" w:color="auto" w:fill="auto"/>
            <w:vAlign w:val="bottom"/>
          </w:tcPr>
          <w:p w14:paraId="798A54C2" w14:textId="77777777" w:rsidR="008E05BA" w:rsidRPr="006B6F3A" w:rsidRDefault="008E05BA" w:rsidP="008E05BA">
            <w:pPr>
              <w:tabs>
                <w:tab w:val="decimal" w:pos="599"/>
              </w:tabs>
              <w:rPr>
                <w:color w:val="auto"/>
                <w:sz w:val="20"/>
                <w:szCs w:val="20"/>
              </w:rPr>
            </w:pPr>
            <w:r w:rsidRPr="006B6F3A">
              <w:rPr>
                <w:color w:val="auto"/>
                <w:sz w:val="20"/>
                <w:szCs w:val="20"/>
              </w:rPr>
              <w:t>(56.4)</w:t>
            </w:r>
          </w:p>
        </w:tc>
      </w:tr>
      <w:tr w:rsidR="008E05BA" w:rsidRPr="006B6F3A" w14:paraId="69AA09F6" w14:textId="77777777" w:rsidTr="008D0533">
        <w:trPr>
          <w:trHeight w:val="369"/>
        </w:trPr>
        <w:tc>
          <w:tcPr>
            <w:tcW w:w="2304" w:type="pct"/>
            <w:shd w:val="clear" w:color="auto" w:fill="auto"/>
            <w:vAlign w:val="bottom"/>
          </w:tcPr>
          <w:p w14:paraId="72455CBF" w14:textId="77777777" w:rsidR="008E05BA" w:rsidRPr="006B6F3A" w:rsidRDefault="008E05BA" w:rsidP="008E05BA">
            <w:pPr>
              <w:jc w:val="left"/>
              <w:rPr>
                <w:color w:val="auto"/>
                <w:sz w:val="20"/>
                <w:szCs w:val="20"/>
              </w:rPr>
            </w:pPr>
            <w:r w:rsidRPr="006B6F3A">
              <w:rPr>
                <w:color w:val="auto"/>
                <w:sz w:val="20"/>
                <w:szCs w:val="20"/>
              </w:rPr>
              <w:t>Other School Reserves</w:t>
            </w:r>
          </w:p>
        </w:tc>
        <w:tc>
          <w:tcPr>
            <w:tcW w:w="543" w:type="pct"/>
            <w:tcBorders>
              <w:bottom w:val="nil"/>
            </w:tcBorders>
            <w:shd w:val="clear" w:color="auto" w:fill="auto"/>
            <w:vAlign w:val="bottom"/>
          </w:tcPr>
          <w:p w14:paraId="6A040C1C" w14:textId="77777777" w:rsidR="008E05BA" w:rsidRPr="006B6F3A" w:rsidRDefault="008E05BA" w:rsidP="008E05BA">
            <w:pPr>
              <w:tabs>
                <w:tab w:val="decimal" w:pos="602"/>
              </w:tabs>
              <w:rPr>
                <w:color w:val="auto"/>
                <w:sz w:val="20"/>
                <w:szCs w:val="20"/>
              </w:rPr>
            </w:pPr>
            <w:r w:rsidRPr="006B6F3A">
              <w:rPr>
                <w:color w:val="auto"/>
                <w:sz w:val="20"/>
                <w:szCs w:val="20"/>
              </w:rPr>
              <w:t>(31.2)</w:t>
            </w:r>
          </w:p>
        </w:tc>
        <w:tc>
          <w:tcPr>
            <w:tcW w:w="856" w:type="pct"/>
            <w:tcBorders>
              <w:bottom w:val="nil"/>
            </w:tcBorders>
            <w:vAlign w:val="bottom"/>
          </w:tcPr>
          <w:p w14:paraId="385190C6" w14:textId="685F357A" w:rsidR="008E05BA" w:rsidRPr="006B6F3A" w:rsidRDefault="008E05BA" w:rsidP="008E05BA">
            <w:pPr>
              <w:tabs>
                <w:tab w:val="decimal" w:pos="884"/>
              </w:tabs>
              <w:rPr>
                <w:color w:val="auto"/>
                <w:sz w:val="20"/>
                <w:szCs w:val="20"/>
              </w:rPr>
            </w:pPr>
            <w:r w:rsidRPr="006B6F3A">
              <w:rPr>
                <w:color w:val="auto"/>
                <w:sz w:val="20"/>
                <w:szCs w:val="20"/>
              </w:rPr>
              <w:t>(2.</w:t>
            </w:r>
            <w:r w:rsidR="00F76406">
              <w:rPr>
                <w:color w:val="auto"/>
                <w:sz w:val="20"/>
                <w:szCs w:val="20"/>
              </w:rPr>
              <w:t>0</w:t>
            </w:r>
            <w:r w:rsidRPr="006B6F3A">
              <w:rPr>
                <w:color w:val="auto"/>
                <w:sz w:val="20"/>
                <w:szCs w:val="20"/>
              </w:rPr>
              <w:t>)</w:t>
            </w:r>
          </w:p>
        </w:tc>
        <w:tc>
          <w:tcPr>
            <w:tcW w:w="664" w:type="pct"/>
            <w:tcBorders>
              <w:top w:val="nil"/>
              <w:bottom w:val="nil"/>
            </w:tcBorders>
            <w:shd w:val="clear" w:color="auto" w:fill="auto"/>
            <w:vAlign w:val="bottom"/>
          </w:tcPr>
          <w:p w14:paraId="2C2BC669" w14:textId="77777777" w:rsidR="008E05BA" w:rsidRPr="006B6F3A" w:rsidRDefault="008E05BA" w:rsidP="008E05BA">
            <w:pPr>
              <w:tabs>
                <w:tab w:val="decimal" w:pos="632"/>
              </w:tabs>
              <w:rPr>
                <w:color w:val="auto"/>
                <w:sz w:val="20"/>
                <w:szCs w:val="20"/>
              </w:rPr>
            </w:pPr>
            <w:r w:rsidRPr="006B6F3A">
              <w:rPr>
                <w:color w:val="auto"/>
                <w:sz w:val="20"/>
                <w:szCs w:val="20"/>
              </w:rPr>
              <w:t>(0.3)</w:t>
            </w:r>
          </w:p>
        </w:tc>
        <w:tc>
          <w:tcPr>
            <w:tcW w:w="633" w:type="pct"/>
            <w:tcBorders>
              <w:top w:val="nil"/>
              <w:bottom w:val="nil"/>
            </w:tcBorders>
            <w:shd w:val="clear" w:color="auto" w:fill="auto"/>
            <w:vAlign w:val="bottom"/>
          </w:tcPr>
          <w:p w14:paraId="266772C0" w14:textId="27938960" w:rsidR="008E05BA" w:rsidRPr="006B6F3A" w:rsidRDefault="008E05BA" w:rsidP="008E05BA">
            <w:pPr>
              <w:tabs>
                <w:tab w:val="decimal" w:pos="599"/>
              </w:tabs>
              <w:rPr>
                <w:color w:val="auto"/>
                <w:sz w:val="20"/>
                <w:szCs w:val="20"/>
              </w:rPr>
            </w:pPr>
            <w:r w:rsidRPr="006B6F3A">
              <w:rPr>
                <w:color w:val="auto"/>
                <w:sz w:val="20"/>
                <w:szCs w:val="20"/>
              </w:rPr>
              <w:t>(33.</w:t>
            </w:r>
            <w:r w:rsidR="00F76406">
              <w:rPr>
                <w:color w:val="auto"/>
                <w:sz w:val="20"/>
                <w:szCs w:val="20"/>
              </w:rPr>
              <w:t>5</w:t>
            </w:r>
            <w:r w:rsidRPr="006B6F3A">
              <w:rPr>
                <w:color w:val="auto"/>
                <w:sz w:val="20"/>
                <w:szCs w:val="20"/>
              </w:rPr>
              <w:t>)</w:t>
            </w:r>
          </w:p>
        </w:tc>
      </w:tr>
      <w:tr w:rsidR="008E05BA" w:rsidRPr="006B6F3A" w14:paraId="5C1368C3" w14:textId="77777777" w:rsidTr="008D0533">
        <w:trPr>
          <w:trHeight w:val="369"/>
        </w:trPr>
        <w:tc>
          <w:tcPr>
            <w:tcW w:w="2304" w:type="pct"/>
            <w:shd w:val="clear" w:color="auto" w:fill="auto"/>
            <w:vAlign w:val="bottom"/>
          </w:tcPr>
          <w:p w14:paraId="3B4D16E2" w14:textId="77777777" w:rsidR="008E05BA" w:rsidRPr="006B6F3A" w:rsidRDefault="008E05BA" w:rsidP="008E05BA">
            <w:pPr>
              <w:jc w:val="left"/>
              <w:rPr>
                <w:color w:val="auto"/>
                <w:sz w:val="20"/>
                <w:szCs w:val="20"/>
              </w:rPr>
            </w:pPr>
            <w:r w:rsidRPr="006B6F3A">
              <w:rPr>
                <w:color w:val="auto"/>
                <w:sz w:val="20"/>
                <w:szCs w:val="20"/>
              </w:rPr>
              <w:t>Centrally Managed Schools Maintenance Reserve</w:t>
            </w:r>
          </w:p>
        </w:tc>
        <w:tc>
          <w:tcPr>
            <w:tcW w:w="543" w:type="pct"/>
            <w:tcBorders>
              <w:top w:val="nil"/>
              <w:bottom w:val="single" w:sz="4" w:space="0" w:color="auto"/>
            </w:tcBorders>
            <w:shd w:val="clear" w:color="auto" w:fill="auto"/>
            <w:vAlign w:val="bottom"/>
          </w:tcPr>
          <w:p w14:paraId="1773A0E3" w14:textId="77777777" w:rsidR="008E05BA" w:rsidRPr="006B6F3A" w:rsidRDefault="008E05BA" w:rsidP="008E05BA">
            <w:pPr>
              <w:tabs>
                <w:tab w:val="decimal" w:pos="602"/>
              </w:tabs>
              <w:rPr>
                <w:color w:val="auto"/>
                <w:sz w:val="20"/>
                <w:szCs w:val="20"/>
              </w:rPr>
            </w:pPr>
            <w:r w:rsidRPr="006B6F3A">
              <w:rPr>
                <w:color w:val="auto"/>
                <w:sz w:val="20"/>
                <w:szCs w:val="20"/>
              </w:rPr>
              <w:t>(4.2)</w:t>
            </w:r>
          </w:p>
        </w:tc>
        <w:tc>
          <w:tcPr>
            <w:tcW w:w="856" w:type="pct"/>
            <w:tcBorders>
              <w:top w:val="nil"/>
              <w:bottom w:val="single" w:sz="4" w:space="0" w:color="auto"/>
            </w:tcBorders>
            <w:vAlign w:val="bottom"/>
          </w:tcPr>
          <w:p w14:paraId="49EFF490" w14:textId="77777777" w:rsidR="008E05BA" w:rsidRPr="006B6F3A" w:rsidRDefault="008E05BA" w:rsidP="008E05BA">
            <w:pPr>
              <w:tabs>
                <w:tab w:val="decimal" w:pos="884"/>
              </w:tabs>
              <w:rPr>
                <w:color w:val="auto"/>
                <w:sz w:val="20"/>
                <w:szCs w:val="20"/>
              </w:rPr>
            </w:pPr>
            <w:r w:rsidRPr="006B6F3A">
              <w:rPr>
                <w:color w:val="auto"/>
                <w:sz w:val="20"/>
                <w:szCs w:val="20"/>
              </w:rPr>
              <w:t>(1.9)</w:t>
            </w:r>
          </w:p>
        </w:tc>
        <w:tc>
          <w:tcPr>
            <w:tcW w:w="664" w:type="pct"/>
            <w:tcBorders>
              <w:top w:val="nil"/>
              <w:bottom w:val="single" w:sz="4" w:space="0" w:color="auto"/>
            </w:tcBorders>
            <w:shd w:val="clear" w:color="auto" w:fill="auto"/>
            <w:vAlign w:val="bottom"/>
          </w:tcPr>
          <w:p w14:paraId="158618D3" w14:textId="77777777" w:rsidR="008E05BA" w:rsidRPr="006B6F3A" w:rsidRDefault="008E05BA" w:rsidP="008E05BA">
            <w:pPr>
              <w:tabs>
                <w:tab w:val="decimal" w:pos="632"/>
              </w:tabs>
              <w:rPr>
                <w:color w:val="auto"/>
                <w:sz w:val="20"/>
                <w:szCs w:val="20"/>
              </w:rPr>
            </w:pPr>
            <w:r w:rsidRPr="006B6F3A">
              <w:rPr>
                <w:color w:val="auto"/>
                <w:sz w:val="20"/>
                <w:szCs w:val="20"/>
              </w:rPr>
              <w:t>-</w:t>
            </w:r>
          </w:p>
        </w:tc>
        <w:tc>
          <w:tcPr>
            <w:tcW w:w="633" w:type="pct"/>
            <w:tcBorders>
              <w:top w:val="nil"/>
              <w:bottom w:val="single" w:sz="4" w:space="0" w:color="auto"/>
            </w:tcBorders>
            <w:shd w:val="clear" w:color="auto" w:fill="auto"/>
            <w:vAlign w:val="bottom"/>
          </w:tcPr>
          <w:p w14:paraId="54730854" w14:textId="77777777" w:rsidR="008E05BA" w:rsidRPr="006B6F3A" w:rsidRDefault="008E05BA" w:rsidP="008E05BA">
            <w:pPr>
              <w:tabs>
                <w:tab w:val="decimal" w:pos="599"/>
              </w:tabs>
              <w:rPr>
                <w:color w:val="auto"/>
                <w:sz w:val="20"/>
                <w:szCs w:val="20"/>
              </w:rPr>
            </w:pPr>
            <w:r w:rsidRPr="006B6F3A">
              <w:rPr>
                <w:color w:val="auto"/>
                <w:sz w:val="20"/>
                <w:szCs w:val="20"/>
              </w:rPr>
              <w:t>(6.1)</w:t>
            </w:r>
          </w:p>
        </w:tc>
      </w:tr>
      <w:tr w:rsidR="008E05BA" w:rsidRPr="006B6F3A" w14:paraId="05CE64DB" w14:textId="77777777" w:rsidTr="008D0533">
        <w:trPr>
          <w:trHeight w:val="369"/>
        </w:trPr>
        <w:tc>
          <w:tcPr>
            <w:tcW w:w="2304" w:type="pct"/>
            <w:shd w:val="clear" w:color="auto" w:fill="auto"/>
            <w:vAlign w:val="bottom"/>
          </w:tcPr>
          <w:p w14:paraId="6FA6F068" w14:textId="77777777" w:rsidR="008E05BA" w:rsidRPr="006B6F3A" w:rsidRDefault="008E05BA" w:rsidP="008E05BA">
            <w:pPr>
              <w:jc w:val="left"/>
              <w:rPr>
                <w:b/>
                <w:color w:val="auto"/>
                <w:sz w:val="20"/>
                <w:szCs w:val="20"/>
              </w:rPr>
            </w:pPr>
          </w:p>
        </w:tc>
        <w:tc>
          <w:tcPr>
            <w:tcW w:w="543" w:type="pct"/>
            <w:tcBorders>
              <w:top w:val="single" w:sz="4" w:space="0" w:color="auto"/>
            </w:tcBorders>
            <w:shd w:val="clear" w:color="auto" w:fill="auto"/>
            <w:vAlign w:val="bottom"/>
          </w:tcPr>
          <w:p w14:paraId="7261B160" w14:textId="77777777" w:rsidR="008E05BA" w:rsidRPr="006B6F3A" w:rsidRDefault="008E05BA" w:rsidP="008E05BA">
            <w:pPr>
              <w:tabs>
                <w:tab w:val="decimal" w:pos="602"/>
              </w:tabs>
              <w:rPr>
                <w:b/>
                <w:color w:val="auto"/>
                <w:sz w:val="20"/>
                <w:szCs w:val="20"/>
              </w:rPr>
            </w:pPr>
            <w:r w:rsidRPr="006B6F3A">
              <w:rPr>
                <w:b/>
                <w:color w:val="auto"/>
                <w:sz w:val="20"/>
                <w:szCs w:val="20"/>
              </w:rPr>
              <w:t>(91.3)</w:t>
            </w:r>
          </w:p>
        </w:tc>
        <w:tc>
          <w:tcPr>
            <w:tcW w:w="856" w:type="pct"/>
            <w:tcBorders>
              <w:top w:val="single" w:sz="4" w:space="0" w:color="auto"/>
            </w:tcBorders>
            <w:vAlign w:val="bottom"/>
          </w:tcPr>
          <w:p w14:paraId="28DEA9C9" w14:textId="620A029D" w:rsidR="008E05BA" w:rsidRPr="006B6F3A" w:rsidRDefault="008E05BA" w:rsidP="008E05BA">
            <w:pPr>
              <w:tabs>
                <w:tab w:val="decimal" w:pos="884"/>
              </w:tabs>
              <w:rPr>
                <w:b/>
                <w:color w:val="auto"/>
                <w:sz w:val="20"/>
                <w:szCs w:val="20"/>
              </w:rPr>
            </w:pPr>
            <w:r w:rsidRPr="006B6F3A">
              <w:rPr>
                <w:b/>
                <w:color w:val="auto"/>
                <w:sz w:val="20"/>
                <w:szCs w:val="20"/>
              </w:rPr>
              <w:t>(4.</w:t>
            </w:r>
            <w:r w:rsidR="00F76406">
              <w:rPr>
                <w:b/>
                <w:color w:val="auto"/>
                <w:sz w:val="20"/>
                <w:szCs w:val="20"/>
              </w:rPr>
              <w:t>7</w:t>
            </w:r>
            <w:r w:rsidRPr="006B6F3A">
              <w:rPr>
                <w:b/>
                <w:color w:val="auto"/>
                <w:sz w:val="20"/>
                <w:szCs w:val="20"/>
              </w:rPr>
              <w:t>)</w:t>
            </w:r>
          </w:p>
        </w:tc>
        <w:tc>
          <w:tcPr>
            <w:tcW w:w="664" w:type="pct"/>
            <w:tcBorders>
              <w:top w:val="single" w:sz="4" w:space="0" w:color="auto"/>
            </w:tcBorders>
            <w:shd w:val="clear" w:color="auto" w:fill="auto"/>
            <w:vAlign w:val="bottom"/>
          </w:tcPr>
          <w:p w14:paraId="01244BE1" w14:textId="77777777" w:rsidR="008E05BA" w:rsidRPr="006B6F3A" w:rsidRDefault="008E05BA" w:rsidP="008E05BA">
            <w:pPr>
              <w:tabs>
                <w:tab w:val="decimal" w:pos="632"/>
              </w:tabs>
              <w:rPr>
                <w:b/>
                <w:color w:val="auto"/>
                <w:sz w:val="20"/>
                <w:szCs w:val="20"/>
              </w:rPr>
            </w:pPr>
            <w:r w:rsidRPr="006B6F3A">
              <w:rPr>
                <w:b/>
                <w:color w:val="auto"/>
                <w:sz w:val="20"/>
                <w:szCs w:val="20"/>
              </w:rPr>
              <w:t>-</w:t>
            </w:r>
          </w:p>
        </w:tc>
        <w:tc>
          <w:tcPr>
            <w:tcW w:w="633" w:type="pct"/>
            <w:tcBorders>
              <w:top w:val="single" w:sz="4" w:space="0" w:color="auto"/>
            </w:tcBorders>
            <w:shd w:val="clear" w:color="auto" w:fill="auto"/>
            <w:vAlign w:val="bottom"/>
          </w:tcPr>
          <w:p w14:paraId="687FB1A1" w14:textId="3513199A" w:rsidR="008E05BA" w:rsidRPr="006B6F3A" w:rsidRDefault="008E05BA">
            <w:pPr>
              <w:tabs>
                <w:tab w:val="decimal" w:pos="599"/>
              </w:tabs>
              <w:rPr>
                <w:b/>
                <w:color w:val="auto"/>
                <w:sz w:val="20"/>
                <w:szCs w:val="20"/>
              </w:rPr>
            </w:pPr>
            <w:r w:rsidRPr="006B6F3A">
              <w:rPr>
                <w:b/>
                <w:color w:val="auto"/>
                <w:sz w:val="20"/>
                <w:szCs w:val="20"/>
              </w:rPr>
              <w:t>(96.</w:t>
            </w:r>
            <w:r w:rsidR="00F76406">
              <w:rPr>
                <w:b/>
                <w:color w:val="auto"/>
                <w:sz w:val="20"/>
                <w:szCs w:val="20"/>
              </w:rPr>
              <w:t>0</w:t>
            </w:r>
            <w:r w:rsidRPr="006B6F3A">
              <w:rPr>
                <w:b/>
                <w:color w:val="auto"/>
                <w:sz w:val="20"/>
                <w:szCs w:val="20"/>
              </w:rPr>
              <w:t>)</w:t>
            </w:r>
          </w:p>
        </w:tc>
      </w:tr>
      <w:tr w:rsidR="008E05BA" w:rsidRPr="006B6F3A" w14:paraId="089DF912" w14:textId="77777777" w:rsidTr="008D0533">
        <w:trPr>
          <w:trHeight w:val="502"/>
        </w:trPr>
        <w:tc>
          <w:tcPr>
            <w:tcW w:w="2304" w:type="pct"/>
            <w:shd w:val="clear" w:color="auto" w:fill="auto"/>
            <w:vAlign w:val="bottom"/>
          </w:tcPr>
          <w:p w14:paraId="59FFCBB2" w14:textId="77777777" w:rsidR="008E05BA" w:rsidRPr="006B6F3A" w:rsidRDefault="008E05BA" w:rsidP="008E05BA">
            <w:pPr>
              <w:jc w:val="left"/>
              <w:rPr>
                <w:color w:val="auto"/>
                <w:sz w:val="20"/>
                <w:szCs w:val="20"/>
                <w:u w:val="single"/>
              </w:rPr>
            </w:pPr>
            <w:r w:rsidRPr="006B6F3A">
              <w:rPr>
                <w:color w:val="auto"/>
                <w:sz w:val="20"/>
                <w:szCs w:val="20"/>
                <w:u w:val="single"/>
              </w:rPr>
              <w:t>Reserves held to meet service priorities (directorate reserves)</w:t>
            </w:r>
          </w:p>
        </w:tc>
        <w:tc>
          <w:tcPr>
            <w:tcW w:w="543" w:type="pct"/>
            <w:shd w:val="clear" w:color="auto" w:fill="auto"/>
            <w:vAlign w:val="bottom"/>
          </w:tcPr>
          <w:p w14:paraId="453656F6" w14:textId="77777777" w:rsidR="008E05BA" w:rsidRPr="006B6F3A" w:rsidRDefault="008E05BA" w:rsidP="008E05BA">
            <w:pPr>
              <w:tabs>
                <w:tab w:val="decimal" w:pos="602"/>
              </w:tabs>
              <w:jc w:val="center"/>
              <w:rPr>
                <w:color w:val="auto"/>
                <w:sz w:val="20"/>
                <w:szCs w:val="20"/>
              </w:rPr>
            </w:pPr>
          </w:p>
        </w:tc>
        <w:tc>
          <w:tcPr>
            <w:tcW w:w="856" w:type="pct"/>
            <w:vAlign w:val="bottom"/>
          </w:tcPr>
          <w:p w14:paraId="50B2F967" w14:textId="77777777" w:rsidR="008E05BA" w:rsidRPr="006B6F3A" w:rsidRDefault="008E05BA" w:rsidP="008E05BA">
            <w:pPr>
              <w:tabs>
                <w:tab w:val="decimal" w:pos="884"/>
              </w:tabs>
              <w:jc w:val="center"/>
              <w:rPr>
                <w:color w:val="auto"/>
                <w:sz w:val="20"/>
                <w:szCs w:val="20"/>
              </w:rPr>
            </w:pPr>
          </w:p>
        </w:tc>
        <w:tc>
          <w:tcPr>
            <w:tcW w:w="664" w:type="pct"/>
            <w:tcBorders>
              <w:bottom w:val="nil"/>
            </w:tcBorders>
            <w:shd w:val="clear" w:color="auto" w:fill="auto"/>
            <w:vAlign w:val="bottom"/>
          </w:tcPr>
          <w:p w14:paraId="7D16BCAE" w14:textId="77777777" w:rsidR="008E05BA" w:rsidRPr="006B6F3A" w:rsidRDefault="008E05BA" w:rsidP="008E05BA">
            <w:pPr>
              <w:tabs>
                <w:tab w:val="decimal" w:pos="632"/>
              </w:tabs>
              <w:rPr>
                <w:color w:val="auto"/>
                <w:sz w:val="20"/>
                <w:szCs w:val="20"/>
              </w:rPr>
            </w:pPr>
          </w:p>
        </w:tc>
        <w:tc>
          <w:tcPr>
            <w:tcW w:w="633" w:type="pct"/>
            <w:tcBorders>
              <w:bottom w:val="nil"/>
            </w:tcBorders>
            <w:shd w:val="clear" w:color="auto" w:fill="auto"/>
            <w:vAlign w:val="bottom"/>
          </w:tcPr>
          <w:p w14:paraId="6C515E5D" w14:textId="77777777" w:rsidR="008E05BA" w:rsidRPr="006B6F3A" w:rsidRDefault="008E05BA" w:rsidP="008E05BA">
            <w:pPr>
              <w:tabs>
                <w:tab w:val="decimal" w:pos="599"/>
              </w:tabs>
              <w:rPr>
                <w:color w:val="auto"/>
                <w:sz w:val="20"/>
                <w:szCs w:val="20"/>
              </w:rPr>
            </w:pPr>
          </w:p>
        </w:tc>
      </w:tr>
      <w:tr w:rsidR="008E05BA" w:rsidRPr="006B6F3A" w14:paraId="30B404FB" w14:textId="77777777" w:rsidTr="008D0533">
        <w:trPr>
          <w:trHeight w:val="369"/>
        </w:trPr>
        <w:tc>
          <w:tcPr>
            <w:tcW w:w="2304" w:type="pct"/>
            <w:shd w:val="clear" w:color="auto" w:fill="auto"/>
            <w:vAlign w:val="bottom"/>
          </w:tcPr>
          <w:p w14:paraId="2F68CE94" w14:textId="77777777" w:rsidR="008E05BA" w:rsidRPr="006B6F3A" w:rsidRDefault="008E05BA" w:rsidP="008E05BA">
            <w:pPr>
              <w:jc w:val="left"/>
              <w:rPr>
                <w:color w:val="auto"/>
                <w:sz w:val="20"/>
                <w:szCs w:val="20"/>
              </w:rPr>
            </w:pPr>
            <w:r w:rsidRPr="006B6F3A">
              <w:rPr>
                <w:color w:val="auto"/>
                <w:sz w:val="20"/>
                <w:szCs w:val="20"/>
              </w:rPr>
              <w:t>Corporate Reserves</w:t>
            </w:r>
          </w:p>
        </w:tc>
        <w:tc>
          <w:tcPr>
            <w:tcW w:w="543" w:type="pct"/>
            <w:shd w:val="clear" w:color="auto" w:fill="auto"/>
            <w:vAlign w:val="bottom"/>
          </w:tcPr>
          <w:p w14:paraId="62C9CF97" w14:textId="77777777" w:rsidR="008E05BA" w:rsidRPr="006B6F3A" w:rsidRDefault="008E05BA" w:rsidP="008E05BA">
            <w:pPr>
              <w:tabs>
                <w:tab w:val="decimal" w:pos="602"/>
              </w:tabs>
              <w:rPr>
                <w:color w:val="auto"/>
                <w:sz w:val="20"/>
                <w:szCs w:val="20"/>
              </w:rPr>
            </w:pPr>
            <w:r w:rsidRPr="006B6F3A">
              <w:rPr>
                <w:color w:val="auto"/>
                <w:sz w:val="20"/>
                <w:szCs w:val="20"/>
              </w:rPr>
              <w:t>(0.6)</w:t>
            </w:r>
          </w:p>
        </w:tc>
        <w:tc>
          <w:tcPr>
            <w:tcW w:w="856" w:type="pct"/>
            <w:vAlign w:val="bottom"/>
          </w:tcPr>
          <w:p w14:paraId="732DCD29" w14:textId="77777777" w:rsidR="008E05BA" w:rsidRPr="006B6F3A" w:rsidRDefault="008E05BA" w:rsidP="008E05BA">
            <w:pPr>
              <w:tabs>
                <w:tab w:val="decimal" w:pos="884"/>
              </w:tabs>
              <w:rPr>
                <w:color w:val="auto"/>
                <w:sz w:val="20"/>
                <w:szCs w:val="20"/>
              </w:rPr>
            </w:pPr>
            <w:r w:rsidRPr="006B6F3A">
              <w:rPr>
                <w:color w:val="auto"/>
                <w:sz w:val="20"/>
                <w:szCs w:val="20"/>
              </w:rPr>
              <w:t>0.2</w:t>
            </w:r>
          </w:p>
        </w:tc>
        <w:tc>
          <w:tcPr>
            <w:tcW w:w="664" w:type="pct"/>
            <w:tcBorders>
              <w:top w:val="nil"/>
              <w:bottom w:val="nil"/>
            </w:tcBorders>
            <w:shd w:val="clear" w:color="auto" w:fill="auto"/>
            <w:vAlign w:val="bottom"/>
          </w:tcPr>
          <w:p w14:paraId="3F24A105" w14:textId="77777777" w:rsidR="008E05BA" w:rsidRPr="006B6F3A" w:rsidRDefault="008E05BA" w:rsidP="008E05BA">
            <w:pPr>
              <w:tabs>
                <w:tab w:val="decimal" w:pos="632"/>
              </w:tabs>
              <w:rPr>
                <w:color w:val="auto"/>
                <w:sz w:val="20"/>
                <w:szCs w:val="20"/>
              </w:rPr>
            </w:pPr>
            <w:r w:rsidRPr="006B6F3A">
              <w:rPr>
                <w:color w:val="auto"/>
                <w:sz w:val="20"/>
                <w:szCs w:val="20"/>
              </w:rPr>
              <w:t>0.3</w:t>
            </w:r>
          </w:p>
        </w:tc>
        <w:tc>
          <w:tcPr>
            <w:tcW w:w="633" w:type="pct"/>
            <w:tcBorders>
              <w:top w:val="nil"/>
              <w:bottom w:val="nil"/>
            </w:tcBorders>
            <w:shd w:val="clear" w:color="auto" w:fill="auto"/>
            <w:vAlign w:val="bottom"/>
          </w:tcPr>
          <w:p w14:paraId="7B4211DB" w14:textId="77777777" w:rsidR="008E05BA" w:rsidRPr="006B6F3A" w:rsidRDefault="008E05BA" w:rsidP="008E05BA">
            <w:pPr>
              <w:tabs>
                <w:tab w:val="decimal" w:pos="599"/>
              </w:tabs>
              <w:rPr>
                <w:color w:val="auto"/>
                <w:sz w:val="20"/>
                <w:szCs w:val="20"/>
              </w:rPr>
            </w:pPr>
            <w:r w:rsidRPr="006B6F3A">
              <w:rPr>
                <w:color w:val="auto"/>
                <w:sz w:val="20"/>
                <w:szCs w:val="20"/>
              </w:rPr>
              <w:t>(0.1)</w:t>
            </w:r>
          </w:p>
        </w:tc>
      </w:tr>
      <w:tr w:rsidR="008E05BA" w:rsidRPr="006B6F3A" w14:paraId="643B2BFF" w14:textId="77777777" w:rsidTr="008D0533">
        <w:trPr>
          <w:trHeight w:val="369"/>
        </w:trPr>
        <w:tc>
          <w:tcPr>
            <w:tcW w:w="2304" w:type="pct"/>
            <w:shd w:val="clear" w:color="auto" w:fill="auto"/>
            <w:vAlign w:val="bottom"/>
          </w:tcPr>
          <w:p w14:paraId="052FE5EE" w14:textId="77777777" w:rsidR="008E05BA" w:rsidRPr="006B6F3A" w:rsidRDefault="008E05BA" w:rsidP="008E05BA">
            <w:pPr>
              <w:jc w:val="left"/>
              <w:rPr>
                <w:color w:val="auto"/>
                <w:sz w:val="20"/>
                <w:szCs w:val="20"/>
              </w:rPr>
            </w:pPr>
            <w:r w:rsidRPr="006B6F3A">
              <w:rPr>
                <w:color w:val="auto"/>
                <w:sz w:val="20"/>
                <w:szCs w:val="20"/>
              </w:rPr>
              <w:t>Directorate Reserves</w:t>
            </w:r>
          </w:p>
        </w:tc>
        <w:tc>
          <w:tcPr>
            <w:tcW w:w="543" w:type="pct"/>
            <w:tcBorders>
              <w:bottom w:val="nil"/>
            </w:tcBorders>
            <w:shd w:val="clear" w:color="auto" w:fill="auto"/>
            <w:vAlign w:val="bottom"/>
          </w:tcPr>
          <w:p w14:paraId="19949FA6" w14:textId="7C644382" w:rsidR="008E05BA" w:rsidRPr="006B6F3A" w:rsidRDefault="008E05BA" w:rsidP="00A42996">
            <w:pPr>
              <w:tabs>
                <w:tab w:val="decimal" w:pos="602"/>
              </w:tabs>
              <w:rPr>
                <w:color w:val="auto"/>
                <w:sz w:val="20"/>
                <w:szCs w:val="20"/>
              </w:rPr>
            </w:pPr>
            <w:r w:rsidRPr="006B6F3A">
              <w:rPr>
                <w:color w:val="auto"/>
                <w:sz w:val="20"/>
                <w:szCs w:val="20"/>
              </w:rPr>
              <w:t>(6</w:t>
            </w:r>
            <w:r w:rsidR="00A42996">
              <w:rPr>
                <w:color w:val="auto"/>
                <w:sz w:val="20"/>
                <w:szCs w:val="20"/>
              </w:rPr>
              <w:t>5</w:t>
            </w:r>
            <w:r w:rsidRPr="006B6F3A">
              <w:rPr>
                <w:color w:val="auto"/>
                <w:sz w:val="20"/>
                <w:szCs w:val="20"/>
              </w:rPr>
              <w:t>.8)</w:t>
            </w:r>
          </w:p>
        </w:tc>
        <w:tc>
          <w:tcPr>
            <w:tcW w:w="856" w:type="pct"/>
            <w:tcBorders>
              <w:bottom w:val="nil"/>
            </w:tcBorders>
            <w:vAlign w:val="bottom"/>
          </w:tcPr>
          <w:p w14:paraId="75BD6204" w14:textId="3B1A6E87" w:rsidR="008E05BA" w:rsidRPr="006B6F3A" w:rsidRDefault="008E05BA">
            <w:pPr>
              <w:tabs>
                <w:tab w:val="decimal" w:pos="884"/>
              </w:tabs>
              <w:rPr>
                <w:color w:val="auto"/>
                <w:sz w:val="20"/>
                <w:szCs w:val="20"/>
              </w:rPr>
            </w:pPr>
            <w:r w:rsidRPr="006B6F3A">
              <w:rPr>
                <w:color w:val="auto"/>
                <w:sz w:val="20"/>
                <w:szCs w:val="20"/>
              </w:rPr>
              <w:t>(</w:t>
            </w:r>
            <w:r w:rsidR="00F76406">
              <w:rPr>
                <w:color w:val="auto"/>
                <w:sz w:val="20"/>
                <w:szCs w:val="20"/>
              </w:rPr>
              <w:t>32.2</w:t>
            </w:r>
            <w:r w:rsidRPr="006B6F3A">
              <w:rPr>
                <w:color w:val="auto"/>
                <w:sz w:val="20"/>
                <w:szCs w:val="20"/>
              </w:rPr>
              <w:t>)</w:t>
            </w:r>
          </w:p>
        </w:tc>
        <w:tc>
          <w:tcPr>
            <w:tcW w:w="664" w:type="pct"/>
            <w:tcBorders>
              <w:top w:val="nil"/>
              <w:bottom w:val="nil"/>
            </w:tcBorders>
            <w:shd w:val="clear" w:color="auto" w:fill="auto"/>
            <w:vAlign w:val="bottom"/>
          </w:tcPr>
          <w:p w14:paraId="7D6634ED" w14:textId="1B1BBDC1" w:rsidR="008E05BA" w:rsidRPr="008D0533" w:rsidRDefault="00A42996" w:rsidP="00A42996">
            <w:pPr>
              <w:tabs>
                <w:tab w:val="decimal" w:pos="632"/>
              </w:tabs>
              <w:rPr>
                <w:color w:val="auto"/>
                <w:sz w:val="20"/>
                <w:szCs w:val="20"/>
              </w:rPr>
            </w:pPr>
            <w:r w:rsidRPr="008D0533">
              <w:rPr>
                <w:color w:val="auto"/>
                <w:sz w:val="20"/>
                <w:szCs w:val="20"/>
              </w:rPr>
              <w:t>8.9</w:t>
            </w:r>
          </w:p>
        </w:tc>
        <w:tc>
          <w:tcPr>
            <w:tcW w:w="633" w:type="pct"/>
            <w:tcBorders>
              <w:top w:val="nil"/>
              <w:bottom w:val="nil"/>
            </w:tcBorders>
            <w:shd w:val="clear" w:color="auto" w:fill="auto"/>
            <w:vAlign w:val="bottom"/>
          </w:tcPr>
          <w:p w14:paraId="55096381" w14:textId="2A85E57F" w:rsidR="008E05BA" w:rsidRPr="006B6F3A" w:rsidRDefault="008E05BA" w:rsidP="008E05BA">
            <w:pPr>
              <w:tabs>
                <w:tab w:val="decimal" w:pos="599"/>
              </w:tabs>
              <w:rPr>
                <w:color w:val="auto"/>
                <w:sz w:val="20"/>
                <w:szCs w:val="20"/>
              </w:rPr>
            </w:pPr>
            <w:r>
              <w:rPr>
                <w:color w:val="auto"/>
                <w:sz w:val="20"/>
                <w:szCs w:val="20"/>
              </w:rPr>
              <w:t>(89.</w:t>
            </w:r>
            <w:r w:rsidR="00597BEE">
              <w:rPr>
                <w:color w:val="auto"/>
                <w:sz w:val="20"/>
                <w:szCs w:val="20"/>
              </w:rPr>
              <w:t>1</w:t>
            </w:r>
            <w:r w:rsidRPr="006B6F3A">
              <w:rPr>
                <w:color w:val="auto"/>
                <w:sz w:val="20"/>
                <w:szCs w:val="20"/>
              </w:rPr>
              <w:t>)</w:t>
            </w:r>
          </w:p>
        </w:tc>
      </w:tr>
      <w:tr w:rsidR="008E05BA" w:rsidRPr="006B6F3A" w14:paraId="6D8F03CC" w14:textId="77777777" w:rsidTr="008D0533">
        <w:trPr>
          <w:trHeight w:val="369"/>
        </w:trPr>
        <w:tc>
          <w:tcPr>
            <w:tcW w:w="2304" w:type="pct"/>
            <w:shd w:val="clear" w:color="auto" w:fill="auto"/>
            <w:vAlign w:val="bottom"/>
          </w:tcPr>
          <w:p w14:paraId="4D13B133" w14:textId="77777777" w:rsidR="008E05BA" w:rsidRPr="006B6F3A" w:rsidRDefault="008E05BA" w:rsidP="008E05BA">
            <w:pPr>
              <w:jc w:val="left"/>
              <w:rPr>
                <w:color w:val="auto"/>
                <w:sz w:val="20"/>
                <w:szCs w:val="20"/>
              </w:rPr>
            </w:pPr>
            <w:r w:rsidRPr="006B6F3A">
              <w:rPr>
                <w:color w:val="auto"/>
                <w:sz w:val="20"/>
                <w:szCs w:val="20"/>
              </w:rPr>
              <w:t>Building Repairs &amp; Maintenance Reserve</w:t>
            </w:r>
          </w:p>
        </w:tc>
        <w:tc>
          <w:tcPr>
            <w:tcW w:w="543" w:type="pct"/>
            <w:tcBorders>
              <w:top w:val="nil"/>
              <w:bottom w:val="single" w:sz="4" w:space="0" w:color="auto"/>
            </w:tcBorders>
            <w:shd w:val="clear" w:color="auto" w:fill="auto"/>
            <w:vAlign w:val="bottom"/>
          </w:tcPr>
          <w:p w14:paraId="0781CA05" w14:textId="77777777" w:rsidR="008E05BA" w:rsidRPr="006B6F3A" w:rsidRDefault="008E05BA" w:rsidP="008E05BA">
            <w:pPr>
              <w:tabs>
                <w:tab w:val="decimal" w:pos="602"/>
              </w:tabs>
              <w:rPr>
                <w:color w:val="auto"/>
                <w:sz w:val="20"/>
                <w:szCs w:val="20"/>
              </w:rPr>
            </w:pPr>
            <w:r w:rsidRPr="006B6F3A">
              <w:rPr>
                <w:color w:val="auto"/>
                <w:sz w:val="20"/>
                <w:szCs w:val="20"/>
              </w:rPr>
              <w:t>(1.1)</w:t>
            </w:r>
          </w:p>
        </w:tc>
        <w:tc>
          <w:tcPr>
            <w:tcW w:w="856" w:type="pct"/>
            <w:tcBorders>
              <w:top w:val="nil"/>
              <w:bottom w:val="single" w:sz="4" w:space="0" w:color="auto"/>
            </w:tcBorders>
            <w:vAlign w:val="bottom"/>
          </w:tcPr>
          <w:p w14:paraId="192FE927" w14:textId="77777777" w:rsidR="008E05BA" w:rsidRPr="006B6F3A" w:rsidRDefault="008E05BA" w:rsidP="008E05BA">
            <w:pPr>
              <w:tabs>
                <w:tab w:val="decimal" w:pos="884"/>
              </w:tabs>
              <w:rPr>
                <w:color w:val="auto"/>
                <w:sz w:val="20"/>
                <w:szCs w:val="20"/>
              </w:rPr>
            </w:pPr>
            <w:r w:rsidRPr="006B6F3A">
              <w:rPr>
                <w:color w:val="auto"/>
                <w:sz w:val="20"/>
                <w:szCs w:val="20"/>
              </w:rPr>
              <w:t>-</w:t>
            </w:r>
          </w:p>
        </w:tc>
        <w:tc>
          <w:tcPr>
            <w:tcW w:w="664" w:type="pct"/>
            <w:tcBorders>
              <w:top w:val="nil"/>
              <w:bottom w:val="single" w:sz="4" w:space="0" w:color="auto"/>
            </w:tcBorders>
            <w:shd w:val="clear" w:color="auto" w:fill="auto"/>
            <w:vAlign w:val="bottom"/>
          </w:tcPr>
          <w:p w14:paraId="5E102DA5" w14:textId="77777777" w:rsidR="008E05BA" w:rsidRPr="006B6F3A" w:rsidRDefault="008E05BA" w:rsidP="008E05BA">
            <w:pPr>
              <w:tabs>
                <w:tab w:val="decimal" w:pos="632"/>
              </w:tabs>
              <w:rPr>
                <w:color w:val="auto"/>
                <w:sz w:val="20"/>
                <w:szCs w:val="20"/>
              </w:rPr>
            </w:pPr>
            <w:r w:rsidRPr="006B6F3A">
              <w:rPr>
                <w:color w:val="auto"/>
                <w:sz w:val="20"/>
                <w:szCs w:val="20"/>
              </w:rPr>
              <w:t>-</w:t>
            </w:r>
          </w:p>
        </w:tc>
        <w:tc>
          <w:tcPr>
            <w:tcW w:w="633" w:type="pct"/>
            <w:tcBorders>
              <w:top w:val="nil"/>
              <w:bottom w:val="single" w:sz="4" w:space="0" w:color="auto"/>
            </w:tcBorders>
            <w:shd w:val="clear" w:color="auto" w:fill="auto"/>
            <w:vAlign w:val="bottom"/>
          </w:tcPr>
          <w:p w14:paraId="2DB400CA" w14:textId="77777777" w:rsidR="008E05BA" w:rsidRPr="006B6F3A" w:rsidRDefault="008E05BA" w:rsidP="008E05BA">
            <w:pPr>
              <w:tabs>
                <w:tab w:val="decimal" w:pos="599"/>
              </w:tabs>
              <w:rPr>
                <w:color w:val="auto"/>
                <w:sz w:val="20"/>
                <w:szCs w:val="20"/>
              </w:rPr>
            </w:pPr>
            <w:r w:rsidRPr="006B6F3A">
              <w:rPr>
                <w:color w:val="auto"/>
                <w:sz w:val="20"/>
                <w:szCs w:val="20"/>
              </w:rPr>
              <w:t>(1.1)</w:t>
            </w:r>
          </w:p>
        </w:tc>
      </w:tr>
      <w:tr w:rsidR="008E05BA" w:rsidRPr="006B6F3A" w14:paraId="55208C26" w14:textId="77777777" w:rsidTr="008D0533">
        <w:trPr>
          <w:trHeight w:val="369"/>
        </w:trPr>
        <w:tc>
          <w:tcPr>
            <w:tcW w:w="2304" w:type="pct"/>
            <w:shd w:val="clear" w:color="auto" w:fill="auto"/>
            <w:vAlign w:val="bottom"/>
          </w:tcPr>
          <w:p w14:paraId="22918EB7" w14:textId="77777777" w:rsidR="008E05BA" w:rsidRPr="006B6F3A" w:rsidRDefault="008E05BA" w:rsidP="008E05BA">
            <w:pPr>
              <w:jc w:val="left"/>
              <w:rPr>
                <w:b/>
                <w:color w:val="auto"/>
                <w:sz w:val="20"/>
                <w:szCs w:val="20"/>
              </w:rPr>
            </w:pPr>
          </w:p>
        </w:tc>
        <w:tc>
          <w:tcPr>
            <w:tcW w:w="543" w:type="pct"/>
            <w:tcBorders>
              <w:top w:val="single" w:sz="4" w:space="0" w:color="auto"/>
              <w:bottom w:val="nil"/>
            </w:tcBorders>
            <w:shd w:val="clear" w:color="auto" w:fill="auto"/>
            <w:vAlign w:val="bottom"/>
          </w:tcPr>
          <w:p w14:paraId="451CC1A5" w14:textId="74F13C91" w:rsidR="008E05BA" w:rsidRPr="006B6F3A" w:rsidRDefault="008E05BA" w:rsidP="00A42996">
            <w:pPr>
              <w:tabs>
                <w:tab w:val="decimal" w:pos="602"/>
              </w:tabs>
              <w:rPr>
                <w:b/>
                <w:color w:val="auto"/>
                <w:sz w:val="20"/>
                <w:szCs w:val="20"/>
              </w:rPr>
            </w:pPr>
            <w:r w:rsidRPr="006B6F3A">
              <w:rPr>
                <w:b/>
                <w:color w:val="auto"/>
                <w:sz w:val="20"/>
                <w:szCs w:val="20"/>
              </w:rPr>
              <w:t>(6</w:t>
            </w:r>
            <w:r w:rsidR="00A42996">
              <w:rPr>
                <w:b/>
                <w:color w:val="auto"/>
                <w:sz w:val="20"/>
                <w:szCs w:val="20"/>
              </w:rPr>
              <w:t>7</w:t>
            </w:r>
            <w:r w:rsidRPr="006B6F3A">
              <w:rPr>
                <w:b/>
                <w:color w:val="auto"/>
                <w:sz w:val="20"/>
                <w:szCs w:val="20"/>
              </w:rPr>
              <w:t>.5)</w:t>
            </w:r>
          </w:p>
        </w:tc>
        <w:tc>
          <w:tcPr>
            <w:tcW w:w="856" w:type="pct"/>
            <w:tcBorders>
              <w:top w:val="single" w:sz="4" w:space="0" w:color="auto"/>
              <w:bottom w:val="nil"/>
            </w:tcBorders>
            <w:vAlign w:val="bottom"/>
          </w:tcPr>
          <w:p w14:paraId="7B3DB57F" w14:textId="6DC213B9" w:rsidR="008E05BA" w:rsidRPr="006B6F3A" w:rsidRDefault="008E05BA" w:rsidP="008E05BA">
            <w:pPr>
              <w:tabs>
                <w:tab w:val="decimal" w:pos="884"/>
              </w:tabs>
              <w:rPr>
                <w:b/>
                <w:color w:val="auto"/>
                <w:sz w:val="20"/>
                <w:szCs w:val="20"/>
              </w:rPr>
            </w:pPr>
            <w:r w:rsidRPr="006B6F3A">
              <w:rPr>
                <w:b/>
                <w:color w:val="auto"/>
                <w:sz w:val="20"/>
                <w:szCs w:val="20"/>
              </w:rPr>
              <w:t>(</w:t>
            </w:r>
            <w:r w:rsidR="00F76406">
              <w:rPr>
                <w:b/>
                <w:color w:val="auto"/>
                <w:sz w:val="20"/>
                <w:szCs w:val="20"/>
              </w:rPr>
              <w:t>32.0</w:t>
            </w:r>
            <w:r w:rsidRPr="006B6F3A">
              <w:rPr>
                <w:b/>
                <w:color w:val="auto"/>
                <w:sz w:val="20"/>
                <w:szCs w:val="20"/>
              </w:rPr>
              <w:t>)</w:t>
            </w:r>
          </w:p>
        </w:tc>
        <w:tc>
          <w:tcPr>
            <w:tcW w:w="664" w:type="pct"/>
            <w:tcBorders>
              <w:top w:val="single" w:sz="4" w:space="0" w:color="auto"/>
              <w:bottom w:val="nil"/>
            </w:tcBorders>
            <w:shd w:val="clear" w:color="auto" w:fill="auto"/>
            <w:vAlign w:val="bottom"/>
          </w:tcPr>
          <w:p w14:paraId="0968D22F" w14:textId="6D49593B" w:rsidR="008E05BA" w:rsidRPr="006B6F3A" w:rsidRDefault="00A42996" w:rsidP="00A42996">
            <w:pPr>
              <w:tabs>
                <w:tab w:val="decimal" w:pos="632"/>
              </w:tabs>
              <w:rPr>
                <w:b/>
                <w:color w:val="auto"/>
                <w:sz w:val="20"/>
                <w:szCs w:val="20"/>
              </w:rPr>
            </w:pPr>
            <w:r>
              <w:rPr>
                <w:b/>
                <w:color w:val="auto"/>
                <w:sz w:val="20"/>
                <w:szCs w:val="20"/>
              </w:rPr>
              <w:t>9.2</w:t>
            </w:r>
          </w:p>
        </w:tc>
        <w:tc>
          <w:tcPr>
            <w:tcW w:w="633" w:type="pct"/>
            <w:tcBorders>
              <w:top w:val="single" w:sz="4" w:space="0" w:color="auto"/>
              <w:bottom w:val="nil"/>
            </w:tcBorders>
            <w:shd w:val="clear" w:color="auto" w:fill="auto"/>
            <w:vAlign w:val="bottom"/>
          </w:tcPr>
          <w:p w14:paraId="15541118" w14:textId="247E2812" w:rsidR="008E05BA" w:rsidRPr="006B6F3A" w:rsidRDefault="008E05BA" w:rsidP="008E05BA">
            <w:pPr>
              <w:tabs>
                <w:tab w:val="decimal" w:pos="599"/>
              </w:tabs>
              <w:rPr>
                <w:b/>
                <w:color w:val="auto"/>
                <w:sz w:val="20"/>
                <w:szCs w:val="20"/>
              </w:rPr>
            </w:pPr>
            <w:r w:rsidRPr="006B6F3A">
              <w:rPr>
                <w:b/>
                <w:color w:val="auto"/>
                <w:sz w:val="20"/>
                <w:szCs w:val="20"/>
              </w:rPr>
              <w:t>(</w:t>
            </w:r>
            <w:r>
              <w:rPr>
                <w:b/>
                <w:color w:val="auto"/>
                <w:sz w:val="20"/>
                <w:szCs w:val="20"/>
              </w:rPr>
              <w:t>90.</w:t>
            </w:r>
            <w:r w:rsidR="00F76406">
              <w:rPr>
                <w:b/>
                <w:color w:val="auto"/>
                <w:sz w:val="20"/>
                <w:szCs w:val="20"/>
              </w:rPr>
              <w:t>3</w:t>
            </w:r>
            <w:r w:rsidRPr="006B6F3A">
              <w:rPr>
                <w:b/>
                <w:color w:val="auto"/>
                <w:sz w:val="20"/>
                <w:szCs w:val="20"/>
              </w:rPr>
              <w:t>)</w:t>
            </w:r>
          </w:p>
        </w:tc>
      </w:tr>
      <w:tr w:rsidR="00135873" w:rsidRPr="00CD05F0" w14:paraId="78F451FA" w14:textId="77777777" w:rsidTr="008D0533">
        <w:trPr>
          <w:trHeight w:val="369"/>
        </w:trPr>
        <w:tc>
          <w:tcPr>
            <w:tcW w:w="2304" w:type="pct"/>
            <w:shd w:val="clear" w:color="auto" w:fill="auto"/>
            <w:vAlign w:val="bottom"/>
          </w:tcPr>
          <w:p w14:paraId="07A3C164" w14:textId="3EB3A2B0" w:rsidR="00135873" w:rsidRDefault="00135873" w:rsidP="004F5D91">
            <w:pPr>
              <w:jc w:val="left"/>
              <w:rPr>
                <w:b/>
                <w:color w:val="auto"/>
                <w:sz w:val="20"/>
                <w:szCs w:val="20"/>
              </w:rPr>
            </w:pPr>
            <w:r w:rsidRPr="00CD05F0">
              <w:rPr>
                <w:b/>
                <w:color w:val="auto"/>
                <w:sz w:val="20"/>
                <w:szCs w:val="20"/>
              </w:rPr>
              <w:t xml:space="preserve">Total </w:t>
            </w:r>
            <w:r>
              <w:rPr>
                <w:b/>
                <w:color w:val="auto"/>
                <w:sz w:val="20"/>
                <w:szCs w:val="20"/>
              </w:rPr>
              <w:t xml:space="preserve">Earmarked </w:t>
            </w:r>
            <w:r w:rsidRPr="00CD05F0">
              <w:rPr>
                <w:b/>
                <w:color w:val="auto"/>
                <w:sz w:val="20"/>
                <w:szCs w:val="20"/>
              </w:rPr>
              <w:t xml:space="preserve">Revenue </w:t>
            </w:r>
            <w:r>
              <w:rPr>
                <w:b/>
                <w:color w:val="auto"/>
                <w:sz w:val="20"/>
                <w:szCs w:val="20"/>
              </w:rPr>
              <w:t xml:space="preserve">and Capital </w:t>
            </w:r>
            <w:r w:rsidRPr="00CD05F0">
              <w:rPr>
                <w:b/>
                <w:color w:val="auto"/>
                <w:sz w:val="20"/>
                <w:szCs w:val="20"/>
              </w:rPr>
              <w:t>Reserves</w:t>
            </w:r>
          </w:p>
        </w:tc>
        <w:tc>
          <w:tcPr>
            <w:tcW w:w="543" w:type="pct"/>
            <w:tcBorders>
              <w:top w:val="nil"/>
              <w:bottom w:val="nil"/>
            </w:tcBorders>
            <w:shd w:val="clear" w:color="auto" w:fill="auto"/>
            <w:vAlign w:val="bottom"/>
          </w:tcPr>
          <w:p w14:paraId="303ED978" w14:textId="7E8E20DA" w:rsidR="00135873" w:rsidRDefault="00135873" w:rsidP="004F5D91">
            <w:pPr>
              <w:tabs>
                <w:tab w:val="decimal" w:pos="602"/>
              </w:tabs>
              <w:rPr>
                <w:b/>
                <w:color w:val="auto"/>
                <w:sz w:val="20"/>
                <w:szCs w:val="20"/>
              </w:rPr>
            </w:pPr>
            <w:r>
              <w:rPr>
                <w:b/>
                <w:color w:val="auto"/>
                <w:sz w:val="20"/>
                <w:szCs w:val="20"/>
              </w:rPr>
              <w:t>(309.8</w:t>
            </w:r>
            <w:r w:rsidRPr="006B6F3A">
              <w:rPr>
                <w:b/>
                <w:color w:val="auto"/>
                <w:sz w:val="20"/>
                <w:szCs w:val="20"/>
              </w:rPr>
              <w:t>)</w:t>
            </w:r>
          </w:p>
        </w:tc>
        <w:tc>
          <w:tcPr>
            <w:tcW w:w="856" w:type="pct"/>
            <w:tcBorders>
              <w:top w:val="nil"/>
              <w:bottom w:val="nil"/>
            </w:tcBorders>
            <w:vAlign w:val="bottom"/>
          </w:tcPr>
          <w:p w14:paraId="762996A6" w14:textId="4C756D07" w:rsidR="00135873" w:rsidRDefault="00135873" w:rsidP="004F5D91">
            <w:pPr>
              <w:tabs>
                <w:tab w:val="decimal" w:pos="884"/>
              </w:tabs>
              <w:rPr>
                <w:b/>
                <w:color w:val="auto"/>
                <w:sz w:val="20"/>
                <w:szCs w:val="20"/>
              </w:rPr>
            </w:pPr>
            <w:r>
              <w:rPr>
                <w:b/>
                <w:color w:val="auto"/>
                <w:sz w:val="20"/>
                <w:szCs w:val="20"/>
              </w:rPr>
              <w:t>(11.9)</w:t>
            </w:r>
          </w:p>
        </w:tc>
        <w:tc>
          <w:tcPr>
            <w:tcW w:w="664" w:type="pct"/>
            <w:tcBorders>
              <w:top w:val="nil"/>
              <w:bottom w:val="nil"/>
            </w:tcBorders>
            <w:shd w:val="clear" w:color="auto" w:fill="auto"/>
            <w:vAlign w:val="bottom"/>
          </w:tcPr>
          <w:p w14:paraId="34855824" w14:textId="382DB1C7" w:rsidR="00135873" w:rsidRDefault="00135873" w:rsidP="004F5D91">
            <w:pPr>
              <w:tabs>
                <w:tab w:val="decimal" w:pos="632"/>
              </w:tabs>
              <w:rPr>
                <w:b/>
                <w:color w:val="auto"/>
                <w:sz w:val="20"/>
                <w:szCs w:val="20"/>
              </w:rPr>
            </w:pPr>
            <w:r>
              <w:rPr>
                <w:b/>
                <w:color w:val="auto"/>
                <w:sz w:val="20"/>
                <w:szCs w:val="20"/>
              </w:rPr>
              <w:t>(66.9)</w:t>
            </w:r>
          </w:p>
        </w:tc>
        <w:tc>
          <w:tcPr>
            <w:tcW w:w="633" w:type="pct"/>
            <w:tcBorders>
              <w:top w:val="nil"/>
              <w:bottom w:val="nil"/>
              <w:right w:val="single" w:sz="4" w:space="0" w:color="auto"/>
            </w:tcBorders>
            <w:shd w:val="clear" w:color="auto" w:fill="auto"/>
            <w:vAlign w:val="bottom"/>
          </w:tcPr>
          <w:p w14:paraId="7A931E0A" w14:textId="28664049" w:rsidR="00135873" w:rsidRDefault="00135873" w:rsidP="004F5D91">
            <w:pPr>
              <w:tabs>
                <w:tab w:val="decimal" w:pos="599"/>
              </w:tabs>
              <w:rPr>
                <w:b/>
                <w:color w:val="auto"/>
                <w:sz w:val="20"/>
                <w:szCs w:val="20"/>
              </w:rPr>
            </w:pPr>
            <w:r w:rsidRPr="006B6F3A">
              <w:rPr>
                <w:b/>
                <w:color w:val="auto"/>
                <w:sz w:val="20"/>
                <w:szCs w:val="20"/>
              </w:rPr>
              <w:t>(</w:t>
            </w:r>
            <w:r>
              <w:rPr>
                <w:b/>
                <w:color w:val="auto"/>
                <w:sz w:val="20"/>
                <w:szCs w:val="20"/>
              </w:rPr>
              <w:t>388.6</w:t>
            </w:r>
            <w:r w:rsidRPr="006B6F3A">
              <w:rPr>
                <w:b/>
                <w:color w:val="auto"/>
                <w:sz w:val="20"/>
                <w:szCs w:val="20"/>
              </w:rPr>
              <w:t>)</w:t>
            </w:r>
          </w:p>
        </w:tc>
      </w:tr>
      <w:tr w:rsidR="004F5D91" w:rsidRPr="00CD05F0" w14:paraId="3E06E0A7" w14:textId="77777777" w:rsidTr="008D0533">
        <w:trPr>
          <w:trHeight w:val="369"/>
        </w:trPr>
        <w:tc>
          <w:tcPr>
            <w:tcW w:w="2304" w:type="pct"/>
            <w:shd w:val="clear" w:color="auto" w:fill="auto"/>
            <w:vAlign w:val="bottom"/>
          </w:tcPr>
          <w:p w14:paraId="5F292972" w14:textId="1C282D59" w:rsidR="004F5D91" w:rsidRPr="006B6F3A" w:rsidRDefault="004F5D91" w:rsidP="004F5D91">
            <w:pPr>
              <w:jc w:val="left"/>
              <w:rPr>
                <w:b/>
                <w:color w:val="auto"/>
                <w:sz w:val="20"/>
                <w:szCs w:val="20"/>
              </w:rPr>
            </w:pPr>
            <w:r>
              <w:rPr>
                <w:b/>
                <w:color w:val="auto"/>
                <w:sz w:val="20"/>
                <w:szCs w:val="20"/>
              </w:rPr>
              <w:t>Earmarked Capital Reserves</w:t>
            </w:r>
          </w:p>
        </w:tc>
        <w:tc>
          <w:tcPr>
            <w:tcW w:w="543" w:type="pct"/>
            <w:tcBorders>
              <w:top w:val="nil"/>
              <w:bottom w:val="nil"/>
            </w:tcBorders>
            <w:shd w:val="clear" w:color="auto" w:fill="auto"/>
            <w:vAlign w:val="bottom"/>
          </w:tcPr>
          <w:p w14:paraId="4927EEA1" w14:textId="72F90475" w:rsidR="004F5D91" w:rsidRDefault="004F5D91" w:rsidP="004F5D91">
            <w:pPr>
              <w:tabs>
                <w:tab w:val="decimal" w:pos="602"/>
              </w:tabs>
              <w:rPr>
                <w:b/>
                <w:color w:val="auto"/>
                <w:sz w:val="20"/>
                <w:szCs w:val="20"/>
              </w:rPr>
            </w:pPr>
            <w:r>
              <w:rPr>
                <w:b/>
                <w:color w:val="auto"/>
                <w:sz w:val="20"/>
                <w:szCs w:val="20"/>
              </w:rPr>
              <w:t>(13.2)</w:t>
            </w:r>
          </w:p>
        </w:tc>
        <w:tc>
          <w:tcPr>
            <w:tcW w:w="856" w:type="pct"/>
            <w:tcBorders>
              <w:top w:val="nil"/>
              <w:bottom w:val="nil"/>
            </w:tcBorders>
            <w:vAlign w:val="bottom"/>
          </w:tcPr>
          <w:p w14:paraId="1BFA65C4" w14:textId="142FDCCD" w:rsidR="004F5D91" w:rsidRDefault="004F5D91" w:rsidP="004F5D91">
            <w:pPr>
              <w:tabs>
                <w:tab w:val="decimal" w:pos="884"/>
              </w:tabs>
              <w:rPr>
                <w:b/>
                <w:color w:val="auto"/>
                <w:sz w:val="20"/>
                <w:szCs w:val="20"/>
              </w:rPr>
            </w:pPr>
            <w:r>
              <w:rPr>
                <w:b/>
                <w:color w:val="auto"/>
                <w:sz w:val="20"/>
                <w:szCs w:val="20"/>
              </w:rPr>
              <w:t>1.9</w:t>
            </w:r>
          </w:p>
        </w:tc>
        <w:tc>
          <w:tcPr>
            <w:tcW w:w="664" w:type="pct"/>
            <w:tcBorders>
              <w:top w:val="nil"/>
              <w:bottom w:val="nil"/>
            </w:tcBorders>
            <w:shd w:val="clear" w:color="auto" w:fill="auto"/>
            <w:vAlign w:val="bottom"/>
          </w:tcPr>
          <w:p w14:paraId="701ECA6B" w14:textId="15030E76" w:rsidR="004F5D91" w:rsidRDefault="00F2285D" w:rsidP="004F5D91">
            <w:pPr>
              <w:tabs>
                <w:tab w:val="decimal" w:pos="632"/>
              </w:tabs>
              <w:rPr>
                <w:b/>
                <w:color w:val="auto"/>
                <w:sz w:val="20"/>
                <w:szCs w:val="20"/>
              </w:rPr>
            </w:pPr>
            <w:r>
              <w:rPr>
                <w:b/>
                <w:color w:val="auto"/>
                <w:sz w:val="20"/>
                <w:szCs w:val="20"/>
              </w:rPr>
              <w:t>(1.2)</w:t>
            </w:r>
          </w:p>
        </w:tc>
        <w:tc>
          <w:tcPr>
            <w:tcW w:w="633" w:type="pct"/>
            <w:tcBorders>
              <w:top w:val="nil"/>
              <w:bottom w:val="nil"/>
              <w:right w:val="single" w:sz="4" w:space="0" w:color="auto"/>
            </w:tcBorders>
            <w:shd w:val="clear" w:color="auto" w:fill="auto"/>
            <w:vAlign w:val="bottom"/>
          </w:tcPr>
          <w:p w14:paraId="6848703E" w14:textId="7C926C94" w:rsidR="004F5D91" w:rsidRPr="006B6F3A" w:rsidRDefault="004F5D91" w:rsidP="004F5D91">
            <w:pPr>
              <w:tabs>
                <w:tab w:val="decimal" w:pos="599"/>
              </w:tabs>
              <w:rPr>
                <w:b/>
                <w:color w:val="auto"/>
                <w:sz w:val="20"/>
                <w:szCs w:val="20"/>
              </w:rPr>
            </w:pPr>
            <w:r>
              <w:rPr>
                <w:b/>
                <w:color w:val="auto"/>
                <w:sz w:val="20"/>
                <w:szCs w:val="20"/>
              </w:rPr>
              <w:t>(12.5)</w:t>
            </w:r>
          </w:p>
        </w:tc>
      </w:tr>
      <w:tr w:rsidR="004F5D91" w:rsidRPr="00CD05F0" w14:paraId="7C3757A2" w14:textId="77777777" w:rsidTr="008D0533">
        <w:trPr>
          <w:trHeight w:val="369"/>
        </w:trPr>
        <w:tc>
          <w:tcPr>
            <w:tcW w:w="2304" w:type="pct"/>
            <w:shd w:val="clear" w:color="auto" w:fill="auto"/>
            <w:vAlign w:val="bottom"/>
          </w:tcPr>
          <w:p w14:paraId="53F64CC5" w14:textId="39C44C27" w:rsidR="004F5D91" w:rsidRPr="006B6F3A" w:rsidRDefault="004F5D91" w:rsidP="004F5D91">
            <w:pPr>
              <w:jc w:val="left"/>
              <w:rPr>
                <w:b/>
                <w:color w:val="auto"/>
                <w:sz w:val="20"/>
                <w:szCs w:val="20"/>
              </w:rPr>
            </w:pPr>
            <w:r>
              <w:rPr>
                <w:b/>
                <w:color w:val="auto"/>
                <w:sz w:val="20"/>
                <w:szCs w:val="20"/>
              </w:rPr>
              <w:t>Earmarked Revenue Reserves</w:t>
            </w:r>
          </w:p>
        </w:tc>
        <w:tc>
          <w:tcPr>
            <w:tcW w:w="543" w:type="pct"/>
            <w:tcBorders>
              <w:top w:val="nil"/>
              <w:bottom w:val="nil"/>
            </w:tcBorders>
            <w:shd w:val="clear" w:color="auto" w:fill="auto"/>
            <w:vAlign w:val="bottom"/>
          </w:tcPr>
          <w:p w14:paraId="2AEC13FC" w14:textId="5B3DCBCD" w:rsidR="004F5D91" w:rsidRDefault="004F5D91" w:rsidP="004F5D91">
            <w:pPr>
              <w:tabs>
                <w:tab w:val="decimal" w:pos="602"/>
              </w:tabs>
              <w:rPr>
                <w:b/>
                <w:color w:val="auto"/>
                <w:sz w:val="20"/>
                <w:szCs w:val="20"/>
              </w:rPr>
            </w:pPr>
            <w:r>
              <w:rPr>
                <w:b/>
                <w:color w:val="auto"/>
                <w:sz w:val="20"/>
                <w:szCs w:val="20"/>
              </w:rPr>
              <w:t>(296.6)</w:t>
            </w:r>
          </w:p>
        </w:tc>
        <w:tc>
          <w:tcPr>
            <w:tcW w:w="856" w:type="pct"/>
            <w:tcBorders>
              <w:top w:val="nil"/>
              <w:bottom w:val="nil"/>
            </w:tcBorders>
            <w:vAlign w:val="bottom"/>
          </w:tcPr>
          <w:p w14:paraId="3DC76C09" w14:textId="2C8B72BD" w:rsidR="004F5D91" w:rsidRDefault="004F5D91" w:rsidP="004F5D91">
            <w:pPr>
              <w:tabs>
                <w:tab w:val="decimal" w:pos="884"/>
              </w:tabs>
              <w:rPr>
                <w:b/>
                <w:color w:val="auto"/>
                <w:sz w:val="20"/>
                <w:szCs w:val="20"/>
              </w:rPr>
            </w:pPr>
            <w:r>
              <w:rPr>
                <w:b/>
                <w:color w:val="auto"/>
                <w:sz w:val="20"/>
                <w:szCs w:val="20"/>
              </w:rPr>
              <w:t>(13.8)</w:t>
            </w:r>
          </w:p>
        </w:tc>
        <w:tc>
          <w:tcPr>
            <w:tcW w:w="664" w:type="pct"/>
            <w:tcBorders>
              <w:top w:val="nil"/>
              <w:bottom w:val="nil"/>
            </w:tcBorders>
            <w:shd w:val="clear" w:color="auto" w:fill="auto"/>
            <w:vAlign w:val="bottom"/>
          </w:tcPr>
          <w:p w14:paraId="268865AB" w14:textId="2983B248" w:rsidR="004F5D91" w:rsidRDefault="00F2285D" w:rsidP="00EB27D8">
            <w:pPr>
              <w:tabs>
                <w:tab w:val="decimal" w:pos="632"/>
              </w:tabs>
              <w:rPr>
                <w:b/>
                <w:color w:val="auto"/>
                <w:sz w:val="20"/>
                <w:szCs w:val="20"/>
              </w:rPr>
            </w:pPr>
            <w:r>
              <w:rPr>
                <w:b/>
                <w:color w:val="auto"/>
                <w:sz w:val="20"/>
                <w:szCs w:val="20"/>
              </w:rPr>
              <w:t>(65.</w:t>
            </w:r>
            <w:r w:rsidR="00EB27D8">
              <w:rPr>
                <w:b/>
                <w:color w:val="auto"/>
                <w:sz w:val="20"/>
                <w:szCs w:val="20"/>
              </w:rPr>
              <w:t>7</w:t>
            </w:r>
            <w:r w:rsidR="004F5D91">
              <w:rPr>
                <w:b/>
                <w:color w:val="auto"/>
                <w:sz w:val="20"/>
                <w:szCs w:val="20"/>
              </w:rPr>
              <w:t>)</w:t>
            </w:r>
          </w:p>
        </w:tc>
        <w:tc>
          <w:tcPr>
            <w:tcW w:w="633" w:type="pct"/>
            <w:tcBorders>
              <w:top w:val="nil"/>
              <w:bottom w:val="nil"/>
              <w:right w:val="single" w:sz="4" w:space="0" w:color="auto"/>
            </w:tcBorders>
            <w:shd w:val="clear" w:color="auto" w:fill="auto"/>
            <w:vAlign w:val="bottom"/>
          </w:tcPr>
          <w:p w14:paraId="59B12723" w14:textId="0570E55B" w:rsidR="004F5D91" w:rsidRPr="006B6F3A" w:rsidRDefault="004F5D91" w:rsidP="004F5D91">
            <w:pPr>
              <w:tabs>
                <w:tab w:val="decimal" w:pos="599"/>
              </w:tabs>
              <w:rPr>
                <w:b/>
                <w:color w:val="auto"/>
                <w:sz w:val="20"/>
                <w:szCs w:val="20"/>
              </w:rPr>
            </w:pPr>
            <w:r>
              <w:rPr>
                <w:b/>
                <w:color w:val="auto"/>
                <w:sz w:val="20"/>
                <w:szCs w:val="20"/>
              </w:rPr>
              <w:t>(376.1)</w:t>
            </w:r>
          </w:p>
        </w:tc>
      </w:tr>
    </w:tbl>
    <w:bookmarkEnd w:id="7"/>
    <w:p w14:paraId="247E720E" w14:textId="76B108EC" w:rsidR="000D69E2" w:rsidRPr="00A06955" w:rsidRDefault="00F763BF" w:rsidP="002831E1">
      <w:pPr>
        <w:rPr>
          <w:b/>
          <w:u w:val="single"/>
          <w:vertAlign w:val="superscript"/>
          <w:lang w:eastAsia="en-GB"/>
        </w:rPr>
      </w:pPr>
      <w:r>
        <w:rPr>
          <w:b/>
          <w:u w:val="single"/>
          <w:lang w:eastAsia="en-GB"/>
        </w:rPr>
        <w:t>2013/14</w:t>
      </w:r>
      <w:r w:rsidRPr="00FF722F">
        <w:rPr>
          <w:b/>
          <w:sz w:val="20"/>
          <w:szCs w:val="20"/>
          <w:u w:val="single"/>
          <w:vertAlign w:val="superscript"/>
          <w:lang w:eastAsia="en-GB"/>
        </w:rPr>
        <w:t>1</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45"/>
        <w:gridCol w:w="1250"/>
        <w:gridCol w:w="1944"/>
        <w:gridCol w:w="1388"/>
        <w:gridCol w:w="1323"/>
      </w:tblGrid>
      <w:tr w:rsidR="00AE562D" w:rsidRPr="00C615DA" w14:paraId="6602C69B" w14:textId="77777777" w:rsidTr="00A06955">
        <w:trPr>
          <w:trHeight w:val="369"/>
          <w:tblHeader/>
        </w:trPr>
        <w:tc>
          <w:tcPr>
            <w:tcW w:w="2175" w:type="pct"/>
            <w:shd w:val="clear" w:color="auto" w:fill="D0CECE"/>
            <w:vAlign w:val="bottom"/>
          </w:tcPr>
          <w:p w14:paraId="0B6E6CE7" w14:textId="39422C65" w:rsidR="00AE562D" w:rsidRPr="00A06955" w:rsidRDefault="00AE562D" w:rsidP="00EB2057">
            <w:pPr>
              <w:jc w:val="left"/>
              <w:rPr>
                <w:color w:val="auto"/>
                <w:sz w:val="20"/>
                <w:szCs w:val="20"/>
                <w:vertAlign w:val="superscript"/>
              </w:rPr>
            </w:pPr>
          </w:p>
        </w:tc>
        <w:tc>
          <w:tcPr>
            <w:tcW w:w="598" w:type="pct"/>
            <w:shd w:val="clear" w:color="auto" w:fill="D0CECE"/>
            <w:vAlign w:val="bottom"/>
          </w:tcPr>
          <w:p w14:paraId="26548AD9" w14:textId="77777777" w:rsidR="00AE562D" w:rsidRPr="00C615DA" w:rsidRDefault="00AE562D" w:rsidP="00EB2057">
            <w:pPr>
              <w:jc w:val="center"/>
              <w:rPr>
                <w:b/>
                <w:color w:val="auto"/>
                <w:sz w:val="20"/>
                <w:szCs w:val="20"/>
              </w:rPr>
            </w:pPr>
            <w:r w:rsidRPr="00C615DA">
              <w:rPr>
                <w:b/>
                <w:color w:val="auto"/>
                <w:sz w:val="20"/>
                <w:szCs w:val="20"/>
              </w:rPr>
              <w:t>Opening Balance</w:t>
            </w:r>
          </w:p>
        </w:tc>
        <w:tc>
          <w:tcPr>
            <w:tcW w:w="930" w:type="pct"/>
            <w:shd w:val="clear" w:color="auto" w:fill="D0CECE"/>
            <w:vAlign w:val="bottom"/>
          </w:tcPr>
          <w:p w14:paraId="145F71C3" w14:textId="77777777" w:rsidR="00AE562D" w:rsidRPr="00C615DA" w:rsidRDefault="00AE562D" w:rsidP="00EB2057">
            <w:pPr>
              <w:jc w:val="center"/>
              <w:rPr>
                <w:b/>
                <w:color w:val="auto"/>
                <w:sz w:val="20"/>
                <w:szCs w:val="20"/>
              </w:rPr>
            </w:pPr>
            <w:r w:rsidRPr="00C615DA">
              <w:rPr>
                <w:b/>
                <w:color w:val="auto"/>
                <w:sz w:val="20"/>
                <w:szCs w:val="20"/>
              </w:rPr>
              <w:t>Net contr</w:t>
            </w:r>
            <w:r>
              <w:rPr>
                <w:b/>
                <w:color w:val="auto"/>
                <w:sz w:val="20"/>
                <w:szCs w:val="20"/>
              </w:rPr>
              <w:t>ibutions to and from reserves (</w:t>
            </w:r>
            <w:r w:rsidRPr="00C615DA">
              <w:rPr>
                <w:b/>
                <w:color w:val="auto"/>
                <w:sz w:val="20"/>
                <w:szCs w:val="20"/>
              </w:rPr>
              <w:t>use of reserves)</w:t>
            </w:r>
          </w:p>
        </w:tc>
        <w:tc>
          <w:tcPr>
            <w:tcW w:w="664" w:type="pct"/>
            <w:shd w:val="clear" w:color="auto" w:fill="D0CECE"/>
            <w:vAlign w:val="bottom"/>
          </w:tcPr>
          <w:p w14:paraId="2C9C11E5" w14:textId="77777777" w:rsidR="00AE562D" w:rsidRPr="00C615DA" w:rsidRDefault="00AE562D" w:rsidP="00EB2057">
            <w:pPr>
              <w:jc w:val="center"/>
              <w:rPr>
                <w:b/>
                <w:color w:val="auto"/>
                <w:sz w:val="20"/>
                <w:szCs w:val="20"/>
              </w:rPr>
            </w:pPr>
            <w:r w:rsidRPr="00C615DA">
              <w:rPr>
                <w:b/>
                <w:color w:val="auto"/>
                <w:sz w:val="20"/>
                <w:szCs w:val="20"/>
              </w:rPr>
              <w:t>Transfers between reserves</w:t>
            </w:r>
          </w:p>
        </w:tc>
        <w:tc>
          <w:tcPr>
            <w:tcW w:w="633" w:type="pct"/>
            <w:shd w:val="clear" w:color="auto" w:fill="D0CECE"/>
            <w:vAlign w:val="bottom"/>
          </w:tcPr>
          <w:p w14:paraId="7A673FAD" w14:textId="77777777" w:rsidR="00AE562D" w:rsidRPr="00C615DA" w:rsidRDefault="00AE562D" w:rsidP="00EB2057">
            <w:pPr>
              <w:jc w:val="center"/>
              <w:rPr>
                <w:b/>
                <w:color w:val="auto"/>
                <w:sz w:val="20"/>
                <w:szCs w:val="20"/>
              </w:rPr>
            </w:pPr>
            <w:r w:rsidRPr="00C615DA">
              <w:rPr>
                <w:b/>
                <w:color w:val="auto"/>
                <w:sz w:val="20"/>
                <w:szCs w:val="20"/>
              </w:rPr>
              <w:t>Closing balance</w:t>
            </w:r>
          </w:p>
        </w:tc>
      </w:tr>
      <w:tr w:rsidR="00AE562D" w:rsidRPr="00C615DA" w14:paraId="121A58B4" w14:textId="77777777" w:rsidTr="00A06955">
        <w:trPr>
          <w:trHeight w:val="369"/>
          <w:tblHeader/>
        </w:trPr>
        <w:tc>
          <w:tcPr>
            <w:tcW w:w="2175" w:type="pct"/>
            <w:shd w:val="clear" w:color="auto" w:fill="D0CECE"/>
            <w:vAlign w:val="bottom"/>
          </w:tcPr>
          <w:p w14:paraId="138A24C4" w14:textId="77777777" w:rsidR="00AE562D" w:rsidRPr="00C615DA" w:rsidRDefault="00AE562D" w:rsidP="00EB2057">
            <w:pPr>
              <w:jc w:val="left"/>
              <w:rPr>
                <w:color w:val="auto"/>
                <w:sz w:val="20"/>
                <w:szCs w:val="20"/>
              </w:rPr>
            </w:pPr>
          </w:p>
        </w:tc>
        <w:tc>
          <w:tcPr>
            <w:tcW w:w="598" w:type="pct"/>
            <w:shd w:val="clear" w:color="auto" w:fill="D0CECE"/>
            <w:vAlign w:val="bottom"/>
          </w:tcPr>
          <w:p w14:paraId="35B141BB" w14:textId="77777777" w:rsidR="00AE562D" w:rsidRPr="00C615DA" w:rsidRDefault="00AE562D" w:rsidP="00EB2057">
            <w:pPr>
              <w:jc w:val="center"/>
              <w:rPr>
                <w:b/>
                <w:color w:val="auto"/>
                <w:sz w:val="20"/>
                <w:szCs w:val="20"/>
              </w:rPr>
            </w:pPr>
            <w:r>
              <w:rPr>
                <w:b/>
                <w:color w:val="auto"/>
                <w:sz w:val="20"/>
                <w:szCs w:val="20"/>
              </w:rPr>
              <w:t>£m</w:t>
            </w:r>
          </w:p>
        </w:tc>
        <w:tc>
          <w:tcPr>
            <w:tcW w:w="930" w:type="pct"/>
            <w:shd w:val="clear" w:color="auto" w:fill="D0CECE"/>
            <w:vAlign w:val="bottom"/>
          </w:tcPr>
          <w:p w14:paraId="6C336432" w14:textId="77777777" w:rsidR="00AE562D" w:rsidRPr="00C615DA" w:rsidRDefault="00AE562D" w:rsidP="00EB2057">
            <w:pPr>
              <w:jc w:val="center"/>
              <w:rPr>
                <w:b/>
                <w:color w:val="auto"/>
                <w:sz w:val="20"/>
                <w:szCs w:val="20"/>
              </w:rPr>
            </w:pPr>
            <w:r>
              <w:rPr>
                <w:b/>
                <w:color w:val="auto"/>
                <w:sz w:val="20"/>
                <w:szCs w:val="20"/>
              </w:rPr>
              <w:t>£m</w:t>
            </w:r>
          </w:p>
        </w:tc>
        <w:tc>
          <w:tcPr>
            <w:tcW w:w="664" w:type="pct"/>
            <w:shd w:val="clear" w:color="auto" w:fill="D0CECE"/>
            <w:vAlign w:val="bottom"/>
          </w:tcPr>
          <w:p w14:paraId="0A97B406" w14:textId="77777777" w:rsidR="00AE562D" w:rsidRPr="00C615DA" w:rsidRDefault="00AE562D" w:rsidP="00EB2057">
            <w:pPr>
              <w:jc w:val="center"/>
              <w:rPr>
                <w:b/>
                <w:color w:val="auto"/>
                <w:sz w:val="20"/>
                <w:szCs w:val="20"/>
              </w:rPr>
            </w:pPr>
            <w:r w:rsidRPr="00C615DA">
              <w:rPr>
                <w:b/>
                <w:color w:val="auto"/>
                <w:sz w:val="20"/>
                <w:szCs w:val="20"/>
              </w:rPr>
              <w:t>£m</w:t>
            </w:r>
          </w:p>
        </w:tc>
        <w:tc>
          <w:tcPr>
            <w:tcW w:w="633" w:type="pct"/>
            <w:shd w:val="clear" w:color="auto" w:fill="D0CECE"/>
            <w:vAlign w:val="bottom"/>
          </w:tcPr>
          <w:p w14:paraId="78E20658" w14:textId="77777777" w:rsidR="00AE562D" w:rsidRPr="00C615DA" w:rsidRDefault="00AE562D" w:rsidP="00EB2057">
            <w:pPr>
              <w:jc w:val="center"/>
              <w:rPr>
                <w:b/>
                <w:color w:val="auto"/>
                <w:sz w:val="20"/>
                <w:szCs w:val="20"/>
              </w:rPr>
            </w:pPr>
            <w:r w:rsidRPr="00C615DA">
              <w:rPr>
                <w:b/>
                <w:color w:val="auto"/>
                <w:sz w:val="20"/>
                <w:szCs w:val="20"/>
              </w:rPr>
              <w:t>£m</w:t>
            </w:r>
          </w:p>
        </w:tc>
      </w:tr>
      <w:tr w:rsidR="00AE562D" w:rsidRPr="00C615DA" w14:paraId="51A7B514" w14:textId="77777777" w:rsidTr="00EB2057">
        <w:trPr>
          <w:trHeight w:val="369"/>
        </w:trPr>
        <w:tc>
          <w:tcPr>
            <w:tcW w:w="2175" w:type="pct"/>
            <w:shd w:val="clear" w:color="auto" w:fill="auto"/>
            <w:vAlign w:val="bottom"/>
          </w:tcPr>
          <w:p w14:paraId="17C9B940" w14:textId="77777777" w:rsidR="00AE562D" w:rsidRPr="00C615DA" w:rsidRDefault="00AE562D" w:rsidP="00EB2057">
            <w:pPr>
              <w:jc w:val="left"/>
              <w:rPr>
                <w:color w:val="auto"/>
                <w:sz w:val="20"/>
                <w:szCs w:val="20"/>
                <w:u w:val="single"/>
              </w:rPr>
            </w:pPr>
            <w:r w:rsidRPr="000E5FE1">
              <w:rPr>
                <w:color w:val="auto"/>
                <w:sz w:val="20"/>
                <w:szCs w:val="20"/>
                <w:u w:val="single"/>
              </w:rPr>
              <w:t>Reserves held to meet spending pressures</w:t>
            </w:r>
          </w:p>
        </w:tc>
        <w:tc>
          <w:tcPr>
            <w:tcW w:w="598" w:type="pct"/>
            <w:shd w:val="clear" w:color="auto" w:fill="auto"/>
            <w:vAlign w:val="bottom"/>
          </w:tcPr>
          <w:p w14:paraId="30D48725" w14:textId="77777777" w:rsidR="00AE562D" w:rsidRPr="00C615DA" w:rsidRDefault="00AE562D" w:rsidP="00846982">
            <w:pPr>
              <w:tabs>
                <w:tab w:val="decimal" w:pos="602"/>
              </w:tabs>
              <w:rPr>
                <w:color w:val="auto"/>
                <w:sz w:val="20"/>
                <w:szCs w:val="20"/>
              </w:rPr>
            </w:pPr>
          </w:p>
        </w:tc>
        <w:tc>
          <w:tcPr>
            <w:tcW w:w="930" w:type="pct"/>
            <w:vAlign w:val="bottom"/>
          </w:tcPr>
          <w:p w14:paraId="64516770" w14:textId="77777777" w:rsidR="00AE562D" w:rsidRPr="00C615DA" w:rsidRDefault="00AE562D" w:rsidP="00846982">
            <w:pPr>
              <w:tabs>
                <w:tab w:val="decimal" w:pos="884"/>
              </w:tabs>
              <w:jc w:val="center"/>
              <w:rPr>
                <w:color w:val="auto"/>
                <w:sz w:val="20"/>
                <w:szCs w:val="20"/>
              </w:rPr>
            </w:pPr>
          </w:p>
        </w:tc>
        <w:tc>
          <w:tcPr>
            <w:tcW w:w="664" w:type="pct"/>
            <w:shd w:val="clear" w:color="auto" w:fill="auto"/>
            <w:vAlign w:val="bottom"/>
          </w:tcPr>
          <w:p w14:paraId="21FA1B17" w14:textId="77777777" w:rsidR="00AE562D" w:rsidRPr="00C615DA" w:rsidRDefault="00AE562D" w:rsidP="00EB2057">
            <w:pPr>
              <w:tabs>
                <w:tab w:val="decimal" w:pos="632"/>
              </w:tabs>
              <w:rPr>
                <w:color w:val="auto"/>
                <w:sz w:val="20"/>
                <w:szCs w:val="20"/>
              </w:rPr>
            </w:pPr>
          </w:p>
        </w:tc>
        <w:tc>
          <w:tcPr>
            <w:tcW w:w="633" w:type="pct"/>
            <w:shd w:val="clear" w:color="auto" w:fill="auto"/>
            <w:vAlign w:val="bottom"/>
          </w:tcPr>
          <w:p w14:paraId="12EE0E4F" w14:textId="77777777" w:rsidR="00AE562D" w:rsidRPr="00C615DA" w:rsidRDefault="00AE562D" w:rsidP="00846982">
            <w:pPr>
              <w:tabs>
                <w:tab w:val="decimal" w:pos="599"/>
              </w:tabs>
              <w:rPr>
                <w:color w:val="auto"/>
                <w:sz w:val="20"/>
                <w:szCs w:val="20"/>
              </w:rPr>
            </w:pPr>
          </w:p>
        </w:tc>
      </w:tr>
      <w:tr w:rsidR="00AE562D" w:rsidRPr="00C615DA" w14:paraId="5AA483D6" w14:textId="77777777" w:rsidTr="00EB2057">
        <w:trPr>
          <w:trHeight w:val="369"/>
        </w:trPr>
        <w:tc>
          <w:tcPr>
            <w:tcW w:w="2175" w:type="pct"/>
            <w:shd w:val="clear" w:color="auto" w:fill="auto"/>
            <w:vAlign w:val="bottom"/>
          </w:tcPr>
          <w:p w14:paraId="60B3A9A4" w14:textId="77777777" w:rsidR="00AE562D" w:rsidRPr="00C615DA" w:rsidRDefault="00AE562D" w:rsidP="00EB2057">
            <w:pPr>
              <w:jc w:val="left"/>
              <w:rPr>
                <w:color w:val="auto"/>
                <w:sz w:val="20"/>
                <w:szCs w:val="20"/>
              </w:rPr>
            </w:pPr>
            <w:r w:rsidRPr="000E5FE1">
              <w:rPr>
                <w:rFonts w:eastAsia="Times New Roman" w:cs="Arial"/>
                <w:sz w:val="20"/>
                <w:szCs w:val="20"/>
                <w:lang w:eastAsia="en-GB"/>
              </w:rPr>
              <w:t>Business Rates Volatility Reserve</w:t>
            </w:r>
          </w:p>
        </w:tc>
        <w:tc>
          <w:tcPr>
            <w:tcW w:w="598" w:type="pct"/>
            <w:tcBorders>
              <w:top w:val="nil"/>
              <w:bottom w:val="single" w:sz="4" w:space="0" w:color="auto"/>
            </w:tcBorders>
            <w:shd w:val="clear" w:color="auto" w:fill="auto"/>
            <w:vAlign w:val="bottom"/>
          </w:tcPr>
          <w:p w14:paraId="677FEA51" w14:textId="77777777" w:rsidR="00AE562D" w:rsidRPr="00C615DA" w:rsidRDefault="00A571D9" w:rsidP="00846982">
            <w:pPr>
              <w:tabs>
                <w:tab w:val="decimal" w:pos="602"/>
              </w:tabs>
              <w:rPr>
                <w:color w:val="auto"/>
                <w:sz w:val="20"/>
                <w:szCs w:val="20"/>
              </w:rPr>
            </w:pPr>
            <w:r w:rsidRPr="00A571D9">
              <w:rPr>
                <w:color w:val="auto"/>
                <w:sz w:val="20"/>
                <w:szCs w:val="20"/>
              </w:rPr>
              <w:t>(5.0)</w:t>
            </w:r>
          </w:p>
        </w:tc>
        <w:tc>
          <w:tcPr>
            <w:tcW w:w="930" w:type="pct"/>
            <w:tcBorders>
              <w:top w:val="nil"/>
              <w:bottom w:val="single" w:sz="4" w:space="0" w:color="auto"/>
            </w:tcBorders>
            <w:vAlign w:val="bottom"/>
          </w:tcPr>
          <w:p w14:paraId="314D1B4A" w14:textId="77777777" w:rsidR="00AE562D" w:rsidRPr="00C615DA" w:rsidRDefault="00AE562D" w:rsidP="00EB2057">
            <w:pPr>
              <w:tabs>
                <w:tab w:val="decimal" w:pos="884"/>
              </w:tabs>
              <w:rPr>
                <w:color w:val="auto"/>
                <w:sz w:val="20"/>
                <w:szCs w:val="20"/>
              </w:rPr>
            </w:pPr>
            <w:r>
              <w:rPr>
                <w:color w:val="auto"/>
                <w:sz w:val="20"/>
                <w:szCs w:val="20"/>
              </w:rPr>
              <w:t>-</w:t>
            </w:r>
          </w:p>
        </w:tc>
        <w:tc>
          <w:tcPr>
            <w:tcW w:w="664" w:type="pct"/>
            <w:tcBorders>
              <w:top w:val="nil"/>
              <w:bottom w:val="single" w:sz="4" w:space="0" w:color="auto"/>
            </w:tcBorders>
            <w:shd w:val="clear" w:color="auto" w:fill="auto"/>
            <w:vAlign w:val="bottom"/>
          </w:tcPr>
          <w:p w14:paraId="761CB501" w14:textId="77777777" w:rsidR="00AE562D" w:rsidRPr="00C615DA" w:rsidRDefault="00AE562D" w:rsidP="00EB2057">
            <w:pPr>
              <w:tabs>
                <w:tab w:val="decimal" w:pos="632"/>
              </w:tabs>
              <w:rPr>
                <w:color w:val="auto"/>
                <w:sz w:val="20"/>
                <w:szCs w:val="20"/>
              </w:rPr>
            </w:pPr>
            <w:r w:rsidRPr="00C615DA">
              <w:rPr>
                <w:color w:val="auto"/>
                <w:sz w:val="20"/>
                <w:szCs w:val="20"/>
              </w:rPr>
              <w:t>-</w:t>
            </w:r>
          </w:p>
        </w:tc>
        <w:tc>
          <w:tcPr>
            <w:tcW w:w="633" w:type="pct"/>
            <w:tcBorders>
              <w:top w:val="nil"/>
              <w:bottom w:val="single" w:sz="4" w:space="0" w:color="auto"/>
            </w:tcBorders>
            <w:shd w:val="clear" w:color="auto" w:fill="auto"/>
            <w:vAlign w:val="bottom"/>
          </w:tcPr>
          <w:p w14:paraId="4658E05F" w14:textId="77777777" w:rsidR="00AE562D" w:rsidRPr="00C615DA" w:rsidRDefault="00A571D9" w:rsidP="00846982">
            <w:pPr>
              <w:tabs>
                <w:tab w:val="decimal" w:pos="599"/>
              </w:tabs>
              <w:rPr>
                <w:color w:val="auto"/>
                <w:sz w:val="20"/>
                <w:szCs w:val="20"/>
              </w:rPr>
            </w:pPr>
            <w:r w:rsidRPr="00A571D9">
              <w:rPr>
                <w:color w:val="auto"/>
                <w:sz w:val="20"/>
                <w:szCs w:val="20"/>
              </w:rPr>
              <w:t>(5.0)</w:t>
            </w:r>
          </w:p>
        </w:tc>
      </w:tr>
      <w:tr w:rsidR="00AE562D" w:rsidRPr="00CD05F0" w14:paraId="68B1230A" w14:textId="77777777" w:rsidTr="00EB2057">
        <w:trPr>
          <w:trHeight w:val="369"/>
        </w:trPr>
        <w:tc>
          <w:tcPr>
            <w:tcW w:w="2175" w:type="pct"/>
            <w:shd w:val="clear" w:color="auto" w:fill="auto"/>
            <w:vAlign w:val="bottom"/>
          </w:tcPr>
          <w:p w14:paraId="74629516" w14:textId="77777777" w:rsidR="00AE562D" w:rsidRPr="00C615DA" w:rsidRDefault="00AE562D" w:rsidP="00EB2057">
            <w:pPr>
              <w:jc w:val="left"/>
              <w:rPr>
                <w:b/>
                <w:color w:val="auto"/>
                <w:sz w:val="20"/>
                <w:szCs w:val="20"/>
              </w:rPr>
            </w:pPr>
          </w:p>
        </w:tc>
        <w:tc>
          <w:tcPr>
            <w:tcW w:w="598" w:type="pct"/>
            <w:tcBorders>
              <w:top w:val="single" w:sz="4" w:space="0" w:color="auto"/>
            </w:tcBorders>
            <w:shd w:val="clear" w:color="auto" w:fill="auto"/>
            <w:vAlign w:val="bottom"/>
          </w:tcPr>
          <w:p w14:paraId="04FE5FDC" w14:textId="45FCA19C" w:rsidR="00AE562D" w:rsidRPr="00C615DA" w:rsidRDefault="00A571D9" w:rsidP="008370E5">
            <w:pPr>
              <w:tabs>
                <w:tab w:val="decimal" w:pos="602"/>
              </w:tabs>
              <w:rPr>
                <w:b/>
                <w:color w:val="auto"/>
                <w:sz w:val="20"/>
                <w:szCs w:val="20"/>
              </w:rPr>
            </w:pPr>
            <w:r w:rsidRPr="00A571D9">
              <w:rPr>
                <w:b/>
                <w:color w:val="auto"/>
                <w:sz w:val="20"/>
                <w:szCs w:val="20"/>
              </w:rPr>
              <w:t>(</w:t>
            </w:r>
            <w:r w:rsidR="008370E5">
              <w:rPr>
                <w:b/>
                <w:color w:val="auto"/>
                <w:sz w:val="20"/>
                <w:szCs w:val="20"/>
              </w:rPr>
              <w:t>5</w:t>
            </w:r>
            <w:r w:rsidRPr="00A571D9">
              <w:rPr>
                <w:b/>
                <w:color w:val="auto"/>
                <w:sz w:val="20"/>
                <w:szCs w:val="20"/>
              </w:rPr>
              <w:t>.0)</w:t>
            </w:r>
          </w:p>
        </w:tc>
        <w:tc>
          <w:tcPr>
            <w:tcW w:w="930" w:type="pct"/>
            <w:tcBorders>
              <w:top w:val="single" w:sz="4" w:space="0" w:color="auto"/>
            </w:tcBorders>
            <w:vAlign w:val="bottom"/>
          </w:tcPr>
          <w:p w14:paraId="2DB03FEF" w14:textId="07D0A72E" w:rsidR="00AE562D" w:rsidRPr="00CD05F0" w:rsidRDefault="008370E5" w:rsidP="00EB2057">
            <w:pPr>
              <w:tabs>
                <w:tab w:val="decimal" w:pos="884"/>
              </w:tabs>
              <w:rPr>
                <w:b/>
                <w:color w:val="auto"/>
                <w:sz w:val="20"/>
                <w:szCs w:val="20"/>
              </w:rPr>
            </w:pPr>
            <w:r>
              <w:rPr>
                <w:b/>
                <w:color w:val="auto"/>
                <w:sz w:val="20"/>
                <w:szCs w:val="20"/>
              </w:rPr>
              <w:t>-</w:t>
            </w:r>
          </w:p>
        </w:tc>
        <w:tc>
          <w:tcPr>
            <w:tcW w:w="664" w:type="pct"/>
            <w:tcBorders>
              <w:top w:val="single" w:sz="4" w:space="0" w:color="auto"/>
            </w:tcBorders>
            <w:shd w:val="clear" w:color="auto" w:fill="auto"/>
            <w:vAlign w:val="bottom"/>
          </w:tcPr>
          <w:p w14:paraId="5D917276" w14:textId="6AAA4A74" w:rsidR="00AE562D" w:rsidRPr="00C615DA" w:rsidRDefault="008370E5" w:rsidP="00EB2057">
            <w:pPr>
              <w:tabs>
                <w:tab w:val="decimal" w:pos="632"/>
              </w:tabs>
              <w:rPr>
                <w:b/>
                <w:color w:val="auto"/>
                <w:sz w:val="20"/>
                <w:szCs w:val="20"/>
              </w:rPr>
            </w:pPr>
            <w:r>
              <w:rPr>
                <w:b/>
                <w:color w:val="auto"/>
                <w:sz w:val="20"/>
                <w:szCs w:val="20"/>
              </w:rPr>
              <w:t>-</w:t>
            </w:r>
          </w:p>
        </w:tc>
        <w:tc>
          <w:tcPr>
            <w:tcW w:w="633" w:type="pct"/>
            <w:tcBorders>
              <w:top w:val="single" w:sz="4" w:space="0" w:color="auto"/>
            </w:tcBorders>
            <w:shd w:val="clear" w:color="auto" w:fill="auto"/>
            <w:vAlign w:val="bottom"/>
          </w:tcPr>
          <w:p w14:paraId="2FE11360" w14:textId="21F72D91" w:rsidR="00AE562D" w:rsidRPr="00C615DA" w:rsidRDefault="00A571D9" w:rsidP="008370E5">
            <w:pPr>
              <w:tabs>
                <w:tab w:val="decimal" w:pos="599"/>
              </w:tabs>
              <w:rPr>
                <w:b/>
                <w:color w:val="auto"/>
                <w:sz w:val="20"/>
                <w:szCs w:val="20"/>
              </w:rPr>
            </w:pPr>
            <w:r w:rsidRPr="00A571D9">
              <w:rPr>
                <w:b/>
                <w:color w:val="auto"/>
                <w:sz w:val="20"/>
                <w:szCs w:val="20"/>
              </w:rPr>
              <w:t>(</w:t>
            </w:r>
            <w:r w:rsidR="008370E5">
              <w:rPr>
                <w:b/>
                <w:color w:val="auto"/>
                <w:sz w:val="20"/>
                <w:szCs w:val="20"/>
              </w:rPr>
              <w:t>5</w:t>
            </w:r>
            <w:r w:rsidRPr="00A571D9">
              <w:rPr>
                <w:b/>
                <w:color w:val="auto"/>
                <w:sz w:val="20"/>
                <w:szCs w:val="20"/>
              </w:rPr>
              <w:t>.0)</w:t>
            </w:r>
          </w:p>
        </w:tc>
      </w:tr>
      <w:tr w:rsidR="00AE562D" w:rsidRPr="00C615DA" w14:paraId="607C73BA" w14:textId="77777777" w:rsidTr="00EB2057">
        <w:trPr>
          <w:trHeight w:val="369"/>
        </w:trPr>
        <w:tc>
          <w:tcPr>
            <w:tcW w:w="2175" w:type="pct"/>
            <w:shd w:val="clear" w:color="auto" w:fill="auto"/>
            <w:vAlign w:val="bottom"/>
          </w:tcPr>
          <w:p w14:paraId="6E9A1650" w14:textId="77777777" w:rsidR="00AE562D" w:rsidRPr="00C615DA" w:rsidRDefault="00AE562D" w:rsidP="00EB2057">
            <w:pPr>
              <w:jc w:val="left"/>
              <w:rPr>
                <w:color w:val="auto"/>
                <w:sz w:val="20"/>
                <w:szCs w:val="20"/>
                <w:u w:val="single"/>
              </w:rPr>
            </w:pPr>
            <w:r w:rsidRPr="000E5FE1">
              <w:rPr>
                <w:color w:val="auto"/>
                <w:sz w:val="20"/>
                <w:szCs w:val="20"/>
                <w:u w:val="single"/>
              </w:rPr>
              <w:t>Reserves held to deliver corporate priorities</w:t>
            </w:r>
          </w:p>
        </w:tc>
        <w:tc>
          <w:tcPr>
            <w:tcW w:w="598" w:type="pct"/>
            <w:shd w:val="clear" w:color="auto" w:fill="auto"/>
            <w:vAlign w:val="bottom"/>
          </w:tcPr>
          <w:p w14:paraId="2856F98B" w14:textId="77777777" w:rsidR="00AE562D" w:rsidRPr="00C615DA" w:rsidRDefault="00AE562D" w:rsidP="00846982">
            <w:pPr>
              <w:tabs>
                <w:tab w:val="decimal" w:pos="602"/>
              </w:tabs>
              <w:jc w:val="center"/>
              <w:rPr>
                <w:color w:val="auto"/>
                <w:sz w:val="20"/>
                <w:szCs w:val="20"/>
              </w:rPr>
            </w:pPr>
          </w:p>
        </w:tc>
        <w:tc>
          <w:tcPr>
            <w:tcW w:w="930" w:type="pct"/>
            <w:vAlign w:val="bottom"/>
          </w:tcPr>
          <w:p w14:paraId="2BB0145A" w14:textId="77777777" w:rsidR="00AE562D" w:rsidRPr="00C615DA" w:rsidRDefault="00AE562D" w:rsidP="00EB2057">
            <w:pPr>
              <w:tabs>
                <w:tab w:val="decimal" w:pos="884"/>
              </w:tabs>
              <w:rPr>
                <w:color w:val="auto"/>
                <w:sz w:val="20"/>
                <w:szCs w:val="20"/>
              </w:rPr>
            </w:pPr>
          </w:p>
        </w:tc>
        <w:tc>
          <w:tcPr>
            <w:tcW w:w="664" w:type="pct"/>
            <w:shd w:val="clear" w:color="auto" w:fill="auto"/>
            <w:vAlign w:val="bottom"/>
          </w:tcPr>
          <w:p w14:paraId="1D0985C8" w14:textId="77777777" w:rsidR="00AE562D" w:rsidRPr="00C615DA" w:rsidRDefault="00AE562D" w:rsidP="00EB2057">
            <w:pPr>
              <w:tabs>
                <w:tab w:val="decimal" w:pos="632"/>
              </w:tabs>
              <w:rPr>
                <w:color w:val="auto"/>
                <w:sz w:val="20"/>
                <w:szCs w:val="20"/>
              </w:rPr>
            </w:pPr>
          </w:p>
        </w:tc>
        <w:tc>
          <w:tcPr>
            <w:tcW w:w="633" w:type="pct"/>
            <w:shd w:val="clear" w:color="auto" w:fill="auto"/>
            <w:vAlign w:val="bottom"/>
          </w:tcPr>
          <w:p w14:paraId="115E0F45" w14:textId="77777777" w:rsidR="00AE562D" w:rsidRPr="00C615DA" w:rsidRDefault="00AE562D" w:rsidP="00846982">
            <w:pPr>
              <w:tabs>
                <w:tab w:val="decimal" w:pos="599"/>
              </w:tabs>
              <w:rPr>
                <w:color w:val="auto"/>
                <w:sz w:val="20"/>
                <w:szCs w:val="20"/>
              </w:rPr>
            </w:pPr>
          </w:p>
        </w:tc>
      </w:tr>
      <w:tr w:rsidR="00AE562D" w:rsidRPr="00C615DA" w14:paraId="2DDB507A" w14:textId="77777777" w:rsidTr="00EB2057">
        <w:trPr>
          <w:trHeight w:val="369"/>
        </w:trPr>
        <w:tc>
          <w:tcPr>
            <w:tcW w:w="2175" w:type="pct"/>
            <w:shd w:val="clear" w:color="auto" w:fill="auto"/>
            <w:vAlign w:val="bottom"/>
          </w:tcPr>
          <w:p w14:paraId="2170801D" w14:textId="77777777" w:rsidR="00AE562D" w:rsidRPr="00C615DA" w:rsidRDefault="00AE562D" w:rsidP="00EB2057">
            <w:pPr>
              <w:jc w:val="left"/>
              <w:rPr>
                <w:color w:val="auto"/>
                <w:sz w:val="20"/>
                <w:szCs w:val="20"/>
              </w:rPr>
            </w:pPr>
            <w:r w:rsidRPr="000E5FE1">
              <w:rPr>
                <w:color w:val="auto"/>
                <w:sz w:val="20"/>
                <w:szCs w:val="20"/>
              </w:rPr>
              <w:t>Strategic Investment Reserve</w:t>
            </w:r>
          </w:p>
        </w:tc>
        <w:tc>
          <w:tcPr>
            <w:tcW w:w="598" w:type="pct"/>
            <w:shd w:val="clear" w:color="auto" w:fill="auto"/>
            <w:vAlign w:val="bottom"/>
          </w:tcPr>
          <w:p w14:paraId="73EF8E55" w14:textId="77777777" w:rsidR="00AE562D" w:rsidRPr="00C615DA" w:rsidRDefault="00A571D9" w:rsidP="00846982">
            <w:pPr>
              <w:tabs>
                <w:tab w:val="decimal" w:pos="602"/>
              </w:tabs>
              <w:rPr>
                <w:color w:val="auto"/>
                <w:sz w:val="20"/>
                <w:szCs w:val="20"/>
              </w:rPr>
            </w:pPr>
            <w:r w:rsidRPr="00A571D9">
              <w:rPr>
                <w:color w:val="auto"/>
                <w:sz w:val="20"/>
                <w:szCs w:val="20"/>
              </w:rPr>
              <w:t>(41.7)</w:t>
            </w:r>
          </w:p>
        </w:tc>
        <w:tc>
          <w:tcPr>
            <w:tcW w:w="930" w:type="pct"/>
            <w:vAlign w:val="bottom"/>
          </w:tcPr>
          <w:p w14:paraId="48343CC1" w14:textId="77777777" w:rsidR="00AE562D" w:rsidRPr="00C615DA" w:rsidRDefault="00A571D9" w:rsidP="00EB2057">
            <w:pPr>
              <w:tabs>
                <w:tab w:val="decimal" w:pos="884"/>
              </w:tabs>
              <w:rPr>
                <w:color w:val="auto"/>
                <w:sz w:val="20"/>
                <w:szCs w:val="20"/>
              </w:rPr>
            </w:pPr>
            <w:r w:rsidRPr="00A571D9">
              <w:rPr>
                <w:color w:val="auto"/>
                <w:sz w:val="20"/>
                <w:szCs w:val="20"/>
              </w:rPr>
              <w:t>5.0</w:t>
            </w:r>
          </w:p>
        </w:tc>
        <w:tc>
          <w:tcPr>
            <w:tcW w:w="664" w:type="pct"/>
            <w:shd w:val="clear" w:color="auto" w:fill="auto"/>
            <w:vAlign w:val="bottom"/>
          </w:tcPr>
          <w:p w14:paraId="170B84EB" w14:textId="77777777" w:rsidR="00AE562D" w:rsidRPr="00C615DA" w:rsidRDefault="00A571D9" w:rsidP="00EB2057">
            <w:pPr>
              <w:tabs>
                <w:tab w:val="decimal" w:pos="632"/>
              </w:tabs>
              <w:rPr>
                <w:color w:val="auto"/>
                <w:sz w:val="20"/>
                <w:szCs w:val="20"/>
              </w:rPr>
            </w:pPr>
            <w:r w:rsidRPr="00A571D9">
              <w:rPr>
                <w:color w:val="auto"/>
                <w:sz w:val="20"/>
                <w:szCs w:val="20"/>
              </w:rPr>
              <w:t>9.9</w:t>
            </w:r>
          </w:p>
        </w:tc>
        <w:tc>
          <w:tcPr>
            <w:tcW w:w="633" w:type="pct"/>
            <w:shd w:val="clear" w:color="auto" w:fill="auto"/>
            <w:vAlign w:val="bottom"/>
          </w:tcPr>
          <w:p w14:paraId="2FF6E5D1" w14:textId="77777777" w:rsidR="00AE562D" w:rsidRPr="00C615DA" w:rsidRDefault="00A571D9" w:rsidP="00846982">
            <w:pPr>
              <w:tabs>
                <w:tab w:val="decimal" w:pos="599"/>
              </w:tabs>
              <w:rPr>
                <w:color w:val="auto"/>
                <w:sz w:val="20"/>
                <w:szCs w:val="20"/>
              </w:rPr>
            </w:pPr>
            <w:r w:rsidRPr="00A571D9">
              <w:rPr>
                <w:color w:val="auto"/>
                <w:sz w:val="20"/>
                <w:szCs w:val="20"/>
              </w:rPr>
              <w:t>(26.8)</w:t>
            </w:r>
          </w:p>
        </w:tc>
      </w:tr>
      <w:tr w:rsidR="00AE562D" w:rsidRPr="00C615DA" w14:paraId="6A273E34" w14:textId="77777777" w:rsidTr="00EB2057">
        <w:trPr>
          <w:trHeight w:val="369"/>
        </w:trPr>
        <w:tc>
          <w:tcPr>
            <w:tcW w:w="2175" w:type="pct"/>
            <w:shd w:val="clear" w:color="auto" w:fill="auto"/>
            <w:vAlign w:val="bottom"/>
          </w:tcPr>
          <w:p w14:paraId="51AB3215" w14:textId="77777777" w:rsidR="00AE562D" w:rsidRPr="00C615DA" w:rsidRDefault="00AE562D" w:rsidP="00EB2057">
            <w:pPr>
              <w:jc w:val="left"/>
              <w:rPr>
                <w:color w:val="auto"/>
                <w:sz w:val="20"/>
                <w:szCs w:val="20"/>
              </w:rPr>
            </w:pPr>
            <w:r w:rsidRPr="000E5FE1">
              <w:rPr>
                <w:color w:val="auto"/>
                <w:sz w:val="20"/>
                <w:szCs w:val="20"/>
              </w:rPr>
              <w:t>Modern Apprentices</w:t>
            </w:r>
          </w:p>
        </w:tc>
        <w:tc>
          <w:tcPr>
            <w:tcW w:w="598" w:type="pct"/>
            <w:tcBorders>
              <w:bottom w:val="nil"/>
            </w:tcBorders>
            <w:shd w:val="clear" w:color="auto" w:fill="auto"/>
            <w:vAlign w:val="bottom"/>
          </w:tcPr>
          <w:p w14:paraId="2FAD40B2" w14:textId="77777777" w:rsidR="00AE562D" w:rsidRPr="00C615DA" w:rsidRDefault="00A571D9" w:rsidP="00846982">
            <w:pPr>
              <w:tabs>
                <w:tab w:val="decimal" w:pos="602"/>
              </w:tabs>
              <w:rPr>
                <w:color w:val="auto"/>
                <w:sz w:val="20"/>
                <w:szCs w:val="20"/>
              </w:rPr>
            </w:pPr>
            <w:r w:rsidRPr="00A571D9">
              <w:rPr>
                <w:color w:val="auto"/>
                <w:sz w:val="20"/>
                <w:szCs w:val="20"/>
              </w:rPr>
              <w:t>(0.2)</w:t>
            </w:r>
          </w:p>
        </w:tc>
        <w:tc>
          <w:tcPr>
            <w:tcW w:w="930" w:type="pct"/>
            <w:tcBorders>
              <w:bottom w:val="nil"/>
            </w:tcBorders>
            <w:vAlign w:val="bottom"/>
          </w:tcPr>
          <w:p w14:paraId="2497CA2D" w14:textId="77777777" w:rsidR="00AE562D" w:rsidRPr="00C615DA" w:rsidRDefault="00AE562D" w:rsidP="00EB2057">
            <w:pPr>
              <w:tabs>
                <w:tab w:val="decimal" w:pos="884"/>
              </w:tabs>
              <w:rPr>
                <w:color w:val="auto"/>
                <w:sz w:val="20"/>
                <w:szCs w:val="20"/>
              </w:rPr>
            </w:pPr>
            <w:r>
              <w:rPr>
                <w:color w:val="auto"/>
                <w:sz w:val="20"/>
                <w:szCs w:val="20"/>
              </w:rPr>
              <w:t>-</w:t>
            </w:r>
          </w:p>
        </w:tc>
        <w:tc>
          <w:tcPr>
            <w:tcW w:w="664" w:type="pct"/>
            <w:tcBorders>
              <w:bottom w:val="nil"/>
            </w:tcBorders>
            <w:shd w:val="clear" w:color="auto" w:fill="auto"/>
            <w:vAlign w:val="bottom"/>
          </w:tcPr>
          <w:p w14:paraId="6E33EE32" w14:textId="77777777" w:rsidR="00AE562D" w:rsidRPr="00C615DA" w:rsidRDefault="00AE562D" w:rsidP="00EB2057">
            <w:pPr>
              <w:tabs>
                <w:tab w:val="decimal" w:pos="632"/>
              </w:tabs>
              <w:rPr>
                <w:color w:val="auto"/>
                <w:sz w:val="20"/>
                <w:szCs w:val="20"/>
              </w:rPr>
            </w:pPr>
            <w:r w:rsidRPr="00C615DA">
              <w:rPr>
                <w:color w:val="auto"/>
                <w:sz w:val="20"/>
                <w:szCs w:val="20"/>
              </w:rPr>
              <w:t>-</w:t>
            </w:r>
          </w:p>
        </w:tc>
        <w:tc>
          <w:tcPr>
            <w:tcW w:w="633" w:type="pct"/>
            <w:tcBorders>
              <w:bottom w:val="nil"/>
            </w:tcBorders>
            <w:shd w:val="clear" w:color="auto" w:fill="auto"/>
            <w:vAlign w:val="bottom"/>
          </w:tcPr>
          <w:p w14:paraId="5945E9CD" w14:textId="77777777" w:rsidR="00AE562D" w:rsidRPr="00C615DA" w:rsidRDefault="00A571D9" w:rsidP="00846982">
            <w:pPr>
              <w:tabs>
                <w:tab w:val="decimal" w:pos="599"/>
              </w:tabs>
              <w:rPr>
                <w:color w:val="auto"/>
                <w:sz w:val="20"/>
                <w:szCs w:val="20"/>
              </w:rPr>
            </w:pPr>
            <w:r w:rsidRPr="00A571D9">
              <w:rPr>
                <w:color w:val="auto"/>
                <w:sz w:val="20"/>
                <w:szCs w:val="20"/>
              </w:rPr>
              <w:t>(0.2)</w:t>
            </w:r>
          </w:p>
        </w:tc>
      </w:tr>
      <w:tr w:rsidR="00AE562D" w:rsidRPr="00C615DA" w14:paraId="21E9CD79" w14:textId="77777777" w:rsidTr="00EB2057">
        <w:trPr>
          <w:trHeight w:val="369"/>
        </w:trPr>
        <w:tc>
          <w:tcPr>
            <w:tcW w:w="2175" w:type="pct"/>
            <w:shd w:val="clear" w:color="auto" w:fill="auto"/>
            <w:vAlign w:val="bottom"/>
          </w:tcPr>
          <w:p w14:paraId="7E8A3DD5" w14:textId="77777777" w:rsidR="00AE562D" w:rsidRPr="00C615DA" w:rsidRDefault="00AE562D" w:rsidP="00EB2057">
            <w:pPr>
              <w:jc w:val="left"/>
              <w:rPr>
                <w:color w:val="auto"/>
                <w:sz w:val="20"/>
                <w:szCs w:val="20"/>
              </w:rPr>
            </w:pPr>
            <w:r w:rsidRPr="000E5FE1">
              <w:rPr>
                <w:color w:val="auto"/>
                <w:sz w:val="20"/>
                <w:szCs w:val="20"/>
              </w:rPr>
              <w:lastRenderedPageBreak/>
              <w:t>Local Welfare Reserve</w:t>
            </w:r>
          </w:p>
        </w:tc>
        <w:tc>
          <w:tcPr>
            <w:tcW w:w="598" w:type="pct"/>
            <w:tcBorders>
              <w:top w:val="nil"/>
              <w:bottom w:val="single" w:sz="4" w:space="0" w:color="auto"/>
            </w:tcBorders>
            <w:shd w:val="clear" w:color="auto" w:fill="auto"/>
            <w:vAlign w:val="bottom"/>
          </w:tcPr>
          <w:p w14:paraId="187318A1" w14:textId="77777777" w:rsidR="00AE562D" w:rsidRPr="00C615DA" w:rsidRDefault="00AE562D" w:rsidP="00846982">
            <w:pPr>
              <w:tabs>
                <w:tab w:val="decimal" w:pos="602"/>
              </w:tabs>
              <w:rPr>
                <w:color w:val="auto"/>
                <w:sz w:val="20"/>
                <w:szCs w:val="20"/>
              </w:rPr>
            </w:pPr>
            <w:r>
              <w:rPr>
                <w:color w:val="auto"/>
                <w:sz w:val="20"/>
                <w:szCs w:val="20"/>
              </w:rPr>
              <w:t>-</w:t>
            </w:r>
          </w:p>
        </w:tc>
        <w:tc>
          <w:tcPr>
            <w:tcW w:w="930" w:type="pct"/>
            <w:tcBorders>
              <w:top w:val="nil"/>
              <w:bottom w:val="single" w:sz="4" w:space="0" w:color="auto"/>
            </w:tcBorders>
            <w:vAlign w:val="bottom"/>
          </w:tcPr>
          <w:p w14:paraId="1284A2E5" w14:textId="77777777" w:rsidR="00AE562D" w:rsidRPr="00C615DA" w:rsidRDefault="00A571D9" w:rsidP="00EB2057">
            <w:pPr>
              <w:tabs>
                <w:tab w:val="decimal" w:pos="884"/>
              </w:tabs>
              <w:rPr>
                <w:color w:val="auto"/>
                <w:sz w:val="20"/>
                <w:szCs w:val="20"/>
              </w:rPr>
            </w:pPr>
            <w:r w:rsidRPr="00A571D9">
              <w:rPr>
                <w:color w:val="auto"/>
                <w:sz w:val="20"/>
                <w:szCs w:val="20"/>
              </w:rPr>
              <w:t>(1.1)</w:t>
            </w:r>
          </w:p>
        </w:tc>
        <w:tc>
          <w:tcPr>
            <w:tcW w:w="664" w:type="pct"/>
            <w:tcBorders>
              <w:top w:val="nil"/>
              <w:bottom w:val="single" w:sz="4" w:space="0" w:color="auto"/>
            </w:tcBorders>
            <w:shd w:val="clear" w:color="auto" w:fill="auto"/>
            <w:vAlign w:val="bottom"/>
          </w:tcPr>
          <w:p w14:paraId="0569ECD5" w14:textId="77777777" w:rsidR="00AE562D" w:rsidRPr="00C615DA" w:rsidRDefault="00A571D9" w:rsidP="00EB2057">
            <w:pPr>
              <w:tabs>
                <w:tab w:val="decimal" w:pos="632"/>
              </w:tabs>
              <w:rPr>
                <w:color w:val="auto"/>
                <w:sz w:val="20"/>
                <w:szCs w:val="20"/>
              </w:rPr>
            </w:pPr>
            <w:r w:rsidRPr="00A571D9">
              <w:rPr>
                <w:color w:val="auto"/>
                <w:sz w:val="20"/>
                <w:szCs w:val="20"/>
              </w:rPr>
              <w:t>(0.7)</w:t>
            </w:r>
          </w:p>
        </w:tc>
        <w:tc>
          <w:tcPr>
            <w:tcW w:w="633" w:type="pct"/>
            <w:tcBorders>
              <w:top w:val="nil"/>
              <w:bottom w:val="single" w:sz="4" w:space="0" w:color="auto"/>
            </w:tcBorders>
            <w:shd w:val="clear" w:color="auto" w:fill="auto"/>
            <w:vAlign w:val="bottom"/>
          </w:tcPr>
          <w:p w14:paraId="4BAF5F5A" w14:textId="77777777" w:rsidR="00AE562D" w:rsidRPr="00C615DA" w:rsidRDefault="00A571D9" w:rsidP="00846982">
            <w:pPr>
              <w:tabs>
                <w:tab w:val="decimal" w:pos="599"/>
              </w:tabs>
              <w:rPr>
                <w:color w:val="auto"/>
                <w:sz w:val="20"/>
                <w:szCs w:val="20"/>
              </w:rPr>
            </w:pPr>
            <w:r w:rsidRPr="00A571D9">
              <w:rPr>
                <w:color w:val="auto"/>
                <w:sz w:val="20"/>
                <w:szCs w:val="20"/>
              </w:rPr>
              <w:t>(1.8)</w:t>
            </w:r>
          </w:p>
        </w:tc>
      </w:tr>
      <w:tr w:rsidR="00AE562D" w:rsidRPr="00B624BD" w14:paraId="4488BDC2" w14:textId="77777777" w:rsidTr="00EB2057">
        <w:trPr>
          <w:trHeight w:val="369"/>
        </w:trPr>
        <w:tc>
          <w:tcPr>
            <w:tcW w:w="2175" w:type="pct"/>
            <w:shd w:val="clear" w:color="auto" w:fill="auto"/>
            <w:vAlign w:val="bottom"/>
          </w:tcPr>
          <w:p w14:paraId="217C6344" w14:textId="77777777" w:rsidR="00AE562D" w:rsidRPr="00C615DA" w:rsidRDefault="00AE562D" w:rsidP="00EB2057">
            <w:pPr>
              <w:jc w:val="left"/>
              <w:rPr>
                <w:b/>
                <w:color w:val="auto"/>
                <w:sz w:val="20"/>
                <w:szCs w:val="20"/>
              </w:rPr>
            </w:pPr>
          </w:p>
        </w:tc>
        <w:tc>
          <w:tcPr>
            <w:tcW w:w="598" w:type="pct"/>
            <w:tcBorders>
              <w:top w:val="single" w:sz="4" w:space="0" w:color="auto"/>
            </w:tcBorders>
            <w:shd w:val="clear" w:color="auto" w:fill="auto"/>
            <w:vAlign w:val="bottom"/>
          </w:tcPr>
          <w:p w14:paraId="3BF8E60B" w14:textId="77777777" w:rsidR="00AE562D" w:rsidRPr="00C615DA" w:rsidRDefault="00A571D9" w:rsidP="00846982">
            <w:pPr>
              <w:tabs>
                <w:tab w:val="decimal" w:pos="602"/>
              </w:tabs>
              <w:rPr>
                <w:b/>
                <w:color w:val="auto"/>
                <w:sz w:val="20"/>
                <w:szCs w:val="20"/>
              </w:rPr>
            </w:pPr>
            <w:r w:rsidRPr="00A571D9">
              <w:rPr>
                <w:b/>
                <w:color w:val="auto"/>
                <w:sz w:val="20"/>
                <w:szCs w:val="20"/>
              </w:rPr>
              <w:t>(41.9)</w:t>
            </w:r>
          </w:p>
        </w:tc>
        <w:tc>
          <w:tcPr>
            <w:tcW w:w="930" w:type="pct"/>
            <w:tcBorders>
              <w:top w:val="single" w:sz="4" w:space="0" w:color="auto"/>
            </w:tcBorders>
            <w:vAlign w:val="bottom"/>
          </w:tcPr>
          <w:p w14:paraId="569E12A1" w14:textId="77777777" w:rsidR="00AE562D" w:rsidRPr="00B624BD" w:rsidRDefault="00A571D9" w:rsidP="00EB2057">
            <w:pPr>
              <w:tabs>
                <w:tab w:val="decimal" w:pos="884"/>
              </w:tabs>
              <w:rPr>
                <w:b/>
                <w:color w:val="auto"/>
                <w:sz w:val="20"/>
                <w:szCs w:val="20"/>
              </w:rPr>
            </w:pPr>
            <w:r w:rsidRPr="00A571D9">
              <w:rPr>
                <w:b/>
                <w:color w:val="auto"/>
                <w:sz w:val="20"/>
                <w:szCs w:val="20"/>
              </w:rPr>
              <w:t>3.9</w:t>
            </w:r>
          </w:p>
        </w:tc>
        <w:tc>
          <w:tcPr>
            <w:tcW w:w="664" w:type="pct"/>
            <w:tcBorders>
              <w:top w:val="single" w:sz="4" w:space="0" w:color="auto"/>
              <w:bottom w:val="nil"/>
            </w:tcBorders>
            <w:shd w:val="clear" w:color="auto" w:fill="auto"/>
            <w:vAlign w:val="bottom"/>
          </w:tcPr>
          <w:p w14:paraId="093D9424" w14:textId="77777777" w:rsidR="00AE562D" w:rsidRPr="00C615DA" w:rsidRDefault="00A571D9" w:rsidP="00EB2057">
            <w:pPr>
              <w:tabs>
                <w:tab w:val="decimal" w:pos="632"/>
              </w:tabs>
              <w:rPr>
                <w:b/>
                <w:color w:val="auto"/>
                <w:sz w:val="20"/>
                <w:szCs w:val="20"/>
              </w:rPr>
            </w:pPr>
            <w:r w:rsidRPr="00A571D9">
              <w:rPr>
                <w:b/>
                <w:color w:val="auto"/>
                <w:sz w:val="20"/>
                <w:szCs w:val="20"/>
              </w:rPr>
              <w:t>9.2</w:t>
            </w:r>
          </w:p>
        </w:tc>
        <w:tc>
          <w:tcPr>
            <w:tcW w:w="633" w:type="pct"/>
            <w:tcBorders>
              <w:top w:val="single" w:sz="4" w:space="0" w:color="auto"/>
              <w:bottom w:val="nil"/>
            </w:tcBorders>
            <w:shd w:val="clear" w:color="auto" w:fill="auto"/>
            <w:vAlign w:val="bottom"/>
          </w:tcPr>
          <w:p w14:paraId="1A68E0E7" w14:textId="77777777" w:rsidR="00AE562D" w:rsidRPr="00C615DA" w:rsidRDefault="00A571D9" w:rsidP="00846982">
            <w:pPr>
              <w:tabs>
                <w:tab w:val="decimal" w:pos="599"/>
              </w:tabs>
              <w:rPr>
                <w:b/>
                <w:color w:val="auto"/>
                <w:sz w:val="20"/>
                <w:szCs w:val="20"/>
              </w:rPr>
            </w:pPr>
            <w:r w:rsidRPr="00A571D9">
              <w:rPr>
                <w:b/>
                <w:color w:val="auto"/>
                <w:sz w:val="20"/>
                <w:szCs w:val="20"/>
              </w:rPr>
              <w:t>(28.8)</w:t>
            </w:r>
          </w:p>
        </w:tc>
      </w:tr>
      <w:tr w:rsidR="00AE562D" w:rsidRPr="00C615DA" w14:paraId="556DAE7C" w14:textId="77777777" w:rsidTr="00EB2057">
        <w:trPr>
          <w:trHeight w:val="369"/>
        </w:trPr>
        <w:tc>
          <w:tcPr>
            <w:tcW w:w="2175" w:type="pct"/>
            <w:shd w:val="clear" w:color="auto" w:fill="auto"/>
            <w:vAlign w:val="bottom"/>
          </w:tcPr>
          <w:p w14:paraId="4CE48C06" w14:textId="77777777" w:rsidR="00AE562D" w:rsidRPr="00C615DA" w:rsidRDefault="00AE562D" w:rsidP="00EB2057">
            <w:pPr>
              <w:jc w:val="left"/>
              <w:rPr>
                <w:color w:val="auto"/>
                <w:sz w:val="20"/>
                <w:szCs w:val="20"/>
                <w:u w:val="single"/>
              </w:rPr>
            </w:pPr>
            <w:r w:rsidRPr="000E5FE1">
              <w:rPr>
                <w:color w:val="auto"/>
                <w:sz w:val="20"/>
                <w:szCs w:val="20"/>
                <w:u w:val="single"/>
              </w:rPr>
              <w:t>Reserves held to deliver organisational change</w:t>
            </w:r>
          </w:p>
        </w:tc>
        <w:tc>
          <w:tcPr>
            <w:tcW w:w="598" w:type="pct"/>
            <w:shd w:val="clear" w:color="auto" w:fill="auto"/>
            <w:vAlign w:val="bottom"/>
          </w:tcPr>
          <w:p w14:paraId="76DCA622" w14:textId="77777777" w:rsidR="00AE562D" w:rsidRPr="00C615DA" w:rsidRDefault="00AE562D" w:rsidP="00846982">
            <w:pPr>
              <w:tabs>
                <w:tab w:val="decimal" w:pos="602"/>
              </w:tabs>
              <w:jc w:val="center"/>
              <w:rPr>
                <w:color w:val="auto"/>
                <w:sz w:val="20"/>
                <w:szCs w:val="20"/>
              </w:rPr>
            </w:pPr>
          </w:p>
        </w:tc>
        <w:tc>
          <w:tcPr>
            <w:tcW w:w="930" w:type="pct"/>
            <w:vAlign w:val="bottom"/>
          </w:tcPr>
          <w:p w14:paraId="09DE4C08" w14:textId="77777777" w:rsidR="00AE562D" w:rsidRPr="00C615DA" w:rsidRDefault="00AE562D" w:rsidP="00EB2057">
            <w:pPr>
              <w:tabs>
                <w:tab w:val="decimal" w:pos="884"/>
              </w:tabs>
              <w:jc w:val="center"/>
              <w:rPr>
                <w:color w:val="auto"/>
                <w:sz w:val="20"/>
                <w:szCs w:val="20"/>
              </w:rPr>
            </w:pPr>
          </w:p>
        </w:tc>
        <w:tc>
          <w:tcPr>
            <w:tcW w:w="664" w:type="pct"/>
            <w:tcBorders>
              <w:top w:val="nil"/>
            </w:tcBorders>
            <w:shd w:val="clear" w:color="auto" w:fill="auto"/>
            <w:vAlign w:val="bottom"/>
          </w:tcPr>
          <w:p w14:paraId="3017951E" w14:textId="77777777" w:rsidR="00AE562D" w:rsidRPr="00C615DA" w:rsidRDefault="00AE562D" w:rsidP="00EB2057">
            <w:pPr>
              <w:tabs>
                <w:tab w:val="decimal" w:pos="632"/>
              </w:tabs>
              <w:rPr>
                <w:color w:val="auto"/>
                <w:sz w:val="20"/>
                <w:szCs w:val="20"/>
              </w:rPr>
            </w:pPr>
          </w:p>
        </w:tc>
        <w:tc>
          <w:tcPr>
            <w:tcW w:w="633" w:type="pct"/>
            <w:tcBorders>
              <w:top w:val="nil"/>
            </w:tcBorders>
            <w:shd w:val="clear" w:color="auto" w:fill="auto"/>
            <w:vAlign w:val="bottom"/>
          </w:tcPr>
          <w:p w14:paraId="13C05AF2" w14:textId="77777777" w:rsidR="00AE562D" w:rsidRPr="00C615DA" w:rsidRDefault="00AE562D" w:rsidP="00846982">
            <w:pPr>
              <w:tabs>
                <w:tab w:val="decimal" w:pos="599"/>
              </w:tabs>
              <w:rPr>
                <w:color w:val="auto"/>
                <w:sz w:val="20"/>
                <w:szCs w:val="20"/>
              </w:rPr>
            </w:pPr>
          </w:p>
        </w:tc>
      </w:tr>
      <w:tr w:rsidR="00AE562D" w:rsidRPr="00C615DA" w14:paraId="7133979B" w14:textId="77777777" w:rsidTr="00EB2057">
        <w:trPr>
          <w:trHeight w:val="369"/>
        </w:trPr>
        <w:tc>
          <w:tcPr>
            <w:tcW w:w="2175" w:type="pct"/>
            <w:shd w:val="clear" w:color="auto" w:fill="auto"/>
            <w:vAlign w:val="bottom"/>
          </w:tcPr>
          <w:p w14:paraId="6BCBAA34" w14:textId="77777777" w:rsidR="00AE562D" w:rsidRPr="00C615DA" w:rsidRDefault="00AE562D" w:rsidP="00EB2057">
            <w:pPr>
              <w:jc w:val="left"/>
              <w:rPr>
                <w:color w:val="auto"/>
                <w:sz w:val="20"/>
                <w:szCs w:val="20"/>
              </w:rPr>
            </w:pPr>
            <w:r w:rsidRPr="00511271">
              <w:rPr>
                <w:color w:val="auto"/>
                <w:sz w:val="20"/>
                <w:szCs w:val="20"/>
              </w:rPr>
              <w:t>Downsizing Reserve</w:t>
            </w:r>
          </w:p>
        </w:tc>
        <w:tc>
          <w:tcPr>
            <w:tcW w:w="598" w:type="pct"/>
            <w:shd w:val="clear" w:color="auto" w:fill="auto"/>
            <w:vAlign w:val="bottom"/>
          </w:tcPr>
          <w:p w14:paraId="7F4D80F3" w14:textId="77777777" w:rsidR="00AE562D" w:rsidRPr="00C615DA" w:rsidRDefault="00B63172" w:rsidP="00846982">
            <w:pPr>
              <w:tabs>
                <w:tab w:val="decimal" w:pos="602"/>
              </w:tabs>
              <w:rPr>
                <w:color w:val="auto"/>
                <w:sz w:val="20"/>
                <w:szCs w:val="20"/>
              </w:rPr>
            </w:pPr>
            <w:r>
              <w:rPr>
                <w:color w:val="auto"/>
                <w:sz w:val="20"/>
                <w:szCs w:val="20"/>
              </w:rPr>
              <w:t>(37.7)</w:t>
            </w:r>
          </w:p>
        </w:tc>
        <w:tc>
          <w:tcPr>
            <w:tcW w:w="930" w:type="pct"/>
            <w:vAlign w:val="bottom"/>
          </w:tcPr>
          <w:p w14:paraId="5B58F86A" w14:textId="77777777" w:rsidR="00AE562D" w:rsidRPr="00C615DA" w:rsidRDefault="00B63172" w:rsidP="00EB2057">
            <w:pPr>
              <w:tabs>
                <w:tab w:val="decimal" w:pos="884"/>
              </w:tabs>
              <w:rPr>
                <w:color w:val="auto"/>
                <w:sz w:val="20"/>
                <w:szCs w:val="20"/>
              </w:rPr>
            </w:pPr>
            <w:r>
              <w:rPr>
                <w:color w:val="auto"/>
                <w:sz w:val="20"/>
                <w:szCs w:val="20"/>
              </w:rPr>
              <w:t>(14.9)</w:t>
            </w:r>
          </w:p>
        </w:tc>
        <w:tc>
          <w:tcPr>
            <w:tcW w:w="664" w:type="pct"/>
            <w:shd w:val="clear" w:color="auto" w:fill="auto"/>
            <w:vAlign w:val="bottom"/>
          </w:tcPr>
          <w:p w14:paraId="7F3EEA5F" w14:textId="77777777" w:rsidR="00AE562D" w:rsidRPr="00C615DA" w:rsidRDefault="00B63172" w:rsidP="00EB2057">
            <w:pPr>
              <w:tabs>
                <w:tab w:val="decimal" w:pos="632"/>
              </w:tabs>
              <w:rPr>
                <w:color w:val="auto"/>
                <w:sz w:val="20"/>
                <w:szCs w:val="20"/>
              </w:rPr>
            </w:pPr>
            <w:r>
              <w:rPr>
                <w:color w:val="auto"/>
                <w:sz w:val="20"/>
                <w:szCs w:val="20"/>
              </w:rPr>
              <w:t>(46.6)</w:t>
            </w:r>
          </w:p>
        </w:tc>
        <w:tc>
          <w:tcPr>
            <w:tcW w:w="633" w:type="pct"/>
            <w:shd w:val="clear" w:color="auto" w:fill="auto"/>
            <w:vAlign w:val="bottom"/>
          </w:tcPr>
          <w:p w14:paraId="2BB245FC" w14:textId="77777777" w:rsidR="00AE562D" w:rsidRPr="00C615DA" w:rsidRDefault="00B63172" w:rsidP="00846982">
            <w:pPr>
              <w:tabs>
                <w:tab w:val="decimal" w:pos="599"/>
              </w:tabs>
              <w:rPr>
                <w:color w:val="auto"/>
                <w:sz w:val="20"/>
                <w:szCs w:val="20"/>
              </w:rPr>
            </w:pPr>
            <w:r>
              <w:rPr>
                <w:color w:val="auto"/>
                <w:sz w:val="20"/>
                <w:szCs w:val="20"/>
              </w:rPr>
              <w:t>(99.2)</w:t>
            </w:r>
          </w:p>
        </w:tc>
      </w:tr>
      <w:tr w:rsidR="00AE562D" w:rsidRPr="00C615DA" w14:paraId="7628D37A" w14:textId="77777777" w:rsidTr="00EB2057">
        <w:trPr>
          <w:trHeight w:val="369"/>
        </w:trPr>
        <w:tc>
          <w:tcPr>
            <w:tcW w:w="2175" w:type="pct"/>
            <w:shd w:val="clear" w:color="auto" w:fill="auto"/>
            <w:vAlign w:val="bottom"/>
          </w:tcPr>
          <w:p w14:paraId="634C04F3" w14:textId="77777777" w:rsidR="00AE562D" w:rsidRPr="00C615DA" w:rsidRDefault="00AE562D" w:rsidP="00EB2057">
            <w:pPr>
              <w:jc w:val="left"/>
              <w:rPr>
                <w:color w:val="auto"/>
                <w:sz w:val="20"/>
                <w:szCs w:val="20"/>
              </w:rPr>
            </w:pPr>
            <w:r w:rsidRPr="00511271">
              <w:rPr>
                <w:color w:val="auto"/>
                <w:sz w:val="20"/>
                <w:szCs w:val="20"/>
              </w:rPr>
              <w:t>Service Transformation Reserve</w:t>
            </w:r>
          </w:p>
        </w:tc>
        <w:tc>
          <w:tcPr>
            <w:tcW w:w="598" w:type="pct"/>
            <w:shd w:val="clear" w:color="auto" w:fill="auto"/>
            <w:vAlign w:val="bottom"/>
          </w:tcPr>
          <w:p w14:paraId="7666D0FD" w14:textId="77777777" w:rsidR="00AE562D" w:rsidRPr="00C615DA" w:rsidRDefault="00B63172" w:rsidP="00846982">
            <w:pPr>
              <w:tabs>
                <w:tab w:val="decimal" w:pos="602"/>
              </w:tabs>
              <w:rPr>
                <w:color w:val="auto"/>
                <w:sz w:val="20"/>
                <w:szCs w:val="20"/>
              </w:rPr>
            </w:pPr>
            <w:r>
              <w:rPr>
                <w:color w:val="auto"/>
                <w:sz w:val="20"/>
                <w:szCs w:val="20"/>
              </w:rPr>
              <w:t>(9.2)</w:t>
            </w:r>
          </w:p>
        </w:tc>
        <w:tc>
          <w:tcPr>
            <w:tcW w:w="930" w:type="pct"/>
            <w:vAlign w:val="bottom"/>
          </w:tcPr>
          <w:p w14:paraId="616C7DA2" w14:textId="77777777" w:rsidR="00AE562D" w:rsidRPr="00C615DA" w:rsidRDefault="00B63172" w:rsidP="00EB2057">
            <w:pPr>
              <w:tabs>
                <w:tab w:val="decimal" w:pos="884"/>
              </w:tabs>
              <w:rPr>
                <w:color w:val="auto"/>
                <w:sz w:val="20"/>
                <w:szCs w:val="20"/>
              </w:rPr>
            </w:pPr>
            <w:r>
              <w:rPr>
                <w:color w:val="auto"/>
                <w:sz w:val="20"/>
                <w:szCs w:val="20"/>
              </w:rPr>
              <w:t>0.8</w:t>
            </w:r>
          </w:p>
        </w:tc>
        <w:tc>
          <w:tcPr>
            <w:tcW w:w="664" w:type="pct"/>
            <w:shd w:val="clear" w:color="auto" w:fill="auto"/>
            <w:vAlign w:val="bottom"/>
          </w:tcPr>
          <w:p w14:paraId="1A1C9648" w14:textId="77777777" w:rsidR="00AE562D" w:rsidRPr="00C615DA" w:rsidRDefault="00B63172" w:rsidP="00EB2057">
            <w:pPr>
              <w:tabs>
                <w:tab w:val="decimal" w:pos="632"/>
              </w:tabs>
              <w:rPr>
                <w:color w:val="auto"/>
                <w:sz w:val="20"/>
                <w:szCs w:val="20"/>
              </w:rPr>
            </w:pPr>
            <w:r>
              <w:rPr>
                <w:color w:val="auto"/>
                <w:sz w:val="20"/>
                <w:szCs w:val="20"/>
              </w:rPr>
              <w:t>8.4</w:t>
            </w:r>
          </w:p>
        </w:tc>
        <w:tc>
          <w:tcPr>
            <w:tcW w:w="633" w:type="pct"/>
            <w:shd w:val="clear" w:color="auto" w:fill="auto"/>
            <w:vAlign w:val="bottom"/>
          </w:tcPr>
          <w:p w14:paraId="55BE073F" w14:textId="77777777" w:rsidR="00AE562D" w:rsidRPr="00C615DA" w:rsidRDefault="00846982" w:rsidP="00846982">
            <w:pPr>
              <w:tabs>
                <w:tab w:val="decimal" w:pos="599"/>
              </w:tabs>
              <w:rPr>
                <w:color w:val="auto"/>
                <w:sz w:val="20"/>
                <w:szCs w:val="20"/>
              </w:rPr>
            </w:pPr>
            <w:r>
              <w:rPr>
                <w:color w:val="auto"/>
                <w:sz w:val="20"/>
                <w:szCs w:val="20"/>
              </w:rPr>
              <w:t>0.0</w:t>
            </w:r>
          </w:p>
        </w:tc>
      </w:tr>
      <w:tr w:rsidR="00AE562D" w:rsidRPr="00C615DA" w14:paraId="1537568F" w14:textId="77777777" w:rsidTr="00EB2057">
        <w:trPr>
          <w:trHeight w:val="369"/>
        </w:trPr>
        <w:tc>
          <w:tcPr>
            <w:tcW w:w="2175" w:type="pct"/>
            <w:shd w:val="clear" w:color="auto" w:fill="auto"/>
            <w:vAlign w:val="bottom"/>
          </w:tcPr>
          <w:p w14:paraId="1745D620" w14:textId="77777777" w:rsidR="00AE562D" w:rsidRPr="00C615DA" w:rsidRDefault="00AE562D" w:rsidP="00EB2057">
            <w:pPr>
              <w:jc w:val="left"/>
              <w:rPr>
                <w:color w:val="auto"/>
                <w:sz w:val="20"/>
                <w:szCs w:val="20"/>
              </w:rPr>
            </w:pPr>
            <w:r w:rsidRPr="00511271">
              <w:rPr>
                <w:color w:val="auto"/>
                <w:sz w:val="20"/>
                <w:szCs w:val="20"/>
              </w:rPr>
              <w:t>Voluntary Severance Reserve</w:t>
            </w:r>
          </w:p>
        </w:tc>
        <w:tc>
          <w:tcPr>
            <w:tcW w:w="598" w:type="pct"/>
            <w:tcBorders>
              <w:bottom w:val="nil"/>
            </w:tcBorders>
            <w:shd w:val="clear" w:color="auto" w:fill="auto"/>
            <w:vAlign w:val="bottom"/>
          </w:tcPr>
          <w:p w14:paraId="6D344531" w14:textId="77777777" w:rsidR="00AE562D" w:rsidRPr="00C615DA" w:rsidRDefault="00B63172" w:rsidP="00846982">
            <w:pPr>
              <w:tabs>
                <w:tab w:val="decimal" w:pos="602"/>
              </w:tabs>
              <w:rPr>
                <w:color w:val="auto"/>
                <w:sz w:val="20"/>
                <w:szCs w:val="20"/>
              </w:rPr>
            </w:pPr>
            <w:r>
              <w:rPr>
                <w:color w:val="auto"/>
                <w:sz w:val="20"/>
                <w:szCs w:val="20"/>
              </w:rPr>
              <w:t>(8.0)</w:t>
            </w:r>
          </w:p>
        </w:tc>
        <w:tc>
          <w:tcPr>
            <w:tcW w:w="930" w:type="pct"/>
            <w:tcBorders>
              <w:bottom w:val="nil"/>
            </w:tcBorders>
            <w:vAlign w:val="bottom"/>
          </w:tcPr>
          <w:p w14:paraId="094F5227" w14:textId="77777777" w:rsidR="00AE562D" w:rsidRPr="00C615DA" w:rsidRDefault="00B63172" w:rsidP="00EB2057">
            <w:pPr>
              <w:tabs>
                <w:tab w:val="decimal" w:pos="884"/>
              </w:tabs>
              <w:rPr>
                <w:color w:val="auto"/>
                <w:sz w:val="20"/>
                <w:szCs w:val="20"/>
              </w:rPr>
            </w:pPr>
            <w:r>
              <w:rPr>
                <w:color w:val="auto"/>
                <w:sz w:val="20"/>
                <w:szCs w:val="20"/>
              </w:rPr>
              <w:t>6.8</w:t>
            </w:r>
          </w:p>
        </w:tc>
        <w:tc>
          <w:tcPr>
            <w:tcW w:w="664" w:type="pct"/>
            <w:tcBorders>
              <w:bottom w:val="nil"/>
            </w:tcBorders>
            <w:shd w:val="clear" w:color="auto" w:fill="auto"/>
            <w:vAlign w:val="bottom"/>
          </w:tcPr>
          <w:p w14:paraId="430F64A1" w14:textId="77777777" w:rsidR="00AE562D" w:rsidRPr="00C615DA" w:rsidRDefault="00B63172" w:rsidP="00EB2057">
            <w:pPr>
              <w:tabs>
                <w:tab w:val="decimal" w:pos="632"/>
              </w:tabs>
              <w:rPr>
                <w:color w:val="auto"/>
                <w:sz w:val="20"/>
                <w:szCs w:val="20"/>
              </w:rPr>
            </w:pPr>
            <w:r>
              <w:rPr>
                <w:color w:val="auto"/>
                <w:sz w:val="20"/>
                <w:szCs w:val="20"/>
              </w:rPr>
              <w:t>1.2</w:t>
            </w:r>
          </w:p>
        </w:tc>
        <w:tc>
          <w:tcPr>
            <w:tcW w:w="633" w:type="pct"/>
            <w:tcBorders>
              <w:bottom w:val="nil"/>
            </w:tcBorders>
            <w:shd w:val="clear" w:color="auto" w:fill="auto"/>
            <w:vAlign w:val="bottom"/>
          </w:tcPr>
          <w:p w14:paraId="409452C0" w14:textId="77777777" w:rsidR="00AE562D" w:rsidRPr="00C615DA" w:rsidRDefault="00846982" w:rsidP="00846982">
            <w:pPr>
              <w:tabs>
                <w:tab w:val="decimal" w:pos="599"/>
              </w:tabs>
              <w:rPr>
                <w:color w:val="auto"/>
                <w:sz w:val="20"/>
                <w:szCs w:val="20"/>
              </w:rPr>
            </w:pPr>
            <w:r>
              <w:rPr>
                <w:color w:val="auto"/>
                <w:sz w:val="20"/>
                <w:szCs w:val="20"/>
              </w:rPr>
              <w:t>0.0</w:t>
            </w:r>
          </w:p>
        </w:tc>
      </w:tr>
      <w:tr w:rsidR="00AE562D" w:rsidRPr="00C615DA" w14:paraId="54E360C2" w14:textId="77777777" w:rsidTr="00EB2057">
        <w:trPr>
          <w:trHeight w:val="369"/>
        </w:trPr>
        <w:tc>
          <w:tcPr>
            <w:tcW w:w="2175" w:type="pct"/>
            <w:shd w:val="clear" w:color="auto" w:fill="auto"/>
            <w:vAlign w:val="bottom"/>
          </w:tcPr>
          <w:p w14:paraId="07007861" w14:textId="77777777" w:rsidR="00AE562D" w:rsidRPr="00C615DA" w:rsidRDefault="00AE562D" w:rsidP="00EB2057">
            <w:pPr>
              <w:jc w:val="left"/>
              <w:rPr>
                <w:color w:val="auto"/>
                <w:sz w:val="20"/>
                <w:szCs w:val="20"/>
              </w:rPr>
            </w:pPr>
            <w:r w:rsidRPr="00511271">
              <w:rPr>
                <w:color w:val="auto"/>
                <w:sz w:val="20"/>
                <w:szCs w:val="20"/>
              </w:rPr>
              <w:t>LAA PRG Monies – Lancashire</w:t>
            </w:r>
          </w:p>
        </w:tc>
        <w:tc>
          <w:tcPr>
            <w:tcW w:w="598" w:type="pct"/>
            <w:tcBorders>
              <w:top w:val="nil"/>
              <w:bottom w:val="single" w:sz="4" w:space="0" w:color="auto"/>
            </w:tcBorders>
            <w:shd w:val="clear" w:color="auto" w:fill="auto"/>
            <w:vAlign w:val="bottom"/>
          </w:tcPr>
          <w:p w14:paraId="3816DF34" w14:textId="77777777" w:rsidR="00AE562D" w:rsidRPr="00C615DA" w:rsidRDefault="00B63172" w:rsidP="00846982">
            <w:pPr>
              <w:tabs>
                <w:tab w:val="decimal" w:pos="602"/>
              </w:tabs>
              <w:rPr>
                <w:color w:val="auto"/>
                <w:sz w:val="20"/>
                <w:szCs w:val="20"/>
              </w:rPr>
            </w:pPr>
            <w:r>
              <w:rPr>
                <w:color w:val="auto"/>
                <w:sz w:val="20"/>
                <w:szCs w:val="20"/>
              </w:rPr>
              <w:t>(5.3)</w:t>
            </w:r>
          </w:p>
        </w:tc>
        <w:tc>
          <w:tcPr>
            <w:tcW w:w="930" w:type="pct"/>
            <w:tcBorders>
              <w:top w:val="nil"/>
              <w:bottom w:val="single" w:sz="4" w:space="0" w:color="auto"/>
            </w:tcBorders>
            <w:vAlign w:val="bottom"/>
          </w:tcPr>
          <w:p w14:paraId="607DB00C" w14:textId="77777777" w:rsidR="00AE562D" w:rsidRPr="00C615DA" w:rsidRDefault="00AE562D" w:rsidP="00EB2057">
            <w:pPr>
              <w:tabs>
                <w:tab w:val="decimal" w:pos="884"/>
              </w:tabs>
              <w:rPr>
                <w:color w:val="auto"/>
                <w:sz w:val="20"/>
                <w:szCs w:val="20"/>
              </w:rPr>
            </w:pPr>
            <w:r>
              <w:rPr>
                <w:color w:val="auto"/>
                <w:sz w:val="20"/>
                <w:szCs w:val="20"/>
              </w:rPr>
              <w:t>-</w:t>
            </w:r>
          </w:p>
        </w:tc>
        <w:tc>
          <w:tcPr>
            <w:tcW w:w="664" w:type="pct"/>
            <w:tcBorders>
              <w:top w:val="nil"/>
              <w:bottom w:val="single" w:sz="4" w:space="0" w:color="auto"/>
            </w:tcBorders>
            <w:shd w:val="clear" w:color="auto" w:fill="auto"/>
            <w:vAlign w:val="bottom"/>
          </w:tcPr>
          <w:p w14:paraId="50D79440" w14:textId="77777777" w:rsidR="00AE562D" w:rsidRPr="00C615DA" w:rsidRDefault="00B63172" w:rsidP="00EB2057">
            <w:pPr>
              <w:tabs>
                <w:tab w:val="decimal" w:pos="632"/>
              </w:tabs>
              <w:rPr>
                <w:color w:val="auto"/>
                <w:sz w:val="20"/>
                <w:szCs w:val="20"/>
              </w:rPr>
            </w:pPr>
            <w:r>
              <w:rPr>
                <w:color w:val="auto"/>
                <w:sz w:val="20"/>
                <w:szCs w:val="20"/>
              </w:rPr>
              <w:t>1.4</w:t>
            </w:r>
          </w:p>
        </w:tc>
        <w:tc>
          <w:tcPr>
            <w:tcW w:w="633" w:type="pct"/>
            <w:tcBorders>
              <w:top w:val="nil"/>
              <w:bottom w:val="single" w:sz="4" w:space="0" w:color="auto"/>
            </w:tcBorders>
            <w:shd w:val="clear" w:color="auto" w:fill="auto"/>
            <w:vAlign w:val="bottom"/>
          </w:tcPr>
          <w:p w14:paraId="795F378F" w14:textId="77777777" w:rsidR="00AE562D" w:rsidRPr="00C615DA" w:rsidRDefault="00B63172" w:rsidP="00846982">
            <w:pPr>
              <w:tabs>
                <w:tab w:val="decimal" w:pos="599"/>
              </w:tabs>
              <w:rPr>
                <w:color w:val="auto"/>
                <w:sz w:val="20"/>
                <w:szCs w:val="20"/>
              </w:rPr>
            </w:pPr>
            <w:r>
              <w:rPr>
                <w:color w:val="auto"/>
                <w:sz w:val="20"/>
                <w:szCs w:val="20"/>
              </w:rPr>
              <w:t>(3.9)</w:t>
            </w:r>
          </w:p>
        </w:tc>
      </w:tr>
      <w:tr w:rsidR="00AE562D" w:rsidRPr="00B624BD" w14:paraId="600D2EA9" w14:textId="77777777" w:rsidTr="00EB2057">
        <w:trPr>
          <w:trHeight w:val="369"/>
        </w:trPr>
        <w:tc>
          <w:tcPr>
            <w:tcW w:w="2175" w:type="pct"/>
            <w:shd w:val="clear" w:color="auto" w:fill="auto"/>
            <w:vAlign w:val="bottom"/>
          </w:tcPr>
          <w:p w14:paraId="3203DD67" w14:textId="77777777" w:rsidR="00AE562D" w:rsidRPr="00C615DA" w:rsidRDefault="00AE562D" w:rsidP="00EB2057">
            <w:pPr>
              <w:jc w:val="left"/>
              <w:rPr>
                <w:b/>
                <w:color w:val="auto"/>
                <w:sz w:val="20"/>
                <w:szCs w:val="20"/>
              </w:rPr>
            </w:pPr>
          </w:p>
        </w:tc>
        <w:tc>
          <w:tcPr>
            <w:tcW w:w="598" w:type="pct"/>
            <w:tcBorders>
              <w:top w:val="single" w:sz="4" w:space="0" w:color="auto"/>
            </w:tcBorders>
            <w:shd w:val="clear" w:color="auto" w:fill="auto"/>
            <w:vAlign w:val="bottom"/>
          </w:tcPr>
          <w:p w14:paraId="5951739C" w14:textId="77777777" w:rsidR="00AE562D" w:rsidRPr="00C615DA" w:rsidRDefault="00B63172" w:rsidP="00846982">
            <w:pPr>
              <w:tabs>
                <w:tab w:val="decimal" w:pos="602"/>
              </w:tabs>
              <w:rPr>
                <w:b/>
                <w:color w:val="auto"/>
                <w:sz w:val="20"/>
                <w:szCs w:val="20"/>
              </w:rPr>
            </w:pPr>
            <w:r>
              <w:rPr>
                <w:b/>
                <w:color w:val="auto"/>
                <w:sz w:val="20"/>
                <w:szCs w:val="20"/>
              </w:rPr>
              <w:t>(60.2)</w:t>
            </w:r>
          </w:p>
        </w:tc>
        <w:tc>
          <w:tcPr>
            <w:tcW w:w="930" w:type="pct"/>
            <w:tcBorders>
              <w:top w:val="single" w:sz="4" w:space="0" w:color="auto"/>
            </w:tcBorders>
            <w:vAlign w:val="bottom"/>
          </w:tcPr>
          <w:p w14:paraId="24CD148B" w14:textId="77777777" w:rsidR="00AE562D" w:rsidRPr="00B624BD" w:rsidRDefault="00B63172" w:rsidP="00EB2057">
            <w:pPr>
              <w:tabs>
                <w:tab w:val="decimal" w:pos="884"/>
              </w:tabs>
              <w:rPr>
                <w:b/>
                <w:color w:val="auto"/>
                <w:sz w:val="20"/>
                <w:szCs w:val="20"/>
              </w:rPr>
            </w:pPr>
            <w:r>
              <w:rPr>
                <w:b/>
                <w:color w:val="auto"/>
                <w:sz w:val="20"/>
                <w:szCs w:val="20"/>
              </w:rPr>
              <w:t>(7.3)</w:t>
            </w:r>
          </w:p>
        </w:tc>
        <w:tc>
          <w:tcPr>
            <w:tcW w:w="664" w:type="pct"/>
            <w:tcBorders>
              <w:top w:val="single" w:sz="4" w:space="0" w:color="auto"/>
              <w:bottom w:val="nil"/>
            </w:tcBorders>
            <w:shd w:val="clear" w:color="auto" w:fill="auto"/>
            <w:vAlign w:val="bottom"/>
          </w:tcPr>
          <w:p w14:paraId="6A99EF69" w14:textId="77777777" w:rsidR="00AE562D" w:rsidRPr="00C615DA" w:rsidRDefault="00B63172" w:rsidP="00EB2057">
            <w:pPr>
              <w:tabs>
                <w:tab w:val="decimal" w:pos="632"/>
              </w:tabs>
              <w:rPr>
                <w:b/>
                <w:color w:val="auto"/>
                <w:sz w:val="20"/>
                <w:szCs w:val="20"/>
              </w:rPr>
            </w:pPr>
            <w:r>
              <w:rPr>
                <w:b/>
                <w:color w:val="auto"/>
                <w:sz w:val="20"/>
                <w:szCs w:val="20"/>
              </w:rPr>
              <w:t>(35.6)</w:t>
            </w:r>
          </w:p>
        </w:tc>
        <w:tc>
          <w:tcPr>
            <w:tcW w:w="633" w:type="pct"/>
            <w:tcBorders>
              <w:top w:val="single" w:sz="4" w:space="0" w:color="auto"/>
              <w:bottom w:val="nil"/>
            </w:tcBorders>
            <w:shd w:val="clear" w:color="auto" w:fill="auto"/>
            <w:vAlign w:val="bottom"/>
          </w:tcPr>
          <w:p w14:paraId="2E8283F6" w14:textId="77777777" w:rsidR="00AE562D" w:rsidRPr="00C615DA" w:rsidRDefault="00B63172" w:rsidP="00846982">
            <w:pPr>
              <w:tabs>
                <w:tab w:val="decimal" w:pos="599"/>
              </w:tabs>
              <w:rPr>
                <w:b/>
                <w:color w:val="auto"/>
                <w:sz w:val="20"/>
                <w:szCs w:val="20"/>
              </w:rPr>
            </w:pPr>
            <w:r>
              <w:rPr>
                <w:b/>
                <w:color w:val="auto"/>
                <w:sz w:val="20"/>
                <w:szCs w:val="20"/>
              </w:rPr>
              <w:t>(103.1)</w:t>
            </w:r>
          </w:p>
        </w:tc>
      </w:tr>
      <w:tr w:rsidR="00AE562D" w:rsidRPr="00C615DA" w14:paraId="5113BA65" w14:textId="77777777" w:rsidTr="00EB2057">
        <w:trPr>
          <w:trHeight w:val="369"/>
        </w:trPr>
        <w:tc>
          <w:tcPr>
            <w:tcW w:w="2175" w:type="pct"/>
            <w:shd w:val="clear" w:color="auto" w:fill="auto"/>
            <w:vAlign w:val="bottom"/>
          </w:tcPr>
          <w:p w14:paraId="74C3EF5E" w14:textId="77777777" w:rsidR="00AE562D" w:rsidRPr="00C615DA" w:rsidRDefault="00AE562D" w:rsidP="00EB2057">
            <w:pPr>
              <w:jc w:val="left"/>
              <w:rPr>
                <w:color w:val="auto"/>
                <w:sz w:val="20"/>
                <w:szCs w:val="20"/>
                <w:u w:val="single"/>
              </w:rPr>
            </w:pPr>
            <w:r w:rsidRPr="00511271">
              <w:rPr>
                <w:color w:val="auto"/>
                <w:sz w:val="20"/>
                <w:szCs w:val="20"/>
                <w:u w:val="single"/>
              </w:rPr>
              <w:t>Reserves held to pay for expenditure commitments</w:t>
            </w:r>
          </w:p>
        </w:tc>
        <w:tc>
          <w:tcPr>
            <w:tcW w:w="598" w:type="pct"/>
            <w:shd w:val="clear" w:color="auto" w:fill="auto"/>
            <w:vAlign w:val="bottom"/>
          </w:tcPr>
          <w:p w14:paraId="1BC2F185" w14:textId="77777777" w:rsidR="00AE562D" w:rsidRPr="00C615DA" w:rsidRDefault="00AE562D" w:rsidP="00846982">
            <w:pPr>
              <w:tabs>
                <w:tab w:val="decimal" w:pos="602"/>
              </w:tabs>
              <w:jc w:val="center"/>
              <w:rPr>
                <w:color w:val="auto"/>
                <w:sz w:val="20"/>
                <w:szCs w:val="20"/>
              </w:rPr>
            </w:pPr>
          </w:p>
        </w:tc>
        <w:tc>
          <w:tcPr>
            <w:tcW w:w="930" w:type="pct"/>
            <w:vAlign w:val="bottom"/>
          </w:tcPr>
          <w:p w14:paraId="20B84546" w14:textId="77777777" w:rsidR="00AE562D" w:rsidRPr="00C615DA" w:rsidRDefault="00AE562D" w:rsidP="00EB2057">
            <w:pPr>
              <w:tabs>
                <w:tab w:val="decimal" w:pos="884"/>
              </w:tabs>
              <w:jc w:val="center"/>
              <w:rPr>
                <w:color w:val="auto"/>
                <w:sz w:val="20"/>
                <w:szCs w:val="20"/>
              </w:rPr>
            </w:pPr>
          </w:p>
        </w:tc>
        <w:tc>
          <w:tcPr>
            <w:tcW w:w="664" w:type="pct"/>
            <w:tcBorders>
              <w:top w:val="nil"/>
              <w:bottom w:val="nil"/>
            </w:tcBorders>
            <w:shd w:val="clear" w:color="auto" w:fill="auto"/>
            <w:vAlign w:val="bottom"/>
          </w:tcPr>
          <w:p w14:paraId="58464C9E" w14:textId="77777777" w:rsidR="00AE562D" w:rsidRPr="00C615DA" w:rsidRDefault="00AE562D" w:rsidP="00EB2057">
            <w:pPr>
              <w:tabs>
                <w:tab w:val="decimal" w:pos="632"/>
              </w:tabs>
              <w:rPr>
                <w:color w:val="auto"/>
                <w:sz w:val="20"/>
                <w:szCs w:val="20"/>
              </w:rPr>
            </w:pPr>
          </w:p>
        </w:tc>
        <w:tc>
          <w:tcPr>
            <w:tcW w:w="633" w:type="pct"/>
            <w:tcBorders>
              <w:top w:val="nil"/>
              <w:bottom w:val="nil"/>
            </w:tcBorders>
            <w:shd w:val="clear" w:color="auto" w:fill="auto"/>
            <w:vAlign w:val="bottom"/>
          </w:tcPr>
          <w:p w14:paraId="1BF64076" w14:textId="77777777" w:rsidR="00AE562D" w:rsidRPr="00C615DA" w:rsidRDefault="00AE562D" w:rsidP="00846982">
            <w:pPr>
              <w:tabs>
                <w:tab w:val="decimal" w:pos="599"/>
              </w:tabs>
              <w:rPr>
                <w:color w:val="auto"/>
                <w:sz w:val="20"/>
                <w:szCs w:val="20"/>
              </w:rPr>
            </w:pPr>
          </w:p>
        </w:tc>
      </w:tr>
      <w:tr w:rsidR="00AE562D" w:rsidRPr="00CD05F0" w14:paraId="5DFAF4D3" w14:textId="77777777" w:rsidTr="00EB2057">
        <w:trPr>
          <w:trHeight w:val="369"/>
        </w:trPr>
        <w:tc>
          <w:tcPr>
            <w:tcW w:w="2175" w:type="pct"/>
            <w:shd w:val="clear" w:color="auto" w:fill="auto"/>
            <w:vAlign w:val="bottom"/>
          </w:tcPr>
          <w:p w14:paraId="7CE29220" w14:textId="77777777" w:rsidR="00AE562D" w:rsidRPr="00C615DA" w:rsidRDefault="00AE562D" w:rsidP="00EB2057">
            <w:pPr>
              <w:jc w:val="left"/>
              <w:rPr>
                <w:color w:val="auto"/>
                <w:sz w:val="20"/>
                <w:szCs w:val="20"/>
              </w:rPr>
            </w:pPr>
            <w:r w:rsidRPr="00CD05F0">
              <w:rPr>
                <w:color w:val="auto"/>
                <w:sz w:val="20"/>
                <w:szCs w:val="20"/>
              </w:rPr>
              <w:t>Equal Pay Review Reserve</w:t>
            </w:r>
          </w:p>
        </w:tc>
        <w:tc>
          <w:tcPr>
            <w:tcW w:w="598" w:type="pct"/>
            <w:shd w:val="clear" w:color="auto" w:fill="auto"/>
            <w:vAlign w:val="bottom"/>
          </w:tcPr>
          <w:p w14:paraId="1B0CC2DF" w14:textId="77777777" w:rsidR="00AE562D" w:rsidRPr="00C615DA" w:rsidRDefault="00846982" w:rsidP="00846982">
            <w:pPr>
              <w:tabs>
                <w:tab w:val="decimal" w:pos="602"/>
              </w:tabs>
              <w:rPr>
                <w:color w:val="auto"/>
                <w:sz w:val="20"/>
                <w:szCs w:val="20"/>
              </w:rPr>
            </w:pPr>
            <w:r>
              <w:rPr>
                <w:color w:val="auto"/>
                <w:sz w:val="20"/>
                <w:szCs w:val="20"/>
              </w:rPr>
              <w:t>(4.5)</w:t>
            </w:r>
          </w:p>
        </w:tc>
        <w:tc>
          <w:tcPr>
            <w:tcW w:w="930" w:type="pct"/>
            <w:vAlign w:val="bottom"/>
          </w:tcPr>
          <w:p w14:paraId="539CB88E" w14:textId="77777777" w:rsidR="00AE562D" w:rsidRPr="00CD05F0" w:rsidRDefault="00846982" w:rsidP="00EB2057">
            <w:pPr>
              <w:tabs>
                <w:tab w:val="decimal" w:pos="884"/>
              </w:tabs>
              <w:rPr>
                <w:color w:val="auto"/>
                <w:sz w:val="20"/>
                <w:szCs w:val="20"/>
              </w:rPr>
            </w:pPr>
            <w:r>
              <w:rPr>
                <w:color w:val="auto"/>
                <w:sz w:val="20"/>
                <w:szCs w:val="20"/>
              </w:rPr>
              <w:t>2.9</w:t>
            </w:r>
          </w:p>
        </w:tc>
        <w:tc>
          <w:tcPr>
            <w:tcW w:w="664" w:type="pct"/>
            <w:tcBorders>
              <w:top w:val="nil"/>
              <w:bottom w:val="nil"/>
            </w:tcBorders>
            <w:shd w:val="clear" w:color="auto" w:fill="auto"/>
            <w:vAlign w:val="bottom"/>
          </w:tcPr>
          <w:p w14:paraId="3E610DBB" w14:textId="77777777" w:rsidR="00AE562D" w:rsidRPr="00C615DA" w:rsidRDefault="00846982" w:rsidP="00EB2057">
            <w:pPr>
              <w:tabs>
                <w:tab w:val="decimal" w:pos="632"/>
              </w:tabs>
              <w:rPr>
                <w:color w:val="auto"/>
                <w:sz w:val="20"/>
                <w:szCs w:val="20"/>
              </w:rPr>
            </w:pPr>
            <w:r>
              <w:rPr>
                <w:color w:val="auto"/>
                <w:sz w:val="20"/>
                <w:szCs w:val="20"/>
              </w:rPr>
              <w:t>1.2</w:t>
            </w:r>
          </w:p>
        </w:tc>
        <w:tc>
          <w:tcPr>
            <w:tcW w:w="633" w:type="pct"/>
            <w:tcBorders>
              <w:top w:val="nil"/>
              <w:bottom w:val="nil"/>
            </w:tcBorders>
            <w:shd w:val="clear" w:color="auto" w:fill="auto"/>
            <w:vAlign w:val="bottom"/>
          </w:tcPr>
          <w:p w14:paraId="2C589939" w14:textId="77777777" w:rsidR="00AE562D" w:rsidRPr="00C615DA" w:rsidRDefault="00846982" w:rsidP="00846982">
            <w:pPr>
              <w:tabs>
                <w:tab w:val="decimal" w:pos="599"/>
              </w:tabs>
              <w:rPr>
                <w:color w:val="auto"/>
                <w:sz w:val="20"/>
                <w:szCs w:val="20"/>
              </w:rPr>
            </w:pPr>
            <w:r>
              <w:rPr>
                <w:color w:val="auto"/>
                <w:sz w:val="20"/>
                <w:szCs w:val="20"/>
              </w:rPr>
              <w:t>(0.4)</w:t>
            </w:r>
          </w:p>
        </w:tc>
      </w:tr>
      <w:tr w:rsidR="00AE562D" w:rsidRPr="00C615DA" w14:paraId="36507D98" w14:textId="77777777" w:rsidTr="00EB2057">
        <w:trPr>
          <w:trHeight w:val="369"/>
        </w:trPr>
        <w:tc>
          <w:tcPr>
            <w:tcW w:w="2175" w:type="pct"/>
            <w:shd w:val="clear" w:color="auto" w:fill="auto"/>
            <w:vAlign w:val="bottom"/>
          </w:tcPr>
          <w:p w14:paraId="7F8F29AD" w14:textId="77777777" w:rsidR="00AE562D" w:rsidRPr="00C615DA" w:rsidRDefault="00AE562D" w:rsidP="00EB2057">
            <w:pPr>
              <w:jc w:val="left"/>
              <w:rPr>
                <w:color w:val="auto"/>
                <w:sz w:val="20"/>
                <w:szCs w:val="20"/>
              </w:rPr>
            </w:pPr>
            <w:r w:rsidRPr="00511271">
              <w:rPr>
                <w:color w:val="auto"/>
                <w:sz w:val="20"/>
                <w:szCs w:val="20"/>
              </w:rPr>
              <w:t>CC Election Reserve</w:t>
            </w:r>
          </w:p>
        </w:tc>
        <w:tc>
          <w:tcPr>
            <w:tcW w:w="598" w:type="pct"/>
            <w:shd w:val="clear" w:color="auto" w:fill="auto"/>
            <w:vAlign w:val="bottom"/>
          </w:tcPr>
          <w:p w14:paraId="323EC8AF" w14:textId="77777777" w:rsidR="00AE562D" w:rsidRPr="00C615DA" w:rsidRDefault="00846982" w:rsidP="00846982">
            <w:pPr>
              <w:tabs>
                <w:tab w:val="decimal" w:pos="602"/>
              </w:tabs>
              <w:rPr>
                <w:color w:val="auto"/>
                <w:sz w:val="20"/>
                <w:szCs w:val="20"/>
              </w:rPr>
            </w:pPr>
            <w:r>
              <w:rPr>
                <w:color w:val="auto"/>
                <w:sz w:val="20"/>
                <w:szCs w:val="20"/>
              </w:rPr>
              <w:t>(1.4)</w:t>
            </w:r>
          </w:p>
        </w:tc>
        <w:tc>
          <w:tcPr>
            <w:tcW w:w="930" w:type="pct"/>
            <w:vAlign w:val="bottom"/>
          </w:tcPr>
          <w:p w14:paraId="2DA5BEB6" w14:textId="77777777" w:rsidR="00AE562D" w:rsidRPr="00C615DA" w:rsidRDefault="00846982" w:rsidP="00EB2057">
            <w:pPr>
              <w:tabs>
                <w:tab w:val="decimal" w:pos="884"/>
              </w:tabs>
              <w:rPr>
                <w:color w:val="auto"/>
                <w:sz w:val="20"/>
                <w:szCs w:val="20"/>
              </w:rPr>
            </w:pPr>
            <w:r>
              <w:rPr>
                <w:color w:val="auto"/>
                <w:sz w:val="20"/>
                <w:szCs w:val="20"/>
              </w:rPr>
              <w:t>0.9</w:t>
            </w:r>
          </w:p>
        </w:tc>
        <w:tc>
          <w:tcPr>
            <w:tcW w:w="664" w:type="pct"/>
            <w:tcBorders>
              <w:top w:val="nil"/>
            </w:tcBorders>
            <w:shd w:val="clear" w:color="auto" w:fill="auto"/>
            <w:vAlign w:val="bottom"/>
          </w:tcPr>
          <w:p w14:paraId="4A921D7D" w14:textId="77777777" w:rsidR="00AE562D" w:rsidRPr="00C615DA" w:rsidRDefault="00AE562D" w:rsidP="00EB2057">
            <w:pPr>
              <w:tabs>
                <w:tab w:val="decimal" w:pos="632"/>
              </w:tabs>
              <w:rPr>
                <w:color w:val="auto"/>
                <w:sz w:val="20"/>
                <w:szCs w:val="20"/>
              </w:rPr>
            </w:pPr>
            <w:r>
              <w:rPr>
                <w:color w:val="auto"/>
                <w:sz w:val="20"/>
                <w:szCs w:val="20"/>
              </w:rPr>
              <w:t>-</w:t>
            </w:r>
          </w:p>
        </w:tc>
        <w:tc>
          <w:tcPr>
            <w:tcW w:w="633" w:type="pct"/>
            <w:tcBorders>
              <w:top w:val="nil"/>
            </w:tcBorders>
            <w:shd w:val="clear" w:color="auto" w:fill="auto"/>
            <w:vAlign w:val="bottom"/>
          </w:tcPr>
          <w:p w14:paraId="6282284A" w14:textId="77777777" w:rsidR="00AE562D" w:rsidRPr="00C615DA" w:rsidRDefault="00846982" w:rsidP="00846982">
            <w:pPr>
              <w:tabs>
                <w:tab w:val="decimal" w:pos="599"/>
              </w:tabs>
              <w:rPr>
                <w:color w:val="auto"/>
                <w:sz w:val="20"/>
                <w:szCs w:val="20"/>
              </w:rPr>
            </w:pPr>
            <w:r>
              <w:rPr>
                <w:color w:val="auto"/>
                <w:sz w:val="20"/>
                <w:szCs w:val="20"/>
              </w:rPr>
              <w:t>(0.5)</w:t>
            </w:r>
          </w:p>
        </w:tc>
      </w:tr>
      <w:tr w:rsidR="00AE562D" w:rsidRPr="00C615DA" w14:paraId="4026EC5A" w14:textId="77777777" w:rsidTr="00EB2057">
        <w:trPr>
          <w:trHeight w:val="369"/>
        </w:trPr>
        <w:tc>
          <w:tcPr>
            <w:tcW w:w="2175" w:type="pct"/>
            <w:shd w:val="clear" w:color="auto" w:fill="auto"/>
            <w:vAlign w:val="bottom"/>
          </w:tcPr>
          <w:p w14:paraId="48EEFA79" w14:textId="77777777" w:rsidR="00AE562D" w:rsidRPr="00C615DA" w:rsidRDefault="00AE562D" w:rsidP="00EB2057">
            <w:pPr>
              <w:jc w:val="left"/>
              <w:rPr>
                <w:color w:val="auto"/>
                <w:sz w:val="20"/>
                <w:szCs w:val="20"/>
              </w:rPr>
            </w:pPr>
            <w:r w:rsidRPr="00511271">
              <w:rPr>
                <w:color w:val="auto"/>
                <w:sz w:val="20"/>
                <w:szCs w:val="20"/>
              </w:rPr>
              <w:t>CLEO Revenue Reserve</w:t>
            </w:r>
          </w:p>
        </w:tc>
        <w:tc>
          <w:tcPr>
            <w:tcW w:w="598" w:type="pct"/>
            <w:tcBorders>
              <w:bottom w:val="nil"/>
            </w:tcBorders>
            <w:shd w:val="clear" w:color="auto" w:fill="auto"/>
            <w:vAlign w:val="bottom"/>
          </w:tcPr>
          <w:p w14:paraId="130BCE06" w14:textId="77777777" w:rsidR="00AE562D" w:rsidRPr="00C615DA" w:rsidRDefault="00846982" w:rsidP="00846982">
            <w:pPr>
              <w:tabs>
                <w:tab w:val="decimal" w:pos="602"/>
              </w:tabs>
              <w:rPr>
                <w:color w:val="auto"/>
                <w:sz w:val="20"/>
                <w:szCs w:val="20"/>
              </w:rPr>
            </w:pPr>
            <w:r>
              <w:rPr>
                <w:color w:val="auto"/>
                <w:sz w:val="20"/>
                <w:szCs w:val="20"/>
              </w:rPr>
              <w:t>(1.3)</w:t>
            </w:r>
          </w:p>
        </w:tc>
        <w:tc>
          <w:tcPr>
            <w:tcW w:w="930" w:type="pct"/>
            <w:tcBorders>
              <w:bottom w:val="nil"/>
            </w:tcBorders>
            <w:vAlign w:val="bottom"/>
          </w:tcPr>
          <w:p w14:paraId="46EB7C65" w14:textId="77777777" w:rsidR="00AE562D" w:rsidRPr="00C615DA" w:rsidRDefault="00846982" w:rsidP="00EB2057">
            <w:pPr>
              <w:tabs>
                <w:tab w:val="decimal" w:pos="884"/>
              </w:tabs>
              <w:rPr>
                <w:color w:val="auto"/>
                <w:sz w:val="20"/>
                <w:szCs w:val="20"/>
              </w:rPr>
            </w:pPr>
            <w:r>
              <w:rPr>
                <w:color w:val="auto"/>
                <w:sz w:val="20"/>
                <w:szCs w:val="20"/>
              </w:rPr>
              <w:t>1.3</w:t>
            </w:r>
          </w:p>
        </w:tc>
        <w:tc>
          <w:tcPr>
            <w:tcW w:w="664" w:type="pct"/>
            <w:tcBorders>
              <w:bottom w:val="nil"/>
            </w:tcBorders>
            <w:shd w:val="clear" w:color="auto" w:fill="auto"/>
            <w:vAlign w:val="bottom"/>
          </w:tcPr>
          <w:p w14:paraId="530FFBB8" w14:textId="77777777" w:rsidR="00AE562D" w:rsidRPr="00C615DA" w:rsidRDefault="00AE562D" w:rsidP="00EB2057">
            <w:pPr>
              <w:tabs>
                <w:tab w:val="decimal" w:pos="632"/>
              </w:tabs>
              <w:rPr>
                <w:color w:val="auto"/>
                <w:sz w:val="20"/>
                <w:szCs w:val="20"/>
              </w:rPr>
            </w:pPr>
            <w:r w:rsidRPr="00C615DA">
              <w:rPr>
                <w:color w:val="auto"/>
                <w:sz w:val="20"/>
                <w:szCs w:val="20"/>
              </w:rPr>
              <w:t>-</w:t>
            </w:r>
          </w:p>
        </w:tc>
        <w:tc>
          <w:tcPr>
            <w:tcW w:w="633" w:type="pct"/>
            <w:tcBorders>
              <w:bottom w:val="nil"/>
            </w:tcBorders>
            <w:shd w:val="clear" w:color="auto" w:fill="auto"/>
            <w:vAlign w:val="bottom"/>
          </w:tcPr>
          <w:p w14:paraId="27389132" w14:textId="77777777" w:rsidR="00AE562D" w:rsidRPr="00C615DA" w:rsidRDefault="00846982" w:rsidP="00846982">
            <w:pPr>
              <w:tabs>
                <w:tab w:val="decimal" w:pos="599"/>
              </w:tabs>
              <w:rPr>
                <w:color w:val="auto"/>
                <w:sz w:val="20"/>
                <w:szCs w:val="20"/>
              </w:rPr>
            </w:pPr>
            <w:r>
              <w:rPr>
                <w:color w:val="auto"/>
                <w:sz w:val="20"/>
                <w:szCs w:val="20"/>
              </w:rPr>
              <w:t>0.0</w:t>
            </w:r>
          </w:p>
        </w:tc>
      </w:tr>
      <w:tr w:rsidR="00AE562D" w:rsidRPr="00C615DA" w14:paraId="5B8D6DFD" w14:textId="77777777" w:rsidTr="00EB2057">
        <w:trPr>
          <w:trHeight w:val="369"/>
        </w:trPr>
        <w:tc>
          <w:tcPr>
            <w:tcW w:w="2175" w:type="pct"/>
            <w:shd w:val="clear" w:color="auto" w:fill="auto"/>
            <w:vAlign w:val="bottom"/>
          </w:tcPr>
          <w:p w14:paraId="30461396" w14:textId="77777777" w:rsidR="00AE562D" w:rsidRPr="00C615DA" w:rsidRDefault="00AE562D" w:rsidP="00EB2057">
            <w:pPr>
              <w:jc w:val="left"/>
              <w:rPr>
                <w:color w:val="auto"/>
                <w:sz w:val="20"/>
                <w:szCs w:val="20"/>
              </w:rPr>
            </w:pPr>
            <w:r w:rsidRPr="00511271">
              <w:rPr>
                <w:color w:val="auto"/>
                <w:sz w:val="20"/>
                <w:szCs w:val="20"/>
              </w:rPr>
              <w:t>Funding of Capital Projects</w:t>
            </w:r>
          </w:p>
        </w:tc>
        <w:tc>
          <w:tcPr>
            <w:tcW w:w="598" w:type="pct"/>
            <w:tcBorders>
              <w:top w:val="nil"/>
              <w:bottom w:val="single" w:sz="4" w:space="0" w:color="auto"/>
            </w:tcBorders>
            <w:shd w:val="clear" w:color="auto" w:fill="auto"/>
            <w:vAlign w:val="bottom"/>
          </w:tcPr>
          <w:p w14:paraId="0B6A21A2" w14:textId="77777777" w:rsidR="00AE562D" w:rsidRPr="00C615DA" w:rsidRDefault="00846982" w:rsidP="00846982">
            <w:pPr>
              <w:tabs>
                <w:tab w:val="decimal" w:pos="602"/>
              </w:tabs>
              <w:rPr>
                <w:color w:val="auto"/>
                <w:sz w:val="20"/>
                <w:szCs w:val="20"/>
              </w:rPr>
            </w:pPr>
            <w:r>
              <w:rPr>
                <w:color w:val="auto"/>
                <w:sz w:val="20"/>
                <w:szCs w:val="20"/>
              </w:rPr>
              <w:t>(43.7)</w:t>
            </w:r>
          </w:p>
        </w:tc>
        <w:tc>
          <w:tcPr>
            <w:tcW w:w="930" w:type="pct"/>
            <w:tcBorders>
              <w:top w:val="nil"/>
              <w:bottom w:val="single" w:sz="4" w:space="0" w:color="auto"/>
            </w:tcBorders>
            <w:vAlign w:val="bottom"/>
          </w:tcPr>
          <w:p w14:paraId="019909EA" w14:textId="77777777" w:rsidR="00AE562D" w:rsidRPr="00C615DA" w:rsidRDefault="00846982" w:rsidP="00EB2057">
            <w:pPr>
              <w:tabs>
                <w:tab w:val="decimal" w:pos="884"/>
              </w:tabs>
              <w:rPr>
                <w:color w:val="auto"/>
                <w:sz w:val="20"/>
                <w:szCs w:val="20"/>
              </w:rPr>
            </w:pPr>
            <w:r>
              <w:rPr>
                <w:color w:val="auto"/>
                <w:sz w:val="20"/>
                <w:szCs w:val="20"/>
              </w:rPr>
              <w:t>8.8</w:t>
            </w:r>
          </w:p>
        </w:tc>
        <w:tc>
          <w:tcPr>
            <w:tcW w:w="664" w:type="pct"/>
            <w:tcBorders>
              <w:top w:val="nil"/>
              <w:bottom w:val="single" w:sz="4" w:space="0" w:color="auto"/>
            </w:tcBorders>
            <w:shd w:val="clear" w:color="auto" w:fill="auto"/>
            <w:vAlign w:val="bottom"/>
          </w:tcPr>
          <w:p w14:paraId="671E031D" w14:textId="77777777" w:rsidR="00AE562D" w:rsidRPr="00C615DA" w:rsidRDefault="00846982" w:rsidP="00EB2057">
            <w:pPr>
              <w:tabs>
                <w:tab w:val="decimal" w:pos="632"/>
              </w:tabs>
              <w:rPr>
                <w:color w:val="auto"/>
                <w:sz w:val="20"/>
                <w:szCs w:val="20"/>
              </w:rPr>
            </w:pPr>
            <w:r>
              <w:rPr>
                <w:color w:val="auto"/>
                <w:sz w:val="20"/>
                <w:szCs w:val="20"/>
              </w:rPr>
              <w:t>21.7</w:t>
            </w:r>
          </w:p>
        </w:tc>
        <w:tc>
          <w:tcPr>
            <w:tcW w:w="633" w:type="pct"/>
            <w:tcBorders>
              <w:top w:val="nil"/>
              <w:bottom w:val="single" w:sz="4" w:space="0" w:color="auto"/>
            </w:tcBorders>
            <w:shd w:val="clear" w:color="auto" w:fill="auto"/>
            <w:vAlign w:val="bottom"/>
          </w:tcPr>
          <w:p w14:paraId="056A56B7" w14:textId="77777777" w:rsidR="00AE562D" w:rsidRPr="00C615DA" w:rsidRDefault="00846982" w:rsidP="00846982">
            <w:pPr>
              <w:tabs>
                <w:tab w:val="decimal" w:pos="599"/>
              </w:tabs>
              <w:rPr>
                <w:color w:val="auto"/>
                <w:sz w:val="20"/>
                <w:szCs w:val="20"/>
              </w:rPr>
            </w:pPr>
            <w:r>
              <w:rPr>
                <w:color w:val="auto"/>
                <w:sz w:val="20"/>
                <w:szCs w:val="20"/>
              </w:rPr>
              <w:t>(13.2)</w:t>
            </w:r>
          </w:p>
        </w:tc>
      </w:tr>
      <w:tr w:rsidR="00AE562D" w:rsidRPr="00CD05F0" w14:paraId="6899E639" w14:textId="77777777" w:rsidTr="00EB2057">
        <w:trPr>
          <w:trHeight w:val="369"/>
        </w:trPr>
        <w:tc>
          <w:tcPr>
            <w:tcW w:w="2175" w:type="pct"/>
            <w:shd w:val="clear" w:color="auto" w:fill="auto"/>
            <w:vAlign w:val="bottom"/>
          </w:tcPr>
          <w:p w14:paraId="5BC17600" w14:textId="77777777" w:rsidR="00AE562D" w:rsidRPr="00C615DA" w:rsidRDefault="00AE562D" w:rsidP="00EB2057">
            <w:pPr>
              <w:jc w:val="left"/>
              <w:rPr>
                <w:b/>
                <w:color w:val="auto"/>
                <w:sz w:val="20"/>
                <w:szCs w:val="20"/>
              </w:rPr>
            </w:pPr>
          </w:p>
        </w:tc>
        <w:tc>
          <w:tcPr>
            <w:tcW w:w="598" w:type="pct"/>
            <w:tcBorders>
              <w:top w:val="single" w:sz="4" w:space="0" w:color="auto"/>
            </w:tcBorders>
            <w:shd w:val="clear" w:color="auto" w:fill="auto"/>
            <w:vAlign w:val="bottom"/>
          </w:tcPr>
          <w:p w14:paraId="27D8B7D7" w14:textId="77777777" w:rsidR="00AE562D" w:rsidRPr="00C615DA" w:rsidRDefault="00846982" w:rsidP="00846982">
            <w:pPr>
              <w:tabs>
                <w:tab w:val="decimal" w:pos="602"/>
              </w:tabs>
              <w:rPr>
                <w:b/>
                <w:color w:val="auto"/>
                <w:sz w:val="20"/>
                <w:szCs w:val="20"/>
              </w:rPr>
            </w:pPr>
            <w:r>
              <w:rPr>
                <w:b/>
                <w:color w:val="auto"/>
                <w:sz w:val="20"/>
                <w:szCs w:val="20"/>
              </w:rPr>
              <w:t>(50.9)</w:t>
            </w:r>
          </w:p>
        </w:tc>
        <w:tc>
          <w:tcPr>
            <w:tcW w:w="930" w:type="pct"/>
            <w:tcBorders>
              <w:top w:val="single" w:sz="4" w:space="0" w:color="auto"/>
            </w:tcBorders>
            <w:vAlign w:val="bottom"/>
          </w:tcPr>
          <w:p w14:paraId="401184C7" w14:textId="77777777" w:rsidR="00AE562D" w:rsidRPr="00CD05F0" w:rsidRDefault="00846982" w:rsidP="00EB2057">
            <w:pPr>
              <w:tabs>
                <w:tab w:val="decimal" w:pos="884"/>
              </w:tabs>
              <w:rPr>
                <w:b/>
                <w:color w:val="auto"/>
                <w:sz w:val="20"/>
                <w:szCs w:val="20"/>
              </w:rPr>
            </w:pPr>
            <w:r>
              <w:rPr>
                <w:b/>
                <w:color w:val="auto"/>
                <w:sz w:val="20"/>
                <w:szCs w:val="20"/>
              </w:rPr>
              <w:t>13.9</w:t>
            </w:r>
          </w:p>
        </w:tc>
        <w:tc>
          <w:tcPr>
            <w:tcW w:w="664" w:type="pct"/>
            <w:tcBorders>
              <w:top w:val="single" w:sz="4" w:space="0" w:color="auto"/>
            </w:tcBorders>
            <w:shd w:val="clear" w:color="auto" w:fill="auto"/>
            <w:vAlign w:val="bottom"/>
          </w:tcPr>
          <w:p w14:paraId="7B1F9FAE" w14:textId="77777777" w:rsidR="00AE562D" w:rsidRPr="00C615DA" w:rsidRDefault="00846982" w:rsidP="00EB2057">
            <w:pPr>
              <w:tabs>
                <w:tab w:val="decimal" w:pos="632"/>
              </w:tabs>
              <w:rPr>
                <w:b/>
                <w:color w:val="auto"/>
                <w:sz w:val="20"/>
                <w:szCs w:val="20"/>
              </w:rPr>
            </w:pPr>
            <w:r>
              <w:rPr>
                <w:b/>
                <w:color w:val="auto"/>
                <w:sz w:val="20"/>
                <w:szCs w:val="20"/>
              </w:rPr>
              <w:t>22.9</w:t>
            </w:r>
          </w:p>
        </w:tc>
        <w:tc>
          <w:tcPr>
            <w:tcW w:w="633" w:type="pct"/>
            <w:tcBorders>
              <w:top w:val="single" w:sz="4" w:space="0" w:color="auto"/>
            </w:tcBorders>
            <w:shd w:val="clear" w:color="auto" w:fill="auto"/>
            <w:vAlign w:val="bottom"/>
          </w:tcPr>
          <w:p w14:paraId="073DCACE" w14:textId="77777777" w:rsidR="00AE562D" w:rsidRPr="00C615DA" w:rsidRDefault="00846982" w:rsidP="00846982">
            <w:pPr>
              <w:tabs>
                <w:tab w:val="decimal" w:pos="599"/>
              </w:tabs>
              <w:rPr>
                <w:b/>
                <w:color w:val="auto"/>
                <w:sz w:val="20"/>
                <w:szCs w:val="20"/>
              </w:rPr>
            </w:pPr>
            <w:r>
              <w:rPr>
                <w:b/>
                <w:color w:val="auto"/>
                <w:sz w:val="20"/>
                <w:szCs w:val="20"/>
              </w:rPr>
              <w:t>(14.1)</w:t>
            </w:r>
          </w:p>
        </w:tc>
      </w:tr>
      <w:tr w:rsidR="00AE562D" w:rsidRPr="00C615DA" w14:paraId="3542811D" w14:textId="77777777" w:rsidTr="00EB2057">
        <w:trPr>
          <w:trHeight w:val="369"/>
        </w:trPr>
        <w:tc>
          <w:tcPr>
            <w:tcW w:w="2175" w:type="pct"/>
            <w:shd w:val="clear" w:color="auto" w:fill="auto"/>
            <w:vAlign w:val="bottom"/>
          </w:tcPr>
          <w:p w14:paraId="73220B0B" w14:textId="77777777" w:rsidR="00AE562D" w:rsidRPr="00C615DA" w:rsidRDefault="00AE562D" w:rsidP="00EB2057">
            <w:pPr>
              <w:jc w:val="left"/>
              <w:rPr>
                <w:color w:val="auto"/>
                <w:sz w:val="20"/>
                <w:szCs w:val="20"/>
                <w:u w:val="single"/>
              </w:rPr>
            </w:pPr>
            <w:r w:rsidRPr="00511271">
              <w:rPr>
                <w:color w:val="auto"/>
                <w:sz w:val="20"/>
                <w:szCs w:val="20"/>
                <w:u w:val="single"/>
              </w:rPr>
              <w:t>School reserves</w:t>
            </w:r>
          </w:p>
        </w:tc>
        <w:tc>
          <w:tcPr>
            <w:tcW w:w="598" w:type="pct"/>
            <w:shd w:val="clear" w:color="auto" w:fill="auto"/>
            <w:vAlign w:val="bottom"/>
          </w:tcPr>
          <w:p w14:paraId="7C0EAC3D" w14:textId="77777777" w:rsidR="00AE562D" w:rsidRPr="00C615DA" w:rsidRDefault="00AE562D" w:rsidP="00846982">
            <w:pPr>
              <w:tabs>
                <w:tab w:val="decimal" w:pos="602"/>
              </w:tabs>
              <w:jc w:val="center"/>
              <w:rPr>
                <w:color w:val="auto"/>
                <w:sz w:val="20"/>
                <w:szCs w:val="20"/>
              </w:rPr>
            </w:pPr>
          </w:p>
        </w:tc>
        <w:tc>
          <w:tcPr>
            <w:tcW w:w="930" w:type="pct"/>
            <w:vAlign w:val="bottom"/>
          </w:tcPr>
          <w:p w14:paraId="59F29B1E" w14:textId="77777777" w:rsidR="00AE562D" w:rsidRPr="00C615DA" w:rsidRDefault="00AE562D" w:rsidP="00EB2057">
            <w:pPr>
              <w:tabs>
                <w:tab w:val="decimal" w:pos="884"/>
              </w:tabs>
              <w:jc w:val="center"/>
              <w:rPr>
                <w:color w:val="auto"/>
                <w:sz w:val="20"/>
                <w:szCs w:val="20"/>
              </w:rPr>
            </w:pPr>
          </w:p>
        </w:tc>
        <w:tc>
          <w:tcPr>
            <w:tcW w:w="664" w:type="pct"/>
            <w:tcBorders>
              <w:bottom w:val="nil"/>
            </w:tcBorders>
            <w:shd w:val="clear" w:color="auto" w:fill="auto"/>
            <w:vAlign w:val="bottom"/>
          </w:tcPr>
          <w:p w14:paraId="4B35AA96" w14:textId="77777777" w:rsidR="00AE562D" w:rsidRPr="00C615DA" w:rsidRDefault="00AE562D" w:rsidP="00EB2057">
            <w:pPr>
              <w:tabs>
                <w:tab w:val="decimal" w:pos="632"/>
              </w:tabs>
              <w:rPr>
                <w:color w:val="auto"/>
                <w:sz w:val="20"/>
                <w:szCs w:val="20"/>
              </w:rPr>
            </w:pPr>
          </w:p>
        </w:tc>
        <w:tc>
          <w:tcPr>
            <w:tcW w:w="633" w:type="pct"/>
            <w:tcBorders>
              <w:bottom w:val="nil"/>
            </w:tcBorders>
            <w:shd w:val="clear" w:color="auto" w:fill="auto"/>
            <w:vAlign w:val="bottom"/>
          </w:tcPr>
          <w:p w14:paraId="64DE0A6A" w14:textId="77777777" w:rsidR="00AE562D" w:rsidRPr="00C615DA" w:rsidRDefault="00AE562D" w:rsidP="00846982">
            <w:pPr>
              <w:tabs>
                <w:tab w:val="decimal" w:pos="599"/>
              </w:tabs>
              <w:rPr>
                <w:color w:val="auto"/>
                <w:sz w:val="20"/>
                <w:szCs w:val="20"/>
              </w:rPr>
            </w:pPr>
          </w:p>
        </w:tc>
      </w:tr>
      <w:tr w:rsidR="00AE562D" w:rsidRPr="00C615DA" w14:paraId="51CFD69B" w14:textId="77777777" w:rsidTr="00EB2057">
        <w:trPr>
          <w:trHeight w:val="369"/>
        </w:trPr>
        <w:tc>
          <w:tcPr>
            <w:tcW w:w="2175" w:type="pct"/>
            <w:shd w:val="clear" w:color="auto" w:fill="auto"/>
            <w:vAlign w:val="bottom"/>
          </w:tcPr>
          <w:p w14:paraId="536011FF" w14:textId="77777777" w:rsidR="00AE562D" w:rsidRPr="00C615DA" w:rsidRDefault="00AE562D" w:rsidP="00EB2057">
            <w:pPr>
              <w:jc w:val="left"/>
              <w:rPr>
                <w:color w:val="auto"/>
                <w:sz w:val="20"/>
                <w:szCs w:val="20"/>
              </w:rPr>
            </w:pPr>
            <w:r w:rsidRPr="00511271">
              <w:rPr>
                <w:color w:val="auto"/>
                <w:sz w:val="20"/>
                <w:szCs w:val="20"/>
              </w:rPr>
              <w:t>Individual School Reserves</w:t>
            </w:r>
          </w:p>
        </w:tc>
        <w:tc>
          <w:tcPr>
            <w:tcW w:w="598" w:type="pct"/>
            <w:shd w:val="clear" w:color="auto" w:fill="auto"/>
            <w:vAlign w:val="bottom"/>
          </w:tcPr>
          <w:p w14:paraId="279F4306" w14:textId="77777777" w:rsidR="00AE562D" w:rsidRPr="00C615DA" w:rsidRDefault="00846982" w:rsidP="00846982">
            <w:pPr>
              <w:tabs>
                <w:tab w:val="decimal" w:pos="602"/>
              </w:tabs>
              <w:rPr>
                <w:color w:val="auto"/>
                <w:sz w:val="20"/>
                <w:szCs w:val="20"/>
              </w:rPr>
            </w:pPr>
            <w:r>
              <w:rPr>
                <w:color w:val="auto"/>
                <w:sz w:val="20"/>
                <w:szCs w:val="20"/>
              </w:rPr>
              <w:t>(51.5)</w:t>
            </w:r>
          </w:p>
        </w:tc>
        <w:tc>
          <w:tcPr>
            <w:tcW w:w="930" w:type="pct"/>
            <w:vAlign w:val="bottom"/>
          </w:tcPr>
          <w:p w14:paraId="23DAF96D" w14:textId="77777777" w:rsidR="00AE562D" w:rsidRPr="00C615DA" w:rsidRDefault="00846982" w:rsidP="00EB2057">
            <w:pPr>
              <w:tabs>
                <w:tab w:val="decimal" w:pos="884"/>
              </w:tabs>
              <w:rPr>
                <w:color w:val="auto"/>
                <w:sz w:val="20"/>
                <w:szCs w:val="20"/>
              </w:rPr>
            </w:pPr>
            <w:r>
              <w:rPr>
                <w:color w:val="auto"/>
                <w:sz w:val="20"/>
                <w:szCs w:val="20"/>
              </w:rPr>
              <w:t>(4.5)</w:t>
            </w:r>
          </w:p>
        </w:tc>
        <w:tc>
          <w:tcPr>
            <w:tcW w:w="664" w:type="pct"/>
            <w:tcBorders>
              <w:top w:val="nil"/>
              <w:bottom w:val="nil"/>
            </w:tcBorders>
            <w:shd w:val="clear" w:color="auto" w:fill="auto"/>
            <w:vAlign w:val="bottom"/>
          </w:tcPr>
          <w:p w14:paraId="229F7F93" w14:textId="77777777" w:rsidR="00AE562D" w:rsidRPr="00C615DA" w:rsidRDefault="00846982" w:rsidP="00EB2057">
            <w:pPr>
              <w:tabs>
                <w:tab w:val="decimal" w:pos="632"/>
              </w:tabs>
              <w:rPr>
                <w:color w:val="auto"/>
                <w:sz w:val="20"/>
                <w:szCs w:val="20"/>
              </w:rPr>
            </w:pPr>
            <w:r>
              <w:rPr>
                <w:color w:val="auto"/>
                <w:sz w:val="20"/>
                <w:szCs w:val="20"/>
              </w:rPr>
              <w:t>0.1</w:t>
            </w:r>
          </w:p>
        </w:tc>
        <w:tc>
          <w:tcPr>
            <w:tcW w:w="633" w:type="pct"/>
            <w:tcBorders>
              <w:top w:val="nil"/>
              <w:bottom w:val="nil"/>
            </w:tcBorders>
            <w:shd w:val="clear" w:color="auto" w:fill="auto"/>
            <w:vAlign w:val="bottom"/>
          </w:tcPr>
          <w:p w14:paraId="5BEDEDFC" w14:textId="77777777" w:rsidR="00AE562D" w:rsidRPr="00C615DA" w:rsidRDefault="00846982" w:rsidP="00846982">
            <w:pPr>
              <w:tabs>
                <w:tab w:val="decimal" w:pos="599"/>
              </w:tabs>
              <w:rPr>
                <w:color w:val="auto"/>
                <w:sz w:val="20"/>
                <w:szCs w:val="20"/>
              </w:rPr>
            </w:pPr>
            <w:r>
              <w:rPr>
                <w:color w:val="auto"/>
                <w:sz w:val="20"/>
                <w:szCs w:val="20"/>
              </w:rPr>
              <w:t>(55.9)</w:t>
            </w:r>
          </w:p>
        </w:tc>
      </w:tr>
      <w:tr w:rsidR="00AE562D" w:rsidRPr="00CD05F0" w14:paraId="4F960A54" w14:textId="77777777" w:rsidTr="00EB2057">
        <w:trPr>
          <w:trHeight w:val="369"/>
        </w:trPr>
        <w:tc>
          <w:tcPr>
            <w:tcW w:w="2175" w:type="pct"/>
            <w:shd w:val="clear" w:color="auto" w:fill="auto"/>
            <w:vAlign w:val="bottom"/>
          </w:tcPr>
          <w:p w14:paraId="2D68CE07" w14:textId="77777777" w:rsidR="00AE562D" w:rsidRPr="00C615DA" w:rsidRDefault="00AE562D" w:rsidP="00EB2057">
            <w:pPr>
              <w:jc w:val="left"/>
              <w:rPr>
                <w:color w:val="auto"/>
                <w:sz w:val="20"/>
                <w:szCs w:val="20"/>
              </w:rPr>
            </w:pPr>
            <w:r w:rsidRPr="00CD05F0">
              <w:rPr>
                <w:color w:val="auto"/>
                <w:sz w:val="20"/>
                <w:szCs w:val="20"/>
              </w:rPr>
              <w:t>Other School Reserves</w:t>
            </w:r>
          </w:p>
        </w:tc>
        <w:tc>
          <w:tcPr>
            <w:tcW w:w="598" w:type="pct"/>
            <w:tcBorders>
              <w:bottom w:val="nil"/>
            </w:tcBorders>
            <w:shd w:val="clear" w:color="auto" w:fill="auto"/>
            <w:vAlign w:val="bottom"/>
          </w:tcPr>
          <w:p w14:paraId="28B4B497" w14:textId="77777777" w:rsidR="00AE562D" w:rsidRPr="00C615DA" w:rsidRDefault="00846982" w:rsidP="00846982">
            <w:pPr>
              <w:tabs>
                <w:tab w:val="decimal" w:pos="602"/>
              </w:tabs>
              <w:rPr>
                <w:color w:val="auto"/>
                <w:sz w:val="20"/>
                <w:szCs w:val="20"/>
              </w:rPr>
            </w:pPr>
            <w:r>
              <w:rPr>
                <w:color w:val="auto"/>
                <w:sz w:val="20"/>
                <w:szCs w:val="20"/>
              </w:rPr>
              <w:t>(29.0)</w:t>
            </w:r>
          </w:p>
        </w:tc>
        <w:tc>
          <w:tcPr>
            <w:tcW w:w="930" w:type="pct"/>
            <w:tcBorders>
              <w:bottom w:val="nil"/>
            </w:tcBorders>
            <w:vAlign w:val="bottom"/>
          </w:tcPr>
          <w:p w14:paraId="3780DAB9" w14:textId="77777777" w:rsidR="00AE562D" w:rsidRPr="00CD05F0" w:rsidRDefault="00846982" w:rsidP="00EB2057">
            <w:pPr>
              <w:tabs>
                <w:tab w:val="decimal" w:pos="884"/>
              </w:tabs>
              <w:rPr>
                <w:color w:val="auto"/>
                <w:sz w:val="20"/>
                <w:szCs w:val="20"/>
              </w:rPr>
            </w:pPr>
            <w:r>
              <w:rPr>
                <w:color w:val="auto"/>
                <w:sz w:val="20"/>
                <w:szCs w:val="20"/>
              </w:rPr>
              <w:t>(7.4)</w:t>
            </w:r>
          </w:p>
        </w:tc>
        <w:tc>
          <w:tcPr>
            <w:tcW w:w="664" w:type="pct"/>
            <w:tcBorders>
              <w:top w:val="nil"/>
              <w:bottom w:val="nil"/>
            </w:tcBorders>
            <w:shd w:val="clear" w:color="auto" w:fill="auto"/>
            <w:vAlign w:val="bottom"/>
          </w:tcPr>
          <w:p w14:paraId="6553CB30" w14:textId="77777777" w:rsidR="00AE562D" w:rsidRPr="00C615DA" w:rsidRDefault="00846982" w:rsidP="00EB2057">
            <w:pPr>
              <w:tabs>
                <w:tab w:val="decimal" w:pos="632"/>
              </w:tabs>
              <w:rPr>
                <w:color w:val="auto"/>
                <w:sz w:val="20"/>
                <w:szCs w:val="20"/>
              </w:rPr>
            </w:pPr>
            <w:r>
              <w:rPr>
                <w:color w:val="auto"/>
                <w:sz w:val="20"/>
                <w:szCs w:val="20"/>
              </w:rPr>
              <w:t>5.2</w:t>
            </w:r>
          </w:p>
        </w:tc>
        <w:tc>
          <w:tcPr>
            <w:tcW w:w="633" w:type="pct"/>
            <w:tcBorders>
              <w:top w:val="nil"/>
              <w:bottom w:val="nil"/>
            </w:tcBorders>
            <w:shd w:val="clear" w:color="auto" w:fill="auto"/>
            <w:vAlign w:val="bottom"/>
          </w:tcPr>
          <w:p w14:paraId="5AA6E46D" w14:textId="77777777" w:rsidR="00AE562D" w:rsidRPr="00C615DA" w:rsidRDefault="00846982" w:rsidP="00846982">
            <w:pPr>
              <w:tabs>
                <w:tab w:val="decimal" w:pos="599"/>
              </w:tabs>
              <w:rPr>
                <w:color w:val="auto"/>
                <w:sz w:val="20"/>
                <w:szCs w:val="20"/>
              </w:rPr>
            </w:pPr>
            <w:r>
              <w:rPr>
                <w:color w:val="auto"/>
                <w:sz w:val="20"/>
                <w:szCs w:val="20"/>
              </w:rPr>
              <w:t>(31.2)</w:t>
            </w:r>
          </w:p>
        </w:tc>
      </w:tr>
      <w:tr w:rsidR="00AE562D" w:rsidRPr="00C615DA" w14:paraId="18E96C8C" w14:textId="77777777" w:rsidTr="00EB2057">
        <w:trPr>
          <w:trHeight w:val="369"/>
        </w:trPr>
        <w:tc>
          <w:tcPr>
            <w:tcW w:w="2175" w:type="pct"/>
            <w:shd w:val="clear" w:color="auto" w:fill="auto"/>
            <w:vAlign w:val="bottom"/>
          </w:tcPr>
          <w:p w14:paraId="4A172576" w14:textId="77777777" w:rsidR="00AE562D" w:rsidRPr="00C615DA" w:rsidRDefault="00AE562D" w:rsidP="00EB2057">
            <w:pPr>
              <w:jc w:val="left"/>
              <w:rPr>
                <w:color w:val="auto"/>
                <w:sz w:val="20"/>
                <w:szCs w:val="20"/>
              </w:rPr>
            </w:pPr>
            <w:r w:rsidRPr="00511271">
              <w:rPr>
                <w:color w:val="auto"/>
                <w:sz w:val="20"/>
                <w:szCs w:val="20"/>
              </w:rPr>
              <w:t>Centrally Managed Schools Maintenance Reserve</w:t>
            </w:r>
          </w:p>
        </w:tc>
        <w:tc>
          <w:tcPr>
            <w:tcW w:w="598" w:type="pct"/>
            <w:tcBorders>
              <w:top w:val="nil"/>
              <w:bottom w:val="single" w:sz="4" w:space="0" w:color="auto"/>
            </w:tcBorders>
            <w:shd w:val="clear" w:color="auto" w:fill="auto"/>
            <w:vAlign w:val="bottom"/>
          </w:tcPr>
          <w:p w14:paraId="7504FDC0" w14:textId="77777777" w:rsidR="00AE562D" w:rsidRPr="00C615DA" w:rsidRDefault="00846982" w:rsidP="00846982">
            <w:pPr>
              <w:tabs>
                <w:tab w:val="decimal" w:pos="602"/>
              </w:tabs>
              <w:rPr>
                <w:color w:val="auto"/>
                <w:sz w:val="20"/>
                <w:szCs w:val="20"/>
              </w:rPr>
            </w:pPr>
            <w:r>
              <w:rPr>
                <w:color w:val="auto"/>
                <w:sz w:val="20"/>
                <w:szCs w:val="20"/>
              </w:rPr>
              <w:t>(3.5)</w:t>
            </w:r>
          </w:p>
        </w:tc>
        <w:tc>
          <w:tcPr>
            <w:tcW w:w="930" w:type="pct"/>
            <w:tcBorders>
              <w:top w:val="nil"/>
              <w:bottom w:val="single" w:sz="4" w:space="0" w:color="auto"/>
            </w:tcBorders>
            <w:vAlign w:val="bottom"/>
          </w:tcPr>
          <w:p w14:paraId="5B879F71" w14:textId="77777777" w:rsidR="00AE562D" w:rsidRPr="00C615DA" w:rsidRDefault="00846982" w:rsidP="00EB2057">
            <w:pPr>
              <w:tabs>
                <w:tab w:val="decimal" w:pos="884"/>
              </w:tabs>
              <w:rPr>
                <w:color w:val="auto"/>
                <w:sz w:val="20"/>
                <w:szCs w:val="20"/>
              </w:rPr>
            </w:pPr>
            <w:r>
              <w:rPr>
                <w:color w:val="auto"/>
                <w:sz w:val="20"/>
                <w:szCs w:val="20"/>
              </w:rPr>
              <w:t>(0.7)</w:t>
            </w:r>
          </w:p>
        </w:tc>
        <w:tc>
          <w:tcPr>
            <w:tcW w:w="664" w:type="pct"/>
            <w:tcBorders>
              <w:top w:val="nil"/>
              <w:bottom w:val="single" w:sz="4" w:space="0" w:color="auto"/>
            </w:tcBorders>
            <w:shd w:val="clear" w:color="auto" w:fill="auto"/>
            <w:vAlign w:val="bottom"/>
          </w:tcPr>
          <w:p w14:paraId="7CFC9314" w14:textId="77777777" w:rsidR="00AE562D" w:rsidRPr="00C615DA" w:rsidRDefault="00AE562D" w:rsidP="00EB2057">
            <w:pPr>
              <w:tabs>
                <w:tab w:val="decimal" w:pos="632"/>
              </w:tabs>
              <w:rPr>
                <w:color w:val="auto"/>
                <w:sz w:val="20"/>
                <w:szCs w:val="20"/>
              </w:rPr>
            </w:pPr>
            <w:r>
              <w:rPr>
                <w:color w:val="auto"/>
                <w:sz w:val="20"/>
                <w:szCs w:val="20"/>
              </w:rPr>
              <w:t>-</w:t>
            </w:r>
          </w:p>
        </w:tc>
        <w:tc>
          <w:tcPr>
            <w:tcW w:w="633" w:type="pct"/>
            <w:tcBorders>
              <w:top w:val="nil"/>
              <w:bottom w:val="single" w:sz="4" w:space="0" w:color="auto"/>
            </w:tcBorders>
            <w:shd w:val="clear" w:color="auto" w:fill="auto"/>
            <w:vAlign w:val="bottom"/>
          </w:tcPr>
          <w:p w14:paraId="00A36F17" w14:textId="77777777" w:rsidR="00AE562D" w:rsidRPr="00C615DA" w:rsidRDefault="00846982" w:rsidP="00846982">
            <w:pPr>
              <w:tabs>
                <w:tab w:val="decimal" w:pos="599"/>
              </w:tabs>
              <w:rPr>
                <w:color w:val="auto"/>
                <w:sz w:val="20"/>
                <w:szCs w:val="20"/>
              </w:rPr>
            </w:pPr>
            <w:r>
              <w:rPr>
                <w:color w:val="auto"/>
                <w:sz w:val="20"/>
                <w:szCs w:val="20"/>
              </w:rPr>
              <w:t>(4.2)</w:t>
            </w:r>
          </w:p>
        </w:tc>
      </w:tr>
      <w:tr w:rsidR="00AE562D" w:rsidRPr="00CD05F0" w14:paraId="314216F5" w14:textId="77777777" w:rsidTr="00EB2057">
        <w:trPr>
          <w:trHeight w:val="369"/>
        </w:trPr>
        <w:tc>
          <w:tcPr>
            <w:tcW w:w="2175" w:type="pct"/>
            <w:shd w:val="clear" w:color="auto" w:fill="auto"/>
            <w:vAlign w:val="bottom"/>
          </w:tcPr>
          <w:p w14:paraId="4DF5EA43" w14:textId="77777777" w:rsidR="00AE562D" w:rsidRPr="00C615DA" w:rsidRDefault="00AE562D" w:rsidP="00EB2057">
            <w:pPr>
              <w:jc w:val="left"/>
              <w:rPr>
                <w:b/>
                <w:color w:val="auto"/>
                <w:sz w:val="20"/>
                <w:szCs w:val="20"/>
              </w:rPr>
            </w:pPr>
          </w:p>
        </w:tc>
        <w:tc>
          <w:tcPr>
            <w:tcW w:w="598" w:type="pct"/>
            <w:tcBorders>
              <w:top w:val="single" w:sz="4" w:space="0" w:color="auto"/>
            </w:tcBorders>
            <w:shd w:val="clear" w:color="auto" w:fill="auto"/>
            <w:vAlign w:val="bottom"/>
          </w:tcPr>
          <w:p w14:paraId="6E28E28B" w14:textId="77777777" w:rsidR="00AE562D" w:rsidRPr="00C615DA" w:rsidRDefault="00846982" w:rsidP="00846982">
            <w:pPr>
              <w:tabs>
                <w:tab w:val="decimal" w:pos="602"/>
              </w:tabs>
              <w:rPr>
                <w:b/>
                <w:color w:val="auto"/>
                <w:sz w:val="20"/>
                <w:szCs w:val="20"/>
              </w:rPr>
            </w:pPr>
            <w:r>
              <w:rPr>
                <w:b/>
                <w:color w:val="auto"/>
                <w:sz w:val="20"/>
                <w:szCs w:val="20"/>
              </w:rPr>
              <w:t>(84.0)</w:t>
            </w:r>
          </w:p>
        </w:tc>
        <w:tc>
          <w:tcPr>
            <w:tcW w:w="930" w:type="pct"/>
            <w:tcBorders>
              <w:top w:val="single" w:sz="4" w:space="0" w:color="auto"/>
            </w:tcBorders>
            <w:vAlign w:val="bottom"/>
          </w:tcPr>
          <w:p w14:paraId="3187DAB2" w14:textId="77777777" w:rsidR="00AE562D" w:rsidRPr="00CD05F0" w:rsidRDefault="00846982" w:rsidP="00EB2057">
            <w:pPr>
              <w:tabs>
                <w:tab w:val="decimal" w:pos="884"/>
              </w:tabs>
              <w:rPr>
                <w:b/>
                <w:color w:val="auto"/>
                <w:sz w:val="20"/>
                <w:szCs w:val="20"/>
              </w:rPr>
            </w:pPr>
            <w:r>
              <w:rPr>
                <w:b/>
                <w:color w:val="auto"/>
                <w:sz w:val="20"/>
                <w:szCs w:val="20"/>
              </w:rPr>
              <w:t>(12.6)</w:t>
            </w:r>
          </w:p>
        </w:tc>
        <w:tc>
          <w:tcPr>
            <w:tcW w:w="664" w:type="pct"/>
            <w:tcBorders>
              <w:top w:val="single" w:sz="4" w:space="0" w:color="auto"/>
            </w:tcBorders>
            <w:shd w:val="clear" w:color="auto" w:fill="auto"/>
            <w:vAlign w:val="bottom"/>
          </w:tcPr>
          <w:p w14:paraId="43DD9D3B" w14:textId="77777777" w:rsidR="00AE562D" w:rsidRPr="00C615DA" w:rsidRDefault="00846982" w:rsidP="00EB2057">
            <w:pPr>
              <w:tabs>
                <w:tab w:val="decimal" w:pos="632"/>
              </w:tabs>
              <w:rPr>
                <w:b/>
                <w:color w:val="auto"/>
                <w:sz w:val="20"/>
                <w:szCs w:val="20"/>
              </w:rPr>
            </w:pPr>
            <w:r>
              <w:rPr>
                <w:b/>
                <w:color w:val="auto"/>
                <w:sz w:val="20"/>
                <w:szCs w:val="20"/>
              </w:rPr>
              <w:t>5.3</w:t>
            </w:r>
          </w:p>
        </w:tc>
        <w:tc>
          <w:tcPr>
            <w:tcW w:w="633" w:type="pct"/>
            <w:tcBorders>
              <w:top w:val="single" w:sz="4" w:space="0" w:color="auto"/>
            </w:tcBorders>
            <w:shd w:val="clear" w:color="auto" w:fill="auto"/>
            <w:vAlign w:val="bottom"/>
          </w:tcPr>
          <w:p w14:paraId="27E5AD9D" w14:textId="77777777" w:rsidR="00AE562D" w:rsidRPr="00C615DA" w:rsidRDefault="00846982" w:rsidP="00846982">
            <w:pPr>
              <w:tabs>
                <w:tab w:val="decimal" w:pos="599"/>
              </w:tabs>
              <w:rPr>
                <w:b/>
                <w:color w:val="auto"/>
                <w:sz w:val="20"/>
                <w:szCs w:val="20"/>
              </w:rPr>
            </w:pPr>
            <w:r>
              <w:rPr>
                <w:b/>
                <w:color w:val="auto"/>
                <w:sz w:val="20"/>
                <w:szCs w:val="20"/>
              </w:rPr>
              <w:t>(91.3)</w:t>
            </w:r>
          </w:p>
        </w:tc>
      </w:tr>
      <w:tr w:rsidR="00AE562D" w:rsidRPr="00C615DA" w14:paraId="4FEAE725" w14:textId="77777777" w:rsidTr="009C1D66">
        <w:trPr>
          <w:trHeight w:val="369"/>
        </w:trPr>
        <w:tc>
          <w:tcPr>
            <w:tcW w:w="2175" w:type="pct"/>
            <w:shd w:val="clear" w:color="auto" w:fill="auto"/>
            <w:vAlign w:val="bottom"/>
          </w:tcPr>
          <w:p w14:paraId="4F779450" w14:textId="77777777" w:rsidR="00AE562D" w:rsidRPr="00C615DA" w:rsidRDefault="00AE562D" w:rsidP="00EB2057">
            <w:pPr>
              <w:jc w:val="left"/>
              <w:rPr>
                <w:color w:val="auto"/>
                <w:sz w:val="20"/>
                <w:szCs w:val="20"/>
                <w:u w:val="single"/>
              </w:rPr>
            </w:pPr>
            <w:r w:rsidRPr="00511271">
              <w:rPr>
                <w:color w:val="auto"/>
                <w:sz w:val="20"/>
                <w:szCs w:val="20"/>
                <w:u w:val="single"/>
              </w:rPr>
              <w:t>Reserves held to meet service priorities (directorate reserves)</w:t>
            </w:r>
          </w:p>
        </w:tc>
        <w:tc>
          <w:tcPr>
            <w:tcW w:w="598" w:type="pct"/>
            <w:tcBorders>
              <w:bottom w:val="nil"/>
            </w:tcBorders>
            <w:shd w:val="clear" w:color="auto" w:fill="auto"/>
            <w:vAlign w:val="bottom"/>
          </w:tcPr>
          <w:p w14:paraId="39819CB3" w14:textId="77777777" w:rsidR="00AE562D" w:rsidRPr="00C615DA" w:rsidRDefault="00AE562D" w:rsidP="00846982">
            <w:pPr>
              <w:tabs>
                <w:tab w:val="decimal" w:pos="602"/>
              </w:tabs>
              <w:jc w:val="center"/>
              <w:rPr>
                <w:color w:val="auto"/>
                <w:sz w:val="20"/>
                <w:szCs w:val="20"/>
              </w:rPr>
            </w:pPr>
          </w:p>
        </w:tc>
        <w:tc>
          <w:tcPr>
            <w:tcW w:w="930" w:type="pct"/>
            <w:tcBorders>
              <w:bottom w:val="nil"/>
            </w:tcBorders>
            <w:vAlign w:val="bottom"/>
          </w:tcPr>
          <w:p w14:paraId="3C655E7D" w14:textId="77777777" w:rsidR="00AE562D" w:rsidRPr="00C615DA" w:rsidRDefault="00AE562D" w:rsidP="00EB2057">
            <w:pPr>
              <w:tabs>
                <w:tab w:val="decimal" w:pos="884"/>
              </w:tabs>
              <w:jc w:val="center"/>
              <w:rPr>
                <w:color w:val="auto"/>
                <w:sz w:val="20"/>
                <w:szCs w:val="20"/>
              </w:rPr>
            </w:pPr>
          </w:p>
        </w:tc>
        <w:tc>
          <w:tcPr>
            <w:tcW w:w="664" w:type="pct"/>
            <w:tcBorders>
              <w:bottom w:val="nil"/>
            </w:tcBorders>
            <w:shd w:val="clear" w:color="auto" w:fill="auto"/>
            <w:vAlign w:val="bottom"/>
          </w:tcPr>
          <w:p w14:paraId="17E6A4A0" w14:textId="77777777" w:rsidR="00AE562D" w:rsidRPr="00C615DA" w:rsidRDefault="00AE562D" w:rsidP="00EB2057">
            <w:pPr>
              <w:tabs>
                <w:tab w:val="decimal" w:pos="632"/>
              </w:tabs>
              <w:rPr>
                <w:color w:val="auto"/>
                <w:sz w:val="20"/>
                <w:szCs w:val="20"/>
              </w:rPr>
            </w:pPr>
          </w:p>
        </w:tc>
        <w:tc>
          <w:tcPr>
            <w:tcW w:w="633" w:type="pct"/>
            <w:tcBorders>
              <w:bottom w:val="nil"/>
            </w:tcBorders>
            <w:shd w:val="clear" w:color="auto" w:fill="auto"/>
            <w:vAlign w:val="bottom"/>
          </w:tcPr>
          <w:p w14:paraId="06463EFB" w14:textId="77777777" w:rsidR="00AE562D" w:rsidRPr="00C615DA" w:rsidRDefault="00AE562D" w:rsidP="00846982">
            <w:pPr>
              <w:tabs>
                <w:tab w:val="decimal" w:pos="599"/>
              </w:tabs>
              <w:rPr>
                <w:color w:val="auto"/>
                <w:sz w:val="20"/>
                <w:szCs w:val="20"/>
              </w:rPr>
            </w:pPr>
          </w:p>
        </w:tc>
      </w:tr>
      <w:tr w:rsidR="00AE562D" w:rsidRPr="00C615DA" w14:paraId="7E3E6D29" w14:textId="77777777" w:rsidTr="00102DEF">
        <w:trPr>
          <w:trHeight w:val="369"/>
        </w:trPr>
        <w:tc>
          <w:tcPr>
            <w:tcW w:w="2175" w:type="pct"/>
            <w:shd w:val="clear" w:color="auto" w:fill="auto"/>
            <w:vAlign w:val="bottom"/>
          </w:tcPr>
          <w:p w14:paraId="01B2469E" w14:textId="77777777" w:rsidR="00AE562D" w:rsidRPr="00C615DA" w:rsidRDefault="00AE562D" w:rsidP="00EB2057">
            <w:pPr>
              <w:jc w:val="left"/>
              <w:rPr>
                <w:color w:val="auto"/>
                <w:sz w:val="20"/>
                <w:szCs w:val="20"/>
              </w:rPr>
            </w:pPr>
            <w:r w:rsidRPr="00511271">
              <w:rPr>
                <w:color w:val="auto"/>
                <w:sz w:val="20"/>
                <w:szCs w:val="20"/>
              </w:rPr>
              <w:t>Corporate Reserves</w:t>
            </w:r>
          </w:p>
        </w:tc>
        <w:tc>
          <w:tcPr>
            <w:tcW w:w="598" w:type="pct"/>
            <w:tcBorders>
              <w:top w:val="nil"/>
              <w:bottom w:val="nil"/>
            </w:tcBorders>
            <w:shd w:val="clear" w:color="auto" w:fill="auto"/>
            <w:vAlign w:val="bottom"/>
          </w:tcPr>
          <w:p w14:paraId="2F4BDC83" w14:textId="77777777" w:rsidR="00AE562D" w:rsidRPr="00C615DA" w:rsidRDefault="00846982" w:rsidP="00846982">
            <w:pPr>
              <w:tabs>
                <w:tab w:val="decimal" w:pos="602"/>
              </w:tabs>
              <w:rPr>
                <w:color w:val="auto"/>
                <w:sz w:val="20"/>
                <w:szCs w:val="20"/>
              </w:rPr>
            </w:pPr>
            <w:r>
              <w:rPr>
                <w:color w:val="auto"/>
                <w:sz w:val="20"/>
                <w:szCs w:val="20"/>
              </w:rPr>
              <w:t>(0.1)</w:t>
            </w:r>
          </w:p>
        </w:tc>
        <w:tc>
          <w:tcPr>
            <w:tcW w:w="930" w:type="pct"/>
            <w:tcBorders>
              <w:top w:val="nil"/>
              <w:bottom w:val="nil"/>
            </w:tcBorders>
            <w:vAlign w:val="bottom"/>
          </w:tcPr>
          <w:p w14:paraId="0C576184" w14:textId="77777777" w:rsidR="00AE562D" w:rsidRPr="00C615DA" w:rsidRDefault="00846982" w:rsidP="00EB2057">
            <w:pPr>
              <w:tabs>
                <w:tab w:val="decimal" w:pos="884"/>
              </w:tabs>
              <w:rPr>
                <w:color w:val="auto"/>
                <w:sz w:val="20"/>
                <w:szCs w:val="20"/>
              </w:rPr>
            </w:pPr>
            <w:r>
              <w:rPr>
                <w:color w:val="auto"/>
                <w:sz w:val="20"/>
                <w:szCs w:val="20"/>
              </w:rPr>
              <w:t>(0.5)</w:t>
            </w:r>
          </w:p>
        </w:tc>
        <w:tc>
          <w:tcPr>
            <w:tcW w:w="664" w:type="pct"/>
            <w:tcBorders>
              <w:top w:val="nil"/>
              <w:bottom w:val="nil"/>
            </w:tcBorders>
            <w:shd w:val="clear" w:color="auto" w:fill="auto"/>
            <w:vAlign w:val="bottom"/>
          </w:tcPr>
          <w:p w14:paraId="0F44B9DB" w14:textId="77777777" w:rsidR="00AE562D" w:rsidRPr="00C615DA" w:rsidRDefault="00AE562D" w:rsidP="00EB2057">
            <w:pPr>
              <w:tabs>
                <w:tab w:val="decimal" w:pos="632"/>
              </w:tabs>
              <w:rPr>
                <w:color w:val="auto"/>
                <w:sz w:val="20"/>
                <w:szCs w:val="20"/>
              </w:rPr>
            </w:pPr>
            <w:r w:rsidRPr="00C615DA">
              <w:rPr>
                <w:color w:val="auto"/>
                <w:sz w:val="20"/>
                <w:szCs w:val="20"/>
              </w:rPr>
              <w:t>-</w:t>
            </w:r>
          </w:p>
        </w:tc>
        <w:tc>
          <w:tcPr>
            <w:tcW w:w="633" w:type="pct"/>
            <w:tcBorders>
              <w:top w:val="nil"/>
              <w:bottom w:val="nil"/>
            </w:tcBorders>
            <w:shd w:val="clear" w:color="auto" w:fill="auto"/>
            <w:vAlign w:val="bottom"/>
          </w:tcPr>
          <w:p w14:paraId="5A9AC32D" w14:textId="77777777" w:rsidR="00AE562D" w:rsidRPr="00C615DA" w:rsidRDefault="00846982" w:rsidP="00846982">
            <w:pPr>
              <w:tabs>
                <w:tab w:val="decimal" w:pos="599"/>
              </w:tabs>
              <w:rPr>
                <w:color w:val="auto"/>
                <w:sz w:val="20"/>
                <w:szCs w:val="20"/>
              </w:rPr>
            </w:pPr>
            <w:r>
              <w:rPr>
                <w:color w:val="auto"/>
                <w:sz w:val="20"/>
                <w:szCs w:val="20"/>
              </w:rPr>
              <w:t>(0.6)</w:t>
            </w:r>
          </w:p>
        </w:tc>
      </w:tr>
      <w:tr w:rsidR="00AE562D" w:rsidRPr="00C615DA" w14:paraId="49A37722" w14:textId="77777777" w:rsidTr="00102DEF">
        <w:trPr>
          <w:trHeight w:val="369"/>
        </w:trPr>
        <w:tc>
          <w:tcPr>
            <w:tcW w:w="2175" w:type="pct"/>
            <w:shd w:val="clear" w:color="auto" w:fill="auto"/>
            <w:vAlign w:val="bottom"/>
          </w:tcPr>
          <w:p w14:paraId="3BEEB99A" w14:textId="77777777" w:rsidR="00AE562D" w:rsidRPr="00C615DA" w:rsidRDefault="00AE562D" w:rsidP="00EB2057">
            <w:pPr>
              <w:jc w:val="left"/>
              <w:rPr>
                <w:color w:val="auto"/>
                <w:sz w:val="20"/>
                <w:szCs w:val="20"/>
              </w:rPr>
            </w:pPr>
            <w:r w:rsidRPr="00511271">
              <w:rPr>
                <w:color w:val="auto"/>
                <w:sz w:val="20"/>
                <w:szCs w:val="20"/>
              </w:rPr>
              <w:t>Directorate Reserves</w:t>
            </w:r>
          </w:p>
        </w:tc>
        <w:tc>
          <w:tcPr>
            <w:tcW w:w="598" w:type="pct"/>
            <w:tcBorders>
              <w:top w:val="nil"/>
              <w:bottom w:val="nil"/>
            </w:tcBorders>
            <w:shd w:val="clear" w:color="auto" w:fill="auto"/>
            <w:vAlign w:val="bottom"/>
          </w:tcPr>
          <w:p w14:paraId="50531E96" w14:textId="77777777" w:rsidR="00AE562D" w:rsidRPr="00C615DA" w:rsidRDefault="00846982" w:rsidP="00846982">
            <w:pPr>
              <w:tabs>
                <w:tab w:val="decimal" w:pos="602"/>
              </w:tabs>
              <w:rPr>
                <w:color w:val="auto"/>
                <w:sz w:val="20"/>
                <w:szCs w:val="20"/>
              </w:rPr>
            </w:pPr>
            <w:r>
              <w:rPr>
                <w:color w:val="auto"/>
                <w:sz w:val="20"/>
                <w:szCs w:val="20"/>
              </w:rPr>
              <w:t>(58.6)</w:t>
            </w:r>
          </w:p>
        </w:tc>
        <w:tc>
          <w:tcPr>
            <w:tcW w:w="930" w:type="pct"/>
            <w:tcBorders>
              <w:top w:val="nil"/>
              <w:bottom w:val="nil"/>
            </w:tcBorders>
            <w:vAlign w:val="bottom"/>
          </w:tcPr>
          <w:p w14:paraId="1FC951F0" w14:textId="77777777" w:rsidR="00AE562D" w:rsidRPr="00846982" w:rsidRDefault="00846982" w:rsidP="00EB2057">
            <w:pPr>
              <w:tabs>
                <w:tab w:val="decimal" w:pos="884"/>
              </w:tabs>
              <w:rPr>
                <w:color w:val="auto"/>
                <w:sz w:val="20"/>
                <w:szCs w:val="20"/>
              </w:rPr>
            </w:pPr>
            <w:r w:rsidRPr="00846982">
              <w:rPr>
                <w:color w:val="auto"/>
                <w:sz w:val="20"/>
                <w:szCs w:val="20"/>
              </w:rPr>
              <w:t>(8.2</w:t>
            </w:r>
            <w:r>
              <w:rPr>
                <w:color w:val="auto"/>
                <w:sz w:val="20"/>
                <w:szCs w:val="20"/>
              </w:rPr>
              <w:t>)</w:t>
            </w:r>
          </w:p>
        </w:tc>
        <w:tc>
          <w:tcPr>
            <w:tcW w:w="664" w:type="pct"/>
            <w:tcBorders>
              <w:top w:val="nil"/>
              <w:bottom w:val="nil"/>
            </w:tcBorders>
            <w:shd w:val="clear" w:color="auto" w:fill="auto"/>
            <w:vAlign w:val="bottom"/>
          </w:tcPr>
          <w:p w14:paraId="095917D1" w14:textId="77777777" w:rsidR="00AE562D" w:rsidRPr="00846982" w:rsidRDefault="00846982" w:rsidP="00EB2057">
            <w:pPr>
              <w:tabs>
                <w:tab w:val="decimal" w:pos="632"/>
              </w:tabs>
              <w:rPr>
                <w:color w:val="auto"/>
                <w:sz w:val="20"/>
                <w:szCs w:val="20"/>
              </w:rPr>
            </w:pPr>
            <w:r>
              <w:rPr>
                <w:color w:val="auto"/>
                <w:sz w:val="20"/>
                <w:szCs w:val="20"/>
              </w:rPr>
              <w:t>1.0</w:t>
            </w:r>
          </w:p>
        </w:tc>
        <w:tc>
          <w:tcPr>
            <w:tcW w:w="633" w:type="pct"/>
            <w:tcBorders>
              <w:top w:val="nil"/>
              <w:bottom w:val="nil"/>
            </w:tcBorders>
            <w:shd w:val="clear" w:color="auto" w:fill="auto"/>
            <w:vAlign w:val="bottom"/>
          </w:tcPr>
          <w:p w14:paraId="39F3662C" w14:textId="77777777" w:rsidR="00AE562D" w:rsidRPr="00846982" w:rsidRDefault="00846982" w:rsidP="00846982">
            <w:pPr>
              <w:tabs>
                <w:tab w:val="decimal" w:pos="599"/>
              </w:tabs>
              <w:rPr>
                <w:color w:val="auto"/>
                <w:sz w:val="20"/>
                <w:szCs w:val="20"/>
              </w:rPr>
            </w:pPr>
            <w:r>
              <w:rPr>
                <w:color w:val="auto"/>
                <w:sz w:val="20"/>
                <w:szCs w:val="20"/>
              </w:rPr>
              <w:t>(65.8)</w:t>
            </w:r>
          </w:p>
        </w:tc>
      </w:tr>
      <w:tr w:rsidR="00AE562D" w:rsidRPr="00C615DA" w14:paraId="7BDDE1EE" w14:textId="77777777" w:rsidTr="00EB2057">
        <w:trPr>
          <w:trHeight w:val="369"/>
        </w:trPr>
        <w:tc>
          <w:tcPr>
            <w:tcW w:w="2175" w:type="pct"/>
            <w:shd w:val="clear" w:color="auto" w:fill="auto"/>
            <w:vAlign w:val="bottom"/>
          </w:tcPr>
          <w:p w14:paraId="1F1E2254" w14:textId="77777777" w:rsidR="00AE562D" w:rsidRPr="00C615DA" w:rsidRDefault="00AE562D" w:rsidP="00EB2057">
            <w:pPr>
              <w:jc w:val="left"/>
              <w:rPr>
                <w:color w:val="auto"/>
                <w:sz w:val="20"/>
                <w:szCs w:val="20"/>
              </w:rPr>
            </w:pPr>
            <w:r w:rsidRPr="00511271">
              <w:rPr>
                <w:color w:val="auto"/>
                <w:sz w:val="20"/>
                <w:szCs w:val="20"/>
              </w:rPr>
              <w:t>Building Repairs &amp; Maintenance Reserve</w:t>
            </w:r>
          </w:p>
        </w:tc>
        <w:tc>
          <w:tcPr>
            <w:tcW w:w="598" w:type="pct"/>
            <w:tcBorders>
              <w:top w:val="nil"/>
              <w:bottom w:val="single" w:sz="4" w:space="0" w:color="auto"/>
            </w:tcBorders>
            <w:shd w:val="clear" w:color="auto" w:fill="auto"/>
            <w:vAlign w:val="bottom"/>
          </w:tcPr>
          <w:p w14:paraId="6217B539" w14:textId="77777777" w:rsidR="00AE562D" w:rsidRPr="00C615DA" w:rsidRDefault="00846982" w:rsidP="00846982">
            <w:pPr>
              <w:tabs>
                <w:tab w:val="decimal" w:pos="602"/>
              </w:tabs>
              <w:rPr>
                <w:color w:val="auto"/>
                <w:sz w:val="20"/>
                <w:szCs w:val="20"/>
              </w:rPr>
            </w:pPr>
            <w:r>
              <w:rPr>
                <w:color w:val="auto"/>
                <w:sz w:val="20"/>
                <w:szCs w:val="20"/>
              </w:rPr>
              <w:t>(1.5)</w:t>
            </w:r>
          </w:p>
        </w:tc>
        <w:tc>
          <w:tcPr>
            <w:tcW w:w="930" w:type="pct"/>
            <w:tcBorders>
              <w:top w:val="nil"/>
              <w:bottom w:val="single" w:sz="4" w:space="0" w:color="auto"/>
            </w:tcBorders>
            <w:vAlign w:val="bottom"/>
          </w:tcPr>
          <w:p w14:paraId="42903B33" w14:textId="77777777" w:rsidR="00AE562D" w:rsidRPr="00C615DA" w:rsidRDefault="00846982" w:rsidP="00EB2057">
            <w:pPr>
              <w:tabs>
                <w:tab w:val="decimal" w:pos="884"/>
              </w:tabs>
              <w:rPr>
                <w:color w:val="auto"/>
                <w:sz w:val="20"/>
                <w:szCs w:val="20"/>
              </w:rPr>
            </w:pPr>
            <w:r>
              <w:rPr>
                <w:color w:val="auto"/>
                <w:sz w:val="20"/>
                <w:szCs w:val="20"/>
              </w:rPr>
              <w:t>0.4</w:t>
            </w:r>
          </w:p>
        </w:tc>
        <w:tc>
          <w:tcPr>
            <w:tcW w:w="664" w:type="pct"/>
            <w:tcBorders>
              <w:top w:val="nil"/>
              <w:bottom w:val="single" w:sz="4" w:space="0" w:color="auto"/>
            </w:tcBorders>
            <w:shd w:val="clear" w:color="auto" w:fill="auto"/>
            <w:vAlign w:val="bottom"/>
          </w:tcPr>
          <w:p w14:paraId="323BF828" w14:textId="77777777" w:rsidR="00AE562D" w:rsidRPr="00C615DA" w:rsidRDefault="00AE562D" w:rsidP="00EB2057">
            <w:pPr>
              <w:tabs>
                <w:tab w:val="decimal" w:pos="632"/>
              </w:tabs>
              <w:rPr>
                <w:color w:val="auto"/>
                <w:sz w:val="20"/>
                <w:szCs w:val="20"/>
              </w:rPr>
            </w:pPr>
            <w:r>
              <w:rPr>
                <w:color w:val="auto"/>
                <w:sz w:val="20"/>
                <w:szCs w:val="20"/>
              </w:rPr>
              <w:t>-</w:t>
            </w:r>
          </w:p>
        </w:tc>
        <w:tc>
          <w:tcPr>
            <w:tcW w:w="633" w:type="pct"/>
            <w:tcBorders>
              <w:top w:val="nil"/>
              <w:bottom w:val="single" w:sz="4" w:space="0" w:color="auto"/>
            </w:tcBorders>
            <w:shd w:val="clear" w:color="auto" w:fill="auto"/>
            <w:vAlign w:val="bottom"/>
          </w:tcPr>
          <w:p w14:paraId="41ABEE33" w14:textId="77777777" w:rsidR="00AE562D" w:rsidRPr="00C615DA" w:rsidRDefault="00846982" w:rsidP="00846982">
            <w:pPr>
              <w:tabs>
                <w:tab w:val="decimal" w:pos="599"/>
              </w:tabs>
              <w:rPr>
                <w:color w:val="auto"/>
                <w:sz w:val="20"/>
                <w:szCs w:val="20"/>
              </w:rPr>
            </w:pPr>
            <w:r>
              <w:rPr>
                <w:color w:val="auto"/>
                <w:sz w:val="20"/>
                <w:szCs w:val="20"/>
              </w:rPr>
              <w:t>(1.1)</w:t>
            </w:r>
          </w:p>
        </w:tc>
      </w:tr>
      <w:tr w:rsidR="00AE562D" w:rsidRPr="00CD05F0" w14:paraId="31F19F6E" w14:textId="77777777" w:rsidTr="004F5D91">
        <w:trPr>
          <w:trHeight w:val="369"/>
        </w:trPr>
        <w:tc>
          <w:tcPr>
            <w:tcW w:w="2175" w:type="pct"/>
            <w:shd w:val="clear" w:color="auto" w:fill="auto"/>
            <w:vAlign w:val="bottom"/>
          </w:tcPr>
          <w:p w14:paraId="0A316BA3" w14:textId="77777777" w:rsidR="00AE562D" w:rsidRPr="00C615DA" w:rsidRDefault="00AE562D" w:rsidP="00EB2057">
            <w:pPr>
              <w:jc w:val="left"/>
              <w:rPr>
                <w:b/>
                <w:color w:val="auto"/>
                <w:sz w:val="20"/>
                <w:szCs w:val="20"/>
              </w:rPr>
            </w:pPr>
          </w:p>
        </w:tc>
        <w:tc>
          <w:tcPr>
            <w:tcW w:w="598" w:type="pct"/>
            <w:tcBorders>
              <w:top w:val="single" w:sz="4" w:space="0" w:color="auto"/>
              <w:bottom w:val="nil"/>
            </w:tcBorders>
            <w:shd w:val="clear" w:color="auto" w:fill="auto"/>
            <w:vAlign w:val="bottom"/>
          </w:tcPr>
          <w:p w14:paraId="24FB0F94" w14:textId="77777777" w:rsidR="00AE562D" w:rsidRPr="00C615DA" w:rsidRDefault="00846982" w:rsidP="00846982">
            <w:pPr>
              <w:tabs>
                <w:tab w:val="decimal" w:pos="602"/>
              </w:tabs>
              <w:rPr>
                <w:b/>
                <w:color w:val="auto"/>
                <w:sz w:val="20"/>
                <w:szCs w:val="20"/>
              </w:rPr>
            </w:pPr>
            <w:r>
              <w:rPr>
                <w:b/>
                <w:color w:val="auto"/>
                <w:sz w:val="20"/>
                <w:szCs w:val="20"/>
              </w:rPr>
              <w:t>(60.2)</w:t>
            </w:r>
          </w:p>
        </w:tc>
        <w:tc>
          <w:tcPr>
            <w:tcW w:w="930" w:type="pct"/>
            <w:tcBorders>
              <w:top w:val="single" w:sz="4" w:space="0" w:color="auto"/>
              <w:bottom w:val="nil"/>
            </w:tcBorders>
            <w:vAlign w:val="bottom"/>
          </w:tcPr>
          <w:p w14:paraId="4E915F8E" w14:textId="77777777" w:rsidR="00AE562D" w:rsidRPr="00CD05F0" w:rsidRDefault="00846982" w:rsidP="00EB2057">
            <w:pPr>
              <w:tabs>
                <w:tab w:val="decimal" w:pos="884"/>
              </w:tabs>
              <w:rPr>
                <w:b/>
                <w:color w:val="auto"/>
                <w:sz w:val="20"/>
                <w:szCs w:val="20"/>
              </w:rPr>
            </w:pPr>
            <w:r>
              <w:rPr>
                <w:b/>
                <w:color w:val="auto"/>
                <w:sz w:val="20"/>
                <w:szCs w:val="20"/>
              </w:rPr>
              <w:t>(8.3)</w:t>
            </w:r>
          </w:p>
        </w:tc>
        <w:tc>
          <w:tcPr>
            <w:tcW w:w="664" w:type="pct"/>
            <w:tcBorders>
              <w:top w:val="single" w:sz="4" w:space="0" w:color="auto"/>
              <w:bottom w:val="nil"/>
            </w:tcBorders>
            <w:shd w:val="clear" w:color="auto" w:fill="auto"/>
            <w:vAlign w:val="bottom"/>
          </w:tcPr>
          <w:p w14:paraId="3A0BACAB" w14:textId="77777777" w:rsidR="00AE562D" w:rsidRPr="00C615DA" w:rsidRDefault="00846982" w:rsidP="00EB2057">
            <w:pPr>
              <w:tabs>
                <w:tab w:val="decimal" w:pos="632"/>
              </w:tabs>
              <w:rPr>
                <w:b/>
                <w:color w:val="auto"/>
                <w:sz w:val="20"/>
                <w:szCs w:val="20"/>
              </w:rPr>
            </w:pPr>
            <w:r>
              <w:rPr>
                <w:b/>
                <w:color w:val="auto"/>
                <w:sz w:val="20"/>
                <w:szCs w:val="20"/>
              </w:rPr>
              <w:t>1.0</w:t>
            </w:r>
          </w:p>
        </w:tc>
        <w:tc>
          <w:tcPr>
            <w:tcW w:w="633" w:type="pct"/>
            <w:tcBorders>
              <w:top w:val="single" w:sz="4" w:space="0" w:color="auto"/>
              <w:bottom w:val="nil"/>
            </w:tcBorders>
            <w:shd w:val="clear" w:color="auto" w:fill="auto"/>
            <w:vAlign w:val="bottom"/>
          </w:tcPr>
          <w:p w14:paraId="6CEBED0B" w14:textId="77777777" w:rsidR="00AE562D" w:rsidRPr="00C615DA" w:rsidRDefault="00846982" w:rsidP="00846982">
            <w:pPr>
              <w:tabs>
                <w:tab w:val="decimal" w:pos="599"/>
              </w:tabs>
              <w:rPr>
                <w:b/>
                <w:color w:val="auto"/>
                <w:sz w:val="20"/>
                <w:szCs w:val="20"/>
              </w:rPr>
            </w:pPr>
            <w:r>
              <w:rPr>
                <w:b/>
                <w:color w:val="auto"/>
                <w:sz w:val="20"/>
                <w:szCs w:val="20"/>
              </w:rPr>
              <w:t>(67.5)</w:t>
            </w:r>
          </w:p>
        </w:tc>
      </w:tr>
      <w:tr w:rsidR="00135873" w:rsidRPr="00CD05F0" w14:paraId="7FF3BC60" w14:textId="77777777" w:rsidTr="004F5D91">
        <w:trPr>
          <w:trHeight w:val="369"/>
        </w:trPr>
        <w:tc>
          <w:tcPr>
            <w:tcW w:w="2175" w:type="pct"/>
            <w:shd w:val="clear" w:color="auto" w:fill="auto"/>
            <w:vAlign w:val="bottom"/>
          </w:tcPr>
          <w:p w14:paraId="56C365C9" w14:textId="58334425" w:rsidR="00135873" w:rsidRDefault="00135873" w:rsidP="00EB2057">
            <w:pPr>
              <w:jc w:val="left"/>
              <w:rPr>
                <w:b/>
                <w:color w:val="auto"/>
                <w:sz w:val="20"/>
                <w:szCs w:val="20"/>
              </w:rPr>
            </w:pPr>
            <w:r w:rsidRPr="00CD05F0">
              <w:rPr>
                <w:b/>
                <w:color w:val="auto"/>
                <w:sz w:val="20"/>
                <w:szCs w:val="20"/>
              </w:rPr>
              <w:lastRenderedPageBreak/>
              <w:t xml:space="preserve">Total </w:t>
            </w:r>
            <w:r>
              <w:rPr>
                <w:b/>
                <w:color w:val="auto"/>
                <w:sz w:val="20"/>
                <w:szCs w:val="20"/>
              </w:rPr>
              <w:t xml:space="preserve">Earmarked </w:t>
            </w:r>
            <w:r w:rsidRPr="00CD05F0">
              <w:rPr>
                <w:b/>
                <w:color w:val="auto"/>
                <w:sz w:val="20"/>
                <w:szCs w:val="20"/>
              </w:rPr>
              <w:t xml:space="preserve">Revenue </w:t>
            </w:r>
            <w:r>
              <w:rPr>
                <w:b/>
                <w:color w:val="auto"/>
                <w:sz w:val="20"/>
                <w:szCs w:val="20"/>
              </w:rPr>
              <w:t xml:space="preserve">and Capital </w:t>
            </w:r>
            <w:r w:rsidRPr="00CD05F0">
              <w:rPr>
                <w:b/>
                <w:color w:val="auto"/>
                <w:sz w:val="20"/>
                <w:szCs w:val="20"/>
              </w:rPr>
              <w:t>Reserves</w:t>
            </w:r>
          </w:p>
        </w:tc>
        <w:tc>
          <w:tcPr>
            <w:tcW w:w="598" w:type="pct"/>
            <w:tcBorders>
              <w:top w:val="nil"/>
              <w:bottom w:val="nil"/>
            </w:tcBorders>
            <w:shd w:val="clear" w:color="auto" w:fill="auto"/>
            <w:vAlign w:val="bottom"/>
          </w:tcPr>
          <w:p w14:paraId="2124AC1C" w14:textId="788D3841" w:rsidR="00135873" w:rsidRDefault="00135873" w:rsidP="00846982">
            <w:pPr>
              <w:tabs>
                <w:tab w:val="decimal" w:pos="602"/>
              </w:tabs>
              <w:rPr>
                <w:b/>
                <w:color w:val="auto"/>
                <w:sz w:val="20"/>
                <w:szCs w:val="20"/>
              </w:rPr>
            </w:pPr>
            <w:r>
              <w:rPr>
                <w:b/>
                <w:color w:val="auto"/>
                <w:sz w:val="20"/>
                <w:szCs w:val="20"/>
              </w:rPr>
              <w:t>(302.2)</w:t>
            </w:r>
          </w:p>
        </w:tc>
        <w:tc>
          <w:tcPr>
            <w:tcW w:w="930" w:type="pct"/>
            <w:tcBorders>
              <w:top w:val="nil"/>
              <w:bottom w:val="nil"/>
            </w:tcBorders>
            <w:vAlign w:val="bottom"/>
          </w:tcPr>
          <w:p w14:paraId="16EB6AB7" w14:textId="1CBAF74D" w:rsidR="00135873" w:rsidRDefault="00135873" w:rsidP="009C1D66">
            <w:pPr>
              <w:tabs>
                <w:tab w:val="decimal" w:pos="884"/>
              </w:tabs>
              <w:rPr>
                <w:b/>
                <w:color w:val="auto"/>
                <w:sz w:val="20"/>
                <w:szCs w:val="20"/>
              </w:rPr>
            </w:pPr>
            <w:r>
              <w:rPr>
                <w:b/>
                <w:color w:val="auto"/>
                <w:sz w:val="20"/>
                <w:szCs w:val="20"/>
              </w:rPr>
              <w:t>(10.4)</w:t>
            </w:r>
          </w:p>
        </w:tc>
        <w:tc>
          <w:tcPr>
            <w:tcW w:w="664" w:type="pct"/>
            <w:tcBorders>
              <w:top w:val="nil"/>
              <w:bottom w:val="nil"/>
            </w:tcBorders>
            <w:shd w:val="clear" w:color="auto" w:fill="auto"/>
            <w:vAlign w:val="bottom"/>
          </w:tcPr>
          <w:p w14:paraId="6069BF54" w14:textId="1B418ACC" w:rsidR="00135873" w:rsidRDefault="00135873" w:rsidP="009C1D66">
            <w:pPr>
              <w:tabs>
                <w:tab w:val="decimal" w:pos="632"/>
              </w:tabs>
              <w:rPr>
                <w:b/>
                <w:color w:val="auto"/>
                <w:sz w:val="20"/>
                <w:szCs w:val="20"/>
              </w:rPr>
            </w:pPr>
            <w:r>
              <w:rPr>
                <w:b/>
                <w:color w:val="auto"/>
                <w:sz w:val="20"/>
                <w:szCs w:val="20"/>
              </w:rPr>
              <w:t>2.8</w:t>
            </w:r>
          </w:p>
        </w:tc>
        <w:tc>
          <w:tcPr>
            <w:tcW w:w="633" w:type="pct"/>
            <w:tcBorders>
              <w:top w:val="nil"/>
              <w:bottom w:val="nil"/>
              <w:right w:val="single" w:sz="4" w:space="0" w:color="auto"/>
            </w:tcBorders>
            <w:shd w:val="clear" w:color="auto" w:fill="auto"/>
            <w:vAlign w:val="bottom"/>
          </w:tcPr>
          <w:p w14:paraId="53DDD2FB" w14:textId="18DB03A2" w:rsidR="00135873" w:rsidRDefault="00135873" w:rsidP="00846982">
            <w:pPr>
              <w:tabs>
                <w:tab w:val="decimal" w:pos="599"/>
              </w:tabs>
              <w:rPr>
                <w:b/>
                <w:color w:val="auto"/>
                <w:sz w:val="20"/>
                <w:szCs w:val="20"/>
              </w:rPr>
            </w:pPr>
            <w:r>
              <w:rPr>
                <w:b/>
                <w:color w:val="auto"/>
                <w:sz w:val="20"/>
                <w:szCs w:val="20"/>
              </w:rPr>
              <w:t>(309.8)</w:t>
            </w:r>
          </w:p>
        </w:tc>
      </w:tr>
      <w:tr w:rsidR="00827047" w:rsidRPr="00CD05F0" w14:paraId="2353BBB8" w14:textId="77777777" w:rsidTr="004F5D91">
        <w:trPr>
          <w:trHeight w:val="369"/>
        </w:trPr>
        <w:tc>
          <w:tcPr>
            <w:tcW w:w="2175" w:type="pct"/>
            <w:shd w:val="clear" w:color="auto" w:fill="auto"/>
            <w:vAlign w:val="bottom"/>
          </w:tcPr>
          <w:p w14:paraId="13B7ABDA" w14:textId="795175CC" w:rsidR="00827047" w:rsidRPr="00CD05F0" w:rsidRDefault="00827047" w:rsidP="00EB2057">
            <w:pPr>
              <w:jc w:val="left"/>
              <w:rPr>
                <w:b/>
                <w:color w:val="auto"/>
                <w:sz w:val="20"/>
                <w:szCs w:val="20"/>
              </w:rPr>
            </w:pPr>
            <w:r>
              <w:rPr>
                <w:b/>
                <w:color w:val="auto"/>
                <w:sz w:val="20"/>
                <w:szCs w:val="20"/>
              </w:rPr>
              <w:t>Earmarked Capital Reserves</w:t>
            </w:r>
          </w:p>
        </w:tc>
        <w:tc>
          <w:tcPr>
            <w:tcW w:w="598" w:type="pct"/>
            <w:tcBorders>
              <w:top w:val="nil"/>
              <w:bottom w:val="nil"/>
            </w:tcBorders>
            <w:shd w:val="clear" w:color="auto" w:fill="auto"/>
            <w:vAlign w:val="bottom"/>
          </w:tcPr>
          <w:p w14:paraId="084891AE" w14:textId="563B2AA9" w:rsidR="00827047" w:rsidRDefault="004F5D91" w:rsidP="00846982">
            <w:pPr>
              <w:tabs>
                <w:tab w:val="decimal" w:pos="602"/>
              </w:tabs>
              <w:rPr>
                <w:b/>
                <w:color w:val="auto"/>
                <w:sz w:val="20"/>
                <w:szCs w:val="20"/>
              </w:rPr>
            </w:pPr>
            <w:r>
              <w:rPr>
                <w:b/>
                <w:color w:val="auto"/>
                <w:sz w:val="20"/>
                <w:szCs w:val="20"/>
              </w:rPr>
              <w:t>(43.7)</w:t>
            </w:r>
          </w:p>
        </w:tc>
        <w:tc>
          <w:tcPr>
            <w:tcW w:w="930" w:type="pct"/>
            <w:tcBorders>
              <w:top w:val="nil"/>
              <w:bottom w:val="nil"/>
            </w:tcBorders>
            <w:vAlign w:val="bottom"/>
          </w:tcPr>
          <w:p w14:paraId="63097EA0" w14:textId="36E08869" w:rsidR="00827047" w:rsidRDefault="004F5D91" w:rsidP="009C1D66">
            <w:pPr>
              <w:tabs>
                <w:tab w:val="decimal" w:pos="884"/>
              </w:tabs>
              <w:rPr>
                <w:b/>
                <w:color w:val="auto"/>
                <w:sz w:val="20"/>
                <w:szCs w:val="20"/>
              </w:rPr>
            </w:pPr>
            <w:r>
              <w:rPr>
                <w:b/>
                <w:color w:val="auto"/>
                <w:sz w:val="20"/>
                <w:szCs w:val="20"/>
              </w:rPr>
              <w:t>8.8</w:t>
            </w:r>
          </w:p>
        </w:tc>
        <w:tc>
          <w:tcPr>
            <w:tcW w:w="664" w:type="pct"/>
            <w:tcBorders>
              <w:top w:val="nil"/>
              <w:bottom w:val="nil"/>
            </w:tcBorders>
            <w:shd w:val="clear" w:color="auto" w:fill="auto"/>
            <w:vAlign w:val="bottom"/>
          </w:tcPr>
          <w:p w14:paraId="7E4BA5B9" w14:textId="5EDDF703" w:rsidR="00827047" w:rsidRDefault="004F5D91" w:rsidP="009C1D66">
            <w:pPr>
              <w:tabs>
                <w:tab w:val="decimal" w:pos="632"/>
              </w:tabs>
              <w:rPr>
                <w:b/>
                <w:color w:val="auto"/>
                <w:sz w:val="20"/>
                <w:szCs w:val="20"/>
              </w:rPr>
            </w:pPr>
            <w:r>
              <w:rPr>
                <w:b/>
                <w:color w:val="auto"/>
                <w:sz w:val="20"/>
                <w:szCs w:val="20"/>
              </w:rPr>
              <w:t>21.7</w:t>
            </w:r>
          </w:p>
        </w:tc>
        <w:tc>
          <w:tcPr>
            <w:tcW w:w="633" w:type="pct"/>
            <w:tcBorders>
              <w:top w:val="nil"/>
              <w:bottom w:val="nil"/>
              <w:right w:val="single" w:sz="4" w:space="0" w:color="auto"/>
            </w:tcBorders>
            <w:shd w:val="clear" w:color="auto" w:fill="auto"/>
            <w:vAlign w:val="bottom"/>
          </w:tcPr>
          <w:p w14:paraId="3721B619" w14:textId="045A2A40" w:rsidR="00827047" w:rsidRDefault="004F5D91" w:rsidP="00846982">
            <w:pPr>
              <w:tabs>
                <w:tab w:val="decimal" w:pos="599"/>
              </w:tabs>
              <w:rPr>
                <w:b/>
                <w:color w:val="auto"/>
                <w:sz w:val="20"/>
                <w:szCs w:val="20"/>
              </w:rPr>
            </w:pPr>
            <w:r>
              <w:rPr>
                <w:b/>
                <w:color w:val="auto"/>
                <w:sz w:val="20"/>
                <w:szCs w:val="20"/>
              </w:rPr>
              <w:t>(13.2)</w:t>
            </w:r>
          </w:p>
        </w:tc>
      </w:tr>
      <w:tr w:rsidR="00827047" w:rsidRPr="00CD05F0" w14:paraId="69B7CC30" w14:textId="77777777" w:rsidTr="004F5D91">
        <w:trPr>
          <w:trHeight w:val="369"/>
        </w:trPr>
        <w:tc>
          <w:tcPr>
            <w:tcW w:w="2175" w:type="pct"/>
            <w:shd w:val="clear" w:color="auto" w:fill="auto"/>
            <w:vAlign w:val="bottom"/>
          </w:tcPr>
          <w:p w14:paraId="0DE16F25" w14:textId="45210BD2" w:rsidR="00827047" w:rsidRPr="00CD05F0" w:rsidRDefault="00827047" w:rsidP="00827047">
            <w:pPr>
              <w:jc w:val="left"/>
              <w:rPr>
                <w:b/>
                <w:color w:val="auto"/>
                <w:sz w:val="20"/>
                <w:szCs w:val="20"/>
              </w:rPr>
            </w:pPr>
            <w:r>
              <w:rPr>
                <w:b/>
                <w:color w:val="auto"/>
                <w:sz w:val="20"/>
                <w:szCs w:val="20"/>
              </w:rPr>
              <w:t>Earmarked Revenue Reserves</w:t>
            </w:r>
          </w:p>
        </w:tc>
        <w:tc>
          <w:tcPr>
            <w:tcW w:w="598" w:type="pct"/>
            <w:tcBorders>
              <w:top w:val="nil"/>
              <w:bottom w:val="nil"/>
            </w:tcBorders>
            <w:shd w:val="clear" w:color="auto" w:fill="auto"/>
            <w:vAlign w:val="bottom"/>
          </w:tcPr>
          <w:p w14:paraId="1C719990" w14:textId="12138BE8" w:rsidR="00827047" w:rsidRDefault="004F5D91" w:rsidP="00846982">
            <w:pPr>
              <w:tabs>
                <w:tab w:val="decimal" w:pos="602"/>
              </w:tabs>
              <w:rPr>
                <w:b/>
                <w:color w:val="auto"/>
                <w:sz w:val="20"/>
                <w:szCs w:val="20"/>
              </w:rPr>
            </w:pPr>
            <w:r>
              <w:rPr>
                <w:b/>
                <w:color w:val="auto"/>
                <w:sz w:val="20"/>
                <w:szCs w:val="20"/>
              </w:rPr>
              <w:t>(258.5)</w:t>
            </w:r>
          </w:p>
        </w:tc>
        <w:tc>
          <w:tcPr>
            <w:tcW w:w="930" w:type="pct"/>
            <w:tcBorders>
              <w:top w:val="nil"/>
              <w:bottom w:val="nil"/>
            </w:tcBorders>
            <w:vAlign w:val="bottom"/>
          </w:tcPr>
          <w:p w14:paraId="4D1CE8DA" w14:textId="12EAEEAB" w:rsidR="00827047" w:rsidRDefault="004F5D91" w:rsidP="009C1D66">
            <w:pPr>
              <w:tabs>
                <w:tab w:val="decimal" w:pos="884"/>
              </w:tabs>
              <w:rPr>
                <w:b/>
                <w:color w:val="auto"/>
                <w:sz w:val="20"/>
                <w:szCs w:val="20"/>
              </w:rPr>
            </w:pPr>
            <w:r>
              <w:rPr>
                <w:b/>
                <w:color w:val="auto"/>
                <w:sz w:val="20"/>
                <w:szCs w:val="20"/>
              </w:rPr>
              <w:t>(19.2)</w:t>
            </w:r>
          </w:p>
        </w:tc>
        <w:tc>
          <w:tcPr>
            <w:tcW w:w="664" w:type="pct"/>
            <w:tcBorders>
              <w:top w:val="nil"/>
              <w:bottom w:val="nil"/>
            </w:tcBorders>
            <w:shd w:val="clear" w:color="auto" w:fill="auto"/>
            <w:vAlign w:val="bottom"/>
          </w:tcPr>
          <w:p w14:paraId="691DCE3B" w14:textId="59D2D01D" w:rsidR="00827047" w:rsidRDefault="004F5D91" w:rsidP="009C1D66">
            <w:pPr>
              <w:tabs>
                <w:tab w:val="decimal" w:pos="632"/>
              </w:tabs>
              <w:rPr>
                <w:b/>
                <w:color w:val="auto"/>
                <w:sz w:val="20"/>
                <w:szCs w:val="20"/>
              </w:rPr>
            </w:pPr>
            <w:r>
              <w:rPr>
                <w:b/>
                <w:color w:val="auto"/>
                <w:sz w:val="20"/>
                <w:szCs w:val="20"/>
              </w:rPr>
              <w:t>(18.9)</w:t>
            </w:r>
          </w:p>
        </w:tc>
        <w:tc>
          <w:tcPr>
            <w:tcW w:w="633" w:type="pct"/>
            <w:tcBorders>
              <w:top w:val="nil"/>
              <w:bottom w:val="nil"/>
              <w:right w:val="single" w:sz="4" w:space="0" w:color="auto"/>
            </w:tcBorders>
            <w:shd w:val="clear" w:color="auto" w:fill="auto"/>
            <w:vAlign w:val="bottom"/>
          </w:tcPr>
          <w:p w14:paraId="377DA1DF" w14:textId="0786D902" w:rsidR="00827047" w:rsidRDefault="004F5D91" w:rsidP="00846982">
            <w:pPr>
              <w:tabs>
                <w:tab w:val="decimal" w:pos="599"/>
              </w:tabs>
              <w:rPr>
                <w:b/>
                <w:color w:val="auto"/>
                <w:sz w:val="20"/>
                <w:szCs w:val="20"/>
              </w:rPr>
            </w:pPr>
            <w:r>
              <w:rPr>
                <w:b/>
                <w:color w:val="auto"/>
                <w:sz w:val="20"/>
                <w:szCs w:val="20"/>
              </w:rPr>
              <w:t>(296.6)</w:t>
            </w:r>
          </w:p>
        </w:tc>
      </w:tr>
    </w:tbl>
    <w:p w14:paraId="7A66D237" w14:textId="450AF102" w:rsidR="00AE562D" w:rsidRDefault="00F763BF" w:rsidP="002831E1">
      <w:pPr>
        <w:rPr>
          <w:sz w:val="20"/>
          <w:szCs w:val="20"/>
          <w:lang w:eastAsia="en-GB"/>
        </w:rPr>
      </w:pPr>
      <w:r w:rsidRPr="00A06955">
        <w:rPr>
          <w:sz w:val="20"/>
          <w:szCs w:val="20"/>
          <w:vertAlign w:val="superscript"/>
          <w:lang w:eastAsia="en-GB"/>
        </w:rPr>
        <w:t>1</w:t>
      </w:r>
      <w:r w:rsidR="000E10B0">
        <w:rPr>
          <w:sz w:val="20"/>
          <w:szCs w:val="20"/>
          <w:lang w:eastAsia="en-GB"/>
        </w:rPr>
        <w:t>Restated comparative year to include only earmarked reserves.</w:t>
      </w:r>
    </w:p>
    <w:p w14:paraId="597385A3" w14:textId="77777777" w:rsidR="003547A0" w:rsidRPr="00A06955" w:rsidRDefault="003547A0" w:rsidP="002831E1">
      <w:pPr>
        <w:rPr>
          <w:sz w:val="20"/>
          <w:szCs w:val="20"/>
          <w:lang w:eastAsia="en-GB"/>
        </w:rPr>
      </w:pPr>
    </w:p>
    <w:p w14:paraId="559B8808" w14:textId="3DC310F5" w:rsidR="00846982" w:rsidRPr="003C77A6" w:rsidRDefault="00B8312E" w:rsidP="00D13CB1">
      <w:pPr>
        <w:pStyle w:val="Heading2"/>
      </w:pPr>
      <w:r>
        <w:t>8. Revenue r</w:t>
      </w:r>
      <w:r w:rsidR="00D13CB1" w:rsidRPr="003C77A6">
        <w:t>eserves</w:t>
      </w:r>
    </w:p>
    <w:p w14:paraId="4ABE8514" w14:textId="77777777" w:rsidR="00D13CB1" w:rsidRPr="003C77A6" w:rsidRDefault="00D13CB1" w:rsidP="00D13CB1">
      <w:pPr>
        <w:rPr>
          <w:lang w:eastAsia="en-GB"/>
        </w:rPr>
      </w:pPr>
      <w:r w:rsidRPr="003C77A6">
        <w:rPr>
          <w:lang w:eastAsia="en-GB"/>
        </w:rPr>
        <w:t>The county council's revenue reserves are described below:</w:t>
      </w:r>
    </w:p>
    <w:p w14:paraId="0A0438DE" w14:textId="77777777" w:rsidR="00D13CB1" w:rsidRPr="003C77A6" w:rsidRDefault="00D13CB1" w:rsidP="00D13CB1">
      <w:pPr>
        <w:rPr>
          <w:b/>
          <w:lang w:eastAsia="en-GB"/>
        </w:rPr>
      </w:pPr>
      <w:r w:rsidRPr="003C77A6">
        <w:rPr>
          <w:b/>
          <w:lang w:eastAsia="en-GB"/>
        </w:rPr>
        <w:t>Reserves held to meet spending pressures</w:t>
      </w:r>
    </w:p>
    <w:p w14:paraId="4B21DE12" w14:textId="77777777" w:rsidR="00D13CB1" w:rsidRPr="003C77A6" w:rsidRDefault="00D13CB1" w:rsidP="00EC401F">
      <w:pPr>
        <w:numPr>
          <w:ilvl w:val="0"/>
          <w:numId w:val="33"/>
        </w:numPr>
        <w:rPr>
          <w:lang w:eastAsia="en-GB"/>
        </w:rPr>
      </w:pPr>
      <w:r w:rsidRPr="003C77A6">
        <w:rPr>
          <w:lang w:eastAsia="en-GB"/>
        </w:rPr>
        <w:t>Business Rates Volatility Reserve:</w:t>
      </w:r>
    </w:p>
    <w:p w14:paraId="6D51476E" w14:textId="77777777" w:rsidR="00D13CB1" w:rsidRPr="003C77A6" w:rsidRDefault="00D13CB1" w:rsidP="00D13CB1">
      <w:pPr>
        <w:ind w:left="360"/>
        <w:rPr>
          <w:lang w:eastAsia="en-GB"/>
        </w:rPr>
      </w:pPr>
      <w:r w:rsidRPr="003C77A6">
        <w:rPr>
          <w:lang w:eastAsia="en-GB"/>
        </w:rPr>
        <w:t>This reserve is set aside to mitigate any adverse impact upon the council's funding due to volatility in the Business rates Retention Scheme.</w:t>
      </w:r>
    </w:p>
    <w:p w14:paraId="622E4091" w14:textId="77777777" w:rsidR="00D13CB1" w:rsidRPr="003C77A6" w:rsidRDefault="00D13CB1" w:rsidP="00D13CB1">
      <w:pPr>
        <w:rPr>
          <w:b/>
          <w:lang w:eastAsia="en-GB"/>
        </w:rPr>
      </w:pPr>
      <w:r w:rsidRPr="003C77A6">
        <w:rPr>
          <w:b/>
          <w:lang w:eastAsia="en-GB"/>
        </w:rPr>
        <w:t>Reserves held to deliver corporate priorities</w:t>
      </w:r>
    </w:p>
    <w:p w14:paraId="236FF363" w14:textId="77777777" w:rsidR="00D13CB1" w:rsidRPr="003C77A6" w:rsidRDefault="00D13CB1" w:rsidP="00EC401F">
      <w:pPr>
        <w:numPr>
          <w:ilvl w:val="0"/>
          <w:numId w:val="33"/>
        </w:numPr>
        <w:rPr>
          <w:b/>
          <w:lang w:eastAsia="en-GB"/>
        </w:rPr>
      </w:pPr>
      <w:r w:rsidRPr="003C77A6">
        <w:rPr>
          <w:lang w:eastAsia="en-GB"/>
        </w:rPr>
        <w:t>Strategic Investment Reserve:</w:t>
      </w:r>
    </w:p>
    <w:p w14:paraId="18D8E858" w14:textId="77777777" w:rsidR="00D13CB1" w:rsidRPr="003C77A6" w:rsidRDefault="00D13CB1" w:rsidP="00D13CB1">
      <w:pPr>
        <w:ind w:left="360"/>
        <w:rPr>
          <w:lang w:eastAsia="en-GB"/>
        </w:rPr>
      </w:pPr>
      <w:r w:rsidRPr="003C77A6">
        <w:rPr>
          <w:lang w:eastAsia="en-GB"/>
        </w:rPr>
        <w:t xml:space="preserve">The council agreed a programme of investment in areas including the provision of residential and respite care, economic development, Libraries regeneration, further development of </w:t>
      </w:r>
      <w:r w:rsidRPr="003C77A6">
        <w:rPr>
          <w:lang w:eastAsia="en-GB"/>
        </w:rPr>
        <w:lastRenderedPageBreak/>
        <w:t>Youth Zones, increasing employment opportunities and the development of apprenticeship programmes. The Strategic Investment Reserve will deliver the funding for this investment.</w:t>
      </w:r>
    </w:p>
    <w:p w14:paraId="6A7C867D" w14:textId="77777777" w:rsidR="00D13CB1" w:rsidRPr="003C77A6" w:rsidRDefault="00D13CB1" w:rsidP="00D13CB1">
      <w:pPr>
        <w:rPr>
          <w:b/>
          <w:lang w:eastAsia="en-GB"/>
        </w:rPr>
      </w:pPr>
      <w:r w:rsidRPr="003C77A6">
        <w:rPr>
          <w:b/>
          <w:lang w:eastAsia="en-GB"/>
        </w:rPr>
        <w:t>Reserves held to deliver organisational change</w:t>
      </w:r>
    </w:p>
    <w:p w14:paraId="464050A9" w14:textId="77777777" w:rsidR="00D13CB1" w:rsidRPr="003C77A6" w:rsidRDefault="00D13CB1" w:rsidP="00EC401F">
      <w:pPr>
        <w:numPr>
          <w:ilvl w:val="0"/>
          <w:numId w:val="33"/>
        </w:numPr>
        <w:rPr>
          <w:lang w:eastAsia="en-GB"/>
        </w:rPr>
      </w:pPr>
      <w:r w:rsidRPr="003C77A6">
        <w:rPr>
          <w:lang w:eastAsia="en-GB"/>
        </w:rPr>
        <w:t>Downsizing Reserve:</w:t>
      </w:r>
    </w:p>
    <w:p w14:paraId="2C6348C6" w14:textId="4C777163" w:rsidR="00D13CB1" w:rsidRDefault="00D13CB1" w:rsidP="00D13CB1">
      <w:pPr>
        <w:ind w:left="360"/>
        <w:rPr>
          <w:lang w:eastAsia="en-GB"/>
        </w:rPr>
      </w:pPr>
      <w:r w:rsidRPr="003C77A6">
        <w:rPr>
          <w:lang w:eastAsia="en-GB"/>
        </w:rPr>
        <w:t>This reserve is set aside to support the county council as it continues to deliver its agreed savings in 2015/16 and develops its strategy to redu</w:t>
      </w:r>
      <w:r w:rsidR="003C77A6">
        <w:rPr>
          <w:lang w:eastAsia="en-GB"/>
        </w:rPr>
        <w:t>ce costs over the following three</w:t>
      </w:r>
      <w:r w:rsidRPr="003C77A6">
        <w:rPr>
          <w:lang w:eastAsia="en-GB"/>
        </w:rPr>
        <w:t xml:space="preserve"> years.</w:t>
      </w:r>
    </w:p>
    <w:p w14:paraId="3883974B" w14:textId="1F290F43" w:rsidR="00061CE5" w:rsidRPr="00A06955" w:rsidRDefault="00061CE5" w:rsidP="00FA031A">
      <w:pPr>
        <w:pStyle w:val="ListParagraph"/>
        <w:numPr>
          <w:ilvl w:val="0"/>
          <w:numId w:val="33"/>
        </w:numPr>
        <w:autoSpaceDE/>
        <w:spacing w:after="100" w:afterAutospacing="1"/>
        <w:rPr>
          <w:rFonts w:eastAsiaTheme="minorHAnsi" w:cs="Arial"/>
        </w:rPr>
      </w:pPr>
      <w:r w:rsidRPr="00283A4A">
        <w:rPr>
          <w:color w:val="auto"/>
          <w:lang w:eastAsia="en-GB"/>
        </w:rPr>
        <w:t xml:space="preserve">Risk Management Reserve </w:t>
      </w:r>
    </w:p>
    <w:p w14:paraId="0A144DB7" w14:textId="77777777" w:rsidR="00FA031A" w:rsidRDefault="00FA031A" w:rsidP="00FA031A">
      <w:pPr>
        <w:pStyle w:val="ListParagraph"/>
        <w:autoSpaceDE/>
        <w:spacing w:after="100" w:afterAutospacing="1"/>
        <w:ind w:left="284"/>
        <w:rPr>
          <w:color w:val="auto"/>
          <w:lang w:eastAsia="en-GB"/>
        </w:rPr>
      </w:pPr>
    </w:p>
    <w:p w14:paraId="01B28421" w14:textId="5479AD42" w:rsidR="00061CE5" w:rsidRPr="00283A4A" w:rsidRDefault="00F44132" w:rsidP="00FF722F">
      <w:pPr>
        <w:pStyle w:val="ListParagraph"/>
        <w:autoSpaceDE/>
        <w:ind w:left="284"/>
        <w:rPr>
          <w:rFonts w:eastAsiaTheme="minorHAnsi" w:cs="Arial"/>
        </w:rPr>
      </w:pPr>
      <w:r>
        <w:rPr>
          <w:color w:val="auto"/>
          <w:lang w:eastAsia="en-GB"/>
        </w:rPr>
        <w:t xml:space="preserve">This reserve </w:t>
      </w:r>
      <w:r w:rsidR="00061CE5" w:rsidRPr="00283A4A">
        <w:rPr>
          <w:color w:val="auto"/>
          <w:lang w:eastAsia="en-GB"/>
        </w:rPr>
        <w:t>was set up to record extra ordinary income such as the underspend on Capital Financing due to the sale of bonds, and one o</w:t>
      </w:r>
      <w:r w:rsidR="00246A2C">
        <w:rPr>
          <w:color w:val="auto"/>
          <w:lang w:eastAsia="en-GB"/>
        </w:rPr>
        <w:t>ff resources available such as council t</w:t>
      </w:r>
      <w:r w:rsidR="00061CE5" w:rsidRPr="00283A4A">
        <w:rPr>
          <w:color w:val="auto"/>
          <w:lang w:eastAsia="en-GB"/>
        </w:rPr>
        <w:t xml:space="preserve">ax surplus.  This reserve is intended to help the </w:t>
      </w:r>
      <w:r w:rsidR="00E820B6">
        <w:rPr>
          <w:color w:val="auto"/>
          <w:lang w:eastAsia="en-GB"/>
        </w:rPr>
        <w:t>council</w:t>
      </w:r>
      <w:r w:rsidR="00E820B6" w:rsidRPr="00283A4A">
        <w:rPr>
          <w:color w:val="auto"/>
          <w:lang w:eastAsia="en-GB"/>
        </w:rPr>
        <w:t xml:space="preserve"> </w:t>
      </w:r>
      <w:r w:rsidR="00061CE5" w:rsidRPr="00283A4A">
        <w:rPr>
          <w:color w:val="auto"/>
          <w:lang w:eastAsia="en-GB"/>
        </w:rPr>
        <w:t>manage risks to funding and service delivery going forward.</w:t>
      </w:r>
    </w:p>
    <w:p w14:paraId="77EBA48D" w14:textId="77777777" w:rsidR="00D13CB1" w:rsidRPr="003C77A6" w:rsidRDefault="00D13CB1" w:rsidP="00FF722F">
      <w:pPr>
        <w:rPr>
          <w:b/>
          <w:lang w:eastAsia="en-GB"/>
        </w:rPr>
      </w:pPr>
      <w:r w:rsidRPr="003C77A6">
        <w:rPr>
          <w:b/>
          <w:lang w:eastAsia="en-GB"/>
        </w:rPr>
        <w:t>Reserves held to pay for expenditure commitments</w:t>
      </w:r>
    </w:p>
    <w:p w14:paraId="2614A026" w14:textId="77777777" w:rsidR="00D13CB1" w:rsidRPr="003C77A6" w:rsidRDefault="00D13CB1" w:rsidP="00EC401F">
      <w:pPr>
        <w:numPr>
          <w:ilvl w:val="0"/>
          <w:numId w:val="33"/>
        </w:numPr>
        <w:rPr>
          <w:lang w:eastAsia="en-GB"/>
        </w:rPr>
      </w:pPr>
      <w:r w:rsidRPr="003C77A6">
        <w:rPr>
          <w:lang w:eastAsia="en-GB"/>
        </w:rPr>
        <w:t>Funding of capital projects:</w:t>
      </w:r>
    </w:p>
    <w:p w14:paraId="00508D14" w14:textId="77777777" w:rsidR="00D13CB1" w:rsidRPr="003C77A6" w:rsidRDefault="00D13CB1" w:rsidP="00D13CB1">
      <w:pPr>
        <w:ind w:left="360"/>
        <w:rPr>
          <w:lang w:eastAsia="en-GB"/>
        </w:rPr>
      </w:pPr>
      <w:r w:rsidRPr="003C77A6">
        <w:rPr>
          <w:lang w:eastAsia="en-GB"/>
        </w:rPr>
        <w:t>This reserve comprise of revenue monies earmarked to support committed capital projects in the county council capital programme.</w:t>
      </w:r>
    </w:p>
    <w:p w14:paraId="2D40DF61" w14:textId="2E7ACAC3" w:rsidR="00D13CB1" w:rsidRPr="003C77A6" w:rsidRDefault="00D13CB1" w:rsidP="00D13CB1">
      <w:pPr>
        <w:rPr>
          <w:b/>
          <w:lang w:eastAsia="en-GB"/>
        </w:rPr>
      </w:pPr>
      <w:r w:rsidRPr="003C77A6">
        <w:rPr>
          <w:b/>
          <w:lang w:eastAsia="en-GB"/>
        </w:rPr>
        <w:t>Schools</w:t>
      </w:r>
      <w:r w:rsidR="00246A2C">
        <w:rPr>
          <w:b/>
          <w:lang w:eastAsia="en-GB"/>
        </w:rPr>
        <w:t>' r</w:t>
      </w:r>
      <w:r w:rsidRPr="003C77A6">
        <w:rPr>
          <w:b/>
          <w:lang w:eastAsia="en-GB"/>
        </w:rPr>
        <w:t>eserves</w:t>
      </w:r>
    </w:p>
    <w:p w14:paraId="2CC65F09" w14:textId="77777777" w:rsidR="00D13CB1" w:rsidRPr="003C77A6" w:rsidRDefault="00D13CB1" w:rsidP="00EC401F">
      <w:pPr>
        <w:numPr>
          <w:ilvl w:val="0"/>
          <w:numId w:val="33"/>
        </w:numPr>
        <w:rPr>
          <w:lang w:eastAsia="en-GB"/>
        </w:rPr>
      </w:pPr>
      <w:r w:rsidRPr="003C77A6">
        <w:rPr>
          <w:lang w:eastAsia="en-GB"/>
        </w:rPr>
        <w:lastRenderedPageBreak/>
        <w:t>Under the Education Reform Act, schools are given most of their budgets to control.  If a school does not spend its entire budget, we hold it as a reserve for them to use in the future.  This reserve cannot be used for any other purpose.</w:t>
      </w:r>
    </w:p>
    <w:p w14:paraId="5138B97B" w14:textId="77777777" w:rsidR="00D13CB1" w:rsidRPr="003C77A6" w:rsidRDefault="00D13CB1" w:rsidP="00DD2D65">
      <w:pPr>
        <w:ind w:left="360"/>
        <w:rPr>
          <w:lang w:eastAsia="en-GB"/>
        </w:rPr>
      </w:pPr>
      <w:r w:rsidRPr="003C77A6">
        <w:rPr>
          <w:lang w:eastAsia="en-GB"/>
        </w:rPr>
        <w:t>During 201</w:t>
      </w:r>
      <w:r w:rsidR="00DD2D65" w:rsidRPr="003C77A6">
        <w:rPr>
          <w:lang w:eastAsia="en-GB"/>
        </w:rPr>
        <w:t>4</w:t>
      </w:r>
      <w:r w:rsidRPr="003C77A6">
        <w:rPr>
          <w:lang w:eastAsia="en-GB"/>
        </w:rPr>
        <w:t>/1</w:t>
      </w:r>
      <w:r w:rsidR="00DD2D65" w:rsidRPr="003C77A6">
        <w:rPr>
          <w:lang w:eastAsia="en-GB"/>
        </w:rPr>
        <w:t>5</w:t>
      </w:r>
      <w:r w:rsidRPr="003C77A6">
        <w:rPr>
          <w:lang w:eastAsia="en-GB"/>
        </w:rPr>
        <w:t xml:space="preserve"> no schools converted to academies, 292 Schools had an in year deficit and 312 schools operated an in year surplus. At the 31st March 201</w:t>
      </w:r>
      <w:r w:rsidR="00DD2D65" w:rsidRPr="003C77A6">
        <w:rPr>
          <w:lang w:eastAsia="en-GB"/>
        </w:rPr>
        <w:t>5</w:t>
      </w:r>
      <w:r w:rsidRPr="003C77A6">
        <w:rPr>
          <w:lang w:eastAsia="en-GB"/>
        </w:rPr>
        <w:t>, 25 schools had deficit balances.</w:t>
      </w:r>
    </w:p>
    <w:p w14:paraId="08307C07" w14:textId="4FBC91C8" w:rsidR="00DD2D65" w:rsidRPr="003C77A6" w:rsidRDefault="00DD2D65" w:rsidP="00DD2D65">
      <w:pPr>
        <w:rPr>
          <w:b/>
          <w:lang w:eastAsia="en-GB"/>
        </w:rPr>
      </w:pPr>
      <w:r w:rsidRPr="003C77A6">
        <w:rPr>
          <w:b/>
          <w:lang w:eastAsia="en-GB"/>
        </w:rPr>
        <w:t>Reserves he</w:t>
      </w:r>
      <w:r w:rsidR="00246A2C">
        <w:rPr>
          <w:b/>
          <w:lang w:eastAsia="en-GB"/>
        </w:rPr>
        <w:t>ld to meet service priorities (directorate r</w:t>
      </w:r>
      <w:r w:rsidRPr="003C77A6">
        <w:rPr>
          <w:b/>
          <w:lang w:eastAsia="en-GB"/>
        </w:rPr>
        <w:t>eserves)</w:t>
      </w:r>
    </w:p>
    <w:p w14:paraId="4712D1F0" w14:textId="77777777" w:rsidR="0050380D" w:rsidRDefault="00DD2D65" w:rsidP="00987099">
      <w:pPr>
        <w:numPr>
          <w:ilvl w:val="0"/>
          <w:numId w:val="33"/>
        </w:numPr>
        <w:spacing w:after="0"/>
        <w:rPr>
          <w:lang w:eastAsia="en-GB"/>
        </w:rPr>
      </w:pPr>
      <w:r w:rsidRPr="003C77A6">
        <w:rPr>
          <w:lang w:eastAsia="en-GB"/>
        </w:rPr>
        <w:t xml:space="preserve">These earmarked reserves consist of amounts carried forward for specifically agreed projects within directorates. </w:t>
      </w:r>
    </w:p>
    <w:p w14:paraId="38686E72" w14:textId="77777777" w:rsidR="00B3248D" w:rsidRPr="003C77A6" w:rsidRDefault="00B3248D" w:rsidP="008D0533">
      <w:pPr>
        <w:spacing w:after="0"/>
        <w:ind w:left="720"/>
        <w:rPr>
          <w:lang w:eastAsia="en-GB"/>
        </w:rPr>
      </w:pPr>
    </w:p>
    <w:p w14:paraId="3F8B273E" w14:textId="12726425" w:rsidR="00DD2D65" w:rsidRDefault="0050380D" w:rsidP="0050380D">
      <w:pPr>
        <w:pStyle w:val="Heading2"/>
      </w:pPr>
      <w:r w:rsidRPr="00A06955">
        <w:t xml:space="preserve">9. Other </w:t>
      </w:r>
      <w:r w:rsidR="00246A2C">
        <w:t>operating e</w:t>
      </w:r>
      <w:r w:rsidRPr="00A06955">
        <w:t>xpenditure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50380D" w:rsidRPr="008D3771" w14:paraId="013A04D4" w14:textId="77777777" w:rsidTr="00A06955">
        <w:trPr>
          <w:trHeight w:val="369"/>
          <w:tblHeader/>
        </w:trPr>
        <w:tc>
          <w:tcPr>
            <w:tcW w:w="3105" w:type="pct"/>
            <w:shd w:val="clear" w:color="auto" w:fill="D0CECE"/>
            <w:vAlign w:val="bottom"/>
          </w:tcPr>
          <w:p w14:paraId="586D50EF" w14:textId="77777777" w:rsidR="0050380D" w:rsidRPr="00747B0B" w:rsidRDefault="0050380D" w:rsidP="002003E6">
            <w:pPr>
              <w:jc w:val="left"/>
              <w:rPr>
                <w:color w:val="auto"/>
                <w:highlight w:val="yellow"/>
              </w:rPr>
            </w:pPr>
          </w:p>
        </w:tc>
        <w:tc>
          <w:tcPr>
            <w:tcW w:w="929" w:type="pct"/>
            <w:shd w:val="clear" w:color="auto" w:fill="D0CECE"/>
            <w:vAlign w:val="bottom"/>
          </w:tcPr>
          <w:p w14:paraId="74C6D1BD" w14:textId="77777777" w:rsidR="0050380D" w:rsidRPr="00A06955" w:rsidRDefault="0050380D" w:rsidP="002003E6">
            <w:pPr>
              <w:jc w:val="center"/>
              <w:rPr>
                <w:b/>
                <w:color w:val="auto"/>
              </w:rPr>
            </w:pPr>
            <w:r w:rsidRPr="00A06955">
              <w:rPr>
                <w:b/>
                <w:color w:val="auto"/>
              </w:rPr>
              <w:t>2014/15</w:t>
            </w:r>
          </w:p>
        </w:tc>
        <w:tc>
          <w:tcPr>
            <w:tcW w:w="966" w:type="pct"/>
            <w:shd w:val="clear" w:color="auto" w:fill="D0CECE"/>
            <w:vAlign w:val="bottom"/>
          </w:tcPr>
          <w:p w14:paraId="0A69359A" w14:textId="77777777" w:rsidR="0050380D" w:rsidRPr="008D3771" w:rsidRDefault="0050380D" w:rsidP="002003E6">
            <w:pPr>
              <w:jc w:val="center"/>
              <w:rPr>
                <w:b/>
                <w:color w:val="auto"/>
              </w:rPr>
            </w:pPr>
            <w:r>
              <w:rPr>
                <w:b/>
                <w:color w:val="auto"/>
              </w:rPr>
              <w:t>2013/14</w:t>
            </w:r>
          </w:p>
        </w:tc>
      </w:tr>
      <w:tr w:rsidR="0050380D" w:rsidRPr="008D3771" w14:paraId="21297D45" w14:textId="77777777" w:rsidTr="00A06955">
        <w:trPr>
          <w:trHeight w:val="369"/>
          <w:tblHeader/>
        </w:trPr>
        <w:tc>
          <w:tcPr>
            <w:tcW w:w="3105" w:type="pct"/>
            <w:shd w:val="clear" w:color="auto" w:fill="D0CECE"/>
            <w:vAlign w:val="bottom"/>
          </w:tcPr>
          <w:p w14:paraId="29D7EF1E" w14:textId="77777777" w:rsidR="0050380D" w:rsidRPr="00747B0B" w:rsidRDefault="0050380D" w:rsidP="002003E6">
            <w:pPr>
              <w:jc w:val="left"/>
              <w:rPr>
                <w:color w:val="auto"/>
                <w:highlight w:val="yellow"/>
              </w:rPr>
            </w:pPr>
          </w:p>
        </w:tc>
        <w:tc>
          <w:tcPr>
            <w:tcW w:w="929" w:type="pct"/>
            <w:shd w:val="clear" w:color="auto" w:fill="D0CECE"/>
            <w:vAlign w:val="bottom"/>
          </w:tcPr>
          <w:p w14:paraId="5BFD0AEB" w14:textId="77777777" w:rsidR="0050380D" w:rsidRPr="00A06955" w:rsidRDefault="0050380D" w:rsidP="002003E6">
            <w:pPr>
              <w:jc w:val="center"/>
              <w:rPr>
                <w:b/>
                <w:color w:val="auto"/>
              </w:rPr>
            </w:pPr>
            <w:r w:rsidRPr="00A06955">
              <w:rPr>
                <w:b/>
                <w:color w:val="auto"/>
              </w:rPr>
              <w:t>£m</w:t>
            </w:r>
          </w:p>
        </w:tc>
        <w:tc>
          <w:tcPr>
            <w:tcW w:w="966" w:type="pct"/>
            <w:shd w:val="clear" w:color="auto" w:fill="D0CECE"/>
            <w:vAlign w:val="bottom"/>
          </w:tcPr>
          <w:p w14:paraId="1598C77B" w14:textId="77777777" w:rsidR="0050380D" w:rsidRPr="008D3771" w:rsidRDefault="0050380D" w:rsidP="002003E6">
            <w:pPr>
              <w:jc w:val="center"/>
              <w:rPr>
                <w:b/>
                <w:color w:val="auto"/>
              </w:rPr>
            </w:pPr>
            <w:r w:rsidRPr="008D3771">
              <w:rPr>
                <w:b/>
                <w:color w:val="auto"/>
              </w:rPr>
              <w:t>£m</w:t>
            </w:r>
          </w:p>
        </w:tc>
      </w:tr>
      <w:tr w:rsidR="0050380D" w:rsidRPr="008D3771" w14:paraId="00C6CC82" w14:textId="77777777" w:rsidTr="00F707A2">
        <w:trPr>
          <w:trHeight w:val="369"/>
        </w:trPr>
        <w:tc>
          <w:tcPr>
            <w:tcW w:w="3105" w:type="pct"/>
            <w:shd w:val="clear" w:color="auto" w:fill="auto"/>
            <w:vAlign w:val="bottom"/>
          </w:tcPr>
          <w:p w14:paraId="4FB793C3" w14:textId="77777777" w:rsidR="0050380D" w:rsidRPr="00A06955" w:rsidRDefault="0050380D" w:rsidP="002003E6">
            <w:pPr>
              <w:jc w:val="left"/>
              <w:rPr>
                <w:color w:val="auto"/>
              </w:rPr>
            </w:pPr>
            <w:r w:rsidRPr="00A06955">
              <w:rPr>
                <w:color w:val="auto"/>
              </w:rPr>
              <w:t>Levies for flood defences and inshore fisheries and conservation authorities</w:t>
            </w:r>
          </w:p>
        </w:tc>
        <w:tc>
          <w:tcPr>
            <w:tcW w:w="929" w:type="pct"/>
            <w:tcBorders>
              <w:bottom w:val="nil"/>
            </w:tcBorders>
            <w:shd w:val="clear" w:color="auto" w:fill="auto"/>
            <w:vAlign w:val="bottom"/>
          </w:tcPr>
          <w:p w14:paraId="50AC758F" w14:textId="495AF1B2" w:rsidR="0050380D" w:rsidRPr="00A06955" w:rsidRDefault="0026428F" w:rsidP="0050380D">
            <w:pPr>
              <w:tabs>
                <w:tab w:val="decimal" w:pos="1026"/>
              </w:tabs>
              <w:rPr>
                <w:color w:val="auto"/>
              </w:rPr>
            </w:pPr>
            <w:r w:rsidRPr="00A06955">
              <w:rPr>
                <w:color w:val="auto"/>
              </w:rPr>
              <w:t>1.0</w:t>
            </w:r>
          </w:p>
        </w:tc>
        <w:tc>
          <w:tcPr>
            <w:tcW w:w="966" w:type="pct"/>
            <w:tcBorders>
              <w:bottom w:val="nil"/>
            </w:tcBorders>
            <w:shd w:val="clear" w:color="auto" w:fill="auto"/>
            <w:vAlign w:val="bottom"/>
          </w:tcPr>
          <w:p w14:paraId="0326C100" w14:textId="77777777" w:rsidR="0050380D" w:rsidRPr="008D3771" w:rsidRDefault="0050380D" w:rsidP="0050380D">
            <w:pPr>
              <w:tabs>
                <w:tab w:val="decimal" w:pos="1026"/>
              </w:tabs>
              <w:rPr>
                <w:color w:val="auto"/>
              </w:rPr>
            </w:pPr>
            <w:r>
              <w:rPr>
                <w:color w:val="auto"/>
              </w:rPr>
              <w:t>0.8</w:t>
            </w:r>
          </w:p>
        </w:tc>
      </w:tr>
      <w:tr w:rsidR="0050380D" w:rsidRPr="008D3771" w14:paraId="534D415E" w14:textId="77777777" w:rsidTr="00A06955">
        <w:trPr>
          <w:trHeight w:val="369"/>
        </w:trPr>
        <w:tc>
          <w:tcPr>
            <w:tcW w:w="3105" w:type="pct"/>
            <w:shd w:val="clear" w:color="auto" w:fill="auto"/>
            <w:vAlign w:val="bottom"/>
          </w:tcPr>
          <w:p w14:paraId="65A050D9" w14:textId="40F703B2" w:rsidR="0050380D" w:rsidRPr="00A06955" w:rsidRDefault="0050380D">
            <w:pPr>
              <w:jc w:val="left"/>
              <w:rPr>
                <w:color w:val="auto"/>
              </w:rPr>
            </w:pPr>
            <w:r w:rsidRPr="00A06955">
              <w:rPr>
                <w:color w:val="auto"/>
              </w:rPr>
              <w:t>(Gains)/losses on the disposal of non</w:t>
            </w:r>
            <w:r w:rsidR="00E24FE4" w:rsidRPr="00A06955">
              <w:rPr>
                <w:color w:val="auto"/>
              </w:rPr>
              <w:t>-</w:t>
            </w:r>
            <w:r w:rsidRPr="00A06955">
              <w:rPr>
                <w:color w:val="auto"/>
              </w:rPr>
              <w:t>current assets</w:t>
            </w:r>
          </w:p>
        </w:tc>
        <w:tc>
          <w:tcPr>
            <w:tcW w:w="929" w:type="pct"/>
            <w:tcBorders>
              <w:top w:val="nil"/>
              <w:bottom w:val="nil"/>
            </w:tcBorders>
            <w:shd w:val="clear" w:color="auto" w:fill="auto"/>
            <w:vAlign w:val="bottom"/>
          </w:tcPr>
          <w:p w14:paraId="524A7974" w14:textId="5AF8AF04" w:rsidR="0050380D" w:rsidRPr="00A06955" w:rsidRDefault="00E80A5D" w:rsidP="008523A5">
            <w:pPr>
              <w:tabs>
                <w:tab w:val="decimal" w:pos="1026"/>
              </w:tabs>
              <w:rPr>
                <w:color w:val="auto"/>
              </w:rPr>
            </w:pPr>
            <w:r>
              <w:rPr>
                <w:color w:val="auto"/>
              </w:rPr>
              <w:t>(7.</w:t>
            </w:r>
            <w:r w:rsidR="008523A5">
              <w:rPr>
                <w:color w:val="auto"/>
              </w:rPr>
              <w:t>0</w:t>
            </w:r>
            <w:r w:rsidR="00E9654A">
              <w:rPr>
                <w:color w:val="auto"/>
              </w:rPr>
              <w:t>)</w:t>
            </w:r>
          </w:p>
        </w:tc>
        <w:tc>
          <w:tcPr>
            <w:tcW w:w="966" w:type="pct"/>
            <w:tcBorders>
              <w:top w:val="nil"/>
              <w:bottom w:val="nil"/>
            </w:tcBorders>
            <w:shd w:val="clear" w:color="auto" w:fill="auto"/>
            <w:vAlign w:val="bottom"/>
          </w:tcPr>
          <w:p w14:paraId="0E224211" w14:textId="77777777" w:rsidR="0050380D" w:rsidRPr="008D3771" w:rsidRDefault="0050380D" w:rsidP="0050380D">
            <w:pPr>
              <w:tabs>
                <w:tab w:val="decimal" w:pos="1026"/>
              </w:tabs>
              <w:rPr>
                <w:color w:val="auto"/>
              </w:rPr>
            </w:pPr>
            <w:r>
              <w:rPr>
                <w:color w:val="auto"/>
              </w:rPr>
              <w:t>31.3</w:t>
            </w:r>
          </w:p>
        </w:tc>
      </w:tr>
      <w:tr w:rsidR="0059752F" w:rsidRPr="008D3771" w14:paraId="10326CC0" w14:textId="77777777" w:rsidTr="00A06955">
        <w:trPr>
          <w:trHeight w:val="369"/>
        </w:trPr>
        <w:tc>
          <w:tcPr>
            <w:tcW w:w="3105" w:type="pct"/>
            <w:shd w:val="clear" w:color="auto" w:fill="auto"/>
            <w:vAlign w:val="bottom"/>
          </w:tcPr>
          <w:p w14:paraId="37B12383" w14:textId="3F2A265A" w:rsidR="0059752F" w:rsidRPr="0059752F" w:rsidRDefault="0059752F">
            <w:pPr>
              <w:jc w:val="left"/>
              <w:rPr>
                <w:color w:val="auto"/>
              </w:rPr>
            </w:pPr>
            <w:r>
              <w:rPr>
                <w:color w:val="auto"/>
              </w:rPr>
              <w:t>Other operating income</w:t>
            </w:r>
            <w:r w:rsidR="00E44E58">
              <w:rPr>
                <w:color w:val="auto"/>
              </w:rPr>
              <w:t>/expenditure</w:t>
            </w:r>
          </w:p>
        </w:tc>
        <w:tc>
          <w:tcPr>
            <w:tcW w:w="929" w:type="pct"/>
            <w:tcBorders>
              <w:top w:val="nil"/>
              <w:bottom w:val="single" w:sz="4" w:space="0" w:color="auto"/>
            </w:tcBorders>
            <w:shd w:val="clear" w:color="auto" w:fill="auto"/>
            <w:vAlign w:val="bottom"/>
          </w:tcPr>
          <w:p w14:paraId="21AC2252" w14:textId="115F17D4" w:rsidR="0059752F" w:rsidRPr="0059752F" w:rsidDel="0077740B" w:rsidRDefault="0059752F" w:rsidP="008523A5">
            <w:pPr>
              <w:tabs>
                <w:tab w:val="decimal" w:pos="1026"/>
              </w:tabs>
              <w:rPr>
                <w:color w:val="auto"/>
              </w:rPr>
            </w:pPr>
            <w:r>
              <w:rPr>
                <w:color w:val="auto"/>
              </w:rPr>
              <w:t>(0.</w:t>
            </w:r>
            <w:r w:rsidR="008523A5">
              <w:rPr>
                <w:color w:val="auto"/>
              </w:rPr>
              <w:t>3</w:t>
            </w:r>
            <w:r>
              <w:rPr>
                <w:color w:val="auto"/>
              </w:rPr>
              <w:t>)</w:t>
            </w:r>
          </w:p>
        </w:tc>
        <w:tc>
          <w:tcPr>
            <w:tcW w:w="966" w:type="pct"/>
            <w:tcBorders>
              <w:top w:val="nil"/>
              <w:bottom w:val="single" w:sz="4" w:space="0" w:color="auto"/>
            </w:tcBorders>
            <w:shd w:val="clear" w:color="auto" w:fill="auto"/>
            <w:vAlign w:val="bottom"/>
          </w:tcPr>
          <w:p w14:paraId="63AD7370" w14:textId="6C9ACDED" w:rsidR="0059752F" w:rsidRPr="00103704" w:rsidRDefault="00495C7F" w:rsidP="00103704">
            <w:pPr>
              <w:tabs>
                <w:tab w:val="decimal" w:pos="1026"/>
              </w:tabs>
              <w:rPr>
                <w:color w:val="auto"/>
                <w:vertAlign w:val="superscript"/>
              </w:rPr>
            </w:pPr>
            <w:r>
              <w:rPr>
                <w:color w:val="auto"/>
              </w:rPr>
              <w:t>-</w:t>
            </w:r>
          </w:p>
        </w:tc>
      </w:tr>
      <w:tr w:rsidR="0050380D" w:rsidRPr="0050380D" w14:paraId="0FA9380C" w14:textId="77777777" w:rsidTr="00A06955">
        <w:trPr>
          <w:trHeight w:val="369"/>
        </w:trPr>
        <w:tc>
          <w:tcPr>
            <w:tcW w:w="3105" w:type="pct"/>
            <w:shd w:val="clear" w:color="auto" w:fill="auto"/>
            <w:vAlign w:val="bottom"/>
          </w:tcPr>
          <w:p w14:paraId="55D1A005" w14:textId="77777777" w:rsidR="0050380D" w:rsidRPr="00A06955" w:rsidRDefault="0050380D" w:rsidP="002003E6">
            <w:pPr>
              <w:jc w:val="left"/>
              <w:rPr>
                <w:b/>
                <w:color w:val="auto"/>
              </w:rPr>
            </w:pPr>
            <w:r w:rsidRPr="00A06955">
              <w:rPr>
                <w:b/>
                <w:color w:val="auto"/>
              </w:rPr>
              <w:t>Total</w:t>
            </w:r>
          </w:p>
        </w:tc>
        <w:tc>
          <w:tcPr>
            <w:tcW w:w="929" w:type="pct"/>
            <w:tcBorders>
              <w:top w:val="single" w:sz="4" w:space="0" w:color="auto"/>
              <w:bottom w:val="single" w:sz="4" w:space="0" w:color="auto"/>
            </w:tcBorders>
            <w:shd w:val="clear" w:color="auto" w:fill="auto"/>
            <w:vAlign w:val="bottom"/>
          </w:tcPr>
          <w:p w14:paraId="65F4B6BB" w14:textId="7F1EFBAA" w:rsidR="0050380D" w:rsidRPr="00A06955" w:rsidRDefault="00E9654A" w:rsidP="000727B1">
            <w:pPr>
              <w:tabs>
                <w:tab w:val="decimal" w:pos="1026"/>
              </w:tabs>
              <w:rPr>
                <w:b/>
                <w:color w:val="auto"/>
              </w:rPr>
            </w:pPr>
            <w:r w:rsidRPr="003253A2">
              <w:rPr>
                <w:b/>
                <w:color w:val="auto"/>
              </w:rPr>
              <w:t>(6.</w:t>
            </w:r>
            <w:r w:rsidR="000727B1">
              <w:rPr>
                <w:b/>
                <w:color w:val="auto"/>
              </w:rPr>
              <w:t>3</w:t>
            </w:r>
            <w:r w:rsidRPr="003253A2">
              <w:rPr>
                <w:b/>
                <w:color w:val="auto"/>
              </w:rPr>
              <w:t>)</w:t>
            </w:r>
          </w:p>
        </w:tc>
        <w:tc>
          <w:tcPr>
            <w:tcW w:w="966" w:type="pct"/>
            <w:tcBorders>
              <w:top w:val="single" w:sz="4" w:space="0" w:color="auto"/>
              <w:bottom w:val="single" w:sz="4" w:space="0" w:color="auto"/>
            </w:tcBorders>
            <w:shd w:val="clear" w:color="auto" w:fill="auto"/>
            <w:vAlign w:val="bottom"/>
          </w:tcPr>
          <w:p w14:paraId="781318BE" w14:textId="2E4EA616" w:rsidR="0050380D" w:rsidRPr="0050380D" w:rsidRDefault="0050380D" w:rsidP="00495C7F">
            <w:pPr>
              <w:tabs>
                <w:tab w:val="decimal" w:pos="1026"/>
              </w:tabs>
              <w:rPr>
                <w:b/>
                <w:color w:val="auto"/>
              </w:rPr>
            </w:pPr>
            <w:r w:rsidRPr="00A06955">
              <w:rPr>
                <w:b/>
                <w:color w:val="auto"/>
              </w:rPr>
              <w:t>32.</w:t>
            </w:r>
            <w:r w:rsidR="00495C7F">
              <w:rPr>
                <w:b/>
                <w:color w:val="auto"/>
              </w:rPr>
              <w:t>1</w:t>
            </w:r>
          </w:p>
        </w:tc>
      </w:tr>
    </w:tbl>
    <w:p w14:paraId="1A576935" w14:textId="77777777" w:rsidR="00C03F5F" w:rsidRDefault="00C03F5F" w:rsidP="0050380D">
      <w:pPr>
        <w:rPr>
          <w:lang w:eastAsia="en-GB"/>
        </w:rPr>
      </w:pPr>
    </w:p>
    <w:p w14:paraId="266BD7F8" w14:textId="05671261" w:rsidR="00F707A2" w:rsidRPr="007818AC" w:rsidRDefault="00246A2C" w:rsidP="00F707A2">
      <w:pPr>
        <w:pStyle w:val="Heading2"/>
      </w:pPr>
      <w:r>
        <w:lastRenderedPageBreak/>
        <w:t>10. Financing and investment income and e</w:t>
      </w:r>
      <w:r w:rsidR="00F707A2" w:rsidRPr="007818AC">
        <w:t>xpenditure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27"/>
        <w:gridCol w:w="2065"/>
        <w:gridCol w:w="1958"/>
      </w:tblGrid>
      <w:tr w:rsidR="00F707A2" w:rsidRPr="007818AC" w14:paraId="64BE1579" w14:textId="77777777" w:rsidTr="00A06955">
        <w:trPr>
          <w:trHeight w:val="369"/>
          <w:tblHeader/>
        </w:trPr>
        <w:tc>
          <w:tcPr>
            <w:tcW w:w="3075" w:type="pct"/>
            <w:shd w:val="clear" w:color="auto" w:fill="D0CECE"/>
            <w:vAlign w:val="bottom"/>
          </w:tcPr>
          <w:p w14:paraId="12490409" w14:textId="77777777" w:rsidR="00F707A2" w:rsidRPr="007818AC" w:rsidRDefault="00F707A2" w:rsidP="002003E6">
            <w:pPr>
              <w:jc w:val="left"/>
              <w:rPr>
                <w:color w:val="auto"/>
              </w:rPr>
            </w:pPr>
          </w:p>
        </w:tc>
        <w:tc>
          <w:tcPr>
            <w:tcW w:w="988" w:type="pct"/>
            <w:shd w:val="clear" w:color="auto" w:fill="D0CECE"/>
            <w:vAlign w:val="bottom"/>
          </w:tcPr>
          <w:p w14:paraId="162C96ED" w14:textId="77777777" w:rsidR="00F707A2" w:rsidRPr="007818AC" w:rsidRDefault="00F707A2" w:rsidP="002003E6">
            <w:pPr>
              <w:jc w:val="center"/>
              <w:rPr>
                <w:b/>
                <w:color w:val="auto"/>
              </w:rPr>
            </w:pPr>
            <w:r w:rsidRPr="007818AC">
              <w:rPr>
                <w:b/>
                <w:color w:val="auto"/>
              </w:rPr>
              <w:t>2014/15</w:t>
            </w:r>
          </w:p>
        </w:tc>
        <w:tc>
          <w:tcPr>
            <w:tcW w:w="937" w:type="pct"/>
            <w:shd w:val="clear" w:color="auto" w:fill="D0CECE"/>
            <w:vAlign w:val="bottom"/>
          </w:tcPr>
          <w:p w14:paraId="47A6CAC7" w14:textId="77777777" w:rsidR="00F707A2" w:rsidRPr="007818AC" w:rsidRDefault="00F707A2" w:rsidP="002003E6">
            <w:pPr>
              <w:jc w:val="center"/>
              <w:rPr>
                <w:b/>
                <w:color w:val="auto"/>
              </w:rPr>
            </w:pPr>
            <w:r w:rsidRPr="007818AC">
              <w:rPr>
                <w:b/>
                <w:color w:val="auto"/>
              </w:rPr>
              <w:t>2013/14</w:t>
            </w:r>
          </w:p>
        </w:tc>
      </w:tr>
      <w:tr w:rsidR="00F707A2" w:rsidRPr="007818AC" w14:paraId="6602D87C" w14:textId="77777777" w:rsidTr="00A06955">
        <w:trPr>
          <w:trHeight w:val="524"/>
          <w:tblHeader/>
        </w:trPr>
        <w:tc>
          <w:tcPr>
            <w:tcW w:w="3075" w:type="pct"/>
            <w:shd w:val="clear" w:color="auto" w:fill="D0CECE"/>
            <w:vAlign w:val="bottom"/>
          </w:tcPr>
          <w:p w14:paraId="6B4AB359" w14:textId="77777777" w:rsidR="00F707A2" w:rsidRPr="007818AC" w:rsidRDefault="00F707A2" w:rsidP="002003E6">
            <w:pPr>
              <w:jc w:val="left"/>
              <w:rPr>
                <w:color w:val="auto"/>
              </w:rPr>
            </w:pPr>
          </w:p>
        </w:tc>
        <w:tc>
          <w:tcPr>
            <w:tcW w:w="988" w:type="pct"/>
            <w:shd w:val="clear" w:color="auto" w:fill="D0CECE"/>
            <w:vAlign w:val="bottom"/>
          </w:tcPr>
          <w:p w14:paraId="2BCF48DB" w14:textId="77777777" w:rsidR="00F707A2" w:rsidRPr="007818AC" w:rsidRDefault="00F707A2" w:rsidP="002003E6">
            <w:pPr>
              <w:jc w:val="center"/>
              <w:rPr>
                <w:b/>
                <w:color w:val="auto"/>
              </w:rPr>
            </w:pPr>
            <w:r w:rsidRPr="007818AC">
              <w:rPr>
                <w:b/>
                <w:color w:val="auto"/>
              </w:rPr>
              <w:t>£m</w:t>
            </w:r>
          </w:p>
        </w:tc>
        <w:tc>
          <w:tcPr>
            <w:tcW w:w="937" w:type="pct"/>
            <w:shd w:val="clear" w:color="auto" w:fill="D0CECE"/>
            <w:vAlign w:val="bottom"/>
          </w:tcPr>
          <w:p w14:paraId="4A2AC636" w14:textId="77777777" w:rsidR="00F707A2" w:rsidRPr="007818AC" w:rsidRDefault="00F707A2" w:rsidP="002003E6">
            <w:pPr>
              <w:jc w:val="center"/>
              <w:rPr>
                <w:b/>
                <w:color w:val="auto"/>
              </w:rPr>
            </w:pPr>
            <w:r w:rsidRPr="007818AC">
              <w:rPr>
                <w:b/>
                <w:color w:val="auto"/>
              </w:rPr>
              <w:t>£m</w:t>
            </w:r>
          </w:p>
        </w:tc>
      </w:tr>
      <w:tr w:rsidR="00F707A2" w:rsidRPr="007818AC" w14:paraId="494692FA" w14:textId="77777777" w:rsidTr="00A06955">
        <w:trPr>
          <w:trHeight w:val="369"/>
        </w:trPr>
        <w:tc>
          <w:tcPr>
            <w:tcW w:w="3075" w:type="pct"/>
            <w:shd w:val="clear" w:color="auto" w:fill="auto"/>
            <w:vAlign w:val="bottom"/>
          </w:tcPr>
          <w:p w14:paraId="16380935" w14:textId="77777777" w:rsidR="00F707A2" w:rsidRPr="007818AC" w:rsidRDefault="00F707A2" w:rsidP="002003E6">
            <w:pPr>
              <w:jc w:val="left"/>
              <w:rPr>
                <w:color w:val="auto"/>
              </w:rPr>
            </w:pPr>
            <w:r w:rsidRPr="007818AC">
              <w:rPr>
                <w:color w:val="auto"/>
              </w:rPr>
              <w:t>Interest payable and similar charges</w:t>
            </w:r>
          </w:p>
        </w:tc>
        <w:tc>
          <w:tcPr>
            <w:tcW w:w="988" w:type="pct"/>
            <w:tcBorders>
              <w:bottom w:val="nil"/>
            </w:tcBorders>
            <w:shd w:val="clear" w:color="auto" w:fill="auto"/>
            <w:vAlign w:val="bottom"/>
          </w:tcPr>
          <w:p w14:paraId="7EC5E8E7" w14:textId="77777777" w:rsidR="00F707A2" w:rsidRPr="0059752F" w:rsidRDefault="007818AC" w:rsidP="002003E6">
            <w:pPr>
              <w:tabs>
                <w:tab w:val="decimal" w:pos="1026"/>
              </w:tabs>
              <w:rPr>
                <w:color w:val="auto"/>
              </w:rPr>
            </w:pPr>
            <w:r w:rsidRPr="0059752F">
              <w:rPr>
                <w:color w:val="auto"/>
              </w:rPr>
              <w:t>17.9</w:t>
            </w:r>
          </w:p>
        </w:tc>
        <w:tc>
          <w:tcPr>
            <w:tcW w:w="937" w:type="pct"/>
            <w:tcBorders>
              <w:bottom w:val="nil"/>
            </w:tcBorders>
            <w:shd w:val="clear" w:color="auto" w:fill="auto"/>
            <w:vAlign w:val="bottom"/>
          </w:tcPr>
          <w:p w14:paraId="0984DE08" w14:textId="77777777" w:rsidR="00F707A2" w:rsidRPr="007818AC" w:rsidRDefault="00F20B94" w:rsidP="002003E6">
            <w:pPr>
              <w:tabs>
                <w:tab w:val="decimal" w:pos="1026"/>
              </w:tabs>
              <w:rPr>
                <w:color w:val="auto"/>
              </w:rPr>
            </w:pPr>
            <w:r w:rsidRPr="007818AC">
              <w:rPr>
                <w:color w:val="auto"/>
              </w:rPr>
              <w:t>17.1</w:t>
            </w:r>
          </w:p>
        </w:tc>
      </w:tr>
      <w:tr w:rsidR="00F707A2" w:rsidRPr="007818AC" w14:paraId="09F2612F" w14:textId="77777777" w:rsidTr="00A06955">
        <w:trPr>
          <w:trHeight w:val="369"/>
        </w:trPr>
        <w:tc>
          <w:tcPr>
            <w:tcW w:w="3075" w:type="pct"/>
            <w:shd w:val="clear" w:color="auto" w:fill="auto"/>
            <w:vAlign w:val="bottom"/>
          </w:tcPr>
          <w:p w14:paraId="338151E5" w14:textId="77777777" w:rsidR="00F707A2" w:rsidRPr="007818AC" w:rsidRDefault="00F707A2" w:rsidP="002003E6">
            <w:pPr>
              <w:jc w:val="left"/>
              <w:rPr>
                <w:color w:val="auto"/>
              </w:rPr>
            </w:pPr>
            <w:r w:rsidRPr="007818AC">
              <w:rPr>
                <w:color w:val="auto"/>
              </w:rPr>
              <w:t>Interest payable on PFI unitary payments</w:t>
            </w:r>
          </w:p>
        </w:tc>
        <w:tc>
          <w:tcPr>
            <w:tcW w:w="988" w:type="pct"/>
            <w:tcBorders>
              <w:bottom w:val="nil"/>
            </w:tcBorders>
            <w:shd w:val="clear" w:color="auto" w:fill="auto"/>
            <w:vAlign w:val="bottom"/>
          </w:tcPr>
          <w:p w14:paraId="032F8634" w14:textId="6ADF413D" w:rsidR="00F707A2" w:rsidRPr="0059752F" w:rsidRDefault="00371403" w:rsidP="002003E6">
            <w:pPr>
              <w:tabs>
                <w:tab w:val="decimal" w:pos="1026"/>
              </w:tabs>
              <w:rPr>
                <w:color w:val="auto"/>
              </w:rPr>
            </w:pPr>
            <w:r>
              <w:rPr>
                <w:color w:val="auto"/>
              </w:rPr>
              <w:t>26.2</w:t>
            </w:r>
          </w:p>
        </w:tc>
        <w:tc>
          <w:tcPr>
            <w:tcW w:w="937" w:type="pct"/>
            <w:tcBorders>
              <w:bottom w:val="nil"/>
            </w:tcBorders>
            <w:shd w:val="clear" w:color="auto" w:fill="auto"/>
            <w:vAlign w:val="bottom"/>
          </w:tcPr>
          <w:p w14:paraId="513C1B5B" w14:textId="77777777" w:rsidR="00F707A2" w:rsidRPr="007818AC" w:rsidRDefault="00F20B94" w:rsidP="002003E6">
            <w:pPr>
              <w:tabs>
                <w:tab w:val="decimal" w:pos="1026"/>
              </w:tabs>
              <w:rPr>
                <w:color w:val="auto"/>
              </w:rPr>
            </w:pPr>
            <w:r w:rsidRPr="007818AC">
              <w:rPr>
                <w:color w:val="auto"/>
              </w:rPr>
              <w:t>46.6</w:t>
            </w:r>
          </w:p>
        </w:tc>
      </w:tr>
      <w:tr w:rsidR="00950383" w:rsidRPr="007818AC" w14:paraId="7DC13E3F" w14:textId="77777777" w:rsidTr="00A06955">
        <w:trPr>
          <w:trHeight w:val="369"/>
        </w:trPr>
        <w:tc>
          <w:tcPr>
            <w:tcW w:w="3075" w:type="pct"/>
            <w:shd w:val="clear" w:color="auto" w:fill="auto"/>
            <w:vAlign w:val="bottom"/>
          </w:tcPr>
          <w:p w14:paraId="1A08C2BC" w14:textId="5CEEA6B7" w:rsidR="00950383" w:rsidRPr="00950383" w:rsidRDefault="00950383">
            <w:pPr>
              <w:jc w:val="left"/>
              <w:rPr>
                <w:color w:val="auto"/>
              </w:rPr>
            </w:pPr>
            <w:r w:rsidRPr="00950383">
              <w:rPr>
                <w:color w:val="auto"/>
              </w:rPr>
              <w:t xml:space="preserve">Premium on </w:t>
            </w:r>
            <w:r>
              <w:rPr>
                <w:color w:val="auto"/>
              </w:rPr>
              <w:t>early repayment of debt</w:t>
            </w:r>
            <w:r w:rsidR="00827047">
              <w:rPr>
                <w:color w:val="auto"/>
              </w:rPr>
              <w:t xml:space="preserve"> </w:t>
            </w:r>
          </w:p>
        </w:tc>
        <w:tc>
          <w:tcPr>
            <w:tcW w:w="988" w:type="pct"/>
            <w:tcBorders>
              <w:bottom w:val="nil"/>
            </w:tcBorders>
            <w:shd w:val="clear" w:color="auto" w:fill="auto"/>
            <w:vAlign w:val="bottom"/>
          </w:tcPr>
          <w:p w14:paraId="5D236DB4" w14:textId="583DF309" w:rsidR="00950383" w:rsidRPr="00103704" w:rsidRDefault="00950383" w:rsidP="00103704">
            <w:pPr>
              <w:tabs>
                <w:tab w:val="decimal" w:pos="1026"/>
              </w:tabs>
              <w:rPr>
                <w:color w:val="auto"/>
                <w:vertAlign w:val="superscript"/>
              </w:rPr>
            </w:pPr>
            <w:r>
              <w:rPr>
                <w:color w:val="auto"/>
              </w:rPr>
              <w:t>24.3</w:t>
            </w:r>
            <w:r w:rsidR="00103704" w:rsidRPr="00FF722F">
              <w:rPr>
                <w:color w:val="auto"/>
                <w:sz w:val="20"/>
                <w:szCs w:val="20"/>
                <w:vertAlign w:val="superscript"/>
              </w:rPr>
              <w:t>1</w:t>
            </w:r>
          </w:p>
        </w:tc>
        <w:tc>
          <w:tcPr>
            <w:tcW w:w="937" w:type="pct"/>
            <w:tcBorders>
              <w:bottom w:val="nil"/>
            </w:tcBorders>
            <w:shd w:val="clear" w:color="auto" w:fill="auto"/>
            <w:vAlign w:val="bottom"/>
          </w:tcPr>
          <w:p w14:paraId="33347034" w14:textId="11DEBE3E" w:rsidR="00950383" w:rsidRPr="007818AC" w:rsidRDefault="00950383" w:rsidP="002003E6">
            <w:pPr>
              <w:tabs>
                <w:tab w:val="decimal" w:pos="1026"/>
              </w:tabs>
              <w:rPr>
                <w:color w:val="auto"/>
              </w:rPr>
            </w:pPr>
            <w:r>
              <w:rPr>
                <w:color w:val="auto"/>
              </w:rPr>
              <w:t>-</w:t>
            </w:r>
          </w:p>
        </w:tc>
      </w:tr>
      <w:tr w:rsidR="00F707A2" w:rsidRPr="007818AC" w14:paraId="6DE8B56A" w14:textId="77777777" w:rsidTr="00A06955">
        <w:trPr>
          <w:trHeight w:val="369"/>
        </w:trPr>
        <w:tc>
          <w:tcPr>
            <w:tcW w:w="3075" w:type="pct"/>
            <w:shd w:val="clear" w:color="auto" w:fill="auto"/>
            <w:vAlign w:val="bottom"/>
          </w:tcPr>
          <w:p w14:paraId="43148084" w14:textId="77777777" w:rsidR="00F707A2" w:rsidRPr="007818AC" w:rsidRDefault="00F707A2" w:rsidP="002003E6">
            <w:pPr>
              <w:jc w:val="left"/>
              <w:rPr>
                <w:color w:val="auto"/>
              </w:rPr>
            </w:pPr>
            <w:r w:rsidRPr="007818AC">
              <w:rPr>
                <w:color w:val="auto"/>
              </w:rPr>
              <w:t>Net interest on the net defined benefit liability</w:t>
            </w:r>
          </w:p>
        </w:tc>
        <w:tc>
          <w:tcPr>
            <w:tcW w:w="988" w:type="pct"/>
            <w:tcBorders>
              <w:bottom w:val="nil"/>
            </w:tcBorders>
            <w:shd w:val="clear" w:color="auto" w:fill="auto"/>
            <w:vAlign w:val="bottom"/>
          </w:tcPr>
          <w:p w14:paraId="049323BF" w14:textId="77777777" w:rsidR="00F707A2" w:rsidRPr="0059752F" w:rsidRDefault="007818AC" w:rsidP="002003E6">
            <w:pPr>
              <w:tabs>
                <w:tab w:val="decimal" w:pos="1026"/>
              </w:tabs>
              <w:rPr>
                <w:color w:val="auto"/>
              </w:rPr>
            </w:pPr>
            <w:r w:rsidRPr="0059752F">
              <w:rPr>
                <w:color w:val="auto"/>
              </w:rPr>
              <w:t>37.6</w:t>
            </w:r>
          </w:p>
        </w:tc>
        <w:tc>
          <w:tcPr>
            <w:tcW w:w="937" w:type="pct"/>
            <w:tcBorders>
              <w:bottom w:val="nil"/>
            </w:tcBorders>
            <w:shd w:val="clear" w:color="auto" w:fill="auto"/>
            <w:vAlign w:val="bottom"/>
          </w:tcPr>
          <w:p w14:paraId="1BCEF70F" w14:textId="77777777" w:rsidR="00F707A2" w:rsidRPr="007818AC" w:rsidRDefault="00F20B94" w:rsidP="002003E6">
            <w:pPr>
              <w:tabs>
                <w:tab w:val="decimal" w:pos="1026"/>
              </w:tabs>
              <w:rPr>
                <w:color w:val="auto"/>
              </w:rPr>
            </w:pPr>
            <w:r w:rsidRPr="007818AC">
              <w:rPr>
                <w:color w:val="auto"/>
              </w:rPr>
              <w:t>44.8</w:t>
            </w:r>
          </w:p>
        </w:tc>
      </w:tr>
      <w:tr w:rsidR="00F707A2" w:rsidRPr="007818AC" w14:paraId="58C59CDE" w14:textId="77777777" w:rsidTr="00A47773">
        <w:trPr>
          <w:trHeight w:val="369"/>
        </w:trPr>
        <w:tc>
          <w:tcPr>
            <w:tcW w:w="3075" w:type="pct"/>
            <w:shd w:val="clear" w:color="auto" w:fill="auto"/>
            <w:vAlign w:val="bottom"/>
          </w:tcPr>
          <w:p w14:paraId="1384A1D7" w14:textId="77777777" w:rsidR="00F707A2" w:rsidRPr="007818AC" w:rsidRDefault="00F707A2" w:rsidP="002003E6">
            <w:pPr>
              <w:jc w:val="left"/>
              <w:rPr>
                <w:color w:val="auto"/>
              </w:rPr>
            </w:pPr>
            <w:r w:rsidRPr="007818AC">
              <w:rPr>
                <w:color w:val="auto"/>
              </w:rPr>
              <w:t>Interest receivable and similar income</w:t>
            </w:r>
          </w:p>
        </w:tc>
        <w:tc>
          <w:tcPr>
            <w:tcW w:w="988" w:type="pct"/>
            <w:tcBorders>
              <w:bottom w:val="nil"/>
            </w:tcBorders>
            <w:shd w:val="clear" w:color="auto" w:fill="auto"/>
            <w:vAlign w:val="bottom"/>
          </w:tcPr>
          <w:p w14:paraId="6241722C" w14:textId="26A71C80" w:rsidR="00F707A2" w:rsidRPr="004A7AA5" w:rsidRDefault="007818AC">
            <w:pPr>
              <w:tabs>
                <w:tab w:val="decimal" w:pos="1026"/>
              </w:tabs>
              <w:rPr>
                <w:color w:val="auto"/>
                <w:vertAlign w:val="superscript"/>
              </w:rPr>
            </w:pPr>
            <w:r w:rsidRPr="0059752F">
              <w:rPr>
                <w:color w:val="auto"/>
              </w:rPr>
              <w:t>(82.</w:t>
            </w:r>
            <w:r w:rsidR="00371403">
              <w:rPr>
                <w:color w:val="auto"/>
              </w:rPr>
              <w:t>4</w:t>
            </w:r>
            <w:r w:rsidRPr="0059752F">
              <w:rPr>
                <w:color w:val="auto"/>
              </w:rPr>
              <w:t>)</w:t>
            </w:r>
            <w:r w:rsidR="004A7AA5" w:rsidRPr="00FF722F">
              <w:rPr>
                <w:color w:val="auto"/>
                <w:sz w:val="20"/>
                <w:szCs w:val="20"/>
                <w:vertAlign w:val="superscript"/>
              </w:rPr>
              <w:t>2</w:t>
            </w:r>
          </w:p>
        </w:tc>
        <w:tc>
          <w:tcPr>
            <w:tcW w:w="937" w:type="pct"/>
            <w:tcBorders>
              <w:bottom w:val="nil"/>
            </w:tcBorders>
            <w:shd w:val="clear" w:color="auto" w:fill="auto"/>
            <w:vAlign w:val="bottom"/>
          </w:tcPr>
          <w:p w14:paraId="03C5DD40" w14:textId="77777777" w:rsidR="00F707A2" w:rsidRPr="007818AC" w:rsidRDefault="00E84F87" w:rsidP="00F20B94">
            <w:pPr>
              <w:tabs>
                <w:tab w:val="decimal" w:pos="1026"/>
              </w:tabs>
              <w:rPr>
                <w:color w:val="auto"/>
              </w:rPr>
            </w:pPr>
            <w:r w:rsidRPr="007818AC">
              <w:rPr>
                <w:color w:val="auto"/>
              </w:rPr>
              <w:t>(</w:t>
            </w:r>
            <w:r w:rsidR="00F20B94" w:rsidRPr="007818AC">
              <w:rPr>
                <w:color w:val="auto"/>
              </w:rPr>
              <w:t>19.5</w:t>
            </w:r>
            <w:r w:rsidRPr="007818AC">
              <w:rPr>
                <w:color w:val="auto"/>
              </w:rPr>
              <w:t>)</w:t>
            </w:r>
          </w:p>
        </w:tc>
      </w:tr>
      <w:tr w:rsidR="00F707A2" w:rsidRPr="007818AC" w14:paraId="04F86292" w14:textId="77777777" w:rsidTr="00A47773">
        <w:trPr>
          <w:trHeight w:val="369"/>
        </w:trPr>
        <w:tc>
          <w:tcPr>
            <w:tcW w:w="3075" w:type="pct"/>
            <w:shd w:val="clear" w:color="auto" w:fill="auto"/>
            <w:vAlign w:val="bottom"/>
          </w:tcPr>
          <w:p w14:paraId="301FC877" w14:textId="77777777" w:rsidR="00F707A2" w:rsidRPr="007818AC" w:rsidRDefault="00F707A2" w:rsidP="002003E6">
            <w:pPr>
              <w:jc w:val="left"/>
              <w:rPr>
                <w:color w:val="auto"/>
              </w:rPr>
            </w:pPr>
            <w:r w:rsidRPr="007818AC">
              <w:rPr>
                <w:color w:val="auto"/>
              </w:rPr>
              <w:t>Changes in fair value of investment properties</w:t>
            </w:r>
          </w:p>
        </w:tc>
        <w:tc>
          <w:tcPr>
            <w:tcW w:w="988" w:type="pct"/>
            <w:tcBorders>
              <w:top w:val="nil"/>
              <w:bottom w:val="nil"/>
            </w:tcBorders>
            <w:shd w:val="clear" w:color="auto" w:fill="auto"/>
            <w:vAlign w:val="bottom"/>
          </w:tcPr>
          <w:p w14:paraId="4E5A5293" w14:textId="77777777" w:rsidR="00F707A2" w:rsidRPr="0059752F" w:rsidRDefault="00E84F87" w:rsidP="002003E6">
            <w:pPr>
              <w:tabs>
                <w:tab w:val="decimal" w:pos="1026"/>
              </w:tabs>
              <w:rPr>
                <w:color w:val="auto"/>
              </w:rPr>
            </w:pPr>
            <w:r w:rsidRPr="00A06955">
              <w:rPr>
                <w:color w:val="auto"/>
              </w:rPr>
              <w:t>-</w:t>
            </w:r>
          </w:p>
        </w:tc>
        <w:tc>
          <w:tcPr>
            <w:tcW w:w="937" w:type="pct"/>
            <w:tcBorders>
              <w:top w:val="nil"/>
              <w:bottom w:val="nil"/>
              <w:right w:val="single" w:sz="4" w:space="0" w:color="auto"/>
            </w:tcBorders>
            <w:shd w:val="clear" w:color="auto" w:fill="auto"/>
            <w:vAlign w:val="bottom"/>
          </w:tcPr>
          <w:p w14:paraId="7A1EA6F8" w14:textId="77777777" w:rsidR="00F707A2" w:rsidRPr="007818AC" w:rsidRDefault="00F20B94" w:rsidP="002003E6">
            <w:pPr>
              <w:tabs>
                <w:tab w:val="decimal" w:pos="1026"/>
              </w:tabs>
              <w:rPr>
                <w:color w:val="auto"/>
              </w:rPr>
            </w:pPr>
            <w:r w:rsidRPr="007818AC">
              <w:rPr>
                <w:color w:val="auto"/>
              </w:rPr>
              <w:t>1.5</w:t>
            </w:r>
          </w:p>
        </w:tc>
      </w:tr>
      <w:tr w:rsidR="00A47773" w:rsidRPr="0050380D" w14:paraId="7B34BD18" w14:textId="77777777" w:rsidTr="00A47773">
        <w:trPr>
          <w:trHeight w:val="369"/>
        </w:trPr>
        <w:tc>
          <w:tcPr>
            <w:tcW w:w="3075" w:type="pct"/>
            <w:shd w:val="clear" w:color="auto" w:fill="auto"/>
            <w:vAlign w:val="bottom"/>
          </w:tcPr>
          <w:p w14:paraId="2B234203" w14:textId="3400E13F" w:rsidR="00A47773" w:rsidRPr="00A47773" w:rsidRDefault="00A47773" w:rsidP="002003E6">
            <w:pPr>
              <w:jc w:val="left"/>
              <w:rPr>
                <w:color w:val="auto"/>
              </w:rPr>
            </w:pPr>
            <w:r w:rsidRPr="00A47773">
              <w:rPr>
                <w:color w:val="auto"/>
              </w:rPr>
              <w:t>Gain/loss on trading Accounts</w:t>
            </w:r>
            <w:r w:rsidRPr="00A47773">
              <w:rPr>
                <w:color w:val="auto"/>
                <w:vertAlign w:val="superscript"/>
              </w:rPr>
              <w:t>3</w:t>
            </w:r>
          </w:p>
        </w:tc>
        <w:tc>
          <w:tcPr>
            <w:tcW w:w="988" w:type="pct"/>
            <w:tcBorders>
              <w:top w:val="nil"/>
              <w:bottom w:val="single" w:sz="4" w:space="0" w:color="auto"/>
            </w:tcBorders>
            <w:shd w:val="clear" w:color="auto" w:fill="auto"/>
            <w:vAlign w:val="bottom"/>
          </w:tcPr>
          <w:p w14:paraId="02A839AC" w14:textId="4332291A" w:rsidR="00A47773" w:rsidRPr="00A47773" w:rsidRDefault="00A47773">
            <w:pPr>
              <w:tabs>
                <w:tab w:val="decimal" w:pos="1026"/>
              </w:tabs>
              <w:rPr>
                <w:color w:val="auto"/>
              </w:rPr>
            </w:pPr>
            <w:r w:rsidRPr="00A47773">
              <w:rPr>
                <w:color w:val="auto"/>
              </w:rPr>
              <w:t>-</w:t>
            </w:r>
          </w:p>
        </w:tc>
        <w:tc>
          <w:tcPr>
            <w:tcW w:w="937" w:type="pct"/>
            <w:tcBorders>
              <w:top w:val="nil"/>
              <w:bottom w:val="single" w:sz="4" w:space="0" w:color="auto"/>
              <w:right w:val="single" w:sz="4" w:space="0" w:color="auto"/>
            </w:tcBorders>
            <w:shd w:val="clear" w:color="auto" w:fill="auto"/>
            <w:vAlign w:val="bottom"/>
          </w:tcPr>
          <w:p w14:paraId="0AB92107" w14:textId="765F9B97" w:rsidR="00A47773" w:rsidRPr="00A47773" w:rsidRDefault="00A47773">
            <w:pPr>
              <w:tabs>
                <w:tab w:val="decimal" w:pos="1026"/>
              </w:tabs>
              <w:rPr>
                <w:color w:val="auto"/>
              </w:rPr>
            </w:pPr>
            <w:r w:rsidRPr="00A47773">
              <w:rPr>
                <w:color w:val="auto"/>
              </w:rPr>
              <w:t>0.1</w:t>
            </w:r>
          </w:p>
        </w:tc>
      </w:tr>
      <w:tr w:rsidR="00F707A2" w:rsidRPr="0050380D" w14:paraId="6441903D" w14:textId="77777777" w:rsidTr="00A06955">
        <w:trPr>
          <w:trHeight w:val="369"/>
        </w:trPr>
        <w:tc>
          <w:tcPr>
            <w:tcW w:w="3075" w:type="pct"/>
            <w:shd w:val="clear" w:color="auto" w:fill="auto"/>
            <w:vAlign w:val="bottom"/>
          </w:tcPr>
          <w:p w14:paraId="022F0FD1" w14:textId="77777777" w:rsidR="00F707A2" w:rsidRPr="007818AC" w:rsidRDefault="00F707A2" w:rsidP="002003E6">
            <w:pPr>
              <w:jc w:val="left"/>
              <w:rPr>
                <w:b/>
                <w:color w:val="auto"/>
              </w:rPr>
            </w:pPr>
            <w:r w:rsidRPr="007818AC">
              <w:rPr>
                <w:b/>
                <w:color w:val="auto"/>
              </w:rPr>
              <w:t>Total</w:t>
            </w:r>
          </w:p>
        </w:tc>
        <w:tc>
          <w:tcPr>
            <w:tcW w:w="988" w:type="pct"/>
            <w:tcBorders>
              <w:top w:val="single" w:sz="4" w:space="0" w:color="auto"/>
              <w:bottom w:val="single" w:sz="4" w:space="0" w:color="auto"/>
            </w:tcBorders>
            <w:shd w:val="clear" w:color="auto" w:fill="auto"/>
            <w:vAlign w:val="bottom"/>
          </w:tcPr>
          <w:p w14:paraId="627E679E" w14:textId="15DD1281" w:rsidR="00F707A2" w:rsidRPr="007239A2" w:rsidRDefault="00950383">
            <w:pPr>
              <w:tabs>
                <w:tab w:val="decimal" w:pos="1026"/>
              </w:tabs>
              <w:rPr>
                <w:b/>
                <w:color w:val="auto"/>
              </w:rPr>
            </w:pPr>
            <w:r>
              <w:rPr>
                <w:b/>
                <w:color w:val="auto"/>
              </w:rPr>
              <w:t>23.6</w:t>
            </w:r>
          </w:p>
        </w:tc>
        <w:tc>
          <w:tcPr>
            <w:tcW w:w="937" w:type="pct"/>
            <w:tcBorders>
              <w:top w:val="single" w:sz="4" w:space="0" w:color="auto"/>
              <w:bottom w:val="single" w:sz="4" w:space="0" w:color="auto"/>
            </w:tcBorders>
            <w:shd w:val="clear" w:color="auto" w:fill="auto"/>
            <w:vAlign w:val="bottom"/>
          </w:tcPr>
          <w:p w14:paraId="2659F610" w14:textId="48AC5F2D" w:rsidR="00F707A2" w:rsidRPr="007239A2" w:rsidRDefault="00F20B94" w:rsidP="00297204">
            <w:pPr>
              <w:tabs>
                <w:tab w:val="decimal" w:pos="1026"/>
              </w:tabs>
              <w:rPr>
                <w:b/>
                <w:color w:val="auto"/>
              </w:rPr>
            </w:pPr>
            <w:r w:rsidRPr="007239A2">
              <w:rPr>
                <w:b/>
                <w:color w:val="auto"/>
              </w:rPr>
              <w:t>90.</w:t>
            </w:r>
            <w:r w:rsidR="00297204">
              <w:rPr>
                <w:b/>
                <w:color w:val="auto"/>
              </w:rPr>
              <w:t>6</w:t>
            </w:r>
          </w:p>
        </w:tc>
      </w:tr>
    </w:tbl>
    <w:p w14:paraId="383F2851" w14:textId="5EC1DFBA" w:rsidR="00827047" w:rsidRDefault="00103704" w:rsidP="00827047">
      <w:pPr>
        <w:rPr>
          <w:rFonts w:cs="Arial"/>
          <w:color w:val="auto"/>
          <w:sz w:val="20"/>
          <w:szCs w:val="20"/>
        </w:rPr>
      </w:pPr>
      <w:r>
        <w:rPr>
          <w:sz w:val="20"/>
          <w:szCs w:val="20"/>
          <w:vertAlign w:val="superscript"/>
          <w:lang w:eastAsia="en-GB"/>
        </w:rPr>
        <w:t>1</w:t>
      </w:r>
      <w:r w:rsidR="00827047" w:rsidRPr="008C77A2">
        <w:rPr>
          <w:sz w:val="20"/>
          <w:szCs w:val="20"/>
          <w:lang w:eastAsia="en-GB"/>
        </w:rPr>
        <w:t xml:space="preserve">This relates to </w:t>
      </w:r>
      <w:r w:rsidR="00A63DEF">
        <w:rPr>
          <w:sz w:val="20"/>
          <w:szCs w:val="20"/>
          <w:lang w:eastAsia="en-GB"/>
        </w:rPr>
        <w:t xml:space="preserve">the </w:t>
      </w:r>
      <w:r w:rsidR="00827047" w:rsidRPr="008C77A2">
        <w:rPr>
          <w:sz w:val="20"/>
          <w:szCs w:val="20"/>
          <w:lang w:eastAsia="en-GB"/>
        </w:rPr>
        <w:t xml:space="preserve">refinancing of </w:t>
      </w:r>
      <w:r w:rsidR="002A5575" w:rsidRPr="002A5575">
        <w:rPr>
          <w:rFonts w:cs="Arial"/>
          <w:color w:val="auto"/>
          <w:sz w:val="20"/>
          <w:szCs w:val="20"/>
        </w:rPr>
        <w:t>Waste Treatment Facilities</w:t>
      </w:r>
    </w:p>
    <w:p w14:paraId="52149421" w14:textId="61B3C707" w:rsidR="004A7AA5" w:rsidRDefault="004A7AA5" w:rsidP="004A7AA5">
      <w:pPr>
        <w:rPr>
          <w:rFonts w:cs="Arial"/>
          <w:color w:val="auto"/>
          <w:sz w:val="20"/>
          <w:szCs w:val="20"/>
        </w:rPr>
      </w:pPr>
      <w:r>
        <w:rPr>
          <w:rFonts w:cs="Arial"/>
          <w:color w:val="auto"/>
          <w:sz w:val="20"/>
          <w:szCs w:val="20"/>
          <w:vertAlign w:val="superscript"/>
        </w:rPr>
        <w:t>2</w:t>
      </w:r>
      <w:r w:rsidR="00F730D0">
        <w:rPr>
          <w:rFonts w:cs="Arial"/>
          <w:color w:val="auto"/>
          <w:sz w:val="20"/>
          <w:szCs w:val="20"/>
          <w:vertAlign w:val="superscript"/>
        </w:rPr>
        <w:t xml:space="preserve"> </w:t>
      </w:r>
      <w:r w:rsidRPr="00DB52CA">
        <w:rPr>
          <w:rFonts w:cs="Arial"/>
          <w:color w:val="auto"/>
          <w:sz w:val="20"/>
          <w:szCs w:val="20"/>
        </w:rPr>
        <w:t>The sale of bonds has been in response to the economic uncertainty during the year and the UK Treasury deci</w:t>
      </w:r>
      <w:r w:rsidR="007E5ECB">
        <w:rPr>
          <w:rFonts w:cs="Arial"/>
          <w:color w:val="auto"/>
          <w:sz w:val="20"/>
          <w:szCs w:val="20"/>
        </w:rPr>
        <w:t>sion to redeem war loan bonds. </w:t>
      </w:r>
      <w:r w:rsidRPr="00DB52CA">
        <w:rPr>
          <w:rFonts w:cs="Arial"/>
          <w:color w:val="auto"/>
          <w:sz w:val="20"/>
          <w:szCs w:val="20"/>
        </w:rPr>
        <w:t>This additional income is considered to be a one-off gain.</w:t>
      </w:r>
    </w:p>
    <w:p w14:paraId="20CE0A6D" w14:textId="7D491EF2" w:rsidR="00A47773" w:rsidRPr="00A47773" w:rsidRDefault="00A47773" w:rsidP="004A7AA5">
      <w:pPr>
        <w:rPr>
          <w:sz w:val="20"/>
          <w:szCs w:val="20"/>
          <w:lang w:eastAsia="en-GB"/>
        </w:rPr>
      </w:pPr>
      <w:r>
        <w:rPr>
          <w:rFonts w:cs="Arial"/>
          <w:color w:val="auto"/>
          <w:sz w:val="20"/>
          <w:szCs w:val="20"/>
          <w:vertAlign w:val="superscript"/>
        </w:rPr>
        <w:t xml:space="preserve">3 </w:t>
      </w:r>
      <w:r>
        <w:rPr>
          <w:rFonts w:cs="Arial"/>
          <w:color w:val="auto"/>
          <w:sz w:val="20"/>
          <w:szCs w:val="20"/>
        </w:rPr>
        <w:t xml:space="preserve">Lancashire County Commercial Group is no longer an arm's length trading organisation  </w:t>
      </w:r>
    </w:p>
    <w:p w14:paraId="23EB58D5" w14:textId="77777777" w:rsidR="001706B1" w:rsidRDefault="001706B1" w:rsidP="00A06955">
      <w:pPr>
        <w:pStyle w:val="Heading2"/>
      </w:pPr>
    </w:p>
    <w:p w14:paraId="16BB9D27" w14:textId="77777777" w:rsidR="001706B1" w:rsidRDefault="001706B1" w:rsidP="00A06955">
      <w:pPr>
        <w:pStyle w:val="Heading2"/>
      </w:pPr>
    </w:p>
    <w:p w14:paraId="3688965E" w14:textId="77777777" w:rsidR="001706B1" w:rsidRDefault="001706B1" w:rsidP="00A06955">
      <w:pPr>
        <w:pStyle w:val="Heading2"/>
      </w:pPr>
    </w:p>
    <w:p w14:paraId="30FD6CA4" w14:textId="77777777" w:rsidR="001706B1" w:rsidRDefault="001706B1" w:rsidP="00A06955">
      <w:pPr>
        <w:pStyle w:val="Heading2"/>
      </w:pPr>
    </w:p>
    <w:p w14:paraId="053D96EA" w14:textId="77777777" w:rsidR="001706B1" w:rsidRDefault="001706B1" w:rsidP="00A06955">
      <w:pPr>
        <w:pStyle w:val="Heading2"/>
      </w:pPr>
    </w:p>
    <w:p w14:paraId="3BA74054" w14:textId="77777777" w:rsidR="001706B1" w:rsidRDefault="001706B1" w:rsidP="008D0533"/>
    <w:p w14:paraId="1A5BA066" w14:textId="77777777" w:rsidR="001706B1" w:rsidRPr="003C2910" w:rsidRDefault="001706B1" w:rsidP="008D0533"/>
    <w:p w14:paraId="113765E5" w14:textId="77777777" w:rsidR="001706B1" w:rsidRDefault="001706B1" w:rsidP="00A06955">
      <w:pPr>
        <w:pStyle w:val="Heading2"/>
      </w:pPr>
    </w:p>
    <w:p w14:paraId="48252047" w14:textId="77777777" w:rsidR="001706B1" w:rsidRPr="003C2910" w:rsidRDefault="001706B1" w:rsidP="008D0533"/>
    <w:p w14:paraId="6E3D9DFC" w14:textId="7D41F815" w:rsidR="00F20B94" w:rsidRPr="00F20B94" w:rsidRDefault="00246A2C" w:rsidP="00A06955">
      <w:pPr>
        <w:pStyle w:val="Heading2"/>
      </w:pPr>
      <w:r>
        <w:t>11. Taxation and n</w:t>
      </w:r>
      <w:r w:rsidR="00F20B94" w:rsidRPr="00A06955">
        <w:t>on</w:t>
      </w:r>
      <w:r w:rsidR="00A83AF9" w:rsidRPr="00A06955">
        <w:t>-</w:t>
      </w:r>
      <w:r>
        <w:t>specific grants i</w:t>
      </w:r>
      <w:r w:rsidR="00F20B94" w:rsidRPr="00A06955">
        <w:t>ncome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F20B94" w:rsidRPr="008D3771" w14:paraId="45B48E88" w14:textId="77777777" w:rsidTr="00A06955">
        <w:trPr>
          <w:trHeight w:val="369"/>
          <w:tblHeader/>
        </w:trPr>
        <w:tc>
          <w:tcPr>
            <w:tcW w:w="3105" w:type="pct"/>
            <w:shd w:val="clear" w:color="auto" w:fill="D0CECE"/>
            <w:vAlign w:val="bottom"/>
          </w:tcPr>
          <w:p w14:paraId="4CE2C45B" w14:textId="77777777" w:rsidR="00F20B94" w:rsidRPr="00747B0B" w:rsidRDefault="00F20B94" w:rsidP="002003E6">
            <w:pPr>
              <w:jc w:val="left"/>
              <w:rPr>
                <w:color w:val="auto"/>
                <w:highlight w:val="yellow"/>
              </w:rPr>
            </w:pPr>
          </w:p>
        </w:tc>
        <w:tc>
          <w:tcPr>
            <w:tcW w:w="929" w:type="pct"/>
            <w:shd w:val="clear" w:color="auto" w:fill="D0CECE"/>
            <w:vAlign w:val="bottom"/>
          </w:tcPr>
          <w:p w14:paraId="3293C1FB" w14:textId="77777777" w:rsidR="00F20B94" w:rsidRPr="00A06955" w:rsidRDefault="00F20B94" w:rsidP="002003E6">
            <w:pPr>
              <w:jc w:val="center"/>
              <w:rPr>
                <w:b/>
                <w:color w:val="auto"/>
              </w:rPr>
            </w:pPr>
            <w:r w:rsidRPr="00A06955">
              <w:rPr>
                <w:b/>
                <w:color w:val="auto"/>
              </w:rPr>
              <w:t>2014/15</w:t>
            </w:r>
          </w:p>
        </w:tc>
        <w:tc>
          <w:tcPr>
            <w:tcW w:w="966" w:type="pct"/>
            <w:shd w:val="clear" w:color="auto" w:fill="D0CECE"/>
            <w:vAlign w:val="bottom"/>
          </w:tcPr>
          <w:p w14:paraId="69859BBD" w14:textId="77777777" w:rsidR="00F20B94" w:rsidRPr="008D3771" w:rsidRDefault="00F20B94" w:rsidP="002003E6">
            <w:pPr>
              <w:jc w:val="center"/>
              <w:rPr>
                <w:b/>
                <w:color w:val="auto"/>
              </w:rPr>
            </w:pPr>
            <w:r>
              <w:rPr>
                <w:b/>
                <w:color w:val="auto"/>
              </w:rPr>
              <w:t>2013/14</w:t>
            </w:r>
          </w:p>
        </w:tc>
      </w:tr>
      <w:tr w:rsidR="00F20B94" w:rsidRPr="008D3771" w14:paraId="69F351EC" w14:textId="77777777" w:rsidTr="00A06955">
        <w:trPr>
          <w:trHeight w:val="369"/>
          <w:tblHeader/>
        </w:trPr>
        <w:tc>
          <w:tcPr>
            <w:tcW w:w="3105" w:type="pct"/>
            <w:shd w:val="clear" w:color="auto" w:fill="D0CECE"/>
            <w:vAlign w:val="bottom"/>
          </w:tcPr>
          <w:p w14:paraId="3ACCCE53" w14:textId="77777777" w:rsidR="00F20B94" w:rsidRPr="00747B0B" w:rsidRDefault="00F20B94" w:rsidP="002003E6">
            <w:pPr>
              <w:jc w:val="left"/>
              <w:rPr>
                <w:color w:val="auto"/>
                <w:highlight w:val="yellow"/>
              </w:rPr>
            </w:pPr>
          </w:p>
        </w:tc>
        <w:tc>
          <w:tcPr>
            <w:tcW w:w="929" w:type="pct"/>
            <w:shd w:val="clear" w:color="auto" w:fill="D0CECE"/>
            <w:vAlign w:val="bottom"/>
          </w:tcPr>
          <w:p w14:paraId="5E14149A" w14:textId="77777777" w:rsidR="00F20B94" w:rsidRPr="00A06955" w:rsidRDefault="00F20B94" w:rsidP="002003E6">
            <w:pPr>
              <w:jc w:val="center"/>
              <w:rPr>
                <w:b/>
                <w:color w:val="auto"/>
              </w:rPr>
            </w:pPr>
            <w:r w:rsidRPr="00A06955">
              <w:rPr>
                <w:b/>
                <w:color w:val="auto"/>
              </w:rPr>
              <w:t>£m</w:t>
            </w:r>
          </w:p>
        </w:tc>
        <w:tc>
          <w:tcPr>
            <w:tcW w:w="966" w:type="pct"/>
            <w:shd w:val="clear" w:color="auto" w:fill="D0CECE"/>
            <w:vAlign w:val="bottom"/>
          </w:tcPr>
          <w:p w14:paraId="4367389A" w14:textId="77777777" w:rsidR="00F20B94" w:rsidRPr="008D3771" w:rsidRDefault="00F20B94" w:rsidP="002003E6">
            <w:pPr>
              <w:jc w:val="center"/>
              <w:rPr>
                <w:b/>
                <w:color w:val="auto"/>
              </w:rPr>
            </w:pPr>
            <w:r w:rsidRPr="008D3771">
              <w:rPr>
                <w:b/>
                <w:color w:val="auto"/>
              </w:rPr>
              <w:t>£m</w:t>
            </w:r>
          </w:p>
        </w:tc>
      </w:tr>
      <w:tr w:rsidR="00F20B94" w:rsidRPr="008D3771" w14:paraId="286C7093" w14:textId="77777777" w:rsidTr="002003E6">
        <w:trPr>
          <w:trHeight w:val="369"/>
        </w:trPr>
        <w:tc>
          <w:tcPr>
            <w:tcW w:w="3105" w:type="pct"/>
            <w:shd w:val="clear" w:color="auto" w:fill="auto"/>
            <w:vAlign w:val="bottom"/>
          </w:tcPr>
          <w:p w14:paraId="369AACBE" w14:textId="77777777" w:rsidR="00F20B94" w:rsidRPr="00747B0B" w:rsidRDefault="00F20B94" w:rsidP="002003E6">
            <w:pPr>
              <w:jc w:val="left"/>
              <w:rPr>
                <w:color w:val="auto"/>
                <w:highlight w:val="yellow"/>
              </w:rPr>
            </w:pPr>
            <w:r w:rsidRPr="00A06955">
              <w:rPr>
                <w:color w:val="auto"/>
              </w:rPr>
              <w:t>Council Tax Income</w:t>
            </w:r>
          </w:p>
        </w:tc>
        <w:tc>
          <w:tcPr>
            <w:tcW w:w="929" w:type="pct"/>
            <w:tcBorders>
              <w:bottom w:val="nil"/>
            </w:tcBorders>
            <w:shd w:val="clear" w:color="auto" w:fill="auto"/>
            <w:vAlign w:val="bottom"/>
          </w:tcPr>
          <w:p w14:paraId="66E1BEFA" w14:textId="21854284" w:rsidR="00F20B94" w:rsidRPr="00A06955" w:rsidRDefault="00983E11" w:rsidP="00A06955">
            <w:pPr>
              <w:tabs>
                <w:tab w:val="decimal" w:pos="1026"/>
              </w:tabs>
              <w:rPr>
                <w:color w:val="auto"/>
              </w:rPr>
            </w:pPr>
            <w:r>
              <w:rPr>
                <w:color w:val="auto"/>
              </w:rPr>
              <w:t>(</w:t>
            </w:r>
            <w:r w:rsidR="00DE295E" w:rsidRPr="00A06955">
              <w:rPr>
                <w:color w:val="auto"/>
              </w:rPr>
              <w:t>3</w:t>
            </w:r>
            <w:r w:rsidR="0020376F">
              <w:rPr>
                <w:color w:val="auto"/>
              </w:rPr>
              <w:t>80.2</w:t>
            </w:r>
            <w:r>
              <w:rPr>
                <w:color w:val="auto"/>
              </w:rPr>
              <w:t>)</w:t>
            </w:r>
          </w:p>
        </w:tc>
        <w:tc>
          <w:tcPr>
            <w:tcW w:w="966" w:type="pct"/>
            <w:tcBorders>
              <w:bottom w:val="nil"/>
            </w:tcBorders>
            <w:shd w:val="clear" w:color="auto" w:fill="auto"/>
            <w:vAlign w:val="bottom"/>
          </w:tcPr>
          <w:p w14:paraId="7D68615F" w14:textId="69296645" w:rsidR="00F20B94" w:rsidRPr="008D3771" w:rsidRDefault="00983E11" w:rsidP="002003E6">
            <w:pPr>
              <w:tabs>
                <w:tab w:val="decimal" w:pos="1026"/>
              </w:tabs>
              <w:rPr>
                <w:color w:val="auto"/>
              </w:rPr>
            </w:pPr>
            <w:r>
              <w:rPr>
                <w:color w:val="auto"/>
              </w:rPr>
              <w:t>(</w:t>
            </w:r>
            <w:r w:rsidR="00D5654F">
              <w:rPr>
                <w:color w:val="auto"/>
              </w:rPr>
              <w:t>364.4</w:t>
            </w:r>
            <w:r>
              <w:rPr>
                <w:color w:val="auto"/>
              </w:rPr>
              <w:t>)</w:t>
            </w:r>
          </w:p>
        </w:tc>
      </w:tr>
      <w:tr w:rsidR="00F20B94" w:rsidRPr="008D3771" w14:paraId="5AE1FB5C" w14:textId="77777777" w:rsidTr="002003E6">
        <w:trPr>
          <w:trHeight w:val="369"/>
        </w:trPr>
        <w:tc>
          <w:tcPr>
            <w:tcW w:w="3105" w:type="pct"/>
            <w:shd w:val="clear" w:color="auto" w:fill="auto"/>
            <w:vAlign w:val="bottom"/>
          </w:tcPr>
          <w:p w14:paraId="63278301" w14:textId="77777777" w:rsidR="00F20B94" w:rsidRPr="00A06955" w:rsidRDefault="00F20B94" w:rsidP="002003E6">
            <w:pPr>
              <w:jc w:val="left"/>
              <w:rPr>
                <w:color w:val="auto"/>
              </w:rPr>
            </w:pPr>
            <w:r w:rsidRPr="00A06955">
              <w:rPr>
                <w:color w:val="auto"/>
              </w:rPr>
              <w:t>Non Domestic Rates</w:t>
            </w:r>
          </w:p>
        </w:tc>
        <w:tc>
          <w:tcPr>
            <w:tcW w:w="929" w:type="pct"/>
            <w:tcBorders>
              <w:bottom w:val="nil"/>
            </w:tcBorders>
            <w:shd w:val="clear" w:color="auto" w:fill="auto"/>
            <w:vAlign w:val="bottom"/>
          </w:tcPr>
          <w:p w14:paraId="7DD9A1C4" w14:textId="10557B47" w:rsidR="00F20B94" w:rsidRPr="008D0533" w:rsidRDefault="00983E11" w:rsidP="002003E6">
            <w:pPr>
              <w:tabs>
                <w:tab w:val="decimal" w:pos="1026"/>
              </w:tabs>
              <w:rPr>
                <w:color w:val="auto"/>
                <w:vertAlign w:val="superscript"/>
              </w:rPr>
            </w:pPr>
            <w:r>
              <w:rPr>
                <w:color w:val="auto"/>
              </w:rPr>
              <w:t>(</w:t>
            </w:r>
            <w:r w:rsidR="0020376F">
              <w:rPr>
                <w:color w:val="auto"/>
              </w:rPr>
              <w:t>169.2</w:t>
            </w:r>
            <w:r>
              <w:rPr>
                <w:color w:val="auto"/>
              </w:rPr>
              <w:t>)</w:t>
            </w:r>
            <w:r w:rsidR="00FE2210" w:rsidRPr="008D0533">
              <w:rPr>
                <w:color w:val="auto"/>
                <w:sz w:val="20"/>
                <w:szCs w:val="20"/>
                <w:vertAlign w:val="superscript"/>
              </w:rPr>
              <w:t>1</w:t>
            </w:r>
          </w:p>
        </w:tc>
        <w:tc>
          <w:tcPr>
            <w:tcW w:w="966" w:type="pct"/>
            <w:tcBorders>
              <w:bottom w:val="nil"/>
            </w:tcBorders>
            <w:shd w:val="clear" w:color="auto" w:fill="auto"/>
            <w:vAlign w:val="bottom"/>
          </w:tcPr>
          <w:p w14:paraId="211FC554" w14:textId="32619990" w:rsidR="00F20B94" w:rsidRDefault="00983E11" w:rsidP="002003E6">
            <w:pPr>
              <w:tabs>
                <w:tab w:val="decimal" w:pos="1026"/>
              </w:tabs>
              <w:rPr>
                <w:color w:val="auto"/>
              </w:rPr>
            </w:pPr>
            <w:r>
              <w:rPr>
                <w:color w:val="auto"/>
              </w:rPr>
              <w:t>(</w:t>
            </w:r>
            <w:r w:rsidR="00D5654F">
              <w:rPr>
                <w:color w:val="auto"/>
              </w:rPr>
              <w:t>165.5</w:t>
            </w:r>
            <w:r>
              <w:rPr>
                <w:color w:val="auto"/>
              </w:rPr>
              <w:t>)</w:t>
            </w:r>
          </w:p>
        </w:tc>
      </w:tr>
      <w:tr w:rsidR="00F20B94" w:rsidRPr="008D3771" w14:paraId="0FFFB979" w14:textId="77777777" w:rsidTr="002003E6">
        <w:trPr>
          <w:trHeight w:val="369"/>
        </w:trPr>
        <w:tc>
          <w:tcPr>
            <w:tcW w:w="3105" w:type="pct"/>
            <w:shd w:val="clear" w:color="auto" w:fill="auto"/>
            <w:vAlign w:val="bottom"/>
          </w:tcPr>
          <w:p w14:paraId="2A74DC14" w14:textId="77777777" w:rsidR="00F20B94" w:rsidRPr="00A06955" w:rsidRDefault="00F20B94" w:rsidP="002003E6">
            <w:pPr>
              <w:jc w:val="left"/>
              <w:rPr>
                <w:color w:val="auto"/>
              </w:rPr>
            </w:pPr>
            <w:r w:rsidRPr="00A06955">
              <w:rPr>
                <w:color w:val="auto"/>
              </w:rPr>
              <w:t>Revenue Support Grant</w:t>
            </w:r>
          </w:p>
        </w:tc>
        <w:tc>
          <w:tcPr>
            <w:tcW w:w="929" w:type="pct"/>
            <w:tcBorders>
              <w:bottom w:val="nil"/>
            </w:tcBorders>
            <w:shd w:val="clear" w:color="auto" w:fill="auto"/>
            <w:vAlign w:val="bottom"/>
          </w:tcPr>
          <w:p w14:paraId="602BB511" w14:textId="01F48F1D" w:rsidR="00F20B94" w:rsidRPr="00A06955" w:rsidRDefault="00983E11" w:rsidP="00F6551E">
            <w:pPr>
              <w:tabs>
                <w:tab w:val="decimal" w:pos="1026"/>
              </w:tabs>
              <w:rPr>
                <w:color w:val="auto"/>
              </w:rPr>
            </w:pPr>
            <w:r>
              <w:rPr>
                <w:color w:val="auto"/>
              </w:rPr>
              <w:t>(</w:t>
            </w:r>
            <w:r w:rsidR="00E67B45">
              <w:rPr>
                <w:color w:val="auto"/>
              </w:rPr>
              <w:t>212.6</w:t>
            </w:r>
            <w:r>
              <w:rPr>
                <w:color w:val="auto"/>
              </w:rPr>
              <w:t>)</w:t>
            </w:r>
          </w:p>
        </w:tc>
        <w:tc>
          <w:tcPr>
            <w:tcW w:w="966" w:type="pct"/>
            <w:tcBorders>
              <w:bottom w:val="nil"/>
            </w:tcBorders>
            <w:shd w:val="clear" w:color="auto" w:fill="auto"/>
            <w:vAlign w:val="bottom"/>
          </w:tcPr>
          <w:p w14:paraId="07CE4A29" w14:textId="6A13E331" w:rsidR="00F20B94" w:rsidRDefault="00983E11" w:rsidP="00B27A58">
            <w:pPr>
              <w:tabs>
                <w:tab w:val="decimal" w:pos="1026"/>
              </w:tabs>
              <w:rPr>
                <w:color w:val="auto"/>
              </w:rPr>
            </w:pPr>
            <w:r>
              <w:rPr>
                <w:color w:val="auto"/>
              </w:rPr>
              <w:t>(</w:t>
            </w:r>
            <w:r w:rsidR="00FD74BF">
              <w:rPr>
                <w:color w:val="auto"/>
              </w:rPr>
              <w:t>25</w:t>
            </w:r>
            <w:r w:rsidR="00B27A58">
              <w:rPr>
                <w:color w:val="auto"/>
              </w:rPr>
              <w:t>6</w:t>
            </w:r>
            <w:r w:rsidR="00E67B45">
              <w:rPr>
                <w:color w:val="auto"/>
              </w:rPr>
              <w:t>.</w:t>
            </w:r>
            <w:r w:rsidR="00B27A58">
              <w:rPr>
                <w:color w:val="auto"/>
              </w:rPr>
              <w:t>9</w:t>
            </w:r>
            <w:r>
              <w:rPr>
                <w:color w:val="auto"/>
              </w:rPr>
              <w:t>)</w:t>
            </w:r>
          </w:p>
        </w:tc>
      </w:tr>
      <w:tr w:rsidR="007D3F65" w:rsidRPr="008D3771" w14:paraId="4799B3AA" w14:textId="77777777" w:rsidTr="002003E6">
        <w:trPr>
          <w:trHeight w:val="369"/>
        </w:trPr>
        <w:tc>
          <w:tcPr>
            <w:tcW w:w="3105" w:type="pct"/>
            <w:shd w:val="clear" w:color="auto" w:fill="auto"/>
            <w:vAlign w:val="bottom"/>
          </w:tcPr>
          <w:p w14:paraId="584C5C70" w14:textId="6E8E617D" w:rsidR="007D3F65" w:rsidRDefault="007D3F65" w:rsidP="002003E6">
            <w:pPr>
              <w:jc w:val="left"/>
              <w:rPr>
                <w:color w:val="auto"/>
              </w:rPr>
            </w:pPr>
            <w:r>
              <w:rPr>
                <w:color w:val="auto"/>
              </w:rPr>
              <w:t>Education Services Grant</w:t>
            </w:r>
          </w:p>
        </w:tc>
        <w:tc>
          <w:tcPr>
            <w:tcW w:w="929" w:type="pct"/>
            <w:tcBorders>
              <w:bottom w:val="nil"/>
            </w:tcBorders>
            <w:shd w:val="clear" w:color="auto" w:fill="auto"/>
            <w:vAlign w:val="bottom"/>
          </w:tcPr>
          <w:p w14:paraId="04830A8F" w14:textId="5EFA0E7C" w:rsidR="007D3F65" w:rsidRDefault="007D3F65" w:rsidP="00F6551E">
            <w:pPr>
              <w:tabs>
                <w:tab w:val="decimal" w:pos="1026"/>
              </w:tabs>
              <w:rPr>
                <w:color w:val="auto"/>
              </w:rPr>
            </w:pPr>
            <w:r>
              <w:rPr>
                <w:color w:val="auto"/>
              </w:rPr>
              <w:t>(20.1)</w:t>
            </w:r>
          </w:p>
        </w:tc>
        <w:tc>
          <w:tcPr>
            <w:tcW w:w="966" w:type="pct"/>
            <w:tcBorders>
              <w:bottom w:val="nil"/>
            </w:tcBorders>
            <w:shd w:val="clear" w:color="auto" w:fill="auto"/>
            <w:vAlign w:val="bottom"/>
          </w:tcPr>
          <w:p w14:paraId="3238C992" w14:textId="3A67048C" w:rsidR="007D3F65" w:rsidRDefault="007D3F65" w:rsidP="00FE2210">
            <w:pPr>
              <w:tabs>
                <w:tab w:val="decimal" w:pos="1026"/>
              </w:tabs>
              <w:rPr>
                <w:color w:val="auto"/>
              </w:rPr>
            </w:pPr>
            <w:r>
              <w:rPr>
                <w:color w:val="auto"/>
              </w:rPr>
              <w:t>(20.5)</w:t>
            </w:r>
            <w:r w:rsidR="00FE2210">
              <w:rPr>
                <w:color w:val="auto"/>
                <w:sz w:val="20"/>
                <w:szCs w:val="20"/>
                <w:vertAlign w:val="superscript"/>
              </w:rPr>
              <w:t>2</w:t>
            </w:r>
          </w:p>
        </w:tc>
      </w:tr>
      <w:tr w:rsidR="00385ED8" w:rsidRPr="008D3771" w14:paraId="166A15E7" w14:textId="77777777" w:rsidTr="002003E6">
        <w:trPr>
          <w:trHeight w:val="369"/>
        </w:trPr>
        <w:tc>
          <w:tcPr>
            <w:tcW w:w="3105" w:type="pct"/>
            <w:shd w:val="clear" w:color="auto" w:fill="auto"/>
            <w:vAlign w:val="bottom"/>
          </w:tcPr>
          <w:p w14:paraId="7EE8E50F" w14:textId="7FF032DC" w:rsidR="00385ED8" w:rsidRPr="00A06955" w:rsidRDefault="00FD74BF" w:rsidP="002D1147">
            <w:pPr>
              <w:jc w:val="left"/>
              <w:rPr>
                <w:color w:val="auto"/>
              </w:rPr>
            </w:pPr>
            <w:r>
              <w:rPr>
                <w:color w:val="auto"/>
              </w:rPr>
              <w:t>Other Non</w:t>
            </w:r>
            <w:r w:rsidR="002D1147">
              <w:rPr>
                <w:color w:val="auto"/>
              </w:rPr>
              <w:t>-</w:t>
            </w:r>
            <w:r>
              <w:rPr>
                <w:color w:val="auto"/>
              </w:rPr>
              <w:t>Specific Grants</w:t>
            </w:r>
          </w:p>
        </w:tc>
        <w:tc>
          <w:tcPr>
            <w:tcW w:w="929" w:type="pct"/>
            <w:tcBorders>
              <w:bottom w:val="nil"/>
            </w:tcBorders>
            <w:shd w:val="clear" w:color="auto" w:fill="auto"/>
            <w:vAlign w:val="bottom"/>
          </w:tcPr>
          <w:p w14:paraId="47A876CC" w14:textId="5D019B18" w:rsidR="00385ED8" w:rsidRDefault="007D3F65" w:rsidP="007D3F65">
            <w:pPr>
              <w:tabs>
                <w:tab w:val="decimal" w:pos="1026"/>
              </w:tabs>
              <w:rPr>
                <w:color w:val="auto"/>
              </w:rPr>
            </w:pPr>
            <w:r>
              <w:rPr>
                <w:color w:val="auto"/>
              </w:rPr>
              <w:t>(</w:t>
            </w:r>
            <w:r w:rsidR="00FD74BF">
              <w:rPr>
                <w:color w:val="auto"/>
              </w:rPr>
              <w:t>3.</w:t>
            </w:r>
            <w:r>
              <w:rPr>
                <w:color w:val="auto"/>
              </w:rPr>
              <w:t>2</w:t>
            </w:r>
            <w:r w:rsidR="00385ED8">
              <w:rPr>
                <w:color w:val="auto"/>
              </w:rPr>
              <w:t>)</w:t>
            </w:r>
          </w:p>
        </w:tc>
        <w:tc>
          <w:tcPr>
            <w:tcW w:w="966" w:type="pct"/>
            <w:tcBorders>
              <w:bottom w:val="nil"/>
            </w:tcBorders>
            <w:shd w:val="clear" w:color="auto" w:fill="auto"/>
            <w:vAlign w:val="bottom"/>
          </w:tcPr>
          <w:p w14:paraId="24E23DD0" w14:textId="4A173DA8" w:rsidR="00385ED8" w:rsidRDefault="00B27A58" w:rsidP="002D1147">
            <w:pPr>
              <w:tabs>
                <w:tab w:val="decimal" w:pos="1026"/>
              </w:tabs>
              <w:rPr>
                <w:color w:val="auto"/>
              </w:rPr>
            </w:pPr>
            <w:r>
              <w:rPr>
                <w:color w:val="auto"/>
              </w:rPr>
              <w:t>-</w:t>
            </w:r>
          </w:p>
        </w:tc>
      </w:tr>
      <w:tr w:rsidR="00F20B94" w:rsidRPr="008D3771" w14:paraId="6ACB5C98" w14:textId="77777777" w:rsidTr="002003E6">
        <w:trPr>
          <w:trHeight w:val="369"/>
        </w:trPr>
        <w:tc>
          <w:tcPr>
            <w:tcW w:w="3105" w:type="pct"/>
            <w:shd w:val="clear" w:color="auto" w:fill="auto"/>
            <w:vAlign w:val="bottom"/>
          </w:tcPr>
          <w:p w14:paraId="60C02013" w14:textId="77777777" w:rsidR="00F20B94" w:rsidRPr="00747B0B" w:rsidRDefault="00F20B94" w:rsidP="002003E6">
            <w:pPr>
              <w:jc w:val="left"/>
              <w:rPr>
                <w:color w:val="auto"/>
                <w:highlight w:val="yellow"/>
              </w:rPr>
            </w:pPr>
            <w:r w:rsidRPr="00A06955">
              <w:rPr>
                <w:color w:val="auto"/>
              </w:rPr>
              <w:t>Council Tax Freeze Grant</w:t>
            </w:r>
          </w:p>
        </w:tc>
        <w:tc>
          <w:tcPr>
            <w:tcW w:w="929" w:type="pct"/>
            <w:tcBorders>
              <w:bottom w:val="nil"/>
            </w:tcBorders>
            <w:shd w:val="clear" w:color="auto" w:fill="auto"/>
            <w:vAlign w:val="bottom"/>
          </w:tcPr>
          <w:p w14:paraId="459B69AB" w14:textId="77777777" w:rsidR="00F20B94" w:rsidRPr="00747B0B" w:rsidRDefault="00F20B94" w:rsidP="002003E6">
            <w:pPr>
              <w:tabs>
                <w:tab w:val="decimal" w:pos="1026"/>
              </w:tabs>
              <w:rPr>
                <w:color w:val="auto"/>
                <w:highlight w:val="yellow"/>
              </w:rPr>
            </w:pPr>
            <w:r w:rsidRPr="00A06955">
              <w:rPr>
                <w:color w:val="auto"/>
              </w:rPr>
              <w:t>-</w:t>
            </w:r>
          </w:p>
        </w:tc>
        <w:tc>
          <w:tcPr>
            <w:tcW w:w="966" w:type="pct"/>
            <w:tcBorders>
              <w:bottom w:val="nil"/>
            </w:tcBorders>
            <w:shd w:val="clear" w:color="auto" w:fill="auto"/>
            <w:vAlign w:val="bottom"/>
          </w:tcPr>
          <w:p w14:paraId="7631AD1E" w14:textId="29CFC5A1" w:rsidR="00F20B94" w:rsidRDefault="00983E11" w:rsidP="002003E6">
            <w:pPr>
              <w:tabs>
                <w:tab w:val="decimal" w:pos="1026"/>
              </w:tabs>
              <w:rPr>
                <w:color w:val="auto"/>
              </w:rPr>
            </w:pPr>
            <w:r>
              <w:rPr>
                <w:color w:val="auto"/>
              </w:rPr>
              <w:t>(</w:t>
            </w:r>
            <w:r w:rsidR="00D5654F">
              <w:rPr>
                <w:color w:val="auto"/>
              </w:rPr>
              <w:t>5.1</w:t>
            </w:r>
            <w:r>
              <w:rPr>
                <w:color w:val="auto"/>
              </w:rPr>
              <w:t>)</w:t>
            </w:r>
          </w:p>
        </w:tc>
      </w:tr>
      <w:tr w:rsidR="00F20B94" w:rsidRPr="008D3771" w14:paraId="204EE629" w14:textId="77777777" w:rsidTr="002003E6">
        <w:trPr>
          <w:trHeight w:val="369"/>
        </w:trPr>
        <w:tc>
          <w:tcPr>
            <w:tcW w:w="3105" w:type="pct"/>
            <w:shd w:val="clear" w:color="auto" w:fill="auto"/>
            <w:vAlign w:val="bottom"/>
          </w:tcPr>
          <w:p w14:paraId="16AC276F" w14:textId="77777777" w:rsidR="00F20B94" w:rsidRPr="00A06955" w:rsidRDefault="00F20B94" w:rsidP="002003E6">
            <w:pPr>
              <w:jc w:val="left"/>
              <w:rPr>
                <w:color w:val="auto"/>
              </w:rPr>
            </w:pPr>
            <w:r w:rsidRPr="00A06955">
              <w:rPr>
                <w:color w:val="auto"/>
              </w:rPr>
              <w:t>Recognised Capital Grants and Contributions</w:t>
            </w:r>
          </w:p>
        </w:tc>
        <w:tc>
          <w:tcPr>
            <w:tcW w:w="929" w:type="pct"/>
            <w:tcBorders>
              <w:top w:val="nil"/>
              <w:bottom w:val="single" w:sz="4" w:space="0" w:color="auto"/>
            </w:tcBorders>
            <w:shd w:val="clear" w:color="auto" w:fill="auto"/>
            <w:vAlign w:val="bottom"/>
          </w:tcPr>
          <w:p w14:paraId="65719CAC" w14:textId="23268184" w:rsidR="00F20B94" w:rsidRPr="00A06955" w:rsidRDefault="00983E11">
            <w:pPr>
              <w:tabs>
                <w:tab w:val="decimal" w:pos="1026"/>
              </w:tabs>
              <w:rPr>
                <w:color w:val="auto"/>
              </w:rPr>
            </w:pPr>
            <w:r>
              <w:rPr>
                <w:color w:val="auto"/>
              </w:rPr>
              <w:t>(</w:t>
            </w:r>
            <w:r w:rsidR="007479CB" w:rsidRPr="00A06955">
              <w:rPr>
                <w:color w:val="auto"/>
              </w:rPr>
              <w:t>15</w:t>
            </w:r>
            <w:r w:rsidR="00157352">
              <w:rPr>
                <w:color w:val="auto"/>
              </w:rPr>
              <w:t>2</w:t>
            </w:r>
            <w:r w:rsidR="007479CB" w:rsidRPr="00A06955">
              <w:rPr>
                <w:color w:val="auto"/>
              </w:rPr>
              <w:t>.2</w:t>
            </w:r>
            <w:r>
              <w:rPr>
                <w:color w:val="auto"/>
              </w:rPr>
              <w:t>)</w:t>
            </w:r>
          </w:p>
        </w:tc>
        <w:tc>
          <w:tcPr>
            <w:tcW w:w="966" w:type="pct"/>
            <w:tcBorders>
              <w:top w:val="nil"/>
              <w:bottom w:val="single" w:sz="4" w:space="0" w:color="auto"/>
            </w:tcBorders>
            <w:shd w:val="clear" w:color="auto" w:fill="auto"/>
            <w:vAlign w:val="bottom"/>
          </w:tcPr>
          <w:p w14:paraId="52945A09" w14:textId="102548CC" w:rsidR="00F20B94" w:rsidRPr="008D3771" w:rsidRDefault="00983E11" w:rsidP="002003E6">
            <w:pPr>
              <w:tabs>
                <w:tab w:val="decimal" w:pos="1026"/>
              </w:tabs>
              <w:rPr>
                <w:color w:val="auto"/>
              </w:rPr>
            </w:pPr>
            <w:r>
              <w:rPr>
                <w:color w:val="auto"/>
              </w:rPr>
              <w:t>(</w:t>
            </w:r>
            <w:r w:rsidR="00D5654F">
              <w:rPr>
                <w:color w:val="auto"/>
              </w:rPr>
              <w:t>98.1</w:t>
            </w:r>
            <w:r>
              <w:rPr>
                <w:color w:val="auto"/>
              </w:rPr>
              <w:t>)</w:t>
            </w:r>
          </w:p>
        </w:tc>
      </w:tr>
      <w:tr w:rsidR="00F20B94" w:rsidRPr="0050380D" w14:paraId="6D3765DF" w14:textId="77777777" w:rsidTr="002003E6">
        <w:trPr>
          <w:trHeight w:val="369"/>
        </w:trPr>
        <w:tc>
          <w:tcPr>
            <w:tcW w:w="3105" w:type="pct"/>
            <w:shd w:val="clear" w:color="auto" w:fill="auto"/>
            <w:vAlign w:val="bottom"/>
          </w:tcPr>
          <w:p w14:paraId="0DE07309" w14:textId="77777777" w:rsidR="00F20B94" w:rsidRPr="00A06955" w:rsidRDefault="00F20B94" w:rsidP="002003E6">
            <w:pPr>
              <w:jc w:val="left"/>
              <w:rPr>
                <w:b/>
                <w:color w:val="auto"/>
              </w:rPr>
            </w:pPr>
            <w:r w:rsidRPr="00A06955">
              <w:rPr>
                <w:b/>
                <w:color w:val="auto"/>
              </w:rPr>
              <w:t>Total</w:t>
            </w:r>
          </w:p>
        </w:tc>
        <w:tc>
          <w:tcPr>
            <w:tcW w:w="929" w:type="pct"/>
            <w:tcBorders>
              <w:top w:val="single" w:sz="4" w:space="0" w:color="auto"/>
              <w:bottom w:val="single" w:sz="4" w:space="0" w:color="auto"/>
            </w:tcBorders>
            <w:shd w:val="clear" w:color="auto" w:fill="auto"/>
            <w:vAlign w:val="bottom"/>
          </w:tcPr>
          <w:p w14:paraId="76A9E653" w14:textId="5C87E28D" w:rsidR="00F20B94" w:rsidRPr="00A06955" w:rsidRDefault="00983E11" w:rsidP="00A06955">
            <w:pPr>
              <w:tabs>
                <w:tab w:val="decimal" w:pos="1026"/>
              </w:tabs>
              <w:rPr>
                <w:b/>
                <w:color w:val="auto"/>
              </w:rPr>
            </w:pPr>
            <w:r>
              <w:rPr>
                <w:b/>
                <w:color w:val="auto"/>
              </w:rPr>
              <w:t>(</w:t>
            </w:r>
            <w:r w:rsidR="003E6188">
              <w:rPr>
                <w:b/>
                <w:color w:val="auto"/>
              </w:rPr>
              <w:t>93</w:t>
            </w:r>
            <w:r w:rsidR="006D2EFB">
              <w:rPr>
                <w:b/>
                <w:color w:val="auto"/>
              </w:rPr>
              <w:t>7</w:t>
            </w:r>
            <w:r w:rsidR="00157352">
              <w:rPr>
                <w:b/>
                <w:color w:val="auto"/>
              </w:rPr>
              <w:t>.</w:t>
            </w:r>
            <w:r w:rsidR="003E6188">
              <w:rPr>
                <w:b/>
                <w:color w:val="auto"/>
              </w:rPr>
              <w:t>5</w:t>
            </w:r>
            <w:r>
              <w:rPr>
                <w:b/>
                <w:color w:val="auto"/>
              </w:rPr>
              <w:t>)</w:t>
            </w:r>
          </w:p>
        </w:tc>
        <w:tc>
          <w:tcPr>
            <w:tcW w:w="966" w:type="pct"/>
            <w:tcBorders>
              <w:top w:val="single" w:sz="4" w:space="0" w:color="auto"/>
              <w:bottom w:val="single" w:sz="4" w:space="0" w:color="auto"/>
            </w:tcBorders>
            <w:shd w:val="clear" w:color="auto" w:fill="auto"/>
            <w:vAlign w:val="bottom"/>
          </w:tcPr>
          <w:p w14:paraId="6EF5F7FC" w14:textId="1787603F" w:rsidR="00F20B94" w:rsidRPr="0050380D" w:rsidRDefault="00983E11" w:rsidP="003E6188">
            <w:pPr>
              <w:tabs>
                <w:tab w:val="decimal" w:pos="1026"/>
              </w:tabs>
              <w:rPr>
                <w:b/>
                <w:color w:val="auto"/>
              </w:rPr>
            </w:pPr>
            <w:r>
              <w:rPr>
                <w:b/>
                <w:color w:val="auto"/>
              </w:rPr>
              <w:t>(</w:t>
            </w:r>
            <w:r w:rsidR="003E6188">
              <w:rPr>
                <w:b/>
                <w:color w:val="auto"/>
              </w:rPr>
              <w:t>910.5</w:t>
            </w:r>
            <w:r>
              <w:rPr>
                <w:b/>
                <w:color w:val="auto"/>
              </w:rPr>
              <w:t>)</w:t>
            </w:r>
          </w:p>
        </w:tc>
      </w:tr>
    </w:tbl>
    <w:p w14:paraId="5779C8B8" w14:textId="0E2A7892" w:rsidR="00FE2210" w:rsidRDefault="00FE2210" w:rsidP="00385ED8">
      <w:pPr>
        <w:rPr>
          <w:sz w:val="20"/>
          <w:szCs w:val="20"/>
          <w:lang w:eastAsia="en-GB"/>
        </w:rPr>
      </w:pPr>
      <w:r>
        <w:rPr>
          <w:sz w:val="20"/>
          <w:szCs w:val="20"/>
          <w:vertAlign w:val="superscript"/>
          <w:lang w:eastAsia="en-GB"/>
        </w:rPr>
        <w:lastRenderedPageBreak/>
        <w:t>1</w:t>
      </w:r>
      <w:r>
        <w:rPr>
          <w:sz w:val="20"/>
          <w:szCs w:val="20"/>
          <w:lang w:eastAsia="en-GB"/>
        </w:rPr>
        <w:t>Funding for Non-Domestic Rates includes £136.1m of top up grant (£133.7m in 2013/14).</w:t>
      </w:r>
    </w:p>
    <w:p w14:paraId="2AABEBBD" w14:textId="1D2639B7" w:rsidR="00385ED8" w:rsidRDefault="00FE2210" w:rsidP="00385ED8">
      <w:pPr>
        <w:rPr>
          <w:rFonts w:cs="Arial"/>
          <w:color w:val="auto"/>
          <w:sz w:val="20"/>
          <w:szCs w:val="20"/>
        </w:rPr>
      </w:pPr>
      <w:r>
        <w:rPr>
          <w:sz w:val="20"/>
          <w:szCs w:val="20"/>
          <w:vertAlign w:val="superscript"/>
          <w:lang w:eastAsia="en-GB"/>
        </w:rPr>
        <w:t>2</w:t>
      </w:r>
      <w:r w:rsidR="007D3F65">
        <w:rPr>
          <w:sz w:val="20"/>
          <w:szCs w:val="20"/>
          <w:lang w:eastAsia="en-GB"/>
        </w:rPr>
        <w:t xml:space="preserve">Comparatives have been restated since the presentation of the Education Services Grant has changed to reflect the non-specific nature of the grant </w:t>
      </w:r>
    </w:p>
    <w:p w14:paraId="5E70283D" w14:textId="77777777" w:rsidR="00385F32" w:rsidRDefault="00385F32" w:rsidP="0001390E">
      <w:pPr>
        <w:pStyle w:val="Heading2"/>
      </w:pPr>
    </w:p>
    <w:p w14:paraId="48577BC0" w14:textId="44E8DEBA" w:rsidR="0001390E" w:rsidRPr="00A06955" w:rsidRDefault="00246A2C" w:rsidP="0001390E">
      <w:pPr>
        <w:pStyle w:val="Heading2"/>
      </w:pPr>
      <w:r>
        <w:t>12. Amounts reported for resource allocation d</w:t>
      </w:r>
      <w:r w:rsidR="0001390E" w:rsidRPr="00A06955">
        <w:t>ecisions</w:t>
      </w:r>
    </w:p>
    <w:p w14:paraId="5F335901" w14:textId="77777777" w:rsidR="0001390E" w:rsidRPr="00A06955" w:rsidRDefault="0001390E" w:rsidP="0001390E">
      <w:pPr>
        <w:rPr>
          <w:lang w:eastAsia="en-GB"/>
        </w:rPr>
      </w:pPr>
      <w:r w:rsidRPr="00A06955">
        <w:rPr>
          <w:lang w:eastAsia="en-GB"/>
        </w:rPr>
        <w:t>The analysis of income and expenditure by service on the face of the Comprehensive Income and Expenditure Statement is that specified by Service Reporting Code of Practice.  However, decisions about resource allocation are taken on the basis of budget reports analysed across directorates.  These reports are prepared on a different basis from the accounting policies used in the financial statements.</w:t>
      </w:r>
    </w:p>
    <w:p w14:paraId="4FEA568D" w14:textId="4EE345DF" w:rsidR="0001390E" w:rsidRDefault="0001390E" w:rsidP="0001390E">
      <w:pPr>
        <w:rPr>
          <w:lang w:eastAsia="en-GB"/>
        </w:rPr>
      </w:pPr>
      <w:r w:rsidRPr="00A06955">
        <w:rPr>
          <w:lang w:eastAsia="en-GB"/>
        </w:rPr>
        <w:t xml:space="preserve">The income and expenditure of the council's principal directorates recorded in the budget reports for the year is </w:t>
      </w:r>
      <w:r w:rsidR="00A02D4D" w:rsidRPr="00A06955">
        <w:rPr>
          <w:lang w:eastAsia="en-GB"/>
        </w:rPr>
        <w:t>as follows</w:t>
      </w:r>
      <w:r w:rsidRPr="00A06955">
        <w:rPr>
          <w:lang w:eastAsia="en-GB"/>
        </w:rPr>
        <w:t>:</w:t>
      </w:r>
    </w:p>
    <w:p w14:paraId="0FC48B06" w14:textId="77777777" w:rsidR="00385F32" w:rsidRDefault="00385F32" w:rsidP="0001390E">
      <w:pPr>
        <w:rPr>
          <w:lang w:eastAsia="en-GB"/>
        </w:rPr>
      </w:pPr>
    </w:p>
    <w:p w14:paraId="02161703" w14:textId="77777777" w:rsidR="00385F32" w:rsidRDefault="00385F32" w:rsidP="0001390E">
      <w:pPr>
        <w:rPr>
          <w:lang w:eastAsia="en-GB"/>
        </w:rPr>
      </w:pPr>
    </w:p>
    <w:p w14:paraId="247D798D" w14:textId="77777777" w:rsidR="00385F32" w:rsidRDefault="00385F32" w:rsidP="0001390E">
      <w:pPr>
        <w:rPr>
          <w:lang w:eastAsia="en-GB"/>
        </w:rPr>
      </w:pPr>
    </w:p>
    <w:p w14:paraId="7CACD72F" w14:textId="77777777" w:rsidR="00385F32" w:rsidRDefault="00385F32" w:rsidP="0001390E">
      <w:pPr>
        <w:rPr>
          <w:lang w:eastAsia="en-GB"/>
        </w:rPr>
      </w:pPr>
    </w:p>
    <w:p w14:paraId="0DC8296D" w14:textId="77777777" w:rsidR="00385F32" w:rsidRDefault="00385F32" w:rsidP="0001390E">
      <w:pPr>
        <w:rPr>
          <w:lang w:eastAsia="en-GB"/>
        </w:rPr>
      </w:pPr>
    </w:p>
    <w:p w14:paraId="52E9FE1B" w14:textId="77777777" w:rsidR="00385F32" w:rsidRDefault="00385F32" w:rsidP="0001390E">
      <w:pPr>
        <w:rPr>
          <w:lang w:eastAsia="en-GB"/>
        </w:rPr>
      </w:pPr>
    </w:p>
    <w:p w14:paraId="75C644E5" w14:textId="77777777" w:rsidR="00385F32" w:rsidRDefault="00385F32" w:rsidP="0001390E">
      <w:pPr>
        <w:rPr>
          <w:lang w:eastAsia="en-GB"/>
        </w:rPr>
      </w:pPr>
    </w:p>
    <w:p w14:paraId="524E0565" w14:textId="77777777" w:rsidR="00385F32" w:rsidRDefault="00385F32" w:rsidP="0001390E">
      <w:pPr>
        <w:rPr>
          <w:lang w:eastAsia="en-GB"/>
        </w:rPr>
      </w:pPr>
    </w:p>
    <w:p w14:paraId="1631C571" w14:textId="77777777" w:rsidR="00385F32" w:rsidRDefault="00385F32" w:rsidP="0001390E">
      <w:pPr>
        <w:rPr>
          <w:lang w:eastAsia="en-GB"/>
        </w:rPr>
      </w:pPr>
    </w:p>
    <w:p w14:paraId="0E703A0C" w14:textId="77777777" w:rsidR="00385F32" w:rsidRDefault="00385F32" w:rsidP="0001390E">
      <w:pPr>
        <w:rPr>
          <w:lang w:eastAsia="en-GB"/>
        </w:rPr>
      </w:pPr>
    </w:p>
    <w:p w14:paraId="026FA878" w14:textId="77777777" w:rsidR="00385F32" w:rsidRDefault="00385F32" w:rsidP="0001390E">
      <w:pPr>
        <w:rPr>
          <w:lang w:eastAsia="en-GB"/>
        </w:rPr>
      </w:pPr>
    </w:p>
    <w:p w14:paraId="109EA95C" w14:textId="77777777" w:rsidR="00385F32" w:rsidRDefault="00385F32" w:rsidP="0001390E">
      <w:pPr>
        <w:rPr>
          <w:lang w:eastAsia="en-GB"/>
        </w:rPr>
      </w:pPr>
    </w:p>
    <w:p w14:paraId="31D3F6E2" w14:textId="77777777" w:rsidR="00385F32" w:rsidRDefault="00385F32" w:rsidP="0001390E">
      <w:pPr>
        <w:rPr>
          <w:lang w:eastAsia="en-GB"/>
        </w:rPr>
      </w:pPr>
    </w:p>
    <w:p w14:paraId="2BB2F905" w14:textId="77777777" w:rsidR="00385F32" w:rsidRDefault="00385F32" w:rsidP="0001390E">
      <w:pPr>
        <w:rPr>
          <w:lang w:eastAsia="en-GB"/>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2"/>
        <w:gridCol w:w="1419"/>
        <w:gridCol w:w="1417"/>
        <w:gridCol w:w="1791"/>
        <w:gridCol w:w="1664"/>
        <w:gridCol w:w="1187"/>
      </w:tblGrid>
      <w:tr w:rsidR="00C0047D" w:rsidRPr="00747B0B" w14:paraId="777B86DB" w14:textId="77777777" w:rsidTr="00A06955">
        <w:trPr>
          <w:trHeight w:val="369"/>
          <w:tblHeader/>
        </w:trPr>
        <w:tc>
          <w:tcPr>
            <w:tcW w:w="1422" w:type="pct"/>
            <w:shd w:val="clear" w:color="auto" w:fill="D0CECE"/>
            <w:vAlign w:val="bottom"/>
          </w:tcPr>
          <w:p w14:paraId="6C073B3B" w14:textId="7FFC6BBA" w:rsidR="0001390E" w:rsidRPr="00A06955" w:rsidRDefault="00BA1F75" w:rsidP="00A06955">
            <w:pPr>
              <w:jc w:val="center"/>
              <w:rPr>
                <w:b/>
                <w:color w:val="auto"/>
              </w:rPr>
            </w:pPr>
            <w:r w:rsidRPr="00A06955">
              <w:rPr>
                <w:b/>
                <w:color w:val="auto"/>
              </w:rPr>
              <w:t>Directorate Income &amp; Expenditure</w:t>
            </w:r>
          </w:p>
        </w:tc>
        <w:tc>
          <w:tcPr>
            <w:tcW w:w="679" w:type="pct"/>
            <w:shd w:val="clear" w:color="auto" w:fill="D0CECE"/>
            <w:vAlign w:val="bottom"/>
          </w:tcPr>
          <w:p w14:paraId="6C7848BB" w14:textId="77777777" w:rsidR="0001390E" w:rsidRPr="00A06955" w:rsidRDefault="0001390E" w:rsidP="002003E6">
            <w:pPr>
              <w:jc w:val="center"/>
              <w:rPr>
                <w:b/>
                <w:color w:val="auto"/>
              </w:rPr>
            </w:pPr>
            <w:r w:rsidRPr="00A06955">
              <w:rPr>
                <w:b/>
                <w:color w:val="auto"/>
              </w:rPr>
              <w:t>Adult, Social, Health &amp; Wellbeing</w:t>
            </w:r>
          </w:p>
        </w:tc>
        <w:tc>
          <w:tcPr>
            <w:tcW w:w="678" w:type="pct"/>
            <w:shd w:val="clear" w:color="auto" w:fill="D0CECE"/>
            <w:vAlign w:val="bottom"/>
          </w:tcPr>
          <w:p w14:paraId="5D8B2957" w14:textId="77777777" w:rsidR="0001390E" w:rsidRPr="00A06955" w:rsidRDefault="0001390E" w:rsidP="0001390E">
            <w:pPr>
              <w:jc w:val="center"/>
              <w:rPr>
                <w:b/>
                <w:color w:val="auto"/>
              </w:rPr>
            </w:pPr>
            <w:r w:rsidRPr="00A06955">
              <w:rPr>
                <w:b/>
                <w:color w:val="auto"/>
              </w:rPr>
              <w:t>Children &amp; Young People</w:t>
            </w:r>
          </w:p>
        </w:tc>
        <w:tc>
          <w:tcPr>
            <w:tcW w:w="857" w:type="pct"/>
            <w:shd w:val="clear" w:color="auto" w:fill="D0CECE"/>
            <w:vAlign w:val="bottom"/>
          </w:tcPr>
          <w:p w14:paraId="3EBDCEBD" w14:textId="77777777" w:rsidR="0001390E" w:rsidRPr="00A06955" w:rsidRDefault="0001390E" w:rsidP="002003E6">
            <w:pPr>
              <w:jc w:val="center"/>
              <w:rPr>
                <w:b/>
                <w:color w:val="auto"/>
              </w:rPr>
            </w:pPr>
            <w:r w:rsidRPr="00A06955">
              <w:rPr>
                <w:b/>
                <w:color w:val="auto"/>
              </w:rPr>
              <w:t>Environment</w:t>
            </w:r>
          </w:p>
        </w:tc>
        <w:tc>
          <w:tcPr>
            <w:tcW w:w="796" w:type="pct"/>
            <w:shd w:val="clear" w:color="auto" w:fill="D0CECE"/>
            <w:vAlign w:val="bottom"/>
          </w:tcPr>
          <w:p w14:paraId="12B1043A" w14:textId="77777777" w:rsidR="0001390E" w:rsidRPr="00A06955" w:rsidRDefault="0001390E" w:rsidP="002003E6">
            <w:pPr>
              <w:jc w:val="center"/>
              <w:rPr>
                <w:b/>
                <w:color w:val="auto"/>
              </w:rPr>
            </w:pPr>
            <w:r w:rsidRPr="00A06955">
              <w:rPr>
                <w:b/>
                <w:color w:val="auto"/>
              </w:rPr>
              <w:t>Other Directorates</w:t>
            </w:r>
          </w:p>
        </w:tc>
        <w:tc>
          <w:tcPr>
            <w:tcW w:w="568" w:type="pct"/>
            <w:shd w:val="clear" w:color="auto" w:fill="D0CECE"/>
            <w:vAlign w:val="bottom"/>
          </w:tcPr>
          <w:p w14:paraId="2BFBD733" w14:textId="77777777" w:rsidR="0001390E" w:rsidRPr="00A06955" w:rsidRDefault="0001390E" w:rsidP="002003E6">
            <w:pPr>
              <w:jc w:val="center"/>
              <w:rPr>
                <w:b/>
                <w:color w:val="auto"/>
              </w:rPr>
            </w:pPr>
            <w:r w:rsidRPr="00A06955">
              <w:rPr>
                <w:b/>
                <w:color w:val="auto"/>
              </w:rPr>
              <w:t>Total</w:t>
            </w:r>
          </w:p>
        </w:tc>
      </w:tr>
      <w:tr w:rsidR="00C0047D" w:rsidRPr="00747B0B" w14:paraId="64AE2F04" w14:textId="77777777" w:rsidTr="00A06955">
        <w:trPr>
          <w:trHeight w:val="369"/>
          <w:tblHeader/>
        </w:trPr>
        <w:tc>
          <w:tcPr>
            <w:tcW w:w="1422" w:type="pct"/>
            <w:shd w:val="clear" w:color="auto" w:fill="D0CECE"/>
            <w:vAlign w:val="bottom"/>
          </w:tcPr>
          <w:p w14:paraId="58F17CC3" w14:textId="2915DC6B" w:rsidR="0001390E" w:rsidRPr="00A06955" w:rsidRDefault="0026647B" w:rsidP="00A06955">
            <w:pPr>
              <w:jc w:val="center"/>
              <w:rPr>
                <w:b/>
                <w:color w:val="auto"/>
              </w:rPr>
            </w:pPr>
            <w:r>
              <w:rPr>
                <w:b/>
                <w:color w:val="auto"/>
              </w:rPr>
              <w:t xml:space="preserve"> </w:t>
            </w:r>
            <w:r w:rsidR="00BA1F75" w:rsidRPr="00A06955">
              <w:rPr>
                <w:b/>
                <w:color w:val="auto"/>
              </w:rPr>
              <w:t>2014/15</w:t>
            </w:r>
          </w:p>
        </w:tc>
        <w:tc>
          <w:tcPr>
            <w:tcW w:w="679" w:type="pct"/>
            <w:shd w:val="clear" w:color="auto" w:fill="D0CECE"/>
            <w:vAlign w:val="bottom"/>
          </w:tcPr>
          <w:p w14:paraId="434C32C3" w14:textId="77777777" w:rsidR="0001390E" w:rsidRPr="00A06955" w:rsidRDefault="0001390E" w:rsidP="002003E6">
            <w:pPr>
              <w:jc w:val="center"/>
              <w:rPr>
                <w:b/>
                <w:color w:val="auto"/>
              </w:rPr>
            </w:pPr>
            <w:r w:rsidRPr="00A06955">
              <w:rPr>
                <w:b/>
                <w:color w:val="auto"/>
              </w:rPr>
              <w:t>£m</w:t>
            </w:r>
          </w:p>
        </w:tc>
        <w:tc>
          <w:tcPr>
            <w:tcW w:w="678" w:type="pct"/>
            <w:shd w:val="clear" w:color="auto" w:fill="D0CECE"/>
            <w:vAlign w:val="bottom"/>
          </w:tcPr>
          <w:p w14:paraId="5D442839" w14:textId="77777777" w:rsidR="0001390E" w:rsidRPr="00A06955" w:rsidRDefault="00412F92" w:rsidP="0001390E">
            <w:pPr>
              <w:jc w:val="center"/>
              <w:rPr>
                <w:b/>
                <w:color w:val="auto"/>
              </w:rPr>
            </w:pPr>
            <w:r w:rsidRPr="00A06955">
              <w:rPr>
                <w:b/>
                <w:color w:val="auto"/>
              </w:rPr>
              <w:t>£m</w:t>
            </w:r>
          </w:p>
        </w:tc>
        <w:tc>
          <w:tcPr>
            <w:tcW w:w="857" w:type="pct"/>
            <w:shd w:val="clear" w:color="auto" w:fill="D0CECE"/>
            <w:vAlign w:val="bottom"/>
          </w:tcPr>
          <w:p w14:paraId="1AC7F431" w14:textId="77777777" w:rsidR="0001390E" w:rsidRPr="00A06955" w:rsidRDefault="0001390E" w:rsidP="002003E6">
            <w:pPr>
              <w:jc w:val="center"/>
              <w:rPr>
                <w:b/>
                <w:color w:val="auto"/>
              </w:rPr>
            </w:pPr>
            <w:r w:rsidRPr="00A06955">
              <w:rPr>
                <w:b/>
                <w:color w:val="auto"/>
              </w:rPr>
              <w:t>£m</w:t>
            </w:r>
          </w:p>
        </w:tc>
        <w:tc>
          <w:tcPr>
            <w:tcW w:w="796" w:type="pct"/>
            <w:shd w:val="clear" w:color="auto" w:fill="D0CECE"/>
            <w:vAlign w:val="bottom"/>
          </w:tcPr>
          <w:p w14:paraId="03EFBB58" w14:textId="77777777" w:rsidR="0001390E" w:rsidRPr="00A06955" w:rsidRDefault="0001390E" w:rsidP="002003E6">
            <w:pPr>
              <w:jc w:val="center"/>
              <w:rPr>
                <w:b/>
                <w:color w:val="auto"/>
              </w:rPr>
            </w:pPr>
            <w:r w:rsidRPr="00A06955">
              <w:rPr>
                <w:b/>
                <w:color w:val="auto"/>
              </w:rPr>
              <w:t>£m</w:t>
            </w:r>
          </w:p>
        </w:tc>
        <w:tc>
          <w:tcPr>
            <w:tcW w:w="568" w:type="pct"/>
            <w:shd w:val="clear" w:color="auto" w:fill="D0CECE"/>
            <w:vAlign w:val="bottom"/>
          </w:tcPr>
          <w:p w14:paraId="1EF2D3A5" w14:textId="77777777" w:rsidR="0001390E" w:rsidRPr="00A06955" w:rsidRDefault="0001390E" w:rsidP="002003E6">
            <w:pPr>
              <w:jc w:val="center"/>
              <w:rPr>
                <w:b/>
                <w:color w:val="auto"/>
              </w:rPr>
            </w:pPr>
            <w:r w:rsidRPr="00A06955">
              <w:rPr>
                <w:b/>
                <w:color w:val="auto"/>
              </w:rPr>
              <w:t>£m</w:t>
            </w:r>
          </w:p>
        </w:tc>
      </w:tr>
      <w:tr w:rsidR="00C0047D" w:rsidRPr="00747B0B" w14:paraId="43C1AAE3" w14:textId="77777777" w:rsidTr="00A06955">
        <w:trPr>
          <w:trHeight w:val="369"/>
        </w:trPr>
        <w:tc>
          <w:tcPr>
            <w:tcW w:w="1422" w:type="pct"/>
            <w:shd w:val="clear" w:color="auto" w:fill="auto"/>
            <w:vAlign w:val="bottom"/>
          </w:tcPr>
          <w:p w14:paraId="094E90A3" w14:textId="77777777" w:rsidR="0001390E" w:rsidRPr="00A06955" w:rsidRDefault="00412F92" w:rsidP="002003E6">
            <w:pPr>
              <w:jc w:val="left"/>
              <w:rPr>
                <w:color w:val="auto"/>
              </w:rPr>
            </w:pPr>
            <w:r w:rsidRPr="00A06955">
              <w:rPr>
                <w:color w:val="auto"/>
              </w:rPr>
              <w:t>Fees, charges &amp; other service income</w:t>
            </w:r>
          </w:p>
        </w:tc>
        <w:tc>
          <w:tcPr>
            <w:tcW w:w="679" w:type="pct"/>
            <w:shd w:val="clear" w:color="auto" w:fill="auto"/>
            <w:vAlign w:val="bottom"/>
          </w:tcPr>
          <w:p w14:paraId="260F6B13" w14:textId="5E80E690" w:rsidR="0001390E" w:rsidRPr="00A06955" w:rsidRDefault="00983E11" w:rsidP="00C0047D">
            <w:pPr>
              <w:tabs>
                <w:tab w:val="decimal" w:pos="601"/>
              </w:tabs>
              <w:rPr>
                <w:color w:val="auto"/>
              </w:rPr>
            </w:pPr>
            <w:r>
              <w:rPr>
                <w:color w:val="auto"/>
              </w:rPr>
              <w:t>(</w:t>
            </w:r>
            <w:r w:rsidR="004C589B">
              <w:rPr>
                <w:color w:val="auto"/>
              </w:rPr>
              <w:t>89.3</w:t>
            </w:r>
            <w:r>
              <w:rPr>
                <w:color w:val="auto"/>
              </w:rPr>
              <w:t>)</w:t>
            </w:r>
          </w:p>
        </w:tc>
        <w:tc>
          <w:tcPr>
            <w:tcW w:w="678" w:type="pct"/>
            <w:vAlign w:val="bottom"/>
          </w:tcPr>
          <w:p w14:paraId="388B71AC" w14:textId="121A0E4A" w:rsidR="0001390E" w:rsidRPr="00A06955" w:rsidRDefault="00983E11" w:rsidP="00C0047D">
            <w:pPr>
              <w:tabs>
                <w:tab w:val="decimal" w:pos="602"/>
              </w:tabs>
              <w:rPr>
                <w:color w:val="auto"/>
              </w:rPr>
            </w:pPr>
            <w:r>
              <w:rPr>
                <w:color w:val="auto"/>
              </w:rPr>
              <w:t>(</w:t>
            </w:r>
            <w:r w:rsidR="004C589B">
              <w:rPr>
                <w:color w:val="auto"/>
              </w:rPr>
              <w:t>62.0</w:t>
            </w:r>
            <w:r>
              <w:rPr>
                <w:color w:val="auto"/>
              </w:rPr>
              <w:t>)</w:t>
            </w:r>
          </w:p>
        </w:tc>
        <w:tc>
          <w:tcPr>
            <w:tcW w:w="857" w:type="pct"/>
            <w:vAlign w:val="bottom"/>
          </w:tcPr>
          <w:p w14:paraId="5894AF0C" w14:textId="0CA2D68C" w:rsidR="0001390E" w:rsidRPr="00A06955" w:rsidRDefault="00983E11" w:rsidP="00C0047D">
            <w:pPr>
              <w:tabs>
                <w:tab w:val="decimal" w:pos="767"/>
              </w:tabs>
              <w:rPr>
                <w:color w:val="auto"/>
              </w:rPr>
            </w:pPr>
            <w:r>
              <w:rPr>
                <w:color w:val="auto"/>
              </w:rPr>
              <w:t>(</w:t>
            </w:r>
            <w:r w:rsidR="004C589B">
              <w:rPr>
                <w:color w:val="auto"/>
              </w:rPr>
              <w:t>61.0</w:t>
            </w:r>
            <w:r>
              <w:rPr>
                <w:color w:val="auto"/>
              </w:rPr>
              <w:t>)</w:t>
            </w:r>
          </w:p>
        </w:tc>
        <w:tc>
          <w:tcPr>
            <w:tcW w:w="796" w:type="pct"/>
            <w:shd w:val="clear" w:color="auto" w:fill="auto"/>
            <w:vAlign w:val="bottom"/>
          </w:tcPr>
          <w:p w14:paraId="5B0C37D9" w14:textId="5E0D6C09" w:rsidR="0001390E" w:rsidRPr="00A06955" w:rsidRDefault="00983E11">
            <w:pPr>
              <w:tabs>
                <w:tab w:val="decimal" w:pos="785"/>
              </w:tabs>
              <w:rPr>
                <w:color w:val="auto"/>
              </w:rPr>
            </w:pPr>
            <w:r>
              <w:rPr>
                <w:color w:val="auto"/>
              </w:rPr>
              <w:t>(</w:t>
            </w:r>
            <w:r w:rsidR="00F6551E">
              <w:rPr>
                <w:color w:val="auto"/>
              </w:rPr>
              <w:t>1</w:t>
            </w:r>
            <w:r w:rsidR="004C589B">
              <w:rPr>
                <w:color w:val="auto"/>
              </w:rPr>
              <w:t>61.5</w:t>
            </w:r>
            <w:r>
              <w:rPr>
                <w:color w:val="auto"/>
              </w:rPr>
              <w:t>)</w:t>
            </w:r>
          </w:p>
        </w:tc>
        <w:tc>
          <w:tcPr>
            <w:tcW w:w="568" w:type="pct"/>
            <w:shd w:val="clear" w:color="auto" w:fill="auto"/>
            <w:vAlign w:val="bottom"/>
          </w:tcPr>
          <w:p w14:paraId="7EC76D86" w14:textId="606A72D5" w:rsidR="0001390E" w:rsidRPr="00A06955" w:rsidRDefault="00983E11">
            <w:pPr>
              <w:tabs>
                <w:tab w:val="decimal" w:pos="602"/>
              </w:tabs>
              <w:rPr>
                <w:color w:val="auto"/>
              </w:rPr>
            </w:pPr>
            <w:r>
              <w:rPr>
                <w:color w:val="auto"/>
              </w:rPr>
              <w:t>(</w:t>
            </w:r>
            <w:r w:rsidR="00F6551E">
              <w:rPr>
                <w:color w:val="auto"/>
              </w:rPr>
              <w:t>37</w:t>
            </w:r>
            <w:r w:rsidR="004C589B">
              <w:rPr>
                <w:color w:val="auto"/>
              </w:rPr>
              <w:t>3.8</w:t>
            </w:r>
            <w:r>
              <w:rPr>
                <w:color w:val="auto"/>
              </w:rPr>
              <w:t>)</w:t>
            </w:r>
          </w:p>
        </w:tc>
      </w:tr>
      <w:tr w:rsidR="00C0047D" w:rsidRPr="00747B0B" w14:paraId="21ABE931" w14:textId="77777777" w:rsidTr="00A06955">
        <w:trPr>
          <w:trHeight w:val="369"/>
        </w:trPr>
        <w:tc>
          <w:tcPr>
            <w:tcW w:w="1422" w:type="pct"/>
            <w:shd w:val="clear" w:color="auto" w:fill="auto"/>
            <w:vAlign w:val="bottom"/>
          </w:tcPr>
          <w:p w14:paraId="77C58E05" w14:textId="77777777" w:rsidR="0001390E" w:rsidRPr="00A06955" w:rsidRDefault="00412F92" w:rsidP="002003E6">
            <w:pPr>
              <w:jc w:val="left"/>
              <w:rPr>
                <w:color w:val="auto"/>
              </w:rPr>
            </w:pPr>
            <w:r w:rsidRPr="00A06955">
              <w:rPr>
                <w:rFonts w:eastAsia="Times New Roman" w:cs="Arial"/>
                <w:lang w:eastAsia="en-GB"/>
              </w:rPr>
              <w:t>Government grants</w:t>
            </w:r>
          </w:p>
        </w:tc>
        <w:tc>
          <w:tcPr>
            <w:tcW w:w="679" w:type="pct"/>
            <w:tcBorders>
              <w:bottom w:val="single" w:sz="4" w:space="0" w:color="auto"/>
            </w:tcBorders>
            <w:shd w:val="clear" w:color="auto" w:fill="auto"/>
            <w:vAlign w:val="bottom"/>
          </w:tcPr>
          <w:p w14:paraId="70E64190" w14:textId="7B1CFD6E" w:rsidR="0001390E" w:rsidRPr="00A06955" w:rsidRDefault="00983E11" w:rsidP="00C0047D">
            <w:pPr>
              <w:tabs>
                <w:tab w:val="decimal" w:pos="601"/>
              </w:tabs>
              <w:rPr>
                <w:color w:val="auto"/>
              </w:rPr>
            </w:pPr>
            <w:r>
              <w:rPr>
                <w:color w:val="auto"/>
              </w:rPr>
              <w:t>(</w:t>
            </w:r>
            <w:r w:rsidR="004C589B">
              <w:rPr>
                <w:color w:val="auto"/>
              </w:rPr>
              <w:t>5</w:t>
            </w:r>
            <w:r w:rsidR="00570D50">
              <w:rPr>
                <w:color w:val="auto"/>
              </w:rPr>
              <w:t>3.</w:t>
            </w:r>
            <w:r w:rsidR="004C589B">
              <w:rPr>
                <w:color w:val="auto"/>
              </w:rPr>
              <w:t>2</w:t>
            </w:r>
            <w:r>
              <w:rPr>
                <w:color w:val="auto"/>
              </w:rPr>
              <w:t>)</w:t>
            </w:r>
          </w:p>
        </w:tc>
        <w:tc>
          <w:tcPr>
            <w:tcW w:w="678" w:type="pct"/>
            <w:tcBorders>
              <w:bottom w:val="single" w:sz="4" w:space="0" w:color="auto"/>
            </w:tcBorders>
            <w:vAlign w:val="bottom"/>
          </w:tcPr>
          <w:p w14:paraId="4C6E12F2" w14:textId="22335D13" w:rsidR="0001390E" w:rsidRPr="00A06955" w:rsidRDefault="00983E11">
            <w:pPr>
              <w:tabs>
                <w:tab w:val="decimal" w:pos="602"/>
              </w:tabs>
              <w:rPr>
                <w:color w:val="auto"/>
              </w:rPr>
            </w:pPr>
            <w:r>
              <w:rPr>
                <w:color w:val="auto"/>
              </w:rPr>
              <w:t>(</w:t>
            </w:r>
            <w:r w:rsidR="00F6551E">
              <w:rPr>
                <w:color w:val="auto"/>
              </w:rPr>
              <w:t>91</w:t>
            </w:r>
            <w:r w:rsidR="004C589B">
              <w:rPr>
                <w:color w:val="auto"/>
              </w:rPr>
              <w:t>0.2</w:t>
            </w:r>
            <w:r>
              <w:rPr>
                <w:color w:val="auto"/>
              </w:rPr>
              <w:t>)</w:t>
            </w:r>
          </w:p>
        </w:tc>
        <w:tc>
          <w:tcPr>
            <w:tcW w:w="857" w:type="pct"/>
            <w:tcBorders>
              <w:bottom w:val="single" w:sz="4" w:space="0" w:color="auto"/>
            </w:tcBorders>
            <w:vAlign w:val="bottom"/>
          </w:tcPr>
          <w:p w14:paraId="35D99B77" w14:textId="68833087" w:rsidR="0001390E" w:rsidRPr="00A06955" w:rsidRDefault="00983E11" w:rsidP="00C0047D">
            <w:pPr>
              <w:tabs>
                <w:tab w:val="decimal" w:pos="767"/>
              </w:tabs>
              <w:rPr>
                <w:color w:val="auto"/>
              </w:rPr>
            </w:pPr>
            <w:r>
              <w:rPr>
                <w:color w:val="auto"/>
              </w:rPr>
              <w:t>(</w:t>
            </w:r>
            <w:r w:rsidR="00570D50">
              <w:rPr>
                <w:color w:val="auto"/>
              </w:rPr>
              <w:t>1</w:t>
            </w:r>
            <w:r w:rsidR="004C589B">
              <w:rPr>
                <w:color w:val="auto"/>
              </w:rPr>
              <w:t>0</w:t>
            </w:r>
            <w:r w:rsidR="00570D50">
              <w:rPr>
                <w:color w:val="auto"/>
              </w:rPr>
              <w:t>.</w:t>
            </w:r>
            <w:r w:rsidR="004C589B">
              <w:rPr>
                <w:color w:val="auto"/>
              </w:rPr>
              <w:t>0</w:t>
            </w:r>
            <w:r>
              <w:rPr>
                <w:color w:val="auto"/>
              </w:rPr>
              <w:t>)</w:t>
            </w:r>
          </w:p>
        </w:tc>
        <w:tc>
          <w:tcPr>
            <w:tcW w:w="796" w:type="pct"/>
            <w:tcBorders>
              <w:bottom w:val="single" w:sz="4" w:space="0" w:color="auto"/>
            </w:tcBorders>
            <w:shd w:val="clear" w:color="auto" w:fill="auto"/>
            <w:vAlign w:val="bottom"/>
          </w:tcPr>
          <w:p w14:paraId="782DFDFE" w14:textId="1BAF4057" w:rsidR="0001390E" w:rsidRPr="00A06955" w:rsidRDefault="00983E11" w:rsidP="006B17B3">
            <w:pPr>
              <w:tabs>
                <w:tab w:val="decimal" w:pos="785"/>
              </w:tabs>
              <w:rPr>
                <w:color w:val="auto"/>
              </w:rPr>
            </w:pPr>
            <w:r>
              <w:rPr>
                <w:color w:val="auto"/>
              </w:rPr>
              <w:t>(</w:t>
            </w:r>
            <w:r w:rsidR="00F6551E">
              <w:rPr>
                <w:color w:val="auto"/>
              </w:rPr>
              <w:t>13</w:t>
            </w:r>
            <w:r w:rsidR="004C589B">
              <w:rPr>
                <w:color w:val="auto"/>
              </w:rPr>
              <w:t>1</w:t>
            </w:r>
            <w:r w:rsidR="00F6551E">
              <w:rPr>
                <w:color w:val="auto"/>
              </w:rPr>
              <w:t>.</w:t>
            </w:r>
            <w:r w:rsidR="004C589B">
              <w:rPr>
                <w:color w:val="auto"/>
              </w:rPr>
              <w:t>2</w:t>
            </w:r>
            <w:r>
              <w:rPr>
                <w:color w:val="auto"/>
              </w:rPr>
              <w:t>)</w:t>
            </w:r>
          </w:p>
        </w:tc>
        <w:tc>
          <w:tcPr>
            <w:tcW w:w="568" w:type="pct"/>
            <w:tcBorders>
              <w:bottom w:val="single" w:sz="4" w:space="0" w:color="auto"/>
            </w:tcBorders>
            <w:shd w:val="clear" w:color="auto" w:fill="auto"/>
            <w:vAlign w:val="bottom"/>
          </w:tcPr>
          <w:p w14:paraId="1775EA58" w14:textId="2D44125D" w:rsidR="0001390E" w:rsidRPr="00A06955" w:rsidRDefault="00983E11" w:rsidP="00C0047D">
            <w:pPr>
              <w:tabs>
                <w:tab w:val="decimal" w:pos="602"/>
              </w:tabs>
              <w:rPr>
                <w:color w:val="auto"/>
              </w:rPr>
            </w:pPr>
            <w:r>
              <w:rPr>
                <w:color w:val="auto"/>
              </w:rPr>
              <w:t>(</w:t>
            </w:r>
            <w:r w:rsidR="00D83949">
              <w:rPr>
                <w:color w:val="auto"/>
              </w:rPr>
              <w:t>1,1</w:t>
            </w:r>
            <w:r w:rsidR="004C589B">
              <w:rPr>
                <w:color w:val="auto"/>
              </w:rPr>
              <w:t>04.6</w:t>
            </w:r>
            <w:r>
              <w:rPr>
                <w:color w:val="auto"/>
              </w:rPr>
              <w:t>)</w:t>
            </w:r>
          </w:p>
        </w:tc>
      </w:tr>
      <w:tr w:rsidR="00C0047D" w:rsidRPr="00747B0B" w14:paraId="4CE7F3E9" w14:textId="77777777" w:rsidTr="00A06955">
        <w:trPr>
          <w:trHeight w:val="369"/>
        </w:trPr>
        <w:tc>
          <w:tcPr>
            <w:tcW w:w="1422" w:type="pct"/>
            <w:shd w:val="clear" w:color="auto" w:fill="auto"/>
            <w:vAlign w:val="bottom"/>
          </w:tcPr>
          <w:p w14:paraId="5B1DD19E" w14:textId="77777777" w:rsidR="0001390E" w:rsidRPr="00A06955" w:rsidRDefault="00412F92" w:rsidP="002003E6">
            <w:pPr>
              <w:jc w:val="left"/>
              <w:rPr>
                <w:b/>
                <w:color w:val="auto"/>
              </w:rPr>
            </w:pPr>
            <w:r w:rsidRPr="00A06955">
              <w:rPr>
                <w:b/>
                <w:color w:val="auto"/>
              </w:rPr>
              <w:t>Total Income</w:t>
            </w:r>
          </w:p>
        </w:tc>
        <w:tc>
          <w:tcPr>
            <w:tcW w:w="679" w:type="pct"/>
            <w:tcBorders>
              <w:top w:val="single" w:sz="4" w:space="0" w:color="auto"/>
              <w:bottom w:val="nil"/>
            </w:tcBorders>
            <w:shd w:val="clear" w:color="auto" w:fill="auto"/>
            <w:vAlign w:val="bottom"/>
          </w:tcPr>
          <w:p w14:paraId="21FF8BEB" w14:textId="2A7D4BA1" w:rsidR="0001390E" w:rsidRPr="00A06955" w:rsidRDefault="00983E11" w:rsidP="00C0047D">
            <w:pPr>
              <w:tabs>
                <w:tab w:val="decimal" w:pos="601"/>
              </w:tabs>
              <w:rPr>
                <w:b/>
                <w:color w:val="auto"/>
              </w:rPr>
            </w:pPr>
            <w:r>
              <w:rPr>
                <w:b/>
                <w:color w:val="auto"/>
              </w:rPr>
              <w:t>(</w:t>
            </w:r>
            <w:r w:rsidR="00570D50">
              <w:rPr>
                <w:b/>
                <w:color w:val="auto"/>
              </w:rPr>
              <w:t>142.5</w:t>
            </w:r>
            <w:r>
              <w:rPr>
                <w:b/>
                <w:color w:val="auto"/>
              </w:rPr>
              <w:t>)</w:t>
            </w:r>
          </w:p>
        </w:tc>
        <w:tc>
          <w:tcPr>
            <w:tcW w:w="678" w:type="pct"/>
            <w:tcBorders>
              <w:top w:val="single" w:sz="4" w:space="0" w:color="auto"/>
              <w:bottom w:val="nil"/>
            </w:tcBorders>
            <w:vAlign w:val="bottom"/>
          </w:tcPr>
          <w:p w14:paraId="63A770F7" w14:textId="02F92444" w:rsidR="0001390E" w:rsidRPr="00A06955" w:rsidRDefault="00983E11" w:rsidP="00C0047D">
            <w:pPr>
              <w:tabs>
                <w:tab w:val="decimal" w:pos="602"/>
              </w:tabs>
              <w:rPr>
                <w:b/>
                <w:color w:val="auto"/>
              </w:rPr>
            </w:pPr>
            <w:r>
              <w:rPr>
                <w:b/>
                <w:color w:val="auto"/>
              </w:rPr>
              <w:t>(</w:t>
            </w:r>
            <w:r w:rsidR="00AF20FA">
              <w:rPr>
                <w:b/>
                <w:color w:val="auto"/>
              </w:rPr>
              <w:t>972.2</w:t>
            </w:r>
            <w:r>
              <w:rPr>
                <w:b/>
                <w:color w:val="auto"/>
              </w:rPr>
              <w:t>)</w:t>
            </w:r>
          </w:p>
        </w:tc>
        <w:tc>
          <w:tcPr>
            <w:tcW w:w="857" w:type="pct"/>
            <w:tcBorders>
              <w:top w:val="single" w:sz="4" w:space="0" w:color="auto"/>
              <w:bottom w:val="nil"/>
            </w:tcBorders>
            <w:vAlign w:val="bottom"/>
          </w:tcPr>
          <w:p w14:paraId="29A58F38" w14:textId="75117A33" w:rsidR="0001390E" w:rsidRPr="00A06955" w:rsidRDefault="00983E11" w:rsidP="00C0047D">
            <w:pPr>
              <w:tabs>
                <w:tab w:val="decimal" w:pos="767"/>
              </w:tabs>
              <w:rPr>
                <w:b/>
                <w:color w:val="auto"/>
              </w:rPr>
            </w:pPr>
            <w:r>
              <w:rPr>
                <w:b/>
                <w:color w:val="auto"/>
              </w:rPr>
              <w:t>(</w:t>
            </w:r>
            <w:r w:rsidR="00570D50">
              <w:rPr>
                <w:b/>
                <w:color w:val="auto"/>
              </w:rPr>
              <w:t>71.0</w:t>
            </w:r>
            <w:r>
              <w:rPr>
                <w:b/>
                <w:color w:val="auto"/>
              </w:rPr>
              <w:t>)</w:t>
            </w:r>
          </w:p>
        </w:tc>
        <w:tc>
          <w:tcPr>
            <w:tcW w:w="796" w:type="pct"/>
            <w:tcBorders>
              <w:top w:val="single" w:sz="4" w:space="0" w:color="auto"/>
              <w:bottom w:val="nil"/>
            </w:tcBorders>
            <w:shd w:val="clear" w:color="auto" w:fill="auto"/>
            <w:vAlign w:val="bottom"/>
          </w:tcPr>
          <w:p w14:paraId="4F7428DD" w14:textId="5A946CA0" w:rsidR="0001390E" w:rsidRPr="00A06955" w:rsidRDefault="00983E11" w:rsidP="00C0047D">
            <w:pPr>
              <w:tabs>
                <w:tab w:val="decimal" w:pos="785"/>
              </w:tabs>
              <w:rPr>
                <w:b/>
                <w:color w:val="auto"/>
              </w:rPr>
            </w:pPr>
            <w:r>
              <w:rPr>
                <w:b/>
                <w:color w:val="auto"/>
              </w:rPr>
              <w:t>(</w:t>
            </w:r>
            <w:r w:rsidR="00570D50">
              <w:rPr>
                <w:b/>
                <w:color w:val="auto"/>
              </w:rPr>
              <w:t>292.7</w:t>
            </w:r>
            <w:r>
              <w:rPr>
                <w:b/>
                <w:color w:val="auto"/>
              </w:rPr>
              <w:t>)</w:t>
            </w:r>
          </w:p>
        </w:tc>
        <w:tc>
          <w:tcPr>
            <w:tcW w:w="568" w:type="pct"/>
            <w:tcBorders>
              <w:top w:val="single" w:sz="4" w:space="0" w:color="auto"/>
              <w:bottom w:val="nil"/>
            </w:tcBorders>
            <w:shd w:val="clear" w:color="auto" w:fill="auto"/>
            <w:vAlign w:val="bottom"/>
          </w:tcPr>
          <w:p w14:paraId="3650981A" w14:textId="57EE02F7" w:rsidR="0001390E" w:rsidRPr="00A06955" w:rsidRDefault="00983E11" w:rsidP="00C0047D">
            <w:pPr>
              <w:tabs>
                <w:tab w:val="decimal" w:pos="602"/>
              </w:tabs>
              <w:rPr>
                <w:b/>
                <w:color w:val="auto"/>
              </w:rPr>
            </w:pPr>
            <w:r>
              <w:rPr>
                <w:b/>
                <w:color w:val="auto"/>
              </w:rPr>
              <w:t>(</w:t>
            </w:r>
            <w:r w:rsidR="00D83949">
              <w:rPr>
                <w:b/>
                <w:color w:val="auto"/>
              </w:rPr>
              <w:t>1,478</w:t>
            </w:r>
            <w:r w:rsidR="00F6551E">
              <w:rPr>
                <w:b/>
                <w:color w:val="auto"/>
              </w:rPr>
              <w:t>.4</w:t>
            </w:r>
            <w:r>
              <w:rPr>
                <w:b/>
                <w:color w:val="auto"/>
              </w:rPr>
              <w:t>)</w:t>
            </w:r>
          </w:p>
        </w:tc>
      </w:tr>
      <w:tr w:rsidR="00294CB8" w:rsidRPr="00747B0B" w14:paraId="620877B9" w14:textId="77777777" w:rsidTr="00A06955">
        <w:trPr>
          <w:trHeight w:val="178"/>
        </w:trPr>
        <w:tc>
          <w:tcPr>
            <w:tcW w:w="1422" w:type="pct"/>
            <w:shd w:val="clear" w:color="auto" w:fill="auto"/>
            <w:vAlign w:val="bottom"/>
          </w:tcPr>
          <w:p w14:paraId="79852302" w14:textId="77777777" w:rsidR="00294CB8" w:rsidRPr="00A06955" w:rsidRDefault="00294CB8" w:rsidP="002003E6">
            <w:pPr>
              <w:jc w:val="left"/>
              <w:rPr>
                <w:b/>
                <w:color w:val="auto"/>
              </w:rPr>
            </w:pPr>
          </w:p>
        </w:tc>
        <w:tc>
          <w:tcPr>
            <w:tcW w:w="679" w:type="pct"/>
            <w:tcBorders>
              <w:top w:val="nil"/>
            </w:tcBorders>
            <w:shd w:val="clear" w:color="auto" w:fill="auto"/>
            <w:vAlign w:val="bottom"/>
          </w:tcPr>
          <w:p w14:paraId="039CFD1D" w14:textId="77777777" w:rsidR="00294CB8" w:rsidRPr="00A06955" w:rsidRDefault="00294CB8" w:rsidP="00C0047D">
            <w:pPr>
              <w:tabs>
                <w:tab w:val="decimal" w:pos="601"/>
              </w:tabs>
              <w:rPr>
                <w:b/>
                <w:color w:val="auto"/>
              </w:rPr>
            </w:pPr>
          </w:p>
        </w:tc>
        <w:tc>
          <w:tcPr>
            <w:tcW w:w="678" w:type="pct"/>
            <w:tcBorders>
              <w:top w:val="nil"/>
            </w:tcBorders>
            <w:vAlign w:val="bottom"/>
          </w:tcPr>
          <w:p w14:paraId="38A6FEE7" w14:textId="77777777" w:rsidR="00294CB8" w:rsidRPr="00A06955" w:rsidRDefault="00294CB8" w:rsidP="00C0047D">
            <w:pPr>
              <w:tabs>
                <w:tab w:val="decimal" w:pos="602"/>
              </w:tabs>
              <w:rPr>
                <w:b/>
                <w:color w:val="auto"/>
              </w:rPr>
            </w:pPr>
          </w:p>
        </w:tc>
        <w:tc>
          <w:tcPr>
            <w:tcW w:w="857" w:type="pct"/>
            <w:tcBorders>
              <w:top w:val="nil"/>
            </w:tcBorders>
            <w:vAlign w:val="bottom"/>
          </w:tcPr>
          <w:p w14:paraId="798DB4B0" w14:textId="77777777" w:rsidR="00294CB8" w:rsidRPr="00A06955" w:rsidRDefault="00294CB8" w:rsidP="00C0047D">
            <w:pPr>
              <w:tabs>
                <w:tab w:val="decimal" w:pos="767"/>
              </w:tabs>
              <w:rPr>
                <w:b/>
                <w:color w:val="auto"/>
              </w:rPr>
            </w:pPr>
          </w:p>
        </w:tc>
        <w:tc>
          <w:tcPr>
            <w:tcW w:w="796" w:type="pct"/>
            <w:tcBorders>
              <w:top w:val="nil"/>
            </w:tcBorders>
            <w:shd w:val="clear" w:color="auto" w:fill="auto"/>
            <w:vAlign w:val="bottom"/>
          </w:tcPr>
          <w:p w14:paraId="4C59BCCC" w14:textId="77777777" w:rsidR="00294CB8" w:rsidRPr="00A06955" w:rsidRDefault="00294CB8" w:rsidP="00C0047D">
            <w:pPr>
              <w:tabs>
                <w:tab w:val="decimal" w:pos="785"/>
              </w:tabs>
              <w:rPr>
                <w:b/>
                <w:color w:val="auto"/>
              </w:rPr>
            </w:pPr>
          </w:p>
        </w:tc>
        <w:tc>
          <w:tcPr>
            <w:tcW w:w="568" w:type="pct"/>
            <w:tcBorders>
              <w:top w:val="nil"/>
            </w:tcBorders>
            <w:shd w:val="clear" w:color="auto" w:fill="auto"/>
            <w:vAlign w:val="bottom"/>
          </w:tcPr>
          <w:p w14:paraId="29ACB780" w14:textId="77777777" w:rsidR="00294CB8" w:rsidRPr="00A06955" w:rsidRDefault="00294CB8" w:rsidP="00C0047D">
            <w:pPr>
              <w:tabs>
                <w:tab w:val="decimal" w:pos="602"/>
              </w:tabs>
              <w:rPr>
                <w:b/>
                <w:color w:val="auto"/>
              </w:rPr>
            </w:pPr>
          </w:p>
        </w:tc>
      </w:tr>
      <w:tr w:rsidR="00C0047D" w:rsidRPr="00747B0B" w14:paraId="3A6EC833" w14:textId="77777777" w:rsidTr="00A06955">
        <w:trPr>
          <w:trHeight w:val="369"/>
        </w:trPr>
        <w:tc>
          <w:tcPr>
            <w:tcW w:w="1422" w:type="pct"/>
            <w:shd w:val="clear" w:color="auto" w:fill="auto"/>
            <w:vAlign w:val="bottom"/>
          </w:tcPr>
          <w:p w14:paraId="79E5E652" w14:textId="77777777" w:rsidR="0001390E" w:rsidRPr="00A06955" w:rsidRDefault="00412F92" w:rsidP="002003E6">
            <w:pPr>
              <w:jc w:val="left"/>
              <w:rPr>
                <w:color w:val="auto"/>
              </w:rPr>
            </w:pPr>
            <w:r w:rsidRPr="00A06955">
              <w:rPr>
                <w:color w:val="auto"/>
              </w:rPr>
              <w:t>Employee expenses</w:t>
            </w:r>
          </w:p>
        </w:tc>
        <w:tc>
          <w:tcPr>
            <w:tcW w:w="679" w:type="pct"/>
            <w:shd w:val="clear" w:color="auto" w:fill="auto"/>
            <w:vAlign w:val="bottom"/>
          </w:tcPr>
          <w:p w14:paraId="03C1CA22" w14:textId="382484C8" w:rsidR="0001390E" w:rsidRPr="00A06955" w:rsidRDefault="00570D50" w:rsidP="00C0047D">
            <w:pPr>
              <w:tabs>
                <w:tab w:val="decimal" w:pos="601"/>
              </w:tabs>
              <w:rPr>
                <w:color w:val="auto"/>
              </w:rPr>
            </w:pPr>
            <w:r>
              <w:rPr>
                <w:color w:val="auto"/>
              </w:rPr>
              <w:t>83.9</w:t>
            </w:r>
          </w:p>
        </w:tc>
        <w:tc>
          <w:tcPr>
            <w:tcW w:w="678" w:type="pct"/>
            <w:vAlign w:val="bottom"/>
          </w:tcPr>
          <w:p w14:paraId="3C743505" w14:textId="6C06B8A2" w:rsidR="0001390E" w:rsidRPr="00A06955" w:rsidRDefault="00570D50" w:rsidP="00C0047D">
            <w:pPr>
              <w:tabs>
                <w:tab w:val="decimal" w:pos="602"/>
              </w:tabs>
              <w:rPr>
                <w:color w:val="auto"/>
              </w:rPr>
            </w:pPr>
            <w:r>
              <w:rPr>
                <w:color w:val="auto"/>
              </w:rPr>
              <w:t>700.0</w:t>
            </w:r>
          </w:p>
        </w:tc>
        <w:tc>
          <w:tcPr>
            <w:tcW w:w="857" w:type="pct"/>
            <w:vAlign w:val="bottom"/>
          </w:tcPr>
          <w:p w14:paraId="5122E345" w14:textId="58E5FFBC" w:rsidR="0001390E" w:rsidRPr="00A06955" w:rsidRDefault="00570D50" w:rsidP="00C0047D">
            <w:pPr>
              <w:tabs>
                <w:tab w:val="decimal" w:pos="767"/>
              </w:tabs>
              <w:rPr>
                <w:color w:val="auto"/>
              </w:rPr>
            </w:pPr>
            <w:r>
              <w:rPr>
                <w:color w:val="auto"/>
              </w:rPr>
              <w:t>45.0</w:t>
            </w:r>
          </w:p>
        </w:tc>
        <w:tc>
          <w:tcPr>
            <w:tcW w:w="796" w:type="pct"/>
            <w:shd w:val="clear" w:color="auto" w:fill="auto"/>
            <w:vAlign w:val="bottom"/>
          </w:tcPr>
          <w:p w14:paraId="4275C1D5" w14:textId="0A90A3E5" w:rsidR="0001390E" w:rsidRPr="00A06955" w:rsidRDefault="00570D50" w:rsidP="00C0047D">
            <w:pPr>
              <w:tabs>
                <w:tab w:val="decimal" w:pos="785"/>
              </w:tabs>
              <w:rPr>
                <w:color w:val="auto"/>
              </w:rPr>
            </w:pPr>
            <w:r>
              <w:rPr>
                <w:color w:val="auto"/>
              </w:rPr>
              <w:t>174.3</w:t>
            </w:r>
          </w:p>
        </w:tc>
        <w:tc>
          <w:tcPr>
            <w:tcW w:w="568" w:type="pct"/>
            <w:shd w:val="clear" w:color="auto" w:fill="auto"/>
            <w:vAlign w:val="bottom"/>
          </w:tcPr>
          <w:p w14:paraId="3A99D435" w14:textId="69EC3E70" w:rsidR="0001390E" w:rsidRPr="00A06955" w:rsidRDefault="00570D50" w:rsidP="00C0047D">
            <w:pPr>
              <w:tabs>
                <w:tab w:val="decimal" w:pos="602"/>
              </w:tabs>
              <w:rPr>
                <w:color w:val="auto"/>
              </w:rPr>
            </w:pPr>
            <w:r>
              <w:rPr>
                <w:color w:val="auto"/>
              </w:rPr>
              <w:t>1,003.2</w:t>
            </w:r>
          </w:p>
        </w:tc>
      </w:tr>
      <w:tr w:rsidR="00C0047D" w:rsidRPr="00747B0B" w14:paraId="414D6D73" w14:textId="77777777" w:rsidTr="00A06955">
        <w:trPr>
          <w:trHeight w:val="369"/>
        </w:trPr>
        <w:tc>
          <w:tcPr>
            <w:tcW w:w="1422" w:type="pct"/>
            <w:shd w:val="clear" w:color="auto" w:fill="auto"/>
            <w:vAlign w:val="bottom"/>
          </w:tcPr>
          <w:p w14:paraId="4703294A" w14:textId="77777777" w:rsidR="0001390E" w:rsidRPr="00A06955" w:rsidRDefault="00412F92" w:rsidP="002003E6">
            <w:pPr>
              <w:jc w:val="left"/>
              <w:rPr>
                <w:color w:val="auto"/>
              </w:rPr>
            </w:pPr>
            <w:r w:rsidRPr="00A06955">
              <w:rPr>
                <w:color w:val="auto"/>
              </w:rPr>
              <w:t>Other service expenses</w:t>
            </w:r>
          </w:p>
        </w:tc>
        <w:tc>
          <w:tcPr>
            <w:tcW w:w="679" w:type="pct"/>
            <w:shd w:val="clear" w:color="auto" w:fill="auto"/>
            <w:vAlign w:val="bottom"/>
          </w:tcPr>
          <w:p w14:paraId="5F53D0C6" w14:textId="27243C02" w:rsidR="0001390E" w:rsidRPr="00A06955" w:rsidRDefault="00570D50" w:rsidP="00C0047D">
            <w:pPr>
              <w:tabs>
                <w:tab w:val="decimal" w:pos="601"/>
              </w:tabs>
              <w:rPr>
                <w:color w:val="auto"/>
              </w:rPr>
            </w:pPr>
            <w:r>
              <w:rPr>
                <w:color w:val="auto"/>
              </w:rPr>
              <w:t>386.1</w:t>
            </w:r>
          </w:p>
        </w:tc>
        <w:tc>
          <w:tcPr>
            <w:tcW w:w="678" w:type="pct"/>
            <w:vAlign w:val="bottom"/>
          </w:tcPr>
          <w:p w14:paraId="2D7D346A" w14:textId="14082929" w:rsidR="0001390E" w:rsidRPr="00A06955" w:rsidRDefault="00D83949" w:rsidP="00C0047D">
            <w:pPr>
              <w:tabs>
                <w:tab w:val="decimal" w:pos="602"/>
              </w:tabs>
              <w:rPr>
                <w:color w:val="auto"/>
              </w:rPr>
            </w:pPr>
            <w:r>
              <w:rPr>
                <w:color w:val="auto"/>
              </w:rPr>
              <w:t>439.5</w:t>
            </w:r>
          </w:p>
        </w:tc>
        <w:tc>
          <w:tcPr>
            <w:tcW w:w="857" w:type="pct"/>
            <w:vAlign w:val="bottom"/>
          </w:tcPr>
          <w:p w14:paraId="3750A358" w14:textId="22609572" w:rsidR="0001390E" w:rsidRPr="00A06955" w:rsidRDefault="00570D50" w:rsidP="00C0047D">
            <w:pPr>
              <w:tabs>
                <w:tab w:val="decimal" w:pos="767"/>
              </w:tabs>
              <w:rPr>
                <w:color w:val="auto"/>
              </w:rPr>
            </w:pPr>
            <w:r>
              <w:rPr>
                <w:color w:val="auto"/>
              </w:rPr>
              <w:t>194.8</w:t>
            </w:r>
          </w:p>
        </w:tc>
        <w:tc>
          <w:tcPr>
            <w:tcW w:w="796" w:type="pct"/>
            <w:shd w:val="clear" w:color="auto" w:fill="auto"/>
            <w:vAlign w:val="bottom"/>
          </w:tcPr>
          <w:p w14:paraId="2B9742D5" w14:textId="17796E6A" w:rsidR="0001390E" w:rsidRPr="00A06955" w:rsidRDefault="00570D50" w:rsidP="00813F68">
            <w:pPr>
              <w:tabs>
                <w:tab w:val="decimal" w:pos="785"/>
              </w:tabs>
              <w:rPr>
                <w:color w:val="auto"/>
              </w:rPr>
            </w:pPr>
            <w:r>
              <w:rPr>
                <w:color w:val="auto"/>
              </w:rPr>
              <w:t>23</w:t>
            </w:r>
            <w:r w:rsidR="00813F68">
              <w:rPr>
                <w:color w:val="auto"/>
              </w:rPr>
              <w:t>6</w:t>
            </w:r>
            <w:r>
              <w:rPr>
                <w:color w:val="auto"/>
              </w:rPr>
              <w:t>.</w:t>
            </w:r>
            <w:r w:rsidR="00813F68">
              <w:rPr>
                <w:color w:val="auto"/>
              </w:rPr>
              <w:t>4</w:t>
            </w:r>
          </w:p>
        </w:tc>
        <w:tc>
          <w:tcPr>
            <w:tcW w:w="568" w:type="pct"/>
            <w:shd w:val="clear" w:color="auto" w:fill="auto"/>
            <w:vAlign w:val="bottom"/>
          </w:tcPr>
          <w:p w14:paraId="64EBB361" w14:textId="6FBE4D74" w:rsidR="0001390E" w:rsidRPr="00A06955" w:rsidRDefault="00570D50" w:rsidP="00813F68">
            <w:pPr>
              <w:tabs>
                <w:tab w:val="decimal" w:pos="602"/>
              </w:tabs>
              <w:rPr>
                <w:color w:val="auto"/>
              </w:rPr>
            </w:pPr>
            <w:r>
              <w:rPr>
                <w:color w:val="auto"/>
              </w:rPr>
              <w:t>1,25</w:t>
            </w:r>
            <w:r w:rsidR="00813F68">
              <w:rPr>
                <w:color w:val="auto"/>
              </w:rPr>
              <w:t>6</w:t>
            </w:r>
            <w:r>
              <w:rPr>
                <w:color w:val="auto"/>
              </w:rPr>
              <w:t>.</w:t>
            </w:r>
            <w:r w:rsidR="00813F68">
              <w:rPr>
                <w:color w:val="auto"/>
              </w:rPr>
              <w:t>8</w:t>
            </w:r>
          </w:p>
        </w:tc>
      </w:tr>
      <w:tr w:rsidR="00C0047D" w:rsidRPr="00747B0B" w14:paraId="08CA5276" w14:textId="77777777" w:rsidTr="00A06955">
        <w:trPr>
          <w:trHeight w:val="369"/>
        </w:trPr>
        <w:tc>
          <w:tcPr>
            <w:tcW w:w="1422" w:type="pct"/>
            <w:shd w:val="clear" w:color="auto" w:fill="auto"/>
            <w:vAlign w:val="bottom"/>
          </w:tcPr>
          <w:p w14:paraId="526CAD1E" w14:textId="77777777" w:rsidR="0001390E" w:rsidRPr="00A06955" w:rsidRDefault="00412F92" w:rsidP="002003E6">
            <w:pPr>
              <w:jc w:val="left"/>
              <w:rPr>
                <w:color w:val="auto"/>
              </w:rPr>
            </w:pPr>
            <w:r w:rsidRPr="00A06955">
              <w:rPr>
                <w:color w:val="auto"/>
              </w:rPr>
              <w:t>Support service recharges</w:t>
            </w:r>
          </w:p>
        </w:tc>
        <w:tc>
          <w:tcPr>
            <w:tcW w:w="679" w:type="pct"/>
            <w:tcBorders>
              <w:bottom w:val="single" w:sz="4" w:space="0" w:color="auto"/>
            </w:tcBorders>
            <w:shd w:val="clear" w:color="auto" w:fill="auto"/>
            <w:vAlign w:val="bottom"/>
          </w:tcPr>
          <w:p w14:paraId="2E3A37A9" w14:textId="023691BD" w:rsidR="0001390E" w:rsidRPr="00A06955" w:rsidRDefault="00570D50" w:rsidP="00C0047D">
            <w:pPr>
              <w:tabs>
                <w:tab w:val="decimal" w:pos="601"/>
              </w:tabs>
              <w:rPr>
                <w:color w:val="auto"/>
              </w:rPr>
            </w:pPr>
            <w:r>
              <w:rPr>
                <w:color w:val="auto"/>
              </w:rPr>
              <w:t>-</w:t>
            </w:r>
          </w:p>
        </w:tc>
        <w:tc>
          <w:tcPr>
            <w:tcW w:w="678" w:type="pct"/>
            <w:tcBorders>
              <w:bottom w:val="single" w:sz="4" w:space="0" w:color="auto"/>
            </w:tcBorders>
            <w:vAlign w:val="bottom"/>
          </w:tcPr>
          <w:p w14:paraId="0A76071E" w14:textId="0281B576" w:rsidR="0001390E" w:rsidRPr="00A06955" w:rsidRDefault="00570D50" w:rsidP="00C0047D">
            <w:pPr>
              <w:tabs>
                <w:tab w:val="decimal" w:pos="602"/>
              </w:tabs>
              <w:rPr>
                <w:color w:val="auto"/>
              </w:rPr>
            </w:pPr>
            <w:r>
              <w:rPr>
                <w:color w:val="auto"/>
              </w:rPr>
              <w:t>-</w:t>
            </w:r>
          </w:p>
        </w:tc>
        <w:tc>
          <w:tcPr>
            <w:tcW w:w="857" w:type="pct"/>
            <w:tcBorders>
              <w:bottom w:val="single" w:sz="4" w:space="0" w:color="auto"/>
            </w:tcBorders>
            <w:vAlign w:val="bottom"/>
          </w:tcPr>
          <w:p w14:paraId="6CFBD0A1" w14:textId="451B3361" w:rsidR="0001390E" w:rsidRPr="00A06955" w:rsidRDefault="00570D50" w:rsidP="00C0047D">
            <w:pPr>
              <w:tabs>
                <w:tab w:val="decimal" w:pos="767"/>
              </w:tabs>
              <w:rPr>
                <w:color w:val="auto"/>
              </w:rPr>
            </w:pPr>
            <w:r>
              <w:rPr>
                <w:color w:val="auto"/>
              </w:rPr>
              <w:t>-</w:t>
            </w:r>
          </w:p>
        </w:tc>
        <w:tc>
          <w:tcPr>
            <w:tcW w:w="796" w:type="pct"/>
            <w:tcBorders>
              <w:bottom w:val="single" w:sz="4" w:space="0" w:color="auto"/>
            </w:tcBorders>
            <w:shd w:val="clear" w:color="auto" w:fill="auto"/>
            <w:vAlign w:val="bottom"/>
          </w:tcPr>
          <w:p w14:paraId="137F9C50" w14:textId="3F8EF3F7" w:rsidR="0001390E" w:rsidRPr="00A06955" w:rsidRDefault="0001390E" w:rsidP="00C0047D">
            <w:pPr>
              <w:tabs>
                <w:tab w:val="decimal" w:pos="785"/>
              </w:tabs>
              <w:rPr>
                <w:color w:val="auto"/>
              </w:rPr>
            </w:pPr>
          </w:p>
        </w:tc>
        <w:tc>
          <w:tcPr>
            <w:tcW w:w="568" w:type="pct"/>
            <w:tcBorders>
              <w:bottom w:val="single" w:sz="4" w:space="0" w:color="auto"/>
            </w:tcBorders>
            <w:shd w:val="clear" w:color="auto" w:fill="auto"/>
            <w:vAlign w:val="bottom"/>
          </w:tcPr>
          <w:p w14:paraId="219C6B3A" w14:textId="6A3213DC" w:rsidR="0001390E" w:rsidRPr="00A06955" w:rsidRDefault="00570D50" w:rsidP="00C0047D">
            <w:pPr>
              <w:tabs>
                <w:tab w:val="decimal" w:pos="602"/>
              </w:tabs>
              <w:rPr>
                <w:color w:val="auto"/>
              </w:rPr>
            </w:pPr>
            <w:r>
              <w:rPr>
                <w:color w:val="auto"/>
              </w:rPr>
              <w:t>-</w:t>
            </w:r>
          </w:p>
        </w:tc>
      </w:tr>
      <w:tr w:rsidR="00C0047D" w:rsidRPr="00747B0B" w14:paraId="088F5797" w14:textId="77777777" w:rsidTr="00A06955">
        <w:trPr>
          <w:trHeight w:val="369"/>
        </w:trPr>
        <w:tc>
          <w:tcPr>
            <w:tcW w:w="1422" w:type="pct"/>
            <w:shd w:val="clear" w:color="auto" w:fill="auto"/>
            <w:vAlign w:val="bottom"/>
          </w:tcPr>
          <w:p w14:paraId="54CA29CB" w14:textId="77777777" w:rsidR="0001390E" w:rsidRPr="00A06955" w:rsidRDefault="00412F92" w:rsidP="002003E6">
            <w:pPr>
              <w:jc w:val="left"/>
              <w:rPr>
                <w:b/>
                <w:color w:val="auto"/>
              </w:rPr>
            </w:pPr>
            <w:r w:rsidRPr="00A06955">
              <w:rPr>
                <w:b/>
                <w:color w:val="auto"/>
              </w:rPr>
              <w:t>Total Expenditure</w:t>
            </w:r>
          </w:p>
        </w:tc>
        <w:tc>
          <w:tcPr>
            <w:tcW w:w="679" w:type="pct"/>
            <w:tcBorders>
              <w:top w:val="single" w:sz="4" w:space="0" w:color="auto"/>
              <w:bottom w:val="nil"/>
            </w:tcBorders>
            <w:shd w:val="clear" w:color="auto" w:fill="auto"/>
            <w:vAlign w:val="bottom"/>
          </w:tcPr>
          <w:p w14:paraId="6AB24209" w14:textId="1E30C38E" w:rsidR="0001390E" w:rsidRPr="00A06955" w:rsidRDefault="00570D50" w:rsidP="00C0047D">
            <w:pPr>
              <w:tabs>
                <w:tab w:val="decimal" w:pos="601"/>
              </w:tabs>
              <w:rPr>
                <w:b/>
                <w:color w:val="auto"/>
              </w:rPr>
            </w:pPr>
            <w:r>
              <w:rPr>
                <w:b/>
                <w:color w:val="auto"/>
              </w:rPr>
              <w:t>470.0</w:t>
            </w:r>
          </w:p>
        </w:tc>
        <w:tc>
          <w:tcPr>
            <w:tcW w:w="678" w:type="pct"/>
            <w:tcBorders>
              <w:top w:val="single" w:sz="4" w:space="0" w:color="auto"/>
              <w:bottom w:val="nil"/>
            </w:tcBorders>
            <w:vAlign w:val="bottom"/>
          </w:tcPr>
          <w:p w14:paraId="539C45AF" w14:textId="15856D9E" w:rsidR="0001390E" w:rsidRPr="00A06955" w:rsidRDefault="00570D50" w:rsidP="009C1D66">
            <w:pPr>
              <w:tabs>
                <w:tab w:val="decimal" w:pos="602"/>
              </w:tabs>
              <w:rPr>
                <w:b/>
                <w:color w:val="auto"/>
              </w:rPr>
            </w:pPr>
            <w:r>
              <w:rPr>
                <w:b/>
                <w:color w:val="auto"/>
              </w:rPr>
              <w:t>1,139.</w:t>
            </w:r>
            <w:r w:rsidR="00D83949">
              <w:rPr>
                <w:b/>
                <w:color w:val="auto"/>
              </w:rPr>
              <w:t>5</w:t>
            </w:r>
          </w:p>
        </w:tc>
        <w:tc>
          <w:tcPr>
            <w:tcW w:w="857" w:type="pct"/>
            <w:tcBorders>
              <w:top w:val="single" w:sz="4" w:space="0" w:color="auto"/>
              <w:bottom w:val="nil"/>
            </w:tcBorders>
            <w:vAlign w:val="bottom"/>
          </w:tcPr>
          <w:p w14:paraId="2D2A326D" w14:textId="7CF20EFB" w:rsidR="0001390E" w:rsidRPr="00A06955" w:rsidRDefault="00570D50" w:rsidP="009C1D66">
            <w:pPr>
              <w:tabs>
                <w:tab w:val="decimal" w:pos="767"/>
              </w:tabs>
              <w:rPr>
                <w:b/>
                <w:color w:val="auto"/>
              </w:rPr>
            </w:pPr>
            <w:r>
              <w:rPr>
                <w:b/>
                <w:color w:val="auto"/>
              </w:rPr>
              <w:t>239.</w:t>
            </w:r>
            <w:r w:rsidR="00D83949">
              <w:rPr>
                <w:b/>
                <w:color w:val="auto"/>
              </w:rPr>
              <w:t>8</w:t>
            </w:r>
          </w:p>
        </w:tc>
        <w:tc>
          <w:tcPr>
            <w:tcW w:w="796" w:type="pct"/>
            <w:tcBorders>
              <w:top w:val="single" w:sz="4" w:space="0" w:color="auto"/>
              <w:bottom w:val="nil"/>
            </w:tcBorders>
            <w:shd w:val="clear" w:color="auto" w:fill="auto"/>
            <w:vAlign w:val="bottom"/>
          </w:tcPr>
          <w:p w14:paraId="46DD4FFF" w14:textId="5E321E11" w:rsidR="0001390E" w:rsidRPr="00A06955" w:rsidRDefault="00570D50" w:rsidP="00813F68">
            <w:pPr>
              <w:tabs>
                <w:tab w:val="decimal" w:pos="785"/>
              </w:tabs>
              <w:rPr>
                <w:b/>
                <w:color w:val="auto"/>
              </w:rPr>
            </w:pPr>
            <w:r>
              <w:rPr>
                <w:b/>
                <w:color w:val="auto"/>
              </w:rPr>
              <w:t>41</w:t>
            </w:r>
            <w:r w:rsidR="00813F68">
              <w:rPr>
                <w:b/>
                <w:color w:val="auto"/>
              </w:rPr>
              <w:t>0</w:t>
            </w:r>
            <w:r>
              <w:rPr>
                <w:b/>
                <w:color w:val="auto"/>
              </w:rPr>
              <w:t>.</w:t>
            </w:r>
            <w:r w:rsidR="00813F68">
              <w:rPr>
                <w:b/>
                <w:color w:val="auto"/>
              </w:rPr>
              <w:t>7</w:t>
            </w:r>
          </w:p>
        </w:tc>
        <w:tc>
          <w:tcPr>
            <w:tcW w:w="568" w:type="pct"/>
            <w:tcBorders>
              <w:top w:val="single" w:sz="4" w:space="0" w:color="auto"/>
              <w:bottom w:val="nil"/>
            </w:tcBorders>
            <w:shd w:val="clear" w:color="auto" w:fill="auto"/>
            <w:vAlign w:val="bottom"/>
          </w:tcPr>
          <w:p w14:paraId="3352BFA8" w14:textId="2D77D9FB" w:rsidR="0001390E" w:rsidRPr="00A06955" w:rsidRDefault="00570D50" w:rsidP="00813F68">
            <w:pPr>
              <w:tabs>
                <w:tab w:val="decimal" w:pos="602"/>
              </w:tabs>
              <w:rPr>
                <w:b/>
                <w:color w:val="auto"/>
              </w:rPr>
            </w:pPr>
            <w:r>
              <w:rPr>
                <w:b/>
                <w:color w:val="auto"/>
              </w:rPr>
              <w:t>2,26</w:t>
            </w:r>
            <w:r w:rsidR="00813F68">
              <w:rPr>
                <w:b/>
                <w:color w:val="auto"/>
              </w:rPr>
              <w:t>0</w:t>
            </w:r>
            <w:r>
              <w:rPr>
                <w:b/>
                <w:color w:val="auto"/>
              </w:rPr>
              <w:t>.</w:t>
            </w:r>
            <w:r w:rsidR="00813F68">
              <w:rPr>
                <w:b/>
                <w:color w:val="auto"/>
              </w:rPr>
              <w:t>0</w:t>
            </w:r>
          </w:p>
        </w:tc>
      </w:tr>
      <w:tr w:rsidR="00294CB8" w:rsidRPr="00747B0B" w14:paraId="718FB3D4" w14:textId="77777777" w:rsidTr="00A06955">
        <w:trPr>
          <w:trHeight w:val="369"/>
        </w:trPr>
        <w:tc>
          <w:tcPr>
            <w:tcW w:w="1422" w:type="pct"/>
            <w:shd w:val="clear" w:color="auto" w:fill="auto"/>
            <w:vAlign w:val="bottom"/>
          </w:tcPr>
          <w:p w14:paraId="7E20013C" w14:textId="77777777" w:rsidR="00294CB8" w:rsidRPr="00747B0B" w:rsidRDefault="00294CB8" w:rsidP="002003E6">
            <w:pPr>
              <w:jc w:val="left"/>
              <w:rPr>
                <w:b/>
                <w:color w:val="auto"/>
                <w:highlight w:val="yellow"/>
              </w:rPr>
            </w:pPr>
          </w:p>
        </w:tc>
        <w:tc>
          <w:tcPr>
            <w:tcW w:w="679" w:type="pct"/>
            <w:tcBorders>
              <w:top w:val="nil"/>
            </w:tcBorders>
            <w:shd w:val="clear" w:color="auto" w:fill="auto"/>
            <w:vAlign w:val="bottom"/>
          </w:tcPr>
          <w:p w14:paraId="2CDC62A5" w14:textId="77777777" w:rsidR="00294CB8" w:rsidRPr="00A06955" w:rsidRDefault="00294CB8" w:rsidP="00C0047D">
            <w:pPr>
              <w:tabs>
                <w:tab w:val="decimal" w:pos="601"/>
              </w:tabs>
              <w:rPr>
                <w:b/>
                <w:color w:val="auto"/>
              </w:rPr>
            </w:pPr>
          </w:p>
        </w:tc>
        <w:tc>
          <w:tcPr>
            <w:tcW w:w="678" w:type="pct"/>
            <w:tcBorders>
              <w:top w:val="nil"/>
            </w:tcBorders>
            <w:vAlign w:val="bottom"/>
          </w:tcPr>
          <w:p w14:paraId="1DC1138F" w14:textId="77777777" w:rsidR="00294CB8" w:rsidRPr="00A06955" w:rsidRDefault="00294CB8" w:rsidP="00C0047D">
            <w:pPr>
              <w:tabs>
                <w:tab w:val="decimal" w:pos="602"/>
              </w:tabs>
              <w:rPr>
                <w:b/>
                <w:color w:val="auto"/>
              </w:rPr>
            </w:pPr>
          </w:p>
        </w:tc>
        <w:tc>
          <w:tcPr>
            <w:tcW w:w="857" w:type="pct"/>
            <w:tcBorders>
              <w:top w:val="nil"/>
            </w:tcBorders>
            <w:vAlign w:val="bottom"/>
          </w:tcPr>
          <w:p w14:paraId="13181098" w14:textId="77777777" w:rsidR="00294CB8" w:rsidRPr="00A06955" w:rsidRDefault="00294CB8" w:rsidP="00C0047D">
            <w:pPr>
              <w:tabs>
                <w:tab w:val="decimal" w:pos="767"/>
              </w:tabs>
              <w:rPr>
                <w:b/>
                <w:color w:val="auto"/>
              </w:rPr>
            </w:pPr>
          </w:p>
        </w:tc>
        <w:tc>
          <w:tcPr>
            <w:tcW w:w="796" w:type="pct"/>
            <w:tcBorders>
              <w:top w:val="nil"/>
              <w:bottom w:val="nil"/>
            </w:tcBorders>
            <w:shd w:val="clear" w:color="auto" w:fill="auto"/>
            <w:vAlign w:val="bottom"/>
          </w:tcPr>
          <w:p w14:paraId="1D41612D" w14:textId="77777777" w:rsidR="00294CB8" w:rsidRPr="00A06955" w:rsidRDefault="00294CB8" w:rsidP="00C0047D">
            <w:pPr>
              <w:tabs>
                <w:tab w:val="decimal" w:pos="785"/>
              </w:tabs>
              <w:rPr>
                <w:b/>
                <w:color w:val="auto"/>
              </w:rPr>
            </w:pPr>
          </w:p>
        </w:tc>
        <w:tc>
          <w:tcPr>
            <w:tcW w:w="568" w:type="pct"/>
            <w:tcBorders>
              <w:top w:val="nil"/>
              <w:bottom w:val="nil"/>
            </w:tcBorders>
            <w:shd w:val="clear" w:color="auto" w:fill="auto"/>
            <w:vAlign w:val="bottom"/>
          </w:tcPr>
          <w:p w14:paraId="7039B989" w14:textId="77777777" w:rsidR="00294CB8" w:rsidRPr="00A06955" w:rsidRDefault="00294CB8" w:rsidP="00C0047D">
            <w:pPr>
              <w:tabs>
                <w:tab w:val="decimal" w:pos="602"/>
              </w:tabs>
              <w:rPr>
                <w:b/>
                <w:color w:val="auto"/>
              </w:rPr>
            </w:pPr>
          </w:p>
        </w:tc>
      </w:tr>
      <w:tr w:rsidR="00C0047D" w:rsidRPr="00747B0B" w14:paraId="618E1F46" w14:textId="77777777" w:rsidTr="00A06955">
        <w:trPr>
          <w:trHeight w:val="369"/>
        </w:trPr>
        <w:tc>
          <w:tcPr>
            <w:tcW w:w="1422" w:type="pct"/>
            <w:shd w:val="clear" w:color="auto" w:fill="auto"/>
            <w:vAlign w:val="bottom"/>
          </w:tcPr>
          <w:p w14:paraId="30F2BDFC" w14:textId="77777777" w:rsidR="0001390E" w:rsidRPr="00747B0B" w:rsidRDefault="00412F92" w:rsidP="002003E6">
            <w:pPr>
              <w:jc w:val="left"/>
              <w:rPr>
                <w:b/>
                <w:color w:val="auto"/>
                <w:highlight w:val="yellow"/>
              </w:rPr>
            </w:pPr>
            <w:r w:rsidRPr="00A06955">
              <w:rPr>
                <w:b/>
                <w:color w:val="auto"/>
              </w:rPr>
              <w:t>Net Expenditure</w:t>
            </w:r>
          </w:p>
        </w:tc>
        <w:tc>
          <w:tcPr>
            <w:tcW w:w="679" w:type="pct"/>
            <w:tcBorders>
              <w:top w:val="single" w:sz="4" w:space="0" w:color="auto"/>
            </w:tcBorders>
            <w:shd w:val="clear" w:color="auto" w:fill="auto"/>
            <w:vAlign w:val="bottom"/>
          </w:tcPr>
          <w:p w14:paraId="6B6F2AA9" w14:textId="6935D80F" w:rsidR="0001390E" w:rsidRPr="00A06955" w:rsidRDefault="00570D50" w:rsidP="00C0047D">
            <w:pPr>
              <w:tabs>
                <w:tab w:val="decimal" w:pos="601"/>
              </w:tabs>
              <w:rPr>
                <w:b/>
                <w:color w:val="auto"/>
              </w:rPr>
            </w:pPr>
            <w:r>
              <w:rPr>
                <w:b/>
                <w:color w:val="auto"/>
              </w:rPr>
              <w:t>327.5</w:t>
            </w:r>
          </w:p>
        </w:tc>
        <w:tc>
          <w:tcPr>
            <w:tcW w:w="678" w:type="pct"/>
            <w:tcBorders>
              <w:top w:val="single" w:sz="4" w:space="0" w:color="auto"/>
            </w:tcBorders>
            <w:vAlign w:val="bottom"/>
          </w:tcPr>
          <w:p w14:paraId="22C4857D" w14:textId="09632247" w:rsidR="0001390E" w:rsidRPr="00A06955" w:rsidRDefault="00D83949" w:rsidP="00D24D58">
            <w:pPr>
              <w:tabs>
                <w:tab w:val="decimal" w:pos="602"/>
              </w:tabs>
              <w:rPr>
                <w:b/>
                <w:color w:val="auto"/>
              </w:rPr>
            </w:pPr>
            <w:r>
              <w:rPr>
                <w:b/>
                <w:color w:val="auto"/>
              </w:rPr>
              <w:t>1</w:t>
            </w:r>
            <w:r w:rsidR="00D24D58">
              <w:rPr>
                <w:b/>
                <w:color w:val="auto"/>
              </w:rPr>
              <w:t>67</w:t>
            </w:r>
            <w:r>
              <w:rPr>
                <w:b/>
                <w:color w:val="auto"/>
              </w:rPr>
              <w:t>.3</w:t>
            </w:r>
          </w:p>
        </w:tc>
        <w:tc>
          <w:tcPr>
            <w:tcW w:w="857" w:type="pct"/>
            <w:tcBorders>
              <w:top w:val="single" w:sz="4" w:space="0" w:color="auto"/>
            </w:tcBorders>
            <w:vAlign w:val="bottom"/>
          </w:tcPr>
          <w:p w14:paraId="6841DC0F" w14:textId="548E4B35" w:rsidR="0001390E" w:rsidRPr="00A06955" w:rsidRDefault="00D83949" w:rsidP="00C0047D">
            <w:pPr>
              <w:tabs>
                <w:tab w:val="decimal" w:pos="767"/>
              </w:tabs>
              <w:rPr>
                <w:b/>
                <w:color w:val="auto"/>
              </w:rPr>
            </w:pPr>
            <w:r>
              <w:rPr>
                <w:b/>
                <w:color w:val="auto"/>
              </w:rPr>
              <w:t>1</w:t>
            </w:r>
            <w:r w:rsidR="00D24D58">
              <w:rPr>
                <w:b/>
                <w:color w:val="auto"/>
              </w:rPr>
              <w:t>68.8</w:t>
            </w:r>
          </w:p>
        </w:tc>
        <w:tc>
          <w:tcPr>
            <w:tcW w:w="796" w:type="pct"/>
            <w:tcBorders>
              <w:top w:val="single" w:sz="4" w:space="0" w:color="auto"/>
            </w:tcBorders>
            <w:shd w:val="clear" w:color="auto" w:fill="auto"/>
            <w:vAlign w:val="bottom"/>
          </w:tcPr>
          <w:p w14:paraId="41A40883" w14:textId="2565E587" w:rsidR="0001390E" w:rsidRPr="00A06955" w:rsidRDefault="00570D50" w:rsidP="00813F68">
            <w:pPr>
              <w:tabs>
                <w:tab w:val="decimal" w:pos="785"/>
              </w:tabs>
              <w:rPr>
                <w:b/>
                <w:color w:val="auto"/>
              </w:rPr>
            </w:pPr>
            <w:r>
              <w:rPr>
                <w:b/>
                <w:color w:val="auto"/>
              </w:rPr>
              <w:t>1</w:t>
            </w:r>
            <w:r w:rsidR="00813F68">
              <w:rPr>
                <w:b/>
                <w:color w:val="auto"/>
              </w:rPr>
              <w:t>18</w:t>
            </w:r>
            <w:r>
              <w:rPr>
                <w:b/>
                <w:color w:val="auto"/>
              </w:rPr>
              <w:t>.</w:t>
            </w:r>
            <w:r w:rsidR="00813F68">
              <w:rPr>
                <w:b/>
                <w:color w:val="auto"/>
              </w:rPr>
              <w:t>0</w:t>
            </w:r>
          </w:p>
        </w:tc>
        <w:tc>
          <w:tcPr>
            <w:tcW w:w="568" w:type="pct"/>
            <w:tcBorders>
              <w:top w:val="single" w:sz="4" w:space="0" w:color="auto"/>
            </w:tcBorders>
            <w:shd w:val="clear" w:color="auto" w:fill="auto"/>
            <w:vAlign w:val="bottom"/>
          </w:tcPr>
          <w:p w14:paraId="4CE753FE" w14:textId="02CB0F98" w:rsidR="0001390E" w:rsidRPr="00A06955" w:rsidRDefault="005F0CC3" w:rsidP="00813F68">
            <w:pPr>
              <w:tabs>
                <w:tab w:val="decimal" w:pos="602"/>
              </w:tabs>
              <w:rPr>
                <w:b/>
                <w:color w:val="auto"/>
              </w:rPr>
            </w:pPr>
            <w:r>
              <w:rPr>
                <w:b/>
                <w:color w:val="auto"/>
              </w:rPr>
              <w:t>78</w:t>
            </w:r>
            <w:r w:rsidR="00813F68">
              <w:rPr>
                <w:b/>
                <w:color w:val="auto"/>
              </w:rPr>
              <w:t>1</w:t>
            </w:r>
            <w:r w:rsidR="00570D50">
              <w:rPr>
                <w:b/>
                <w:color w:val="auto"/>
              </w:rPr>
              <w:t>.</w:t>
            </w:r>
            <w:r>
              <w:rPr>
                <w:b/>
                <w:color w:val="auto"/>
              </w:rPr>
              <w:t>6</w:t>
            </w:r>
          </w:p>
        </w:tc>
      </w:tr>
    </w:tbl>
    <w:p w14:paraId="24529EC4" w14:textId="77777777" w:rsidR="0001390E" w:rsidRPr="00747B0B" w:rsidRDefault="0001390E" w:rsidP="0001390E">
      <w:pPr>
        <w:rPr>
          <w:highlight w:val="yellow"/>
          <w:lang w:eastAsia="en-GB"/>
        </w:rPr>
      </w:pPr>
    </w:p>
    <w:p w14:paraId="10A192FB" w14:textId="723D5181" w:rsidR="00DC52F6" w:rsidRPr="00A06955" w:rsidRDefault="00246A2C" w:rsidP="00246A2C">
      <w:pPr>
        <w:jc w:val="left"/>
        <w:rPr>
          <w:b/>
          <w:lang w:eastAsia="en-GB"/>
        </w:rPr>
      </w:pPr>
      <w:r>
        <w:rPr>
          <w:b/>
          <w:lang w:eastAsia="en-GB"/>
        </w:rPr>
        <w:t>Reconciliation to net cost of s</w:t>
      </w:r>
      <w:r w:rsidR="00DC52F6" w:rsidRPr="00A06955">
        <w:rPr>
          <w:b/>
          <w:lang w:eastAsia="en-GB"/>
        </w:rPr>
        <w:t>ervices in Comprehensive Income and Expenditure Statement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69"/>
        <w:gridCol w:w="2481"/>
      </w:tblGrid>
      <w:tr w:rsidR="004C7947" w:rsidRPr="00747B0B" w14:paraId="74A87E2B" w14:textId="77777777" w:rsidTr="00A06955">
        <w:trPr>
          <w:trHeight w:val="369"/>
          <w:tblHeader/>
        </w:trPr>
        <w:tc>
          <w:tcPr>
            <w:tcW w:w="3813" w:type="pct"/>
            <w:shd w:val="clear" w:color="auto" w:fill="D0CECE"/>
            <w:vAlign w:val="bottom"/>
          </w:tcPr>
          <w:p w14:paraId="21906F7E" w14:textId="46B5B96E" w:rsidR="004C7947" w:rsidRPr="00A06955" w:rsidRDefault="0026647B" w:rsidP="002003E6">
            <w:pPr>
              <w:jc w:val="left"/>
              <w:rPr>
                <w:b/>
                <w:color w:val="auto"/>
                <w:highlight w:val="yellow"/>
              </w:rPr>
            </w:pPr>
            <w:r>
              <w:rPr>
                <w:b/>
                <w:color w:val="auto"/>
              </w:rPr>
              <w:t xml:space="preserve">              </w:t>
            </w:r>
            <w:r w:rsidRPr="00A06955">
              <w:rPr>
                <w:b/>
                <w:color w:val="auto"/>
              </w:rPr>
              <w:t>2014/15</w:t>
            </w:r>
          </w:p>
        </w:tc>
        <w:tc>
          <w:tcPr>
            <w:tcW w:w="1187" w:type="pct"/>
            <w:shd w:val="clear" w:color="auto" w:fill="D0CECE"/>
            <w:vAlign w:val="bottom"/>
          </w:tcPr>
          <w:p w14:paraId="3D11F31D" w14:textId="77777777" w:rsidR="004C7947" w:rsidRPr="00A06955" w:rsidRDefault="004C7947" w:rsidP="002003E6">
            <w:pPr>
              <w:jc w:val="center"/>
              <w:rPr>
                <w:b/>
                <w:color w:val="auto"/>
              </w:rPr>
            </w:pPr>
            <w:r w:rsidRPr="00A06955">
              <w:rPr>
                <w:b/>
                <w:color w:val="auto"/>
              </w:rPr>
              <w:t>£m</w:t>
            </w:r>
          </w:p>
        </w:tc>
      </w:tr>
      <w:tr w:rsidR="004C7947" w:rsidRPr="00747B0B" w14:paraId="19846745" w14:textId="77777777" w:rsidTr="004C7947">
        <w:trPr>
          <w:trHeight w:val="369"/>
        </w:trPr>
        <w:tc>
          <w:tcPr>
            <w:tcW w:w="3813" w:type="pct"/>
            <w:shd w:val="clear" w:color="auto" w:fill="auto"/>
            <w:vAlign w:val="bottom"/>
          </w:tcPr>
          <w:p w14:paraId="7EFD2144" w14:textId="77777777" w:rsidR="004C7947" w:rsidRPr="00A06955" w:rsidRDefault="004C7947" w:rsidP="002003E6">
            <w:pPr>
              <w:jc w:val="left"/>
              <w:rPr>
                <w:color w:val="auto"/>
              </w:rPr>
            </w:pPr>
            <w:r w:rsidRPr="00A06955">
              <w:rPr>
                <w:color w:val="auto"/>
              </w:rPr>
              <w:t>Cost of Services in Service Analysis</w:t>
            </w:r>
          </w:p>
        </w:tc>
        <w:tc>
          <w:tcPr>
            <w:tcW w:w="1187" w:type="pct"/>
            <w:tcBorders>
              <w:bottom w:val="nil"/>
            </w:tcBorders>
            <w:shd w:val="clear" w:color="auto" w:fill="auto"/>
            <w:vAlign w:val="bottom"/>
          </w:tcPr>
          <w:p w14:paraId="4FF23267" w14:textId="051AA4C4" w:rsidR="004C7947" w:rsidRPr="00A06955" w:rsidRDefault="005F0CC3" w:rsidP="00813F68">
            <w:pPr>
              <w:tabs>
                <w:tab w:val="decimal" w:pos="1214"/>
              </w:tabs>
              <w:rPr>
                <w:b/>
                <w:color w:val="auto"/>
              </w:rPr>
            </w:pPr>
            <w:r>
              <w:rPr>
                <w:b/>
                <w:color w:val="auto"/>
              </w:rPr>
              <w:t>78</w:t>
            </w:r>
            <w:r w:rsidR="00813F68">
              <w:rPr>
                <w:b/>
                <w:color w:val="auto"/>
              </w:rPr>
              <w:t>1</w:t>
            </w:r>
            <w:r w:rsidR="00E459E6">
              <w:rPr>
                <w:b/>
                <w:color w:val="auto"/>
              </w:rPr>
              <w:t>.</w:t>
            </w:r>
            <w:r>
              <w:rPr>
                <w:b/>
                <w:color w:val="auto"/>
              </w:rPr>
              <w:t>6</w:t>
            </w:r>
          </w:p>
        </w:tc>
      </w:tr>
      <w:tr w:rsidR="004C7947" w:rsidRPr="00747B0B" w14:paraId="53B9D0FA" w14:textId="77777777" w:rsidTr="004C7947">
        <w:trPr>
          <w:trHeight w:val="369"/>
        </w:trPr>
        <w:tc>
          <w:tcPr>
            <w:tcW w:w="3813" w:type="pct"/>
            <w:shd w:val="clear" w:color="auto" w:fill="auto"/>
            <w:vAlign w:val="bottom"/>
          </w:tcPr>
          <w:p w14:paraId="548F5A8A" w14:textId="77777777" w:rsidR="004C7947" w:rsidRPr="00A06955" w:rsidRDefault="004C7947" w:rsidP="002003E6">
            <w:pPr>
              <w:jc w:val="left"/>
              <w:rPr>
                <w:color w:val="auto"/>
              </w:rPr>
            </w:pPr>
            <w:r w:rsidRPr="00A06955">
              <w:rPr>
                <w:color w:val="auto"/>
              </w:rPr>
              <w:t>Add amounts not reported to management</w:t>
            </w:r>
          </w:p>
        </w:tc>
        <w:tc>
          <w:tcPr>
            <w:tcW w:w="1187" w:type="pct"/>
            <w:tcBorders>
              <w:bottom w:val="nil"/>
            </w:tcBorders>
            <w:shd w:val="clear" w:color="auto" w:fill="auto"/>
            <w:vAlign w:val="bottom"/>
          </w:tcPr>
          <w:p w14:paraId="1A915014" w14:textId="3FFBF10A" w:rsidR="004C7947" w:rsidRPr="00A06955" w:rsidRDefault="005F0CC3" w:rsidP="004C7947">
            <w:pPr>
              <w:tabs>
                <w:tab w:val="decimal" w:pos="1214"/>
              </w:tabs>
              <w:rPr>
                <w:color w:val="auto"/>
              </w:rPr>
            </w:pPr>
            <w:r>
              <w:rPr>
                <w:color w:val="auto"/>
              </w:rPr>
              <w:t>187</w:t>
            </w:r>
            <w:r w:rsidR="00E459E6">
              <w:rPr>
                <w:color w:val="auto"/>
              </w:rPr>
              <w:t>.</w:t>
            </w:r>
            <w:r w:rsidR="00D83949">
              <w:rPr>
                <w:color w:val="auto"/>
              </w:rPr>
              <w:t>1</w:t>
            </w:r>
          </w:p>
        </w:tc>
      </w:tr>
      <w:tr w:rsidR="004C7947" w:rsidRPr="00747B0B" w14:paraId="762FFFD5" w14:textId="77777777" w:rsidTr="004C7947">
        <w:trPr>
          <w:trHeight w:val="369"/>
        </w:trPr>
        <w:tc>
          <w:tcPr>
            <w:tcW w:w="3813" w:type="pct"/>
            <w:shd w:val="clear" w:color="auto" w:fill="auto"/>
            <w:vAlign w:val="bottom"/>
          </w:tcPr>
          <w:p w14:paraId="1A92EC20" w14:textId="77777777" w:rsidR="004C7947" w:rsidRPr="00A06955" w:rsidRDefault="004C7947" w:rsidP="002003E6">
            <w:pPr>
              <w:jc w:val="left"/>
              <w:rPr>
                <w:color w:val="auto"/>
              </w:rPr>
            </w:pPr>
            <w:r w:rsidRPr="00A06955">
              <w:rPr>
                <w:color w:val="auto"/>
              </w:rPr>
              <w:t>Remove amounts reported to management not included in Comprehensive Income and Expenditure Statement</w:t>
            </w:r>
          </w:p>
        </w:tc>
        <w:tc>
          <w:tcPr>
            <w:tcW w:w="1187" w:type="pct"/>
            <w:tcBorders>
              <w:top w:val="nil"/>
              <w:bottom w:val="single" w:sz="4" w:space="0" w:color="auto"/>
            </w:tcBorders>
            <w:shd w:val="clear" w:color="auto" w:fill="auto"/>
            <w:vAlign w:val="bottom"/>
          </w:tcPr>
          <w:p w14:paraId="11795148" w14:textId="27813B93" w:rsidR="004C7947" w:rsidRPr="00A06955" w:rsidRDefault="00E459E6" w:rsidP="006B17B3">
            <w:pPr>
              <w:tabs>
                <w:tab w:val="decimal" w:pos="1214"/>
              </w:tabs>
              <w:rPr>
                <w:color w:val="auto"/>
              </w:rPr>
            </w:pPr>
            <w:r>
              <w:rPr>
                <w:color w:val="auto"/>
              </w:rPr>
              <w:t>(97.</w:t>
            </w:r>
            <w:r w:rsidR="00B33E1E">
              <w:rPr>
                <w:color w:val="auto"/>
              </w:rPr>
              <w:t>0</w:t>
            </w:r>
            <w:r>
              <w:rPr>
                <w:color w:val="auto"/>
              </w:rPr>
              <w:t>)</w:t>
            </w:r>
          </w:p>
        </w:tc>
      </w:tr>
      <w:tr w:rsidR="004C7947" w:rsidRPr="00747B0B" w14:paraId="3550EA05" w14:textId="77777777" w:rsidTr="004C7947">
        <w:trPr>
          <w:trHeight w:val="369"/>
        </w:trPr>
        <w:tc>
          <w:tcPr>
            <w:tcW w:w="3813" w:type="pct"/>
            <w:shd w:val="clear" w:color="auto" w:fill="auto"/>
            <w:vAlign w:val="bottom"/>
          </w:tcPr>
          <w:p w14:paraId="2A7695ED" w14:textId="77777777" w:rsidR="004C7947" w:rsidRPr="00A06955" w:rsidRDefault="004C7947" w:rsidP="002003E6">
            <w:pPr>
              <w:jc w:val="left"/>
              <w:rPr>
                <w:b/>
                <w:color w:val="auto"/>
              </w:rPr>
            </w:pPr>
            <w:r w:rsidRPr="00A06955">
              <w:rPr>
                <w:b/>
                <w:color w:val="auto"/>
              </w:rPr>
              <w:t>Net Cost of Services in Comprehensive Income and Expenditure Statement</w:t>
            </w:r>
          </w:p>
        </w:tc>
        <w:tc>
          <w:tcPr>
            <w:tcW w:w="1187" w:type="pct"/>
            <w:tcBorders>
              <w:top w:val="single" w:sz="4" w:space="0" w:color="auto"/>
              <w:bottom w:val="single" w:sz="4" w:space="0" w:color="auto"/>
            </w:tcBorders>
            <w:shd w:val="clear" w:color="auto" w:fill="auto"/>
            <w:vAlign w:val="bottom"/>
          </w:tcPr>
          <w:p w14:paraId="22626F34" w14:textId="23D73C50" w:rsidR="004C7947" w:rsidRPr="00A06955" w:rsidRDefault="00E459E6" w:rsidP="00B33E1E">
            <w:pPr>
              <w:tabs>
                <w:tab w:val="decimal" w:pos="1214"/>
              </w:tabs>
              <w:rPr>
                <w:b/>
                <w:color w:val="auto"/>
              </w:rPr>
            </w:pPr>
            <w:r>
              <w:rPr>
                <w:b/>
                <w:color w:val="auto"/>
              </w:rPr>
              <w:t>8</w:t>
            </w:r>
            <w:r w:rsidR="0075556B">
              <w:rPr>
                <w:b/>
                <w:color w:val="auto"/>
              </w:rPr>
              <w:t>71.</w:t>
            </w:r>
            <w:r w:rsidR="00B33E1E">
              <w:rPr>
                <w:b/>
                <w:color w:val="auto"/>
              </w:rPr>
              <w:t>7</w:t>
            </w:r>
          </w:p>
        </w:tc>
      </w:tr>
    </w:tbl>
    <w:p w14:paraId="7C2E8A45" w14:textId="77777777" w:rsidR="00733B1D" w:rsidRPr="00747B0B" w:rsidRDefault="00733B1D" w:rsidP="0001390E">
      <w:pPr>
        <w:rPr>
          <w:b/>
          <w:highlight w:val="yellow"/>
          <w:lang w:eastAsia="en-GB"/>
        </w:rPr>
        <w:sectPr w:rsidR="00733B1D" w:rsidRPr="00747B0B" w:rsidSect="002831E1">
          <w:footerReference w:type="default" r:id="rId18"/>
          <w:pgSz w:w="11900" w:h="16840" w:code="9"/>
          <w:pgMar w:top="720" w:right="720" w:bottom="720" w:left="720" w:header="284" w:footer="284" w:gutter="0"/>
          <w:cols w:space="292"/>
          <w:docGrid w:linePitch="326"/>
        </w:sectPr>
      </w:pPr>
    </w:p>
    <w:tbl>
      <w:tblPr>
        <w:tblpPr w:leftFromText="180" w:rightFromText="180" w:horzAnchor="margin" w:tblpY="900"/>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38"/>
        <w:gridCol w:w="1728"/>
        <w:gridCol w:w="2352"/>
        <w:gridCol w:w="1570"/>
        <w:gridCol w:w="1564"/>
        <w:gridCol w:w="1564"/>
        <w:gridCol w:w="1474"/>
      </w:tblGrid>
      <w:tr w:rsidR="003858B1" w:rsidRPr="00747B0B" w14:paraId="58BB6B05" w14:textId="77777777" w:rsidTr="00A06955">
        <w:trPr>
          <w:trHeight w:val="369"/>
          <w:tblHeader/>
        </w:trPr>
        <w:tc>
          <w:tcPr>
            <w:tcW w:w="1669" w:type="pct"/>
            <w:shd w:val="clear" w:color="auto" w:fill="D0CECE"/>
            <w:vAlign w:val="bottom"/>
          </w:tcPr>
          <w:p w14:paraId="207B6BB5" w14:textId="77777777" w:rsidR="003858B1" w:rsidRPr="00A06955" w:rsidRDefault="003858B1" w:rsidP="00570D50">
            <w:pPr>
              <w:jc w:val="center"/>
              <w:rPr>
                <w:b/>
                <w:color w:val="auto"/>
                <w:u w:val="single"/>
              </w:rPr>
            </w:pPr>
            <w:r w:rsidRPr="00A06955">
              <w:rPr>
                <w:b/>
                <w:color w:val="auto"/>
                <w:u w:val="single"/>
              </w:rPr>
              <w:lastRenderedPageBreak/>
              <w:t>2014/15</w:t>
            </w:r>
          </w:p>
        </w:tc>
        <w:tc>
          <w:tcPr>
            <w:tcW w:w="561" w:type="pct"/>
            <w:shd w:val="clear" w:color="auto" w:fill="D0CECE"/>
            <w:vAlign w:val="bottom"/>
          </w:tcPr>
          <w:p w14:paraId="39DFD54C" w14:textId="77777777" w:rsidR="003858B1" w:rsidRPr="00A06955" w:rsidRDefault="003858B1" w:rsidP="00570D50">
            <w:pPr>
              <w:jc w:val="center"/>
              <w:rPr>
                <w:b/>
                <w:color w:val="auto"/>
              </w:rPr>
            </w:pPr>
            <w:r w:rsidRPr="00A06955">
              <w:rPr>
                <w:b/>
                <w:color w:val="auto"/>
              </w:rPr>
              <w:t>Directorate Analysis</w:t>
            </w:r>
          </w:p>
        </w:tc>
        <w:tc>
          <w:tcPr>
            <w:tcW w:w="764" w:type="pct"/>
            <w:shd w:val="clear" w:color="auto" w:fill="D0CECE"/>
            <w:vAlign w:val="bottom"/>
          </w:tcPr>
          <w:p w14:paraId="26CBA108" w14:textId="77777777" w:rsidR="003858B1" w:rsidRPr="00A06955" w:rsidRDefault="003858B1" w:rsidP="00570D50">
            <w:pPr>
              <w:jc w:val="center"/>
              <w:rPr>
                <w:b/>
                <w:color w:val="auto"/>
              </w:rPr>
            </w:pPr>
            <w:r w:rsidRPr="00A06955">
              <w:rPr>
                <w:b/>
                <w:color w:val="auto"/>
              </w:rPr>
              <w:t>Amounts not reported to management for decision making</w:t>
            </w:r>
          </w:p>
        </w:tc>
        <w:tc>
          <w:tcPr>
            <w:tcW w:w="510" w:type="pct"/>
            <w:shd w:val="clear" w:color="auto" w:fill="D0CECE"/>
            <w:vAlign w:val="bottom"/>
          </w:tcPr>
          <w:p w14:paraId="6CED6DA5" w14:textId="77777777" w:rsidR="003858B1" w:rsidRPr="00A06955" w:rsidRDefault="003858B1" w:rsidP="00570D50">
            <w:pPr>
              <w:jc w:val="center"/>
              <w:rPr>
                <w:b/>
                <w:color w:val="auto"/>
              </w:rPr>
            </w:pPr>
            <w:r w:rsidRPr="00A06955">
              <w:rPr>
                <w:b/>
                <w:color w:val="auto"/>
              </w:rPr>
              <w:t>Amounts not included in the I&amp;E</w:t>
            </w:r>
          </w:p>
        </w:tc>
        <w:tc>
          <w:tcPr>
            <w:tcW w:w="508" w:type="pct"/>
            <w:shd w:val="clear" w:color="auto" w:fill="D0CECE"/>
            <w:vAlign w:val="bottom"/>
          </w:tcPr>
          <w:p w14:paraId="6B94468E" w14:textId="77777777" w:rsidR="003858B1" w:rsidRPr="00A06955" w:rsidRDefault="003858B1" w:rsidP="00570D50">
            <w:pPr>
              <w:jc w:val="center"/>
              <w:rPr>
                <w:b/>
                <w:color w:val="auto"/>
              </w:rPr>
            </w:pPr>
            <w:r w:rsidRPr="00A06955">
              <w:rPr>
                <w:b/>
                <w:color w:val="auto"/>
              </w:rPr>
              <w:t>Cost of Services</w:t>
            </w:r>
          </w:p>
        </w:tc>
        <w:tc>
          <w:tcPr>
            <w:tcW w:w="508" w:type="pct"/>
            <w:shd w:val="clear" w:color="auto" w:fill="D0CECE"/>
            <w:vAlign w:val="bottom"/>
          </w:tcPr>
          <w:p w14:paraId="326399EB" w14:textId="77777777" w:rsidR="003858B1" w:rsidRPr="00A06955" w:rsidRDefault="003858B1" w:rsidP="00570D50">
            <w:pPr>
              <w:jc w:val="center"/>
              <w:rPr>
                <w:b/>
                <w:color w:val="auto"/>
              </w:rPr>
            </w:pPr>
            <w:r w:rsidRPr="00A06955">
              <w:rPr>
                <w:b/>
                <w:color w:val="auto"/>
              </w:rPr>
              <w:t>Corporate Amounts</w:t>
            </w:r>
          </w:p>
        </w:tc>
        <w:tc>
          <w:tcPr>
            <w:tcW w:w="479" w:type="pct"/>
            <w:shd w:val="clear" w:color="auto" w:fill="D0CECE"/>
            <w:vAlign w:val="bottom"/>
          </w:tcPr>
          <w:p w14:paraId="3214883D" w14:textId="77777777" w:rsidR="003858B1" w:rsidRPr="00A06955" w:rsidRDefault="003858B1" w:rsidP="00570D50">
            <w:pPr>
              <w:jc w:val="center"/>
              <w:rPr>
                <w:b/>
                <w:color w:val="auto"/>
              </w:rPr>
            </w:pPr>
            <w:r w:rsidRPr="00A06955">
              <w:rPr>
                <w:b/>
                <w:color w:val="auto"/>
              </w:rPr>
              <w:t>Total</w:t>
            </w:r>
          </w:p>
        </w:tc>
      </w:tr>
      <w:tr w:rsidR="003858B1" w:rsidRPr="00747B0B" w14:paraId="0E01F6BC" w14:textId="77777777" w:rsidTr="00A06955">
        <w:trPr>
          <w:trHeight w:val="369"/>
          <w:tblHeader/>
        </w:trPr>
        <w:tc>
          <w:tcPr>
            <w:tcW w:w="1669" w:type="pct"/>
            <w:shd w:val="clear" w:color="auto" w:fill="D0CECE"/>
            <w:vAlign w:val="bottom"/>
          </w:tcPr>
          <w:p w14:paraId="29057702" w14:textId="77777777" w:rsidR="003858B1" w:rsidRPr="00A06955" w:rsidRDefault="003858B1" w:rsidP="00570D50">
            <w:pPr>
              <w:jc w:val="left"/>
              <w:rPr>
                <w:color w:val="auto"/>
              </w:rPr>
            </w:pPr>
          </w:p>
        </w:tc>
        <w:tc>
          <w:tcPr>
            <w:tcW w:w="561" w:type="pct"/>
            <w:shd w:val="clear" w:color="auto" w:fill="D0CECE"/>
            <w:vAlign w:val="bottom"/>
          </w:tcPr>
          <w:p w14:paraId="51B3598C" w14:textId="77777777" w:rsidR="003858B1" w:rsidRPr="00A06955" w:rsidRDefault="003858B1" w:rsidP="00570D50">
            <w:pPr>
              <w:jc w:val="center"/>
              <w:rPr>
                <w:b/>
                <w:color w:val="auto"/>
              </w:rPr>
            </w:pPr>
            <w:r w:rsidRPr="00A06955">
              <w:rPr>
                <w:b/>
                <w:color w:val="auto"/>
              </w:rPr>
              <w:t>£m</w:t>
            </w:r>
          </w:p>
        </w:tc>
        <w:tc>
          <w:tcPr>
            <w:tcW w:w="764" w:type="pct"/>
            <w:shd w:val="clear" w:color="auto" w:fill="D0CECE"/>
            <w:vAlign w:val="bottom"/>
          </w:tcPr>
          <w:p w14:paraId="7374F26B" w14:textId="77777777" w:rsidR="003858B1" w:rsidRPr="00A06955" w:rsidRDefault="003858B1" w:rsidP="00570D50">
            <w:pPr>
              <w:jc w:val="center"/>
              <w:rPr>
                <w:b/>
                <w:color w:val="auto"/>
              </w:rPr>
            </w:pPr>
            <w:r w:rsidRPr="00A06955">
              <w:rPr>
                <w:b/>
                <w:color w:val="auto"/>
              </w:rPr>
              <w:t>£m</w:t>
            </w:r>
          </w:p>
        </w:tc>
        <w:tc>
          <w:tcPr>
            <w:tcW w:w="510" w:type="pct"/>
            <w:shd w:val="clear" w:color="auto" w:fill="D0CECE"/>
            <w:vAlign w:val="bottom"/>
          </w:tcPr>
          <w:p w14:paraId="6884E5BC" w14:textId="77777777" w:rsidR="003858B1" w:rsidRPr="00A06955" w:rsidRDefault="003858B1" w:rsidP="00570D50">
            <w:pPr>
              <w:jc w:val="center"/>
              <w:rPr>
                <w:b/>
                <w:color w:val="auto"/>
              </w:rPr>
            </w:pPr>
            <w:r w:rsidRPr="00A06955">
              <w:rPr>
                <w:b/>
                <w:color w:val="auto"/>
              </w:rPr>
              <w:t>£m</w:t>
            </w:r>
          </w:p>
        </w:tc>
        <w:tc>
          <w:tcPr>
            <w:tcW w:w="508" w:type="pct"/>
            <w:shd w:val="clear" w:color="auto" w:fill="D0CECE"/>
            <w:vAlign w:val="bottom"/>
          </w:tcPr>
          <w:p w14:paraId="4D6E48AB" w14:textId="77777777" w:rsidR="003858B1" w:rsidRPr="00A06955" w:rsidRDefault="003858B1" w:rsidP="00570D50">
            <w:pPr>
              <w:jc w:val="center"/>
              <w:rPr>
                <w:b/>
                <w:color w:val="auto"/>
              </w:rPr>
            </w:pPr>
            <w:r w:rsidRPr="00A06955">
              <w:rPr>
                <w:b/>
                <w:color w:val="auto"/>
              </w:rPr>
              <w:t>£m</w:t>
            </w:r>
          </w:p>
        </w:tc>
        <w:tc>
          <w:tcPr>
            <w:tcW w:w="508" w:type="pct"/>
            <w:shd w:val="clear" w:color="auto" w:fill="D0CECE"/>
            <w:vAlign w:val="bottom"/>
          </w:tcPr>
          <w:p w14:paraId="1AE6AD21" w14:textId="77777777" w:rsidR="003858B1" w:rsidRPr="00A06955" w:rsidRDefault="003858B1" w:rsidP="00570D50">
            <w:pPr>
              <w:jc w:val="center"/>
              <w:rPr>
                <w:b/>
                <w:color w:val="auto"/>
              </w:rPr>
            </w:pPr>
            <w:r w:rsidRPr="00A06955">
              <w:rPr>
                <w:b/>
                <w:color w:val="auto"/>
              </w:rPr>
              <w:t>£m</w:t>
            </w:r>
          </w:p>
        </w:tc>
        <w:tc>
          <w:tcPr>
            <w:tcW w:w="479" w:type="pct"/>
            <w:shd w:val="clear" w:color="auto" w:fill="D0CECE"/>
            <w:vAlign w:val="bottom"/>
          </w:tcPr>
          <w:p w14:paraId="1E8C78C6" w14:textId="77777777" w:rsidR="003858B1" w:rsidRPr="00A06955" w:rsidRDefault="003858B1" w:rsidP="00570D50">
            <w:pPr>
              <w:jc w:val="center"/>
              <w:rPr>
                <w:b/>
                <w:color w:val="auto"/>
              </w:rPr>
            </w:pPr>
            <w:r w:rsidRPr="00A06955">
              <w:rPr>
                <w:b/>
                <w:color w:val="auto"/>
              </w:rPr>
              <w:t>£m</w:t>
            </w:r>
          </w:p>
        </w:tc>
      </w:tr>
      <w:tr w:rsidR="003858B1" w:rsidRPr="00747B0B" w14:paraId="48040262" w14:textId="77777777" w:rsidTr="00A06955">
        <w:trPr>
          <w:trHeight w:val="369"/>
        </w:trPr>
        <w:tc>
          <w:tcPr>
            <w:tcW w:w="1669" w:type="pct"/>
            <w:shd w:val="clear" w:color="auto" w:fill="auto"/>
            <w:vAlign w:val="bottom"/>
          </w:tcPr>
          <w:p w14:paraId="7C63439D" w14:textId="77777777" w:rsidR="003858B1" w:rsidRPr="00A06955" w:rsidRDefault="003858B1" w:rsidP="00570D50">
            <w:pPr>
              <w:jc w:val="left"/>
              <w:rPr>
                <w:color w:val="auto"/>
              </w:rPr>
            </w:pPr>
            <w:r w:rsidRPr="00A06955">
              <w:rPr>
                <w:color w:val="auto"/>
              </w:rPr>
              <w:t>Fees, charges and other service income</w:t>
            </w:r>
          </w:p>
        </w:tc>
        <w:tc>
          <w:tcPr>
            <w:tcW w:w="561" w:type="pct"/>
            <w:shd w:val="clear" w:color="auto" w:fill="auto"/>
            <w:vAlign w:val="bottom"/>
          </w:tcPr>
          <w:p w14:paraId="0725DC85" w14:textId="13318E99" w:rsidR="003858B1" w:rsidRPr="00A06955" w:rsidRDefault="00983E11" w:rsidP="003C0D03">
            <w:pPr>
              <w:tabs>
                <w:tab w:val="decimal" w:pos="838"/>
              </w:tabs>
              <w:rPr>
                <w:color w:val="auto"/>
              </w:rPr>
            </w:pPr>
            <w:r>
              <w:rPr>
                <w:color w:val="auto"/>
              </w:rPr>
              <w:t>(</w:t>
            </w:r>
            <w:r w:rsidR="005F0CC3">
              <w:rPr>
                <w:color w:val="auto"/>
              </w:rPr>
              <w:t>2</w:t>
            </w:r>
            <w:r w:rsidR="004C589B">
              <w:rPr>
                <w:color w:val="auto"/>
              </w:rPr>
              <w:t>91.3</w:t>
            </w:r>
            <w:r>
              <w:rPr>
                <w:color w:val="auto"/>
              </w:rPr>
              <w:t>)</w:t>
            </w:r>
          </w:p>
        </w:tc>
        <w:tc>
          <w:tcPr>
            <w:tcW w:w="764" w:type="pct"/>
            <w:vAlign w:val="bottom"/>
          </w:tcPr>
          <w:p w14:paraId="7FD29048" w14:textId="77777777" w:rsidR="003858B1" w:rsidRPr="00A06955" w:rsidRDefault="003858B1" w:rsidP="00570D50">
            <w:pPr>
              <w:tabs>
                <w:tab w:val="decimal" w:pos="1027"/>
              </w:tabs>
              <w:rPr>
                <w:color w:val="auto"/>
              </w:rPr>
            </w:pPr>
            <w:r w:rsidRPr="00A06955">
              <w:rPr>
                <w:color w:val="auto"/>
              </w:rPr>
              <w:t>-</w:t>
            </w:r>
          </w:p>
        </w:tc>
        <w:tc>
          <w:tcPr>
            <w:tcW w:w="510" w:type="pct"/>
            <w:vAlign w:val="bottom"/>
          </w:tcPr>
          <w:p w14:paraId="4BF60621" w14:textId="77777777" w:rsidR="003858B1" w:rsidRPr="00A06955" w:rsidRDefault="003858B1" w:rsidP="00A06955">
            <w:pPr>
              <w:tabs>
                <w:tab w:val="decimal" w:pos="631"/>
              </w:tabs>
              <w:rPr>
                <w:color w:val="auto"/>
              </w:rPr>
            </w:pPr>
            <w:r w:rsidRPr="00A06955">
              <w:rPr>
                <w:color w:val="auto"/>
              </w:rPr>
              <w:t>-</w:t>
            </w:r>
          </w:p>
        </w:tc>
        <w:tc>
          <w:tcPr>
            <w:tcW w:w="508" w:type="pct"/>
            <w:vAlign w:val="bottom"/>
          </w:tcPr>
          <w:p w14:paraId="3855F016" w14:textId="6F384CA2" w:rsidR="003858B1" w:rsidRPr="00F92D52" w:rsidRDefault="00983E11" w:rsidP="008A3958">
            <w:pPr>
              <w:tabs>
                <w:tab w:val="decimal" w:pos="790"/>
              </w:tabs>
              <w:rPr>
                <w:b/>
                <w:color w:val="auto"/>
              </w:rPr>
            </w:pPr>
            <w:r>
              <w:rPr>
                <w:b/>
                <w:color w:val="auto"/>
              </w:rPr>
              <w:t>(</w:t>
            </w:r>
            <w:r w:rsidR="005F0CC3">
              <w:rPr>
                <w:b/>
                <w:color w:val="auto"/>
              </w:rPr>
              <w:t>2</w:t>
            </w:r>
            <w:r w:rsidR="004C589B">
              <w:rPr>
                <w:b/>
                <w:color w:val="auto"/>
              </w:rPr>
              <w:t>91.3</w:t>
            </w:r>
            <w:r>
              <w:rPr>
                <w:b/>
                <w:color w:val="auto"/>
              </w:rPr>
              <w:t>)</w:t>
            </w:r>
          </w:p>
        </w:tc>
        <w:tc>
          <w:tcPr>
            <w:tcW w:w="508" w:type="pct"/>
            <w:shd w:val="clear" w:color="auto" w:fill="auto"/>
            <w:vAlign w:val="bottom"/>
          </w:tcPr>
          <w:p w14:paraId="53E85C80" w14:textId="752E7BC4" w:rsidR="003858B1" w:rsidRPr="00A06955" w:rsidRDefault="00983E11" w:rsidP="008A3958">
            <w:pPr>
              <w:tabs>
                <w:tab w:val="decimal" w:pos="672"/>
              </w:tabs>
              <w:rPr>
                <w:color w:val="auto"/>
              </w:rPr>
            </w:pPr>
            <w:r>
              <w:rPr>
                <w:color w:val="auto"/>
              </w:rPr>
              <w:t>(</w:t>
            </w:r>
            <w:r w:rsidR="003858B1" w:rsidRPr="00A06955">
              <w:rPr>
                <w:color w:val="auto"/>
              </w:rPr>
              <w:t>13.</w:t>
            </w:r>
            <w:r w:rsidR="00547102">
              <w:rPr>
                <w:color w:val="auto"/>
              </w:rPr>
              <w:t>4</w:t>
            </w:r>
            <w:r>
              <w:rPr>
                <w:color w:val="auto"/>
              </w:rPr>
              <w:t>)</w:t>
            </w:r>
          </w:p>
        </w:tc>
        <w:tc>
          <w:tcPr>
            <w:tcW w:w="479" w:type="pct"/>
            <w:shd w:val="clear" w:color="auto" w:fill="auto"/>
            <w:vAlign w:val="bottom"/>
          </w:tcPr>
          <w:p w14:paraId="1431728B" w14:textId="5DE0E6E0" w:rsidR="003858B1" w:rsidRPr="00D1697D" w:rsidRDefault="00983E11" w:rsidP="008A3958">
            <w:pPr>
              <w:tabs>
                <w:tab w:val="decimal" w:pos="602"/>
              </w:tabs>
              <w:rPr>
                <w:b/>
                <w:color w:val="auto"/>
              </w:rPr>
            </w:pPr>
            <w:r>
              <w:rPr>
                <w:b/>
                <w:color w:val="auto"/>
              </w:rPr>
              <w:t>(</w:t>
            </w:r>
            <w:r w:rsidR="004C589B">
              <w:rPr>
                <w:b/>
                <w:color w:val="auto"/>
              </w:rPr>
              <w:t>304.7</w:t>
            </w:r>
            <w:r>
              <w:rPr>
                <w:b/>
                <w:color w:val="auto"/>
              </w:rPr>
              <w:t>)</w:t>
            </w:r>
          </w:p>
        </w:tc>
      </w:tr>
      <w:tr w:rsidR="003858B1" w:rsidRPr="00747B0B" w14:paraId="2E323F60" w14:textId="77777777" w:rsidTr="00A06955">
        <w:trPr>
          <w:trHeight w:val="369"/>
        </w:trPr>
        <w:tc>
          <w:tcPr>
            <w:tcW w:w="1669" w:type="pct"/>
            <w:shd w:val="clear" w:color="auto" w:fill="auto"/>
            <w:vAlign w:val="bottom"/>
          </w:tcPr>
          <w:p w14:paraId="5CDC32CE" w14:textId="6AA9C38F" w:rsidR="003858B1" w:rsidRPr="00A06955" w:rsidRDefault="003858B1" w:rsidP="00570D50">
            <w:pPr>
              <w:jc w:val="left"/>
              <w:rPr>
                <w:color w:val="auto"/>
              </w:rPr>
            </w:pPr>
            <w:r w:rsidRPr="00A06955">
              <w:rPr>
                <w:color w:val="auto"/>
              </w:rPr>
              <w:t>Interest and investment income</w:t>
            </w:r>
          </w:p>
        </w:tc>
        <w:tc>
          <w:tcPr>
            <w:tcW w:w="561" w:type="pct"/>
            <w:shd w:val="clear" w:color="auto" w:fill="auto"/>
            <w:vAlign w:val="bottom"/>
          </w:tcPr>
          <w:p w14:paraId="0695F470" w14:textId="1805FB51" w:rsidR="003858B1" w:rsidRPr="00ED1F92" w:rsidRDefault="00983E11" w:rsidP="00B33E1E">
            <w:pPr>
              <w:tabs>
                <w:tab w:val="decimal" w:pos="838"/>
              </w:tabs>
              <w:rPr>
                <w:color w:val="auto"/>
              </w:rPr>
            </w:pPr>
            <w:r w:rsidRPr="00413839">
              <w:rPr>
                <w:color w:val="auto"/>
              </w:rPr>
              <w:t>(</w:t>
            </w:r>
            <w:r w:rsidR="00133A4F" w:rsidRPr="00ED1F92">
              <w:rPr>
                <w:color w:val="auto"/>
              </w:rPr>
              <w:t>82.</w:t>
            </w:r>
            <w:r w:rsidR="00B33E1E" w:rsidRPr="00ED1F92">
              <w:rPr>
                <w:color w:val="auto"/>
              </w:rPr>
              <w:t>5</w:t>
            </w:r>
            <w:r w:rsidRPr="00ED1F92">
              <w:rPr>
                <w:color w:val="auto"/>
              </w:rPr>
              <w:t>)</w:t>
            </w:r>
          </w:p>
        </w:tc>
        <w:tc>
          <w:tcPr>
            <w:tcW w:w="764" w:type="pct"/>
            <w:vAlign w:val="bottom"/>
          </w:tcPr>
          <w:p w14:paraId="412047CB" w14:textId="77777777" w:rsidR="003858B1" w:rsidRPr="00ED1F92" w:rsidRDefault="003858B1" w:rsidP="00570D50">
            <w:pPr>
              <w:tabs>
                <w:tab w:val="decimal" w:pos="1027"/>
              </w:tabs>
              <w:rPr>
                <w:color w:val="auto"/>
              </w:rPr>
            </w:pPr>
            <w:r w:rsidRPr="00ED1F92">
              <w:rPr>
                <w:color w:val="auto"/>
              </w:rPr>
              <w:t>-</w:t>
            </w:r>
          </w:p>
        </w:tc>
        <w:tc>
          <w:tcPr>
            <w:tcW w:w="510" w:type="pct"/>
            <w:vAlign w:val="bottom"/>
          </w:tcPr>
          <w:p w14:paraId="0E6F110A" w14:textId="38870108" w:rsidR="003858B1" w:rsidRPr="00ED1F92" w:rsidRDefault="00133A4F" w:rsidP="00B33E1E">
            <w:pPr>
              <w:tabs>
                <w:tab w:val="decimal" w:pos="631"/>
              </w:tabs>
              <w:rPr>
                <w:color w:val="auto"/>
              </w:rPr>
            </w:pPr>
            <w:r w:rsidRPr="00ED1F92">
              <w:rPr>
                <w:color w:val="auto"/>
              </w:rPr>
              <w:t>82.</w:t>
            </w:r>
            <w:r w:rsidR="00B33E1E" w:rsidRPr="00ED1F92">
              <w:rPr>
                <w:color w:val="auto"/>
              </w:rPr>
              <w:t>5</w:t>
            </w:r>
          </w:p>
        </w:tc>
        <w:tc>
          <w:tcPr>
            <w:tcW w:w="508" w:type="pct"/>
            <w:vAlign w:val="bottom"/>
          </w:tcPr>
          <w:p w14:paraId="55ED5B63" w14:textId="77777777" w:rsidR="003858B1" w:rsidRPr="00F92D52" w:rsidRDefault="003858B1" w:rsidP="00A06955">
            <w:pPr>
              <w:tabs>
                <w:tab w:val="decimal" w:pos="790"/>
              </w:tabs>
              <w:rPr>
                <w:b/>
                <w:color w:val="auto"/>
              </w:rPr>
            </w:pPr>
            <w:r w:rsidRPr="00F92D52">
              <w:rPr>
                <w:b/>
                <w:color w:val="auto"/>
              </w:rPr>
              <w:t>-</w:t>
            </w:r>
          </w:p>
        </w:tc>
        <w:tc>
          <w:tcPr>
            <w:tcW w:w="508" w:type="pct"/>
            <w:shd w:val="clear" w:color="auto" w:fill="auto"/>
            <w:vAlign w:val="bottom"/>
          </w:tcPr>
          <w:p w14:paraId="0DD7CBFF" w14:textId="4FD5E7D8" w:rsidR="003858B1" w:rsidRPr="00A06955" w:rsidRDefault="00983E11" w:rsidP="00A06955">
            <w:pPr>
              <w:tabs>
                <w:tab w:val="decimal" w:pos="672"/>
              </w:tabs>
              <w:rPr>
                <w:color w:val="auto"/>
              </w:rPr>
            </w:pPr>
            <w:r>
              <w:rPr>
                <w:color w:val="auto"/>
              </w:rPr>
              <w:t>(</w:t>
            </w:r>
            <w:r w:rsidR="003858B1" w:rsidRPr="00A06955">
              <w:rPr>
                <w:color w:val="auto"/>
              </w:rPr>
              <w:t>82.4</w:t>
            </w:r>
            <w:r>
              <w:rPr>
                <w:color w:val="auto"/>
              </w:rPr>
              <w:t>)</w:t>
            </w:r>
          </w:p>
        </w:tc>
        <w:tc>
          <w:tcPr>
            <w:tcW w:w="479" w:type="pct"/>
            <w:shd w:val="clear" w:color="auto" w:fill="auto"/>
            <w:vAlign w:val="bottom"/>
          </w:tcPr>
          <w:p w14:paraId="2AB99FC0" w14:textId="0665EF5F" w:rsidR="003858B1" w:rsidRPr="00D1697D" w:rsidRDefault="00983E11" w:rsidP="00570D50">
            <w:pPr>
              <w:tabs>
                <w:tab w:val="decimal" w:pos="602"/>
              </w:tabs>
              <w:rPr>
                <w:b/>
                <w:color w:val="auto"/>
              </w:rPr>
            </w:pPr>
            <w:r>
              <w:rPr>
                <w:b/>
                <w:color w:val="auto"/>
              </w:rPr>
              <w:t>(</w:t>
            </w:r>
            <w:r w:rsidR="003858B1" w:rsidRPr="00D1697D">
              <w:rPr>
                <w:b/>
                <w:color w:val="auto"/>
              </w:rPr>
              <w:t>82.4</w:t>
            </w:r>
            <w:r>
              <w:rPr>
                <w:b/>
                <w:color w:val="auto"/>
              </w:rPr>
              <w:t>)</w:t>
            </w:r>
          </w:p>
        </w:tc>
      </w:tr>
      <w:tr w:rsidR="003858B1" w:rsidRPr="00747B0B" w14:paraId="1E75B8F7" w14:textId="77777777" w:rsidTr="00A06955">
        <w:trPr>
          <w:trHeight w:val="369"/>
        </w:trPr>
        <w:tc>
          <w:tcPr>
            <w:tcW w:w="1669" w:type="pct"/>
            <w:shd w:val="clear" w:color="auto" w:fill="auto"/>
            <w:vAlign w:val="bottom"/>
          </w:tcPr>
          <w:p w14:paraId="58B6094F" w14:textId="77777777" w:rsidR="003858B1" w:rsidRPr="00A06955" w:rsidRDefault="003858B1" w:rsidP="00570D50">
            <w:pPr>
              <w:jc w:val="left"/>
              <w:rPr>
                <w:color w:val="auto"/>
              </w:rPr>
            </w:pPr>
            <w:r w:rsidRPr="00A06955">
              <w:rPr>
                <w:color w:val="auto"/>
              </w:rPr>
              <w:t>Income from council tax</w:t>
            </w:r>
          </w:p>
        </w:tc>
        <w:tc>
          <w:tcPr>
            <w:tcW w:w="561" w:type="pct"/>
            <w:shd w:val="clear" w:color="auto" w:fill="auto"/>
            <w:vAlign w:val="bottom"/>
          </w:tcPr>
          <w:p w14:paraId="5A9007D2" w14:textId="77777777" w:rsidR="003858B1" w:rsidRPr="00413839" w:rsidRDefault="003858B1" w:rsidP="00A06955">
            <w:pPr>
              <w:tabs>
                <w:tab w:val="decimal" w:pos="838"/>
              </w:tabs>
              <w:rPr>
                <w:color w:val="auto"/>
              </w:rPr>
            </w:pPr>
            <w:r w:rsidRPr="00413839">
              <w:rPr>
                <w:color w:val="auto"/>
              </w:rPr>
              <w:t>-</w:t>
            </w:r>
          </w:p>
        </w:tc>
        <w:tc>
          <w:tcPr>
            <w:tcW w:w="764" w:type="pct"/>
            <w:vAlign w:val="bottom"/>
          </w:tcPr>
          <w:p w14:paraId="3836258C" w14:textId="77777777" w:rsidR="003858B1" w:rsidRPr="00ED1F92" w:rsidRDefault="003858B1" w:rsidP="00570D50">
            <w:pPr>
              <w:tabs>
                <w:tab w:val="decimal" w:pos="1027"/>
              </w:tabs>
              <w:rPr>
                <w:color w:val="auto"/>
              </w:rPr>
            </w:pPr>
            <w:r w:rsidRPr="00ED1F92">
              <w:rPr>
                <w:color w:val="auto"/>
              </w:rPr>
              <w:t>-</w:t>
            </w:r>
          </w:p>
        </w:tc>
        <w:tc>
          <w:tcPr>
            <w:tcW w:w="510" w:type="pct"/>
            <w:vAlign w:val="bottom"/>
          </w:tcPr>
          <w:p w14:paraId="104B48C6" w14:textId="77777777" w:rsidR="003858B1" w:rsidRPr="00ED1F92" w:rsidRDefault="003858B1" w:rsidP="00A06955">
            <w:pPr>
              <w:tabs>
                <w:tab w:val="decimal" w:pos="631"/>
              </w:tabs>
              <w:rPr>
                <w:color w:val="auto"/>
              </w:rPr>
            </w:pPr>
            <w:r w:rsidRPr="00ED1F92">
              <w:rPr>
                <w:color w:val="auto"/>
              </w:rPr>
              <w:t>-</w:t>
            </w:r>
          </w:p>
        </w:tc>
        <w:tc>
          <w:tcPr>
            <w:tcW w:w="508" w:type="pct"/>
            <w:vAlign w:val="bottom"/>
          </w:tcPr>
          <w:p w14:paraId="33339066" w14:textId="77777777" w:rsidR="003858B1" w:rsidRPr="00F92D52" w:rsidRDefault="003858B1" w:rsidP="00A06955">
            <w:pPr>
              <w:tabs>
                <w:tab w:val="decimal" w:pos="790"/>
              </w:tabs>
              <w:rPr>
                <w:b/>
                <w:color w:val="auto"/>
              </w:rPr>
            </w:pPr>
            <w:r w:rsidRPr="00F92D52">
              <w:rPr>
                <w:b/>
                <w:color w:val="auto"/>
              </w:rPr>
              <w:t>-</w:t>
            </w:r>
          </w:p>
        </w:tc>
        <w:tc>
          <w:tcPr>
            <w:tcW w:w="508" w:type="pct"/>
            <w:shd w:val="clear" w:color="auto" w:fill="auto"/>
            <w:vAlign w:val="bottom"/>
          </w:tcPr>
          <w:p w14:paraId="5C3762EF" w14:textId="263369C7" w:rsidR="003858B1" w:rsidRPr="00A06955" w:rsidRDefault="00983E11" w:rsidP="007D74A1">
            <w:pPr>
              <w:tabs>
                <w:tab w:val="decimal" w:pos="672"/>
              </w:tabs>
              <w:rPr>
                <w:color w:val="auto"/>
              </w:rPr>
            </w:pPr>
            <w:r>
              <w:rPr>
                <w:color w:val="auto"/>
              </w:rPr>
              <w:t>(</w:t>
            </w:r>
            <w:r w:rsidR="003858B1" w:rsidRPr="00A06955">
              <w:rPr>
                <w:color w:val="auto"/>
              </w:rPr>
              <w:t>3</w:t>
            </w:r>
            <w:r w:rsidR="007D74A1">
              <w:rPr>
                <w:color w:val="auto"/>
              </w:rPr>
              <w:t>78</w:t>
            </w:r>
            <w:r w:rsidR="003858B1" w:rsidRPr="00A06955">
              <w:rPr>
                <w:color w:val="auto"/>
              </w:rPr>
              <w:t>.</w:t>
            </w:r>
            <w:r w:rsidR="007D74A1">
              <w:rPr>
                <w:color w:val="auto"/>
              </w:rPr>
              <w:t>2</w:t>
            </w:r>
            <w:r>
              <w:rPr>
                <w:color w:val="auto"/>
              </w:rPr>
              <w:t>)</w:t>
            </w:r>
          </w:p>
        </w:tc>
        <w:tc>
          <w:tcPr>
            <w:tcW w:w="479" w:type="pct"/>
            <w:shd w:val="clear" w:color="auto" w:fill="auto"/>
            <w:vAlign w:val="bottom"/>
          </w:tcPr>
          <w:p w14:paraId="53DB4869" w14:textId="09CF0E28" w:rsidR="003858B1" w:rsidRPr="00D1697D" w:rsidRDefault="00983E11" w:rsidP="007D74A1">
            <w:pPr>
              <w:tabs>
                <w:tab w:val="decimal" w:pos="602"/>
              </w:tabs>
              <w:rPr>
                <w:b/>
                <w:color w:val="auto"/>
              </w:rPr>
            </w:pPr>
            <w:r>
              <w:rPr>
                <w:b/>
                <w:color w:val="auto"/>
              </w:rPr>
              <w:t>(</w:t>
            </w:r>
            <w:r w:rsidR="003858B1" w:rsidRPr="00D1697D">
              <w:rPr>
                <w:b/>
                <w:color w:val="auto"/>
              </w:rPr>
              <w:t>3</w:t>
            </w:r>
            <w:r w:rsidR="007D74A1" w:rsidRPr="00D1697D">
              <w:rPr>
                <w:b/>
                <w:color w:val="auto"/>
              </w:rPr>
              <w:t>78</w:t>
            </w:r>
            <w:r w:rsidR="003858B1" w:rsidRPr="00D1697D">
              <w:rPr>
                <w:b/>
                <w:color w:val="auto"/>
              </w:rPr>
              <w:t>.</w:t>
            </w:r>
            <w:r w:rsidR="007D74A1" w:rsidRPr="00D1697D">
              <w:rPr>
                <w:b/>
                <w:color w:val="auto"/>
              </w:rPr>
              <w:t>2</w:t>
            </w:r>
            <w:r>
              <w:rPr>
                <w:b/>
                <w:color w:val="auto"/>
              </w:rPr>
              <w:t>)</w:t>
            </w:r>
          </w:p>
        </w:tc>
      </w:tr>
      <w:tr w:rsidR="003858B1" w:rsidRPr="00747B0B" w14:paraId="290A9F5A" w14:textId="77777777" w:rsidTr="00A06955">
        <w:trPr>
          <w:trHeight w:val="369"/>
        </w:trPr>
        <w:tc>
          <w:tcPr>
            <w:tcW w:w="1669" w:type="pct"/>
            <w:shd w:val="clear" w:color="auto" w:fill="auto"/>
            <w:vAlign w:val="bottom"/>
          </w:tcPr>
          <w:p w14:paraId="2545A6E3" w14:textId="77777777" w:rsidR="003858B1" w:rsidRPr="00A06955" w:rsidRDefault="003858B1" w:rsidP="00570D50">
            <w:pPr>
              <w:jc w:val="left"/>
              <w:rPr>
                <w:color w:val="auto"/>
              </w:rPr>
            </w:pPr>
            <w:r w:rsidRPr="00A06955">
              <w:rPr>
                <w:rFonts w:eastAsia="Times New Roman" w:cs="Arial"/>
                <w:lang w:eastAsia="en-GB"/>
              </w:rPr>
              <w:t>Government grants and contributions</w:t>
            </w:r>
          </w:p>
        </w:tc>
        <w:tc>
          <w:tcPr>
            <w:tcW w:w="561" w:type="pct"/>
            <w:tcBorders>
              <w:bottom w:val="single" w:sz="4" w:space="0" w:color="auto"/>
            </w:tcBorders>
            <w:shd w:val="clear" w:color="auto" w:fill="auto"/>
            <w:vAlign w:val="bottom"/>
          </w:tcPr>
          <w:p w14:paraId="7C200D0E" w14:textId="487173EF" w:rsidR="003858B1" w:rsidRPr="00ED1F92" w:rsidRDefault="00983E11" w:rsidP="003C0D03">
            <w:pPr>
              <w:tabs>
                <w:tab w:val="decimal" w:pos="838"/>
              </w:tabs>
              <w:rPr>
                <w:color w:val="auto"/>
              </w:rPr>
            </w:pPr>
            <w:r w:rsidRPr="00413839">
              <w:rPr>
                <w:color w:val="auto"/>
              </w:rPr>
              <w:t>(</w:t>
            </w:r>
            <w:r w:rsidR="005F0CC3" w:rsidRPr="00ED1F92">
              <w:rPr>
                <w:color w:val="auto"/>
              </w:rPr>
              <w:t>1,1</w:t>
            </w:r>
            <w:r w:rsidR="004C589B" w:rsidRPr="00ED1F92">
              <w:rPr>
                <w:color w:val="auto"/>
              </w:rPr>
              <w:t>04.6</w:t>
            </w:r>
            <w:r w:rsidRPr="00ED1F92">
              <w:rPr>
                <w:color w:val="auto"/>
              </w:rPr>
              <w:t>)</w:t>
            </w:r>
          </w:p>
        </w:tc>
        <w:tc>
          <w:tcPr>
            <w:tcW w:w="764" w:type="pct"/>
            <w:tcBorders>
              <w:bottom w:val="single" w:sz="4" w:space="0" w:color="auto"/>
            </w:tcBorders>
            <w:vAlign w:val="bottom"/>
          </w:tcPr>
          <w:p w14:paraId="7F4C6FC8" w14:textId="77777777" w:rsidR="003858B1" w:rsidRPr="00ED1F92" w:rsidRDefault="003858B1" w:rsidP="00570D50">
            <w:pPr>
              <w:tabs>
                <w:tab w:val="decimal" w:pos="1027"/>
              </w:tabs>
              <w:rPr>
                <w:color w:val="auto"/>
              </w:rPr>
            </w:pPr>
            <w:r w:rsidRPr="00ED1F92">
              <w:rPr>
                <w:color w:val="auto"/>
              </w:rPr>
              <w:t>-</w:t>
            </w:r>
          </w:p>
        </w:tc>
        <w:tc>
          <w:tcPr>
            <w:tcW w:w="510" w:type="pct"/>
            <w:tcBorders>
              <w:bottom w:val="single" w:sz="4" w:space="0" w:color="auto"/>
            </w:tcBorders>
            <w:vAlign w:val="bottom"/>
          </w:tcPr>
          <w:p w14:paraId="32694484" w14:textId="5D442478" w:rsidR="003858B1" w:rsidRPr="00ED1F92" w:rsidRDefault="005F0CC3" w:rsidP="00A06955">
            <w:pPr>
              <w:tabs>
                <w:tab w:val="decimal" w:pos="631"/>
              </w:tabs>
              <w:rPr>
                <w:color w:val="auto"/>
              </w:rPr>
            </w:pPr>
            <w:r w:rsidRPr="00ED1F92">
              <w:rPr>
                <w:color w:val="auto"/>
              </w:rPr>
              <w:t>117.4</w:t>
            </w:r>
          </w:p>
        </w:tc>
        <w:tc>
          <w:tcPr>
            <w:tcW w:w="508" w:type="pct"/>
            <w:tcBorders>
              <w:bottom w:val="single" w:sz="4" w:space="0" w:color="auto"/>
            </w:tcBorders>
            <w:vAlign w:val="bottom"/>
          </w:tcPr>
          <w:p w14:paraId="0B765559" w14:textId="22BD12F2" w:rsidR="003858B1" w:rsidRPr="00F92D52" w:rsidRDefault="00983E11" w:rsidP="003C0D03">
            <w:pPr>
              <w:tabs>
                <w:tab w:val="decimal" w:pos="790"/>
              </w:tabs>
              <w:rPr>
                <w:b/>
                <w:color w:val="auto"/>
              </w:rPr>
            </w:pPr>
            <w:r>
              <w:rPr>
                <w:b/>
                <w:color w:val="auto"/>
              </w:rPr>
              <w:t>(</w:t>
            </w:r>
            <w:r w:rsidR="004C589B">
              <w:rPr>
                <w:b/>
                <w:color w:val="auto"/>
              </w:rPr>
              <w:t>987.2</w:t>
            </w:r>
            <w:r>
              <w:rPr>
                <w:b/>
                <w:color w:val="auto"/>
              </w:rPr>
              <w:t>)</w:t>
            </w:r>
          </w:p>
        </w:tc>
        <w:tc>
          <w:tcPr>
            <w:tcW w:w="508" w:type="pct"/>
            <w:tcBorders>
              <w:bottom w:val="single" w:sz="4" w:space="0" w:color="auto"/>
            </w:tcBorders>
            <w:shd w:val="clear" w:color="auto" w:fill="auto"/>
            <w:vAlign w:val="bottom"/>
          </w:tcPr>
          <w:p w14:paraId="55B4DF31" w14:textId="4A8C81C4" w:rsidR="003858B1" w:rsidRPr="00A06955" w:rsidRDefault="00983E11" w:rsidP="00B33E1E">
            <w:pPr>
              <w:tabs>
                <w:tab w:val="decimal" w:pos="672"/>
              </w:tabs>
              <w:rPr>
                <w:color w:val="auto"/>
              </w:rPr>
            </w:pPr>
            <w:r>
              <w:rPr>
                <w:color w:val="auto"/>
              </w:rPr>
              <w:t>(</w:t>
            </w:r>
            <w:r w:rsidR="00547102">
              <w:rPr>
                <w:color w:val="auto"/>
              </w:rPr>
              <w:t>559.</w:t>
            </w:r>
            <w:r w:rsidR="00B33E1E">
              <w:rPr>
                <w:color w:val="auto"/>
              </w:rPr>
              <w:t>4</w:t>
            </w:r>
            <w:r>
              <w:rPr>
                <w:color w:val="auto"/>
              </w:rPr>
              <w:t>)</w:t>
            </w:r>
          </w:p>
        </w:tc>
        <w:tc>
          <w:tcPr>
            <w:tcW w:w="479" w:type="pct"/>
            <w:tcBorders>
              <w:bottom w:val="single" w:sz="4" w:space="0" w:color="auto"/>
            </w:tcBorders>
            <w:shd w:val="clear" w:color="auto" w:fill="auto"/>
            <w:vAlign w:val="bottom"/>
          </w:tcPr>
          <w:p w14:paraId="16E34CEB" w14:textId="3EA909D8" w:rsidR="003858B1" w:rsidRPr="00D1697D" w:rsidRDefault="00983E11" w:rsidP="00274D3F">
            <w:pPr>
              <w:tabs>
                <w:tab w:val="decimal" w:pos="602"/>
              </w:tabs>
              <w:rPr>
                <w:b/>
                <w:color w:val="auto"/>
              </w:rPr>
            </w:pPr>
            <w:r>
              <w:rPr>
                <w:b/>
                <w:color w:val="auto"/>
              </w:rPr>
              <w:t>(</w:t>
            </w:r>
            <w:r w:rsidR="00F052FB">
              <w:rPr>
                <w:b/>
                <w:color w:val="auto"/>
              </w:rPr>
              <w:t>1,5</w:t>
            </w:r>
            <w:r w:rsidR="004C589B">
              <w:rPr>
                <w:b/>
                <w:color w:val="auto"/>
              </w:rPr>
              <w:t>46.6</w:t>
            </w:r>
            <w:r>
              <w:rPr>
                <w:b/>
                <w:color w:val="auto"/>
              </w:rPr>
              <w:t>)</w:t>
            </w:r>
          </w:p>
        </w:tc>
      </w:tr>
      <w:tr w:rsidR="003858B1" w:rsidRPr="00747B0B" w14:paraId="0874844C" w14:textId="77777777" w:rsidTr="00A06955">
        <w:trPr>
          <w:trHeight w:val="369"/>
        </w:trPr>
        <w:tc>
          <w:tcPr>
            <w:tcW w:w="1669" w:type="pct"/>
            <w:shd w:val="clear" w:color="auto" w:fill="auto"/>
            <w:vAlign w:val="bottom"/>
          </w:tcPr>
          <w:p w14:paraId="178FFA38" w14:textId="77777777" w:rsidR="003858B1" w:rsidRPr="00A06955" w:rsidRDefault="003858B1" w:rsidP="00570D50">
            <w:pPr>
              <w:jc w:val="left"/>
              <w:rPr>
                <w:b/>
                <w:color w:val="auto"/>
              </w:rPr>
            </w:pPr>
            <w:r w:rsidRPr="00A06955">
              <w:rPr>
                <w:b/>
                <w:color w:val="auto"/>
              </w:rPr>
              <w:t>Total Income</w:t>
            </w:r>
          </w:p>
        </w:tc>
        <w:tc>
          <w:tcPr>
            <w:tcW w:w="561" w:type="pct"/>
            <w:tcBorders>
              <w:top w:val="single" w:sz="4" w:space="0" w:color="auto"/>
              <w:bottom w:val="nil"/>
            </w:tcBorders>
            <w:shd w:val="clear" w:color="auto" w:fill="auto"/>
            <w:vAlign w:val="bottom"/>
          </w:tcPr>
          <w:p w14:paraId="097EE481" w14:textId="4EF212A5" w:rsidR="003858B1" w:rsidRPr="00ED1F92" w:rsidRDefault="00983E11" w:rsidP="00A06955">
            <w:pPr>
              <w:tabs>
                <w:tab w:val="decimal" w:pos="838"/>
              </w:tabs>
              <w:rPr>
                <w:b/>
                <w:color w:val="auto"/>
              </w:rPr>
            </w:pPr>
            <w:r w:rsidRPr="00413839">
              <w:rPr>
                <w:b/>
                <w:color w:val="auto"/>
              </w:rPr>
              <w:t>(</w:t>
            </w:r>
            <w:r w:rsidR="00F052FB" w:rsidRPr="00ED1F92">
              <w:rPr>
                <w:b/>
                <w:color w:val="auto"/>
              </w:rPr>
              <w:t>1,478.4</w:t>
            </w:r>
            <w:r w:rsidRPr="00ED1F92">
              <w:rPr>
                <w:b/>
                <w:color w:val="auto"/>
              </w:rPr>
              <w:t>)</w:t>
            </w:r>
          </w:p>
        </w:tc>
        <w:tc>
          <w:tcPr>
            <w:tcW w:w="764" w:type="pct"/>
            <w:tcBorders>
              <w:top w:val="single" w:sz="4" w:space="0" w:color="auto"/>
              <w:bottom w:val="nil"/>
            </w:tcBorders>
            <w:vAlign w:val="bottom"/>
          </w:tcPr>
          <w:p w14:paraId="7540CE84" w14:textId="77777777" w:rsidR="003858B1" w:rsidRPr="00ED1F92" w:rsidRDefault="003858B1" w:rsidP="00570D50">
            <w:pPr>
              <w:tabs>
                <w:tab w:val="decimal" w:pos="1027"/>
              </w:tabs>
              <w:rPr>
                <w:b/>
                <w:color w:val="auto"/>
              </w:rPr>
            </w:pPr>
            <w:r w:rsidRPr="00ED1F92">
              <w:rPr>
                <w:b/>
                <w:color w:val="auto"/>
              </w:rPr>
              <w:t>-</w:t>
            </w:r>
          </w:p>
        </w:tc>
        <w:tc>
          <w:tcPr>
            <w:tcW w:w="510" w:type="pct"/>
            <w:tcBorders>
              <w:top w:val="single" w:sz="4" w:space="0" w:color="auto"/>
              <w:bottom w:val="nil"/>
            </w:tcBorders>
            <w:vAlign w:val="bottom"/>
          </w:tcPr>
          <w:p w14:paraId="523F9E4E" w14:textId="75EB7390" w:rsidR="003858B1" w:rsidRPr="00ED1F92" w:rsidRDefault="00133A4F" w:rsidP="00B33E1E">
            <w:pPr>
              <w:tabs>
                <w:tab w:val="decimal" w:pos="631"/>
              </w:tabs>
              <w:rPr>
                <w:b/>
                <w:color w:val="auto"/>
              </w:rPr>
            </w:pPr>
            <w:r w:rsidRPr="00ED1F92">
              <w:rPr>
                <w:b/>
                <w:color w:val="auto"/>
              </w:rPr>
              <w:t>199.</w:t>
            </w:r>
            <w:r w:rsidR="00B33E1E" w:rsidRPr="00ED1F92">
              <w:rPr>
                <w:b/>
                <w:color w:val="auto"/>
              </w:rPr>
              <w:t>9</w:t>
            </w:r>
          </w:p>
        </w:tc>
        <w:tc>
          <w:tcPr>
            <w:tcW w:w="508" w:type="pct"/>
            <w:tcBorders>
              <w:top w:val="single" w:sz="4" w:space="0" w:color="auto"/>
              <w:bottom w:val="nil"/>
            </w:tcBorders>
            <w:vAlign w:val="bottom"/>
          </w:tcPr>
          <w:p w14:paraId="6DA8F604" w14:textId="64BD622E" w:rsidR="003858B1" w:rsidRPr="00F92D52" w:rsidRDefault="00983E11" w:rsidP="00B33E1E">
            <w:pPr>
              <w:tabs>
                <w:tab w:val="decimal" w:pos="790"/>
              </w:tabs>
              <w:rPr>
                <w:b/>
                <w:color w:val="auto"/>
              </w:rPr>
            </w:pPr>
            <w:r>
              <w:rPr>
                <w:b/>
                <w:color w:val="auto"/>
              </w:rPr>
              <w:t>(</w:t>
            </w:r>
            <w:r w:rsidR="00FD42F2">
              <w:rPr>
                <w:b/>
                <w:color w:val="auto"/>
              </w:rPr>
              <w:t>1,27</w:t>
            </w:r>
            <w:r w:rsidR="00D24D58">
              <w:rPr>
                <w:b/>
                <w:color w:val="auto"/>
              </w:rPr>
              <w:t>8.</w:t>
            </w:r>
            <w:r w:rsidR="00B33E1E">
              <w:rPr>
                <w:b/>
                <w:color w:val="auto"/>
              </w:rPr>
              <w:t>5</w:t>
            </w:r>
            <w:r>
              <w:rPr>
                <w:b/>
                <w:color w:val="auto"/>
              </w:rPr>
              <w:t>)</w:t>
            </w:r>
          </w:p>
        </w:tc>
        <w:tc>
          <w:tcPr>
            <w:tcW w:w="508" w:type="pct"/>
            <w:tcBorders>
              <w:top w:val="single" w:sz="4" w:space="0" w:color="auto"/>
              <w:bottom w:val="nil"/>
            </w:tcBorders>
            <w:shd w:val="clear" w:color="auto" w:fill="auto"/>
            <w:vAlign w:val="bottom"/>
          </w:tcPr>
          <w:p w14:paraId="05F2F5F0" w14:textId="506C7D1D" w:rsidR="003858B1" w:rsidRPr="00A06955" w:rsidRDefault="00983E11" w:rsidP="00B33E1E">
            <w:pPr>
              <w:tabs>
                <w:tab w:val="decimal" w:pos="672"/>
              </w:tabs>
              <w:rPr>
                <w:b/>
                <w:color w:val="auto"/>
              </w:rPr>
            </w:pPr>
            <w:r>
              <w:rPr>
                <w:b/>
                <w:color w:val="auto"/>
              </w:rPr>
              <w:t>(</w:t>
            </w:r>
            <w:r w:rsidR="00547102">
              <w:rPr>
                <w:b/>
                <w:color w:val="auto"/>
              </w:rPr>
              <w:t>1,033.</w:t>
            </w:r>
            <w:r w:rsidR="00B33E1E">
              <w:rPr>
                <w:b/>
                <w:color w:val="auto"/>
              </w:rPr>
              <w:t>4</w:t>
            </w:r>
            <w:r>
              <w:rPr>
                <w:b/>
                <w:color w:val="auto"/>
              </w:rPr>
              <w:t>)</w:t>
            </w:r>
          </w:p>
        </w:tc>
        <w:tc>
          <w:tcPr>
            <w:tcW w:w="479" w:type="pct"/>
            <w:tcBorders>
              <w:top w:val="single" w:sz="4" w:space="0" w:color="auto"/>
              <w:bottom w:val="nil"/>
            </w:tcBorders>
            <w:shd w:val="clear" w:color="auto" w:fill="auto"/>
            <w:vAlign w:val="bottom"/>
          </w:tcPr>
          <w:p w14:paraId="54D19CAD" w14:textId="1F6DE823" w:rsidR="003858B1" w:rsidRPr="00D1697D" w:rsidRDefault="00983E11" w:rsidP="008A3958">
            <w:pPr>
              <w:tabs>
                <w:tab w:val="decimal" w:pos="602"/>
              </w:tabs>
              <w:rPr>
                <w:b/>
                <w:color w:val="auto"/>
              </w:rPr>
            </w:pPr>
            <w:r>
              <w:rPr>
                <w:b/>
                <w:color w:val="auto"/>
              </w:rPr>
              <w:t>(</w:t>
            </w:r>
            <w:r w:rsidR="003858B1" w:rsidRPr="00D1697D">
              <w:rPr>
                <w:b/>
                <w:color w:val="auto"/>
              </w:rPr>
              <w:t>2,31</w:t>
            </w:r>
            <w:r w:rsidR="00F052FB">
              <w:rPr>
                <w:b/>
                <w:color w:val="auto"/>
              </w:rPr>
              <w:t>1.9</w:t>
            </w:r>
            <w:r>
              <w:rPr>
                <w:b/>
                <w:color w:val="auto"/>
              </w:rPr>
              <w:t>)</w:t>
            </w:r>
          </w:p>
        </w:tc>
      </w:tr>
      <w:tr w:rsidR="003858B1" w:rsidRPr="00747B0B" w14:paraId="3062B1F9" w14:textId="77777777" w:rsidTr="00A06955">
        <w:trPr>
          <w:trHeight w:val="369"/>
        </w:trPr>
        <w:tc>
          <w:tcPr>
            <w:tcW w:w="1669" w:type="pct"/>
            <w:shd w:val="clear" w:color="auto" w:fill="auto"/>
            <w:vAlign w:val="bottom"/>
          </w:tcPr>
          <w:p w14:paraId="302C835C" w14:textId="77777777" w:rsidR="003858B1" w:rsidRPr="00A06955" w:rsidRDefault="003858B1" w:rsidP="00570D50">
            <w:pPr>
              <w:jc w:val="left"/>
              <w:rPr>
                <w:color w:val="auto"/>
              </w:rPr>
            </w:pPr>
            <w:r w:rsidRPr="00A06955">
              <w:rPr>
                <w:color w:val="auto"/>
              </w:rPr>
              <w:t>Employee expenses</w:t>
            </w:r>
          </w:p>
        </w:tc>
        <w:tc>
          <w:tcPr>
            <w:tcW w:w="561" w:type="pct"/>
            <w:shd w:val="clear" w:color="auto" w:fill="auto"/>
            <w:vAlign w:val="bottom"/>
          </w:tcPr>
          <w:p w14:paraId="36B82CA0" w14:textId="5B7A7DCC" w:rsidR="003858B1" w:rsidRPr="00413839" w:rsidRDefault="003858B1" w:rsidP="00A06955">
            <w:pPr>
              <w:tabs>
                <w:tab w:val="decimal" w:pos="838"/>
              </w:tabs>
              <w:rPr>
                <w:color w:val="auto"/>
              </w:rPr>
            </w:pPr>
            <w:r w:rsidRPr="00413839">
              <w:rPr>
                <w:color w:val="auto"/>
              </w:rPr>
              <w:t>1,003.2</w:t>
            </w:r>
          </w:p>
        </w:tc>
        <w:tc>
          <w:tcPr>
            <w:tcW w:w="764" w:type="pct"/>
            <w:vAlign w:val="bottom"/>
          </w:tcPr>
          <w:p w14:paraId="306B7A61" w14:textId="0538D9E6" w:rsidR="003858B1" w:rsidRPr="00ED1F92" w:rsidRDefault="003858B1" w:rsidP="00570D50">
            <w:pPr>
              <w:tabs>
                <w:tab w:val="decimal" w:pos="1027"/>
              </w:tabs>
              <w:rPr>
                <w:color w:val="auto"/>
              </w:rPr>
            </w:pPr>
            <w:r w:rsidRPr="00ED1F92">
              <w:rPr>
                <w:color w:val="auto"/>
              </w:rPr>
              <w:t>(12.9)</w:t>
            </w:r>
          </w:p>
        </w:tc>
        <w:tc>
          <w:tcPr>
            <w:tcW w:w="510" w:type="pct"/>
            <w:vAlign w:val="bottom"/>
          </w:tcPr>
          <w:p w14:paraId="2642B202" w14:textId="77777777" w:rsidR="003858B1" w:rsidRPr="00ED1F92" w:rsidRDefault="003858B1" w:rsidP="00A06955">
            <w:pPr>
              <w:tabs>
                <w:tab w:val="decimal" w:pos="631"/>
              </w:tabs>
              <w:rPr>
                <w:color w:val="auto"/>
              </w:rPr>
            </w:pPr>
            <w:r w:rsidRPr="00ED1F92">
              <w:rPr>
                <w:color w:val="auto"/>
              </w:rPr>
              <w:t>-</w:t>
            </w:r>
          </w:p>
        </w:tc>
        <w:tc>
          <w:tcPr>
            <w:tcW w:w="508" w:type="pct"/>
            <w:vAlign w:val="bottom"/>
          </w:tcPr>
          <w:p w14:paraId="67B3B73D" w14:textId="4E926ABB" w:rsidR="003858B1" w:rsidRPr="00F92D52" w:rsidRDefault="003858B1" w:rsidP="00274D3F">
            <w:pPr>
              <w:tabs>
                <w:tab w:val="decimal" w:pos="790"/>
              </w:tabs>
              <w:rPr>
                <w:b/>
                <w:color w:val="auto"/>
              </w:rPr>
            </w:pPr>
            <w:r w:rsidRPr="00F92D52">
              <w:rPr>
                <w:b/>
                <w:color w:val="auto"/>
              </w:rPr>
              <w:t>990.</w:t>
            </w:r>
            <w:r w:rsidR="00C22348">
              <w:rPr>
                <w:b/>
                <w:color w:val="auto"/>
              </w:rPr>
              <w:t>3</w:t>
            </w:r>
          </w:p>
        </w:tc>
        <w:tc>
          <w:tcPr>
            <w:tcW w:w="508" w:type="pct"/>
            <w:shd w:val="clear" w:color="auto" w:fill="auto"/>
            <w:vAlign w:val="bottom"/>
          </w:tcPr>
          <w:p w14:paraId="7489880F" w14:textId="77777777" w:rsidR="003858B1" w:rsidRPr="00A06955" w:rsidRDefault="003858B1" w:rsidP="00A06955">
            <w:pPr>
              <w:tabs>
                <w:tab w:val="decimal" w:pos="672"/>
              </w:tabs>
              <w:rPr>
                <w:color w:val="auto"/>
              </w:rPr>
            </w:pPr>
            <w:r w:rsidRPr="00A06955">
              <w:rPr>
                <w:color w:val="auto"/>
              </w:rPr>
              <w:t>-</w:t>
            </w:r>
          </w:p>
        </w:tc>
        <w:tc>
          <w:tcPr>
            <w:tcW w:w="479" w:type="pct"/>
            <w:shd w:val="clear" w:color="auto" w:fill="auto"/>
            <w:vAlign w:val="bottom"/>
          </w:tcPr>
          <w:p w14:paraId="5B358CAD" w14:textId="54EDE3F3" w:rsidR="003858B1" w:rsidRPr="00D1697D" w:rsidRDefault="003858B1" w:rsidP="00274D3F">
            <w:pPr>
              <w:tabs>
                <w:tab w:val="decimal" w:pos="602"/>
              </w:tabs>
              <w:rPr>
                <w:b/>
                <w:color w:val="auto"/>
              </w:rPr>
            </w:pPr>
            <w:r w:rsidRPr="00D1697D">
              <w:rPr>
                <w:b/>
                <w:color w:val="auto"/>
              </w:rPr>
              <w:t>990.</w:t>
            </w:r>
            <w:r w:rsidR="005F0CC3">
              <w:rPr>
                <w:b/>
                <w:color w:val="auto"/>
              </w:rPr>
              <w:t>3</w:t>
            </w:r>
          </w:p>
        </w:tc>
      </w:tr>
      <w:tr w:rsidR="003858B1" w:rsidRPr="00747B0B" w14:paraId="23973599" w14:textId="77777777" w:rsidTr="00A06955">
        <w:trPr>
          <w:trHeight w:val="369"/>
        </w:trPr>
        <w:tc>
          <w:tcPr>
            <w:tcW w:w="1669" w:type="pct"/>
            <w:shd w:val="clear" w:color="auto" w:fill="auto"/>
            <w:vAlign w:val="bottom"/>
          </w:tcPr>
          <w:p w14:paraId="5552713A" w14:textId="189CE9CE" w:rsidR="003858B1" w:rsidRPr="00747B0B" w:rsidRDefault="003858B1" w:rsidP="00E459E6">
            <w:pPr>
              <w:jc w:val="left"/>
              <w:rPr>
                <w:color w:val="auto"/>
                <w:highlight w:val="yellow"/>
              </w:rPr>
            </w:pPr>
            <w:r w:rsidRPr="00A06955">
              <w:rPr>
                <w:color w:val="auto"/>
              </w:rPr>
              <w:t>Other operating  expenses</w:t>
            </w:r>
          </w:p>
        </w:tc>
        <w:tc>
          <w:tcPr>
            <w:tcW w:w="561" w:type="pct"/>
            <w:shd w:val="clear" w:color="auto" w:fill="auto"/>
            <w:vAlign w:val="bottom"/>
          </w:tcPr>
          <w:p w14:paraId="56CE9AC1" w14:textId="6D08ABC8" w:rsidR="003858B1" w:rsidRPr="00ED1F92" w:rsidRDefault="005F0CC3" w:rsidP="00B33E1E">
            <w:pPr>
              <w:tabs>
                <w:tab w:val="decimal" w:pos="838"/>
              </w:tabs>
              <w:rPr>
                <w:color w:val="auto"/>
              </w:rPr>
            </w:pPr>
            <w:r w:rsidRPr="00413839">
              <w:rPr>
                <w:color w:val="auto"/>
              </w:rPr>
              <w:t>1,187.</w:t>
            </w:r>
            <w:r w:rsidR="00B33E1E" w:rsidRPr="00ED1F92">
              <w:rPr>
                <w:color w:val="auto"/>
              </w:rPr>
              <w:t>3</w:t>
            </w:r>
          </w:p>
        </w:tc>
        <w:tc>
          <w:tcPr>
            <w:tcW w:w="764" w:type="pct"/>
            <w:vAlign w:val="bottom"/>
          </w:tcPr>
          <w:p w14:paraId="467B8FA9" w14:textId="77777777" w:rsidR="003858B1" w:rsidRPr="00ED1F92" w:rsidRDefault="003858B1" w:rsidP="00570D50">
            <w:pPr>
              <w:tabs>
                <w:tab w:val="decimal" w:pos="1027"/>
              </w:tabs>
              <w:rPr>
                <w:color w:val="auto"/>
              </w:rPr>
            </w:pPr>
            <w:r w:rsidRPr="00ED1F92">
              <w:rPr>
                <w:color w:val="auto"/>
              </w:rPr>
              <w:t>-</w:t>
            </w:r>
          </w:p>
        </w:tc>
        <w:tc>
          <w:tcPr>
            <w:tcW w:w="510" w:type="pct"/>
            <w:vAlign w:val="bottom"/>
          </w:tcPr>
          <w:p w14:paraId="0D4322DC" w14:textId="00B3073B" w:rsidR="003858B1" w:rsidRPr="00ED1F92" w:rsidRDefault="00133A4F" w:rsidP="00B33E1E">
            <w:pPr>
              <w:tabs>
                <w:tab w:val="decimal" w:pos="631"/>
              </w:tabs>
              <w:rPr>
                <w:color w:val="auto"/>
              </w:rPr>
            </w:pPr>
            <w:r w:rsidRPr="00ED1F92">
              <w:rPr>
                <w:color w:val="auto"/>
              </w:rPr>
              <w:t>(227.</w:t>
            </w:r>
            <w:r w:rsidR="00B33E1E" w:rsidRPr="00ED1F92">
              <w:rPr>
                <w:color w:val="auto"/>
              </w:rPr>
              <w:t>4</w:t>
            </w:r>
            <w:r w:rsidR="003858B1" w:rsidRPr="00ED1F92">
              <w:rPr>
                <w:color w:val="auto"/>
              </w:rPr>
              <w:t>)</w:t>
            </w:r>
          </w:p>
        </w:tc>
        <w:tc>
          <w:tcPr>
            <w:tcW w:w="508" w:type="pct"/>
            <w:vAlign w:val="bottom"/>
          </w:tcPr>
          <w:p w14:paraId="639D0AF1" w14:textId="5D32B306" w:rsidR="003858B1" w:rsidRPr="00F92D52" w:rsidRDefault="003858B1" w:rsidP="007D74A1">
            <w:pPr>
              <w:tabs>
                <w:tab w:val="decimal" w:pos="790"/>
              </w:tabs>
              <w:rPr>
                <w:b/>
                <w:color w:val="auto"/>
              </w:rPr>
            </w:pPr>
            <w:r w:rsidRPr="00F92D52">
              <w:rPr>
                <w:b/>
                <w:color w:val="auto"/>
              </w:rPr>
              <w:t>9</w:t>
            </w:r>
            <w:r w:rsidR="00F052FB">
              <w:rPr>
                <w:b/>
                <w:color w:val="auto"/>
              </w:rPr>
              <w:t>59.9</w:t>
            </w:r>
          </w:p>
        </w:tc>
        <w:tc>
          <w:tcPr>
            <w:tcW w:w="508" w:type="pct"/>
            <w:shd w:val="clear" w:color="auto" w:fill="auto"/>
            <w:vAlign w:val="bottom"/>
          </w:tcPr>
          <w:p w14:paraId="1AB9A229" w14:textId="77777777" w:rsidR="003858B1" w:rsidRPr="00A06955" w:rsidRDefault="003858B1" w:rsidP="00A06955">
            <w:pPr>
              <w:tabs>
                <w:tab w:val="decimal" w:pos="672"/>
              </w:tabs>
              <w:rPr>
                <w:color w:val="auto"/>
              </w:rPr>
            </w:pPr>
            <w:r w:rsidRPr="00A06955">
              <w:rPr>
                <w:color w:val="auto"/>
              </w:rPr>
              <w:t>-</w:t>
            </w:r>
          </w:p>
        </w:tc>
        <w:tc>
          <w:tcPr>
            <w:tcW w:w="479" w:type="pct"/>
            <w:shd w:val="clear" w:color="auto" w:fill="auto"/>
            <w:vAlign w:val="bottom"/>
          </w:tcPr>
          <w:p w14:paraId="5E8EB3DE" w14:textId="055451A6" w:rsidR="003858B1" w:rsidRPr="00D1697D" w:rsidRDefault="003858B1" w:rsidP="007D74A1">
            <w:pPr>
              <w:tabs>
                <w:tab w:val="decimal" w:pos="602"/>
              </w:tabs>
              <w:rPr>
                <w:b/>
                <w:color w:val="auto"/>
              </w:rPr>
            </w:pPr>
            <w:r w:rsidRPr="00D1697D">
              <w:rPr>
                <w:b/>
                <w:color w:val="auto"/>
              </w:rPr>
              <w:t>9</w:t>
            </w:r>
            <w:r w:rsidR="007D74A1" w:rsidRPr="00D1697D">
              <w:rPr>
                <w:b/>
                <w:color w:val="auto"/>
              </w:rPr>
              <w:t>59</w:t>
            </w:r>
            <w:r w:rsidRPr="00D1697D">
              <w:rPr>
                <w:b/>
                <w:color w:val="auto"/>
              </w:rPr>
              <w:t>.</w:t>
            </w:r>
            <w:r w:rsidR="007D74A1" w:rsidRPr="00D1697D">
              <w:rPr>
                <w:b/>
                <w:color w:val="auto"/>
              </w:rPr>
              <w:t>9</w:t>
            </w:r>
          </w:p>
        </w:tc>
      </w:tr>
      <w:tr w:rsidR="003858B1" w:rsidRPr="00747B0B" w14:paraId="79E594EC" w14:textId="77777777" w:rsidTr="00A06955">
        <w:trPr>
          <w:trHeight w:val="369"/>
        </w:trPr>
        <w:tc>
          <w:tcPr>
            <w:tcW w:w="1669" w:type="pct"/>
            <w:shd w:val="clear" w:color="auto" w:fill="auto"/>
            <w:vAlign w:val="bottom"/>
          </w:tcPr>
          <w:p w14:paraId="7AF00246" w14:textId="77777777" w:rsidR="003858B1" w:rsidRPr="00747B0B" w:rsidRDefault="003858B1" w:rsidP="00570D50">
            <w:pPr>
              <w:jc w:val="left"/>
              <w:rPr>
                <w:color w:val="auto"/>
                <w:highlight w:val="yellow"/>
              </w:rPr>
            </w:pPr>
            <w:r w:rsidRPr="00A06955">
              <w:rPr>
                <w:color w:val="auto"/>
              </w:rPr>
              <w:t>Support service recharges</w:t>
            </w:r>
          </w:p>
        </w:tc>
        <w:tc>
          <w:tcPr>
            <w:tcW w:w="561" w:type="pct"/>
            <w:shd w:val="clear" w:color="auto" w:fill="auto"/>
            <w:vAlign w:val="bottom"/>
          </w:tcPr>
          <w:p w14:paraId="64943382" w14:textId="77777777" w:rsidR="003858B1" w:rsidRPr="00413839" w:rsidRDefault="003858B1" w:rsidP="00A06955">
            <w:pPr>
              <w:tabs>
                <w:tab w:val="decimal" w:pos="838"/>
              </w:tabs>
              <w:rPr>
                <w:color w:val="auto"/>
              </w:rPr>
            </w:pPr>
            <w:r w:rsidRPr="00413839">
              <w:rPr>
                <w:color w:val="auto"/>
              </w:rPr>
              <w:t>-</w:t>
            </w:r>
          </w:p>
        </w:tc>
        <w:tc>
          <w:tcPr>
            <w:tcW w:w="764" w:type="pct"/>
            <w:vAlign w:val="bottom"/>
          </w:tcPr>
          <w:p w14:paraId="36041515" w14:textId="77777777" w:rsidR="003858B1" w:rsidRPr="00ED1F92" w:rsidRDefault="003858B1" w:rsidP="00570D50">
            <w:pPr>
              <w:tabs>
                <w:tab w:val="decimal" w:pos="1027"/>
              </w:tabs>
              <w:rPr>
                <w:color w:val="auto"/>
              </w:rPr>
            </w:pPr>
            <w:r w:rsidRPr="00ED1F92">
              <w:rPr>
                <w:color w:val="auto"/>
              </w:rPr>
              <w:t>-</w:t>
            </w:r>
          </w:p>
        </w:tc>
        <w:tc>
          <w:tcPr>
            <w:tcW w:w="510" w:type="pct"/>
            <w:vAlign w:val="bottom"/>
          </w:tcPr>
          <w:p w14:paraId="55A9A69C" w14:textId="77777777" w:rsidR="003858B1" w:rsidRPr="00ED1F92" w:rsidRDefault="003858B1" w:rsidP="00A06955">
            <w:pPr>
              <w:tabs>
                <w:tab w:val="decimal" w:pos="631"/>
              </w:tabs>
              <w:rPr>
                <w:color w:val="auto"/>
              </w:rPr>
            </w:pPr>
            <w:r w:rsidRPr="00ED1F92">
              <w:rPr>
                <w:color w:val="auto"/>
              </w:rPr>
              <w:t>-</w:t>
            </w:r>
          </w:p>
        </w:tc>
        <w:tc>
          <w:tcPr>
            <w:tcW w:w="508" w:type="pct"/>
            <w:vAlign w:val="bottom"/>
          </w:tcPr>
          <w:p w14:paraId="6869A2A9" w14:textId="77777777" w:rsidR="003858B1" w:rsidRPr="00F92D52" w:rsidRDefault="003858B1" w:rsidP="00A06955">
            <w:pPr>
              <w:tabs>
                <w:tab w:val="decimal" w:pos="790"/>
              </w:tabs>
              <w:rPr>
                <w:b/>
                <w:color w:val="auto"/>
              </w:rPr>
            </w:pPr>
            <w:r w:rsidRPr="00F92D52">
              <w:rPr>
                <w:b/>
                <w:color w:val="auto"/>
              </w:rPr>
              <w:t>-</w:t>
            </w:r>
          </w:p>
        </w:tc>
        <w:tc>
          <w:tcPr>
            <w:tcW w:w="508" w:type="pct"/>
            <w:shd w:val="clear" w:color="auto" w:fill="auto"/>
            <w:vAlign w:val="bottom"/>
          </w:tcPr>
          <w:p w14:paraId="37920E21" w14:textId="77777777" w:rsidR="003858B1" w:rsidRPr="00A06955" w:rsidRDefault="003858B1" w:rsidP="00A06955">
            <w:pPr>
              <w:tabs>
                <w:tab w:val="decimal" w:pos="672"/>
              </w:tabs>
              <w:rPr>
                <w:color w:val="auto"/>
              </w:rPr>
            </w:pPr>
            <w:r w:rsidRPr="00A06955">
              <w:rPr>
                <w:color w:val="auto"/>
              </w:rPr>
              <w:t>-</w:t>
            </w:r>
          </w:p>
        </w:tc>
        <w:tc>
          <w:tcPr>
            <w:tcW w:w="479" w:type="pct"/>
            <w:shd w:val="clear" w:color="auto" w:fill="auto"/>
            <w:vAlign w:val="bottom"/>
          </w:tcPr>
          <w:p w14:paraId="7934CE91" w14:textId="77777777" w:rsidR="003858B1" w:rsidRPr="00D1697D" w:rsidRDefault="003858B1" w:rsidP="00570D50">
            <w:pPr>
              <w:tabs>
                <w:tab w:val="decimal" w:pos="602"/>
              </w:tabs>
              <w:rPr>
                <w:b/>
                <w:color w:val="auto"/>
              </w:rPr>
            </w:pPr>
            <w:r w:rsidRPr="00D1697D">
              <w:rPr>
                <w:b/>
                <w:color w:val="auto"/>
              </w:rPr>
              <w:t>-</w:t>
            </w:r>
          </w:p>
        </w:tc>
      </w:tr>
      <w:tr w:rsidR="003858B1" w:rsidRPr="00747B0B" w14:paraId="6ED72F07" w14:textId="77777777" w:rsidTr="00A06955">
        <w:trPr>
          <w:trHeight w:val="369"/>
        </w:trPr>
        <w:tc>
          <w:tcPr>
            <w:tcW w:w="1669" w:type="pct"/>
            <w:shd w:val="clear" w:color="auto" w:fill="auto"/>
            <w:vAlign w:val="bottom"/>
          </w:tcPr>
          <w:p w14:paraId="778F1280" w14:textId="616BBBA8" w:rsidR="003858B1" w:rsidRPr="00747B0B" w:rsidRDefault="003858B1" w:rsidP="009C12B3">
            <w:pPr>
              <w:jc w:val="left"/>
              <w:rPr>
                <w:color w:val="auto"/>
                <w:highlight w:val="yellow"/>
              </w:rPr>
            </w:pPr>
            <w:r w:rsidRPr="00A06955">
              <w:rPr>
                <w:color w:val="auto"/>
              </w:rPr>
              <w:t>Depreciation, amortisation</w:t>
            </w:r>
            <w:r w:rsidR="009C12B3">
              <w:rPr>
                <w:color w:val="auto"/>
              </w:rPr>
              <w:t xml:space="preserve"> and</w:t>
            </w:r>
            <w:r w:rsidRPr="00A06955">
              <w:rPr>
                <w:color w:val="auto"/>
              </w:rPr>
              <w:t xml:space="preserve"> impairment</w:t>
            </w:r>
          </w:p>
        </w:tc>
        <w:tc>
          <w:tcPr>
            <w:tcW w:w="561" w:type="pct"/>
            <w:shd w:val="clear" w:color="auto" w:fill="auto"/>
            <w:vAlign w:val="bottom"/>
          </w:tcPr>
          <w:p w14:paraId="46C5A093" w14:textId="77777777" w:rsidR="003858B1" w:rsidRPr="00413839" w:rsidRDefault="003858B1" w:rsidP="00A06955">
            <w:pPr>
              <w:tabs>
                <w:tab w:val="decimal" w:pos="838"/>
              </w:tabs>
              <w:rPr>
                <w:color w:val="auto"/>
              </w:rPr>
            </w:pPr>
            <w:r w:rsidRPr="00413839">
              <w:rPr>
                <w:color w:val="auto"/>
              </w:rPr>
              <w:t>-</w:t>
            </w:r>
          </w:p>
        </w:tc>
        <w:tc>
          <w:tcPr>
            <w:tcW w:w="764" w:type="pct"/>
            <w:vAlign w:val="bottom"/>
          </w:tcPr>
          <w:p w14:paraId="7E2D2547" w14:textId="5A8AF395" w:rsidR="003858B1" w:rsidRPr="00ED1F92" w:rsidRDefault="005F0CC3" w:rsidP="00570D50">
            <w:pPr>
              <w:tabs>
                <w:tab w:val="decimal" w:pos="1027"/>
              </w:tabs>
              <w:rPr>
                <w:color w:val="auto"/>
              </w:rPr>
            </w:pPr>
            <w:r w:rsidRPr="00ED1F92">
              <w:rPr>
                <w:color w:val="auto"/>
              </w:rPr>
              <w:t>200.0</w:t>
            </w:r>
          </w:p>
        </w:tc>
        <w:tc>
          <w:tcPr>
            <w:tcW w:w="510" w:type="pct"/>
            <w:vAlign w:val="bottom"/>
          </w:tcPr>
          <w:p w14:paraId="24FBFFB8" w14:textId="77777777" w:rsidR="003858B1" w:rsidRPr="00ED1F92" w:rsidRDefault="003858B1" w:rsidP="00A06955">
            <w:pPr>
              <w:tabs>
                <w:tab w:val="decimal" w:pos="631"/>
              </w:tabs>
              <w:rPr>
                <w:color w:val="auto"/>
              </w:rPr>
            </w:pPr>
            <w:r w:rsidRPr="00ED1F92">
              <w:rPr>
                <w:color w:val="auto"/>
              </w:rPr>
              <w:t>-</w:t>
            </w:r>
          </w:p>
        </w:tc>
        <w:tc>
          <w:tcPr>
            <w:tcW w:w="508" w:type="pct"/>
            <w:vAlign w:val="bottom"/>
          </w:tcPr>
          <w:p w14:paraId="728DF11C" w14:textId="77C79FF2" w:rsidR="003858B1" w:rsidRPr="00F92D52" w:rsidRDefault="005F0CC3" w:rsidP="00A06955">
            <w:pPr>
              <w:tabs>
                <w:tab w:val="decimal" w:pos="790"/>
              </w:tabs>
              <w:rPr>
                <w:b/>
                <w:color w:val="auto"/>
              </w:rPr>
            </w:pPr>
            <w:r>
              <w:rPr>
                <w:b/>
                <w:color w:val="auto"/>
              </w:rPr>
              <w:t>200.0</w:t>
            </w:r>
          </w:p>
        </w:tc>
        <w:tc>
          <w:tcPr>
            <w:tcW w:w="508" w:type="pct"/>
            <w:shd w:val="clear" w:color="auto" w:fill="auto"/>
            <w:vAlign w:val="bottom"/>
          </w:tcPr>
          <w:p w14:paraId="4A67B303" w14:textId="77777777" w:rsidR="003858B1" w:rsidRPr="00A06955" w:rsidRDefault="003858B1" w:rsidP="00A06955">
            <w:pPr>
              <w:tabs>
                <w:tab w:val="decimal" w:pos="672"/>
              </w:tabs>
              <w:rPr>
                <w:color w:val="auto"/>
              </w:rPr>
            </w:pPr>
            <w:r w:rsidRPr="00A06955">
              <w:rPr>
                <w:color w:val="auto"/>
              </w:rPr>
              <w:t>-</w:t>
            </w:r>
          </w:p>
        </w:tc>
        <w:tc>
          <w:tcPr>
            <w:tcW w:w="479" w:type="pct"/>
            <w:shd w:val="clear" w:color="auto" w:fill="auto"/>
            <w:vAlign w:val="bottom"/>
          </w:tcPr>
          <w:p w14:paraId="074B4D0A" w14:textId="7C7AF0E1" w:rsidR="003858B1" w:rsidRPr="00D1697D" w:rsidRDefault="005F0CC3" w:rsidP="00570D50">
            <w:pPr>
              <w:tabs>
                <w:tab w:val="decimal" w:pos="602"/>
              </w:tabs>
              <w:rPr>
                <w:b/>
                <w:color w:val="auto"/>
              </w:rPr>
            </w:pPr>
            <w:r>
              <w:rPr>
                <w:b/>
                <w:color w:val="auto"/>
              </w:rPr>
              <w:t>200.0</w:t>
            </w:r>
          </w:p>
        </w:tc>
      </w:tr>
      <w:tr w:rsidR="003858B1" w:rsidRPr="00747B0B" w14:paraId="071F51D1" w14:textId="77777777" w:rsidTr="00A06955">
        <w:trPr>
          <w:trHeight w:val="369"/>
        </w:trPr>
        <w:tc>
          <w:tcPr>
            <w:tcW w:w="1669" w:type="pct"/>
            <w:shd w:val="clear" w:color="auto" w:fill="auto"/>
            <w:vAlign w:val="bottom"/>
          </w:tcPr>
          <w:p w14:paraId="50341ACD" w14:textId="77777777" w:rsidR="003858B1" w:rsidRPr="00A06955" w:rsidRDefault="003858B1" w:rsidP="00570D50">
            <w:pPr>
              <w:jc w:val="left"/>
              <w:rPr>
                <w:color w:val="auto"/>
              </w:rPr>
            </w:pPr>
            <w:r w:rsidRPr="00A06955">
              <w:rPr>
                <w:color w:val="auto"/>
              </w:rPr>
              <w:t>Interest payments</w:t>
            </w:r>
          </w:p>
        </w:tc>
        <w:tc>
          <w:tcPr>
            <w:tcW w:w="561" w:type="pct"/>
            <w:shd w:val="clear" w:color="auto" w:fill="auto"/>
            <w:vAlign w:val="bottom"/>
          </w:tcPr>
          <w:p w14:paraId="79F4FCAA" w14:textId="0C241F1B" w:rsidR="003858B1" w:rsidRPr="00ED1F92" w:rsidRDefault="005F0CC3" w:rsidP="00A06955">
            <w:pPr>
              <w:tabs>
                <w:tab w:val="decimal" w:pos="838"/>
              </w:tabs>
              <w:rPr>
                <w:color w:val="auto"/>
              </w:rPr>
            </w:pPr>
            <w:r w:rsidRPr="00413839">
              <w:rPr>
                <w:color w:val="auto"/>
              </w:rPr>
              <w:t>68.4</w:t>
            </w:r>
          </w:p>
        </w:tc>
        <w:tc>
          <w:tcPr>
            <w:tcW w:w="764" w:type="pct"/>
            <w:vAlign w:val="bottom"/>
          </w:tcPr>
          <w:p w14:paraId="5305CED6" w14:textId="77777777" w:rsidR="003858B1" w:rsidRPr="00ED1F92" w:rsidRDefault="003858B1" w:rsidP="00570D50">
            <w:pPr>
              <w:tabs>
                <w:tab w:val="decimal" w:pos="1027"/>
              </w:tabs>
              <w:rPr>
                <w:color w:val="auto"/>
              </w:rPr>
            </w:pPr>
            <w:r w:rsidRPr="00ED1F92">
              <w:rPr>
                <w:color w:val="auto"/>
              </w:rPr>
              <w:t>-</w:t>
            </w:r>
          </w:p>
        </w:tc>
        <w:tc>
          <w:tcPr>
            <w:tcW w:w="510" w:type="pct"/>
            <w:vAlign w:val="bottom"/>
          </w:tcPr>
          <w:p w14:paraId="20DCDC7C" w14:textId="065258BF" w:rsidR="003858B1" w:rsidRPr="00ED1F92" w:rsidRDefault="005F0CC3" w:rsidP="00A06955">
            <w:pPr>
              <w:tabs>
                <w:tab w:val="decimal" w:pos="631"/>
              </w:tabs>
              <w:rPr>
                <w:color w:val="auto"/>
              </w:rPr>
            </w:pPr>
            <w:r w:rsidRPr="00ED1F92">
              <w:rPr>
                <w:color w:val="auto"/>
              </w:rPr>
              <w:t>(68.4</w:t>
            </w:r>
            <w:r w:rsidR="003858B1" w:rsidRPr="00ED1F92">
              <w:rPr>
                <w:color w:val="auto"/>
              </w:rPr>
              <w:t>)</w:t>
            </w:r>
          </w:p>
        </w:tc>
        <w:tc>
          <w:tcPr>
            <w:tcW w:w="508" w:type="pct"/>
            <w:vAlign w:val="bottom"/>
          </w:tcPr>
          <w:p w14:paraId="5403345F" w14:textId="77777777" w:rsidR="003858B1" w:rsidRPr="00F92D52" w:rsidRDefault="003858B1" w:rsidP="00A06955">
            <w:pPr>
              <w:tabs>
                <w:tab w:val="decimal" w:pos="790"/>
              </w:tabs>
              <w:rPr>
                <w:b/>
                <w:color w:val="auto"/>
              </w:rPr>
            </w:pPr>
            <w:r w:rsidRPr="00F92D52">
              <w:rPr>
                <w:b/>
                <w:color w:val="auto"/>
              </w:rPr>
              <w:t>-</w:t>
            </w:r>
          </w:p>
        </w:tc>
        <w:tc>
          <w:tcPr>
            <w:tcW w:w="508" w:type="pct"/>
            <w:shd w:val="clear" w:color="auto" w:fill="auto"/>
            <w:vAlign w:val="bottom"/>
          </w:tcPr>
          <w:p w14:paraId="19FD0A9D" w14:textId="5FD7094A" w:rsidR="003858B1" w:rsidRPr="00A06955" w:rsidRDefault="00346D44" w:rsidP="009C1D66">
            <w:pPr>
              <w:tabs>
                <w:tab w:val="decimal" w:pos="672"/>
              </w:tabs>
              <w:rPr>
                <w:color w:val="auto"/>
              </w:rPr>
            </w:pPr>
            <w:r>
              <w:rPr>
                <w:color w:val="auto"/>
              </w:rPr>
              <w:t>68</w:t>
            </w:r>
            <w:r w:rsidR="003858B1" w:rsidRPr="00A06955">
              <w:rPr>
                <w:color w:val="auto"/>
              </w:rPr>
              <w:t>.</w:t>
            </w:r>
            <w:r>
              <w:rPr>
                <w:color w:val="auto"/>
              </w:rPr>
              <w:t>4</w:t>
            </w:r>
          </w:p>
        </w:tc>
        <w:tc>
          <w:tcPr>
            <w:tcW w:w="479" w:type="pct"/>
            <w:shd w:val="clear" w:color="auto" w:fill="auto"/>
            <w:vAlign w:val="bottom"/>
          </w:tcPr>
          <w:p w14:paraId="1B8CE44E" w14:textId="3B4BB0FB" w:rsidR="003858B1" w:rsidRPr="00D1697D" w:rsidRDefault="00343F72" w:rsidP="009C1D66">
            <w:pPr>
              <w:tabs>
                <w:tab w:val="decimal" w:pos="602"/>
              </w:tabs>
              <w:rPr>
                <w:b/>
                <w:color w:val="auto"/>
              </w:rPr>
            </w:pPr>
            <w:r w:rsidRPr="00D1697D">
              <w:rPr>
                <w:b/>
                <w:color w:val="auto"/>
              </w:rPr>
              <w:t>68</w:t>
            </w:r>
            <w:r w:rsidR="003858B1" w:rsidRPr="00D1697D">
              <w:rPr>
                <w:b/>
                <w:color w:val="auto"/>
              </w:rPr>
              <w:t>.</w:t>
            </w:r>
            <w:r w:rsidRPr="00D1697D">
              <w:rPr>
                <w:b/>
                <w:color w:val="auto"/>
              </w:rPr>
              <w:t>4</w:t>
            </w:r>
          </w:p>
        </w:tc>
      </w:tr>
      <w:tr w:rsidR="003858B1" w:rsidRPr="00747B0B" w14:paraId="5E5E3E34" w14:textId="77777777" w:rsidTr="00A06955">
        <w:trPr>
          <w:trHeight w:val="369"/>
        </w:trPr>
        <w:tc>
          <w:tcPr>
            <w:tcW w:w="1669" w:type="pct"/>
            <w:shd w:val="clear" w:color="auto" w:fill="auto"/>
            <w:vAlign w:val="bottom"/>
          </w:tcPr>
          <w:p w14:paraId="57926B5B" w14:textId="77777777" w:rsidR="003858B1" w:rsidRPr="00A06955" w:rsidRDefault="003858B1" w:rsidP="00570D50">
            <w:pPr>
              <w:jc w:val="left"/>
              <w:rPr>
                <w:color w:val="auto"/>
              </w:rPr>
            </w:pPr>
            <w:r w:rsidRPr="00A06955">
              <w:rPr>
                <w:color w:val="auto"/>
              </w:rPr>
              <w:t>Precepts, levies and net pension interest costs</w:t>
            </w:r>
          </w:p>
        </w:tc>
        <w:tc>
          <w:tcPr>
            <w:tcW w:w="561" w:type="pct"/>
            <w:shd w:val="clear" w:color="auto" w:fill="auto"/>
            <w:vAlign w:val="bottom"/>
          </w:tcPr>
          <w:p w14:paraId="272D7740" w14:textId="3DFB21E3" w:rsidR="003858B1" w:rsidRPr="00413839" w:rsidRDefault="003858B1" w:rsidP="00A06955">
            <w:pPr>
              <w:tabs>
                <w:tab w:val="decimal" w:pos="838"/>
              </w:tabs>
              <w:rPr>
                <w:color w:val="auto"/>
              </w:rPr>
            </w:pPr>
            <w:r w:rsidRPr="00413839">
              <w:rPr>
                <w:color w:val="auto"/>
              </w:rPr>
              <w:t>1.0</w:t>
            </w:r>
          </w:p>
        </w:tc>
        <w:tc>
          <w:tcPr>
            <w:tcW w:w="764" w:type="pct"/>
            <w:vAlign w:val="bottom"/>
          </w:tcPr>
          <w:p w14:paraId="5E497C8D" w14:textId="77777777" w:rsidR="003858B1" w:rsidRPr="00ED1F92" w:rsidRDefault="003858B1" w:rsidP="00570D50">
            <w:pPr>
              <w:tabs>
                <w:tab w:val="decimal" w:pos="1027"/>
              </w:tabs>
              <w:rPr>
                <w:color w:val="auto"/>
              </w:rPr>
            </w:pPr>
            <w:r w:rsidRPr="00ED1F92">
              <w:rPr>
                <w:color w:val="auto"/>
              </w:rPr>
              <w:t>-</w:t>
            </w:r>
          </w:p>
        </w:tc>
        <w:tc>
          <w:tcPr>
            <w:tcW w:w="510" w:type="pct"/>
            <w:vAlign w:val="bottom"/>
          </w:tcPr>
          <w:p w14:paraId="443C111A" w14:textId="664FE8B7" w:rsidR="003858B1" w:rsidRPr="00ED1F92" w:rsidRDefault="003858B1" w:rsidP="00A06955">
            <w:pPr>
              <w:tabs>
                <w:tab w:val="decimal" w:pos="631"/>
              </w:tabs>
              <w:rPr>
                <w:color w:val="auto"/>
              </w:rPr>
            </w:pPr>
            <w:r w:rsidRPr="00ED1F92">
              <w:rPr>
                <w:color w:val="auto"/>
              </w:rPr>
              <w:t>(1.0)</w:t>
            </w:r>
          </w:p>
        </w:tc>
        <w:tc>
          <w:tcPr>
            <w:tcW w:w="508" w:type="pct"/>
            <w:vAlign w:val="bottom"/>
          </w:tcPr>
          <w:p w14:paraId="4F68F127" w14:textId="77777777" w:rsidR="003858B1" w:rsidRPr="00F92D52" w:rsidRDefault="003858B1" w:rsidP="00A06955">
            <w:pPr>
              <w:tabs>
                <w:tab w:val="decimal" w:pos="790"/>
              </w:tabs>
              <w:rPr>
                <w:b/>
                <w:color w:val="auto"/>
              </w:rPr>
            </w:pPr>
            <w:r w:rsidRPr="00F92D52">
              <w:rPr>
                <w:b/>
                <w:color w:val="auto"/>
              </w:rPr>
              <w:t>-</w:t>
            </w:r>
          </w:p>
        </w:tc>
        <w:tc>
          <w:tcPr>
            <w:tcW w:w="508" w:type="pct"/>
            <w:shd w:val="clear" w:color="auto" w:fill="auto"/>
            <w:vAlign w:val="bottom"/>
          </w:tcPr>
          <w:p w14:paraId="07F855CA" w14:textId="2EEC380D" w:rsidR="003858B1" w:rsidRPr="00A06955" w:rsidRDefault="00547102" w:rsidP="00A06955">
            <w:pPr>
              <w:tabs>
                <w:tab w:val="decimal" w:pos="672"/>
              </w:tabs>
              <w:rPr>
                <w:color w:val="auto"/>
              </w:rPr>
            </w:pPr>
            <w:r>
              <w:rPr>
                <w:color w:val="auto"/>
              </w:rPr>
              <w:t>38.7</w:t>
            </w:r>
          </w:p>
        </w:tc>
        <w:tc>
          <w:tcPr>
            <w:tcW w:w="479" w:type="pct"/>
            <w:shd w:val="clear" w:color="auto" w:fill="auto"/>
            <w:vAlign w:val="bottom"/>
          </w:tcPr>
          <w:p w14:paraId="5CFFDA15" w14:textId="24F6CCDE" w:rsidR="003858B1" w:rsidRPr="00D1697D" w:rsidRDefault="00547102" w:rsidP="00570D50">
            <w:pPr>
              <w:tabs>
                <w:tab w:val="decimal" w:pos="602"/>
              </w:tabs>
              <w:rPr>
                <w:b/>
                <w:color w:val="auto"/>
              </w:rPr>
            </w:pPr>
            <w:r>
              <w:rPr>
                <w:b/>
                <w:color w:val="auto"/>
              </w:rPr>
              <w:t>38.7</w:t>
            </w:r>
          </w:p>
        </w:tc>
      </w:tr>
      <w:tr w:rsidR="003858B1" w:rsidRPr="00747B0B" w14:paraId="02660AFB" w14:textId="77777777" w:rsidTr="00A06955">
        <w:trPr>
          <w:trHeight w:val="369"/>
        </w:trPr>
        <w:tc>
          <w:tcPr>
            <w:tcW w:w="1669" w:type="pct"/>
            <w:shd w:val="clear" w:color="auto" w:fill="auto"/>
            <w:vAlign w:val="bottom"/>
          </w:tcPr>
          <w:p w14:paraId="60854447" w14:textId="70B7886B" w:rsidR="003858B1" w:rsidRPr="00A06955" w:rsidRDefault="003858B1" w:rsidP="00570D50">
            <w:pPr>
              <w:jc w:val="left"/>
              <w:rPr>
                <w:color w:val="auto"/>
              </w:rPr>
            </w:pPr>
            <w:r w:rsidRPr="00A06955">
              <w:rPr>
                <w:color w:val="auto"/>
              </w:rPr>
              <w:t>Gains or losses on disposal of property, plant and equipment</w:t>
            </w:r>
          </w:p>
        </w:tc>
        <w:tc>
          <w:tcPr>
            <w:tcW w:w="561" w:type="pct"/>
            <w:tcBorders>
              <w:bottom w:val="single" w:sz="4" w:space="0" w:color="auto"/>
            </w:tcBorders>
            <w:shd w:val="clear" w:color="auto" w:fill="auto"/>
            <w:vAlign w:val="bottom"/>
          </w:tcPr>
          <w:p w14:paraId="73994D81" w14:textId="77777777" w:rsidR="003858B1" w:rsidRPr="00413839" w:rsidRDefault="003858B1" w:rsidP="00A06955">
            <w:pPr>
              <w:tabs>
                <w:tab w:val="decimal" w:pos="838"/>
              </w:tabs>
              <w:rPr>
                <w:color w:val="auto"/>
              </w:rPr>
            </w:pPr>
            <w:r w:rsidRPr="00413839">
              <w:rPr>
                <w:color w:val="auto"/>
              </w:rPr>
              <w:t>-</w:t>
            </w:r>
          </w:p>
        </w:tc>
        <w:tc>
          <w:tcPr>
            <w:tcW w:w="764" w:type="pct"/>
            <w:tcBorders>
              <w:bottom w:val="single" w:sz="4" w:space="0" w:color="auto"/>
            </w:tcBorders>
            <w:vAlign w:val="bottom"/>
          </w:tcPr>
          <w:p w14:paraId="22F0FE8C" w14:textId="77777777" w:rsidR="003858B1" w:rsidRPr="00ED1F92" w:rsidRDefault="003858B1" w:rsidP="00570D50">
            <w:pPr>
              <w:tabs>
                <w:tab w:val="decimal" w:pos="1027"/>
              </w:tabs>
              <w:rPr>
                <w:color w:val="auto"/>
              </w:rPr>
            </w:pPr>
            <w:r w:rsidRPr="00ED1F92">
              <w:rPr>
                <w:color w:val="auto"/>
              </w:rPr>
              <w:t>-</w:t>
            </w:r>
          </w:p>
        </w:tc>
        <w:tc>
          <w:tcPr>
            <w:tcW w:w="510" w:type="pct"/>
            <w:tcBorders>
              <w:bottom w:val="single" w:sz="4" w:space="0" w:color="auto"/>
            </w:tcBorders>
            <w:vAlign w:val="bottom"/>
          </w:tcPr>
          <w:p w14:paraId="12620EF0" w14:textId="77777777" w:rsidR="003858B1" w:rsidRPr="00ED1F92" w:rsidRDefault="003858B1" w:rsidP="00A06955">
            <w:pPr>
              <w:tabs>
                <w:tab w:val="decimal" w:pos="631"/>
              </w:tabs>
              <w:rPr>
                <w:color w:val="auto"/>
              </w:rPr>
            </w:pPr>
            <w:r w:rsidRPr="00ED1F92">
              <w:rPr>
                <w:color w:val="auto"/>
              </w:rPr>
              <w:t>-</w:t>
            </w:r>
          </w:p>
        </w:tc>
        <w:tc>
          <w:tcPr>
            <w:tcW w:w="508" w:type="pct"/>
            <w:tcBorders>
              <w:bottom w:val="single" w:sz="4" w:space="0" w:color="auto"/>
            </w:tcBorders>
            <w:vAlign w:val="bottom"/>
          </w:tcPr>
          <w:p w14:paraId="56E3CB01" w14:textId="77777777" w:rsidR="003858B1" w:rsidRPr="00F92D52" w:rsidRDefault="003858B1" w:rsidP="00A06955">
            <w:pPr>
              <w:tabs>
                <w:tab w:val="decimal" w:pos="790"/>
              </w:tabs>
              <w:rPr>
                <w:b/>
                <w:color w:val="auto"/>
              </w:rPr>
            </w:pPr>
            <w:r w:rsidRPr="00F92D52">
              <w:rPr>
                <w:b/>
                <w:color w:val="auto"/>
              </w:rPr>
              <w:t>-</w:t>
            </w:r>
          </w:p>
        </w:tc>
        <w:tc>
          <w:tcPr>
            <w:tcW w:w="508" w:type="pct"/>
            <w:tcBorders>
              <w:bottom w:val="single" w:sz="4" w:space="0" w:color="auto"/>
            </w:tcBorders>
            <w:shd w:val="clear" w:color="auto" w:fill="auto"/>
            <w:vAlign w:val="bottom"/>
          </w:tcPr>
          <w:p w14:paraId="7BEFB994" w14:textId="4BF9526D" w:rsidR="003858B1" w:rsidRPr="00A06955" w:rsidRDefault="003858B1" w:rsidP="00A06955">
            <w:pPr>
              <w:tabs>
                <w:tab w:val="decimal" w:pos="672"/>
              </w:tabs>
              <w:rPr>
                <w:color w:val="auto"/>
              </w:rPr>
            </w:pPr>
            <w:r w:rsidRPr="00A06955">
              <w:rPr>
                <w:color w:val="auto"/>
              </w:rPr>
              <w:t>6.0</w:t>
            </w:r>
          </w:p>
        </w:tc>
        <w:tc>
          <w:tcPr>
            <w:tcW w:w="479" w:type="pct"/>
            <w:tcBorders>
              <w:bottom w:val="single" w:sz="4" w:space="0" w:color="auto"/>
            </w:tcBorders>
            <w:shd w:val="clear" w:color="auto" w:fill="auto"/>
            <w:vAlign w:val="bottom"/>
          </w:tcPr>
          <w:p w14:paraId="36AF6943" w14:textId="36DC0C9F" w:rsidR="003858B1" w:rsidRPr="00D1697D" w:rsidRDefault="003858B1" w:rsidP="00570D50">
            <w:pPr>
              <w:tabs>
                <w:tab w:val="decimal" w:pos="602"/>
              </w:tabs>
              <w:rPr>
                <w:b/>
                <w:color w:val="auto"/>
              </w:rPr>
            </w:pPr>
            <w:r w:rsidRPr="00D1697D">
              <w:rPr>
                <w:b/>
                <w:color w:val="auto"/>
              </w:rPr>
              <w:t>6.0</w:t>
            </w:r>
          </w:p>
        </w:tc>
      </w:tr>
      <w:tr w:rsidR="003858B1" w:rsidRPr="00747B0B" w14:paraId="6B5BBB1D" w14:textId="77777777" w:rsidTr="00A06955">
        <w:trPr>
          <w:trHeight w:val="369"/>
        </w:trPr>
        <w:tc>
          <w:tcPr>
            <w:tcW w:w="1669" w:type="pct"/>
            <w:shd w:val="clear" w:color="auto" w:fill="auto"/>
            <w:vAlign w:val="bottom"/>
          </w:tcPr>
          <w:p w14:paraId="1FBFF848" w14:textId="77777777" w:rsidR="003858B1" w:rsidRPr="00A06955" w:rsidRDefault="003858B1" w:rsidP="00570D50">
            <w:pPr>
              <w:jc w:val="left"/>
              <w:rPr>
                <w:b/>
                <w:color w:val="auto"/>
              </w:rPr>
            </w:pPr>
            <w:r w:rsidRPr="00A06955">
              <w:rPr>
                <w:b/>
                <w:color w:val="auto"/>
              </w:rPr>
              <w:t>Total Expenditure</w:t>
            </w:r>
          </w:p>
        </w:tc>
        <w:tc>
          <w:tcPr>
            <w:tcW w:w="561" w:type="pct"/>
            <w:tcBorders>
              <w:top w:val="single" w:sz="4" w:space="0" w:color="auto"/>
              <w:bottom w:val="nil"/>
            </w:tcBorders>
            <w:shd w:val="clear" w:color="auto" w:fill="auto"/>
            <w:vAlign w:val="bottom"/>
          </w:tcPr>
          <w:p w14:paraId="22A4A55F" w14:textId="103085AE" w:rsidR="003858B1" w:rsidRPr="00ED1F92" w:rsidRDefault="003858B1" w:rsidP="00B33E1E">
            <w:pPr>
              <w:tabs>
                <w:tab w:val="decimal" w:pos="838"/>
              </w:tabs>
              <w:rPr>
                <w:b/>
                <w:color w:val="auto"/>
              </w:rPr>
            </w:pPr>
            <w:r w:rsidRPr="00413839">
              <w:rPr>
                <w:b/>
                <w:color w:val="auto"/>
              </w:rPr>
              <w:t>2,2</w:t>
            </w:r>
            <w:r w:rsidR="00B33E1E" w:rsidRPr="00ED1F92">
              <w:rPr>
                <w:b/>
                <w:color w:val="auto"/>
              </w:rPr>
              <w:t>59.9</w:t>
            </w:r>
          </w:p>
        </w:tc>
        <w:tc>
          <w:tcPr>
            <w:tcW w:w="764" w:type="pct"/>
            <w:tcBorders>
              <w:top w:val="single" w:sz="4" w:space="0" w:color="auto"/>
              <w:bottom w:val="nil"/>
            </w:tcBorders>
            <w:vAlign w:val="bottom"/>
          </w:tcPr>
          <w:p w14:paraId="5299F868" w14:textId="28EDA25B" w:rsidR="003858B1" w:rsidRPr="00ED1F92" w:rsidRDefault="005F0CC3" w:rsidP="00570D50">
            <w:pPr>
              <w:tabs>
                <w:tab w:val="decimal" w:pos="1027"/>
              </w:tabs>
              <w:rPr>
                <w:b/>
                <w:color w:val="auto"/>
              </w:rPr>
            </w:pPr>
            <w:r w:rsidRPr="00ED1F92">
              <w:rPr>
                <w:b/>
                <w:color w:val="auto"/>
              </w:rPr>
              <w:t>187.1</w:t>
            </w:r>
          </w:p>
        </w:tc>
        <w:tc>
          <w:tcPr>
            <w:tcW w:w="510" w:type="pct"/>
            <w:tcBorders>
              <w:top w:val="single" w:sz="4" w:space="0" w:color="auto"/>
              <w:bottom w:val="nil"/>
            </w:tcBorders>
            <w:vAlign w:val="bottom"/>
          </w:tcPr>
          <w:p w14:paraId="77DB7EC7" w14:textId="308520FB" w:rsidR="003858B1" w:rsidRPr="00ED1F92" w:rsidRDefault="00133A4F" w:rsidP="00B33E1E">
            <w:pPr>
              <w:tabs>
                <w:tab w:val="decimal" w:pos="631"/>
              </w:tabs>
              <w:rPr>
                <w:b/>
                <w:color w:val="auto"/>
              </w:rPr>
            </w:pPr>
            <w:r w:rsidRPr="00ED1F92">
              <w:rPr>
                <w:b/>
                <w:color w:val="auto"/>
              </w:rPr>
              <w:t>(296.</w:t>
            </w:r>
            <w:r w:rsidR="00B33E1E" w:rsidRPr="00ED1F92">
              <w:rPr>
                <w:b/>
                <w:color w:val="auto"/>
              </w:rPr>
              <w:t>8</w:t>
            </w:r>
            <w:r w:rsidR="003858B1" w:rsidRPr="00ED1F92">
              <w:rPr>
                <w:b/>
                <w:color w:val="auto"/>
              </w:rPr>
              <w:t>)</w:t>
            </w:r>
          </w:p>
        </w:tc>
        <w:tc>
          <w:tcPr>
            <w:tcW w:w="508" w:type="pct"/>
            <w:tcBorders>
              <w:top w:val="single" w:sz="4" w:space="0" w:color="auto"/>
              <w:bottom w:val="nil"/>
            </w:tcBorders>
            <w:vAlign w:val="bottom"/>
          </w:tcPr>
          <w:p w14:paraId="3A9B7FB2" w14:textId="225F3288" w:rsidR="003858B1" w:rsidRPr="00F92D52" w:rsidRDefault="003858B1" w:rsidP="007D74A1">
            <w:pPr>
              <w:tabs>
                <w:tab w:val="decimal" w:pos="790"/>
              </w:tabs>
              <w:rPr>
                <w:b/>
                <w:color w:val="auto"/>
              </w:rPr>
            </w:pPr>
            <w:r w:rsidRPr="00F92D52">
              <w:rPr>
                <w:b/>
                <w:color w:val="auto"/>
              </w:rPr>
              <w:t>2,1</w:t>
            </w:r>
            <w:r w:rsidR="00F052FB">
              <w:rPr>
                <w:b/>
                <w:color w:val="auto"/>
              </w:rPr>
              <w:t>50.2</w:t>
            </w:r>
          </w:p>
        </w:tc>
        <w:tc>
          <w:tcPr>
            <w:tcW w:w="508" w:type="pct"/>
            <w:tcBorders>
              <w:top w:val="single" w:sz="4" w:space="0" w:color="auto"/>
              <w:bottom w:val="nil"/>
            </w:tcBorders>
            <w:shd w:val="clear" w:color="auto" w:fill="auto"/>
            <w:vAlign w:val="bottom"/>
          </w:tcPr>
          <w:p w14:paraId="7A7E9C9D" w14:textId="3FD3B4CF" w:rsidR="003858B1" w:rsidRPr="00A06955" w:rsidRDefault="00346D44" w:rsidP="009C1D66">
            <w:pPr>
              <w:tabs>
                <w:tab w:val="decimal" w:pos="672"/>
              </w:tabs>
              <w:rPr>
                <w:b/>
                <w:color w:val="auto"/>
              </w:rPr>
            </w:pPr>
            <w:r>
              <w:rPr>
                <w:b/>
                <w:color w:val="auto"/>
              </w:rPr>
              <w:t>113</w:t>
            </w:r>
            <w:r w:rsidR="003858B1" w:rsidRPr="00A06955">
              <w:rPr>
                <w:b/>
                <w:color w:val="auto"/>
              </w:rPr>
              <w:t>.</w:t>
            </w:r>
            <w:r w:rsidR="00547102">
              <w:rPr>
                <w:b/>
                <w:color w:val="auto"/>
              </w:rPr>
              <w:t>1</w:t>
            </w:r>
          </w:p>
        </w:tc>
        <w:tc>
          <w:tcPr>
            <w:tcW w:w="479" w:type="pct"/>
            <w:tcBorders>
              <w:top w:val="single" w:sz="4" w:space="0" w:color="auto"/>
              <w:bottom w:val="nil"/>
            </w:tcBorders>
            <w:shd w:val="clear" w:color="auto" w:fill="auto"/>
            <w:vAlign w:val="bottom"/>
          </w:tcPr>
          <w:p w14:paraId="664B21C7" w14:textId="19CE64F0" w:rsidR="003858B1" w:rsidRPr="00D1697D" w:rsidRDefault="003858B1" w:rsidP="009C1D66">
            <w:pPr>
              <w:tabs>
                <w:tab w:val="decimal" w:pos="602"/>
              </w:tabs>
              <w:rPr>
                <w:b/>
                <w:color w:val="auto"/>
              </w:rPr>
            </w:pPr>
            <w:r w:rsidRPr="00D1697D">
              <w:rPr>
                <w:b/>
                <w:color w:val="auto"/>
              </w:rPr>
              <w:t>2,</w:t>
            </w:r>
            <w:r w:rsidR="005F0CC3">
              <w:rPr>
                <w:b/>
                <w:color w:val="auto"/>
              </w:rPr>
              <w:t>263.3</w:t>
            </w:r>
          </w:p>
        </w:tc>
      </w:tr>
      <w:tr w:rsidR="003858B1" w:rsidRPr="00747B0B" w14:paraId="6A712638" w14:textId="77777777" w:rsidTr="00A06955">
        <w:trPr>
          <w:trHeight w:val="369"/>
        </w:trPr>
        <w:tc>
          <w:tcPr>
            <w:tcW w:w="1669" w:type="pct"/>
            <w:shd w:val="clear" w:color="auto" w:fill="auto"/>
            <w:vAlign w:val="bottom"/>
          </w:tcPr>
          <w:p w14:paraId="39262FFC" w14:textId="77777777" w:rsidR="003858B1" w:rsidRPr="00A06955" w:rsidRDefault="003858B1" w:rsidP="00570D50">
            <w:pPr>
              <w:jc w:val="left"/>
              <w:rPr>
                <w:b/>
                <w:color w:val="auto"/>
              </w:rPr>
            </w:pPr>
          </w:p>
        </w:tc>
        <w:tc>
          <w:tcPr>
            <w:tcW w:w="561" w:type="pct"/>
            <w:tcBorders>
              <w:top w:val="nil"/>
            </w:tcBorders>
            <w:shd w:val="clear" w:color="auto" w:fill="auto"/>
            <w:vAlign w:val="bottom"/>
          </w:tcPr>
          <w:p w14:paraId="090BB87B" w14:textId="77777777" w:rsidR="003858B1" w:rsidRPr="00413839" w:rsidRDefault="003858B1" w:rsidP="00A06955">
            <w:pPr>
              <w:tabs>
                <w:tab w:val="decimal" w:pos="838"/>
              </w:tabs>
              <w:rPr>
                <w:b/>
                <w:color w:val="auto"/>
              </w:rPr>
            </w:pPr>
          </w:p>
        </w:tc>
        <w:tc>
          <w:tcPr>
            <w:tcW w:w="764" w:type="pct"/>
            <w:tcBorders>
              <w:top w:val="nil"/>
            </w:tcBorders>
            <w:vAlign w:val="bottom"/>
          </w:tcPr>
          <w:p w14:paraId="1FCCCDCC" w14:textId="77777777" w:rsidR="003858B1" w:rsidRPr="00ED1F92" w:rsidRDefault="003858B1" w:rsidP="00570D50">
            <w:pPr>
              <w:tabs>
                <w:tab w:val="decimal" w:pos="1027"/>
              </w:tabs>
              <w:rPr>
                <w:b/>
                <w:color w:val="auto"/>
              </w:rPr>
            </w:pPr>
          </w:p>
        </w:tc>
        <w:tc>
          <w:tcPr>
            <w:tcW w:w="510" w:type="pct"/>
            <w:tcBorders>
              <w:top w:val="nil"/>
            </w:tcBorders>
            <w:vAlign w:val="bottom"/>
          </w:tcPr>
          <w:p w14:paraId="0EFFDB70" w14:textId="77777777" w:rsidR="003858B1" w:rsidRPr="00ED1F92" w:rsidRDefault="003858B1" w:rsidP="00A06955">
            <w:pPr>
              <w:tabs>
                <w:tab w:val="decimal" w:pos="631"/>
              </w:tabs>
              <w:rPr>
                <w:b/>
                <w:color w:val="auto"/>
              </w:rPr>
            </w:pPr>
          </w:p>
        </w:tc>
        <w:tc>
          <w:tcPr>
            <w:tcW w:w="508" w:type="pct"/>
            <w:tcBorders>
              <w:top w:val="nil"/>
            </w:tcBorders>
            <w:vAlign w:val="bottom"/>
          </w:tcPr>
          <w:p w14:paraId="08920061" w14:textId="77777777" w:rsidR="003858B1" w:rsidRPr="00F92D52" w:rsidRDefault="003858B1" w:rsidP="00A06955">
            <w:pPr>
              <w:tabs>
                <w:tab w:val="decimal" w:pos="790"/>
              </w:tabs>
              <w:rPr>
                <w:b/>
                <w:color w:val="auto"/>
              </w:rPr>
            </w:pPr>
          </w:p>
        </w:tc>
        <w:tc>
          <w:tcPr>
            <w:tcW w:w="508" w:type="pct"/>
            <w:tcBorders>
              <w:top w:val="nil"/>
              <w:bottom w:val="nil"/>
            </w:tcBorders>
            <w:shd w:val="clear" w:color="auto" w:fill="auto"/>
            <w:vAlign w:val="bottom"/>
          </w:tcPr>
          <w:p w14:paraId="64252E8D" w14:textId="77777777" w:rsidR="003858B1" w:rsidRPr="00A06955" w:rsidRDefault="003858B1" w:rsidP="00A06955">
            <w:pPr>
              <w:tabs>
                <w:tab w:val="decimal" w:pos="672"/>
              </w:tabs>
              <w:rPr>
                <w:b/>
                <w:color w:val="auto"/>
              </w:rPr>
            </w:pPr>
          </w:p>
        </w:tc>
        <w:tc>
          <w:tcPr>
            <w:tcW w:w="479" w:type="pct"/>
            <w:tcBorders>
              <w:top w:val="nil"/>
              <w:bottom w:val="nil"/>
            </w:tcBorders>
            <w:shd w:val="clear" w:color="auto" w:fill="auto"/>
            <w:vAlign w:val="bottom"/>
          </w:tcPr>
          <w:p w14:paraId="0177C299" w14:textId="77777777" w:rsidR="003858B1" w:rsidRPr="00D1697D" w:rsidRDefault="003858B1" w:rsidP="00570D50">
            <w:pPr>
              <w:tabs>
                <w:tab w:val="decimal" w:pos="602"/>
              </w:tabs>
              <w:rPr>
                <w:b/>
                <w:color w:val="auto"/>
              </w:rPr>
            </w:pPr>
          </w:p>
        </w:tc>
      </w:tr>
      <w:tr w:rsidR="003858B1" w:rsidRPr="00C0047D" w14:paraId="569ACF12" w14:textId="77777777" w:rsidTr="00A06955">
        <w:trPr>
          <w:trHeight w:val="369"/>
        </w:trPr>
        <w:tc>
          <w:tcPr>
            <w:tcW w:w="1669" w:type="pct"/>
            <w:shd w:val="clear" w:color="auto" w:fill="auto"/>
            <w:vAlign w:val="bottom"/>
          </w:tcPr>
          <w:p w14:paraId="11D42CDB" w14:textId="77777777" w:rsidR="003858B1" w:rsidRPr="00A06955" w:rsidRDefault="003858B1" w:rsidP="00570D50">
            <w:pPr>
              <w:jc w:val="left"/>
              <w:rPr>
                <w:b/>
                <w:color w:val="auto"/>
              </w:rPr>
            </w:pPr>
            <w:r w:rsidRPr="00A06955">
              <w:rPr>
                <w:b/>
                <w:color w:val="auto"/>
              </w:rPr>
              <w:t>Surplus or Deficit on the provision of services</w:t>
            </w:r>
          </w:p>
        </w:tc>
        <w:tc>
          <w:tcPr>
            <w:tcW w:w="561" w:type="pct"/>
            <w:tcBorders>
              <w:top w:val="single" w:sz="4" w:space="0" w:color="auto"/>
            </w:tcBorders>
            <w:shd w:val="clear" w:color="auto" w:fill="auto"/>
            <w:vAlign w:val="bottom"/>
          </w:tcPr>
          <w:p w14:paraId="13C98BD4" w14:textId="7E4EFC92" w:rsidR="003858B1" w:rsidRPr="00ED1F92" w:rsidRDefault="00D24D58" w:rsidP="00B33E1E">
            <w:pPr>
              <w:tabs>
                <w:tab w:val="decimal" w:pos="838"/>
              </w:tabs>
              <w:rPr>
                <w:b/>
                <w:color w:val="auto"/>
              </w:rPr>
            </w:pPr>
            <w:r w:rsidRPr="00413839">
              <w:rPr>
                <w:b/>
                <w:color w:val="auto"/>
              </w:rPr>
              <w:t>78</w:t>
            </w:r>
            <w:r w:rsidR="007D74A1" w:rsidRPr="00ED1F92">
              <w:rPr>
                <w:b/>
                <w:color w:val="auto"/>
              </w:rPr>
              <w:t>1</w:t>
            </w:r>
            <w:r w:rsidR="003858B1" w:rsidRPr="00ED1F92">
              <w:rPr>
                <w:b/>
                <w:color w:val="auto"/>
              </w:rPr>
              <w:t>.</w:t>
            </w:r>
            <w:r w:rsidR="00B33E1E" w:rsidRPr="00ED1F92">
              <w:rPr>
                <w:b/>
                <w:color w:val="auto"/>
              </w:rPr>
              <w:t>5</w:t>
            </w:r>
          </w:p>
        </w:tc>
        <w:tc>
          <w:tcPr>
            <w:tcW w:w="764" w:type="pct"/>
            <w:tcBorders>
              <w:top w:val="single" w:sz="4" w:space="0" w:color="auto"/>
            </w:tcBorders>
            <w:vAlign w:val="bottom"/>
          </w:tcPr>
          <w:p w14:paraId="1DA11233" w14:textId="4E6E0063" w:rsidR="003858B1" w:rsidRPr="00ED1F92" w:rsidRDefault="005F0CC3" w:rsidP="00570D50">
            <w:pPr>
              <w:tabs>
                <w:tab w:val="decimal" w:pos="1027"/>
              </w:tabs>
              <w:rPr>
                <w:b/>
                <w:color w:val="auto"/>
              </w:rPr>
            </w:pPr>
            <w:r w:rsidRPr="00ED1F92">
              <w:rPr>
                <w:b/>
                <w:color w:val="auto"/>
              </w:rPr>
              <w:t>187.1</w:t>
            </w:r>
          </w:p>
        </w:tc>
        <w:tc>
          <w:tcPr>
            <w:tcW w:w="510" w:type="pct"/>
            <w:tcBorders>
              <w:top w:val="single" w:sz="4" w:space="0" w:color="auto"/>
            </w:tcBorders>
            <w:vAlign w:val="bottom"/>
          </w:tcPr>
          <w:p w14:paraId="4743E5F9" w14:textId="373C6081" w:rsidR="003858B1" w:rsidRPr="00ED1F92" w:rsidRDefault="00133A4F" w:rsidP="00B33E1E">
            <w:pPr>
              <w:tabs>
                <w:tab w:val="decimal" w:pos="631"/>
              </w:tabs>
              <w:rPr>
                <w:b/>
                <w:color w:val="auto"/>
              </w:rPr>
            </w:pPr>
            <w:r w:rsidRPr="00ED1F92">
              <w:rPr>
                <w:b/>
                <w:color w:val="auto"/>
              </w:rPr>
              <w:t>(9</w:t>
            </w:r>
            <w:r w:rsidR="00B33E1E" w:rsidRPr="00ED1F92">
              <w:rPr>
                <w:b/>
                <w:color w:val="auto"/>
              </w:rPr>
              <w:t>6.9</w:t>
            </w:r>
            <w:r w:rsidR="003858B1" w:rsidRPr="00ED1F92">
              <w:rPr>
                <w:b/>
                <w:color w:val="auto"/>
              </w:rPr>
              <w:t>)</w:t>
            </w:r>
          </w:p>
        </w:tc>
        <w:tc>
          <w:tcPr>
            <w:tcW w:w="508" w:type="pct"/>
            <w:tcBorders>
              <w:top w:val="single" w:sz="4" w:space="0" w:color="auto"/>
            </w:tcBorders>
            <w:vAlign w:val="bottom"/>
          </w:tcPr>
          <w:p w14:paraId="12DA6B2F" w14:textId="224F0B42" w:rsidR="003858B1" w:rsidRPr="00F92D52" w:rsidRDefault="003858B1" w:rsidP="00B33E1E">
            <w:pPr>
              <w:tabs>
                <w:tab w:val="decimal" w:pos="790"/>
              </w:tabs>
              <w:rPr>
                <w:b/>
                <w:color w:val="auto"/>
              </w:rPr>
            </w:pPr>
            <w:r w:rsidRPr="00F92D52">
              <w:rPr>
                <w:b/>
                <w:color w:val="auto"/>
              </w:rPr>
              <w:t>8</w:t>
            </w:r>
            <w:r w:rsidR="00547102">
              <w:rPr>
                <w:b/>
                <w:color w:val="auto"/>
              </w:rPr>
              <w:t>71.</w:t>
            </w:r>
            <w:r w:rsidR="00B33E1E">
              <w:rPr>
                <w:b/>
                <w:color w:val="auto"/>
              </w:rPr>
              <w:t>7</w:t>
            </w:r>
          </w:p>
        </w:tc>
        <w:tc>
          <w:tcPr>
            <w:tcW w:w="508" w:type="pct"/>
            <w:tcBorders>
              <w:top w:val="single" w:sz="4" w:space="0" w:color="auto"/>
            </w:tcBorders>
            <w:shd w:val="clear" w:color="auto" w:fill="auto"/>
            <w:vAlign w:val="bottom"/>
          </w:tcPr>
          <w:p w14:paraId="604EA8DD" w14:textId="4D6FA703" w:rsidR="003858B1" w:rsidRPr="00A06955" w:rsidRDefault="003858B1" w:rsidP="00B33E1E">
            <w:pPr>
              <w:tabs>
                <w:tab w:val="decimal" w:pos="672"/>
              </w:tabs>
              <w:rPr>
                <w:b/>
                <w:color w:val="auto"/>
              </w:rPr>
            </w:pPr>
            <w:r w:rsidRPr="00547102">
              <w:rPr>
                <w:b/>
                <w:color w:val="auto"/>
              </w:rPr>
              <w:t>(</w:t>
            </w:r>
            <w:r w:rsidR="00346D44" w:rsidRPr="00547102">
              <w:rPr>
                <w:b/>
                <w:color w:val="auto"/>
              </w:rPr>
              <w:t>9</w:t>
            </w:r>
            <w:r w:rsidR="00547102" w:rsidRPr="00547102">
              <w:rPr>
                <w:b/>
                <w:color w:val="auto"/>
              </w:rPr>
              <w:t>20.</w:t>
            </w:r>
            <w:r w:rsidR="00B33E1E">
              <w:rPr>
                <w:b/>
                <w:color w:val="auto"/>
              </w:rPr>
              <w:t>3</w:t>
            </w:r>
            <w:r w:rsidRPr="00547102">
              <w:rPr>
                <w:b/>
                <w:color w:val="auto"/>
              </w:rPr>
              <w:t>)</w:t>
            </w:r>
          </w:p>
        </w:tc>
        <w:tc>
          <w:tcPr>
            <w:tcW w:w="479" w:type="pct"/>
            <w:tcBorders>
              <w:top w:val="single" w:sz="4" w:space="0" w:color="auto"/>
            </w:tcBorders>
            <w:shd w:val="clear" w:color="auto" w:fill="auto"/>
            <w:vAlign w:val="bottom"/>
          </w:tcPr>
          <w:p w14:paraId="3B040C06" w14:textId="072A9CBA" w:rsidR="007A2DD0" w:rsidRDefault="007A2DD0" w:rsidP="009C1D66">
            <w:pPr>
              <w:tabs>
                <w:tab w:val="decimal" w:pos="602"/>
              </w:tabs>
              <w:rPr>
                <w:b/>
                <w:color w:val="auto"/>
              </w:rPr>
            </w:pPr>
          </w:p>
          <w:p w14:paraId="44B1085E" w14:textId="3E76F1DF" w:rsidR="007A2DD0" w:rsidRPr="00D1697D" w:rsidRDefault="007A2DD0" w:rsidP="009C1D66">
            <w:pPr>
              <w:tabs>
                <w:tab w:val="decimal" w:pos="602"/>
              </w:tabs>
              <w:rPr>
                <w:b/>
                <w:color w:val="auto"/>
              </w:rPr>
            </w:pPr>
            <w:r>
              <w:rPr>
                <w:b/>
                <w:color w:val="auto"/>
              </w:rPr>
              <w:t>(48.6)</w:t>
            </w:r>
          </w:p>
        </w:tc>
      </w:tr>
    </w:tbl>
    <w:p w14:paraId="00AC9775" w14:textId="1D5548F4" w:rsidR="00570D50" w:rsidRDefault="00570D50" w:rsidP="00385F32">
      <w:pPr>
        <w:spacing w:after="0"/>
        <w:rPr>
          <w:lang w:eastAsia="en-GB"/>
        </w:rPr>
      </w:pPr>
      <w:r w:rsidRPr="004F3F10">
        <w:rPr>
          <w:b/>
          <w:lang w:eastAsia="en-GB"/>
        </w:rPr>
        <w:t>Reconcili</w:t>
      </w:r>
      <w:r w:rsidR="00246A2C">
        <w:rPr>
          <w:b/>
          <w:lang w:eastAsia="en-GB"/>
        </w:rPr>
        <w:t>ation to subjective a</w:t>
      </w:r>
      <w:r w:rsidRPr="004F3F10">
        <w:rPr>
          <w:b/>
          <w:lang w:eastAsia="en-GB"/>
        </w:rPr>
        <w:t>nalysis</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2"/>
        <w:gridCol w:w="2505"/>
        <w:gridCol w:w="2087"/>
        <w:gridCol w:w="2638"/>
        <w:gridCol w:w="2450"/>
        <w:gridCol w:w="1748"/>
      </w:tblGrid>
      <w:tr w:rsidR="009622FF" w:rsidRPr="00C0047D" w14:paraId="7911181D" w14:textId="77777777" w:rsidTr="00A06955">
        <w:trPr>
          <w:trHeight w:val="369"/>
          <w:tblHeader/>
        </w:trPr>
        <w:tc>
          <w:tcPr>
            <w:tcW w:w="1287" w:type="pct"/>
            <w:shd w:val="clear" w:color="auto" w:fill="D0CECE"/>
            <w:vAlign w:val="bottom"/>
          </w:tcPr>
          <w:p w14:paraId="08CB2E0B" w14:textId="77777777" w:rsidR="007A2DD0" w:rsidRDefault="007A2DD0" w:rsidP="009622FF">
            <w:pPr>
              <w:jc w:val="center"/>
              <w:rPr>
                <w:b/>
                <w:color w:val="auto"/>
              </w:rPr>
            </w:pPr>
          </w:p>
          <w:p w14:paraId="7AE5B287" w14:textId="244B995C" w:rsidR="009622FF" w:rsidRPr="00A06955" w:rsidRDefault="00342A1F" w:rsidP="009622FF">
            <w:pPr>
              <w:jc w:val="center"/>
              <w:rPr>
                <w:b/>
                <w:color w:val="auto"/>
              </w:rPr>
            </w:pPr>
            <w:r w:rsidRPr="00A06955">
              <w:rPr>
                <w:b/>
                <w:color w:val="auto"/>
              </w:rPr>
              <w:t>Directorate Income &amp; Expenditure</w:t>
            </w:r>
          </w:p>
        </w:tc>
        <w:tc>
          <w:tcPr>
            <w:tcW w:w="814" w:type="pct"/>
            <w:shd w:val="clear" w:color="auto" w:fill="D0CECE"/>
            <w:vAlign w:val="bottom"/>
          </w:tcPr>
          <w:p w14:paraId="58FED369" w14:textId="03472169" w:rsidR="009622FF" w:rsidRPr="00A06955" w:rsidRDefault="009622FF" w:rsidP="00A06955">
            <w:pPr>
              <w:jc w:val="center"/>
              <w:rPr>
                <w:b/>
                <w:color w:val="auto"/>
                <w:vertAlign w:val="superscript"/>
              </w:rPr>
            </w:pPr>
            <w:r w:rsidRPr="00C0047D">
              <w:rPr>
                <w:b/>
                <w:color w:val="auto"/>
              </w:rPr>
              <w:t>Adult, Social, Health &amp; Wellbeing</w:t>
            </w:r>
          </w:p>
        </w:tc>
        <w:tc>
          <w:tcPr>
            <w:tcW w:w="678" w:type="pct"/>
            <w:shd w:val="clear" w:color="auto" w:fill="D0CECE"/>
            <w:vAlign w:val="bottom"/>
          </w:tcPr>
          <w:p w14:paraId="4301526A" w14:textId="77777777" w:rsidR="009622FF" w:rsidRPr="00C0047D" w:rsidRDefault="009622FF" w:rsidP="00F77838">
            <w:pPr>
              <w:jc w:val="center"/>
              <w:rPr>
                <w:b/>
                <w:color w:val="auto"/>
              </w:rPr>
            </w:pPr>
            <w:r w:rsidRPr="00C0047D">
              <w:rPr>
                <w:b/>
                <w:color w:val="auto"/>
              </w:rPr>
              <w:t>Children &amp; Young People</w:t>
            </w:r>
          </w:p>
        </w:tc>
        <w:tc>
          <w:tcPr>
            <w:tcW w:w="857" w:type="pct"/>
            <w:shd w:val="clear" w:color="auto" w:fill="D0CECE"/>
            <w:vAlign w:val="bottom"/>
          </w:tcPr>
          <w:p w14:paraId="24C37C3C" w14:textId="77777777" w:rsidR="009622FF" w:rsidRPr="00C0047D" w:rsidRDefault="009622FF" w:rsidP="00F77838">
            <w:pPr>
              <w:jc w:val="center"/>
              <w:rPr>
                <w:b/>
                <w:color w:val="auto"/>
              </w:rPr>
            </w:pPr>
            <w:r w:rsidRPr="00C0047D">
              <w:rPr>
                <w:b/>
                <w:color w:val="auto"/>
              </w:rPr>
              <w:t>Environment</w:t>
            </w:r>
          </w:p>
        </w:tc>
        <w:tc>
          <w:tcPr>
            <w:tcW w:w="796" w:type="pct"/>
            <w:shd w:val="clear" w:color="auto" w:fill="D0CECE"/>
            <w:vAlign w:val="bottom"/>
          </w:tcPr>
          <w:p w14:paraId="7A81C776" w14:textId="77777777" w:rsidR="009622FF" w:rsidRPr="00C0047D" w:rsidRDefault="009622FF" w:rsidP="00F77838">
            <w:pPr>
              <w:jc w:val="center"/>
              <w:rPr>
                <w:b/>
                <w:color w:val="auto"/>
              </w:rPr>
            </w:pPr>
            <w:r w:rsidRPr="00C0047D">
              <w:rPr>
                <w:b/>
                <w:color w:val="auto"/>
              </w:rPr>
              <w:t>Other Directorates</w:t>
            </w:r>
          </w:p>
        </w:tc>
        <w:tc>
          <w:tcPr>
            <w:tcW w:w="568" w:type="pct"/>
            <w:shd w:val="clear" w:color="auto" w:fill="D0CECE"/>
            <w:vAlign w:val="bottom"/>
          </w:tcPr>
          <w:p w14:paraId="5FCDE683" w14:textId="77777777" w:rsidR="009622FF" w:rsidRPr="00C0047D" w:rsidRDefault="009622FF" w:rsidP="00F77838">
            <w:pPr>
              <w:jc w:val="center"/>
              <w:rPr>
                <w:b/>
                <w:color w:val="auto"/>
              </w:rPr>
            </w:pPr>
            <w:r w:rsidRPr="00C0047D">
              <w:rPr>
                <w:b/>
                <w:color w:val="auto"/>
              </w:rPr>
              <w:t>Total</w:t>
            </w:r>
          </w:p>
        </w:tc>
      </w:tr>
      <w:tr w:rsidR="009622FF" w:rsidRPr="00C0047D" w14:paraId="565519EE" w14:textId="77777777" w:rsidTr="00A06955">
        <w:trPr>
          <w:trHeight w:val="369"/>
          <w:tblHeader/>
        </w:trPr>
        <w:tc>
          <w:tcPr>
            <w:tcW w:w="1287" w:type="pct"/>
            <w:shd w:val="clear" w:color="auto" w:fill="D0CECE"/>
            <w:vAlign w:val="bottom"/>
          </w:tcPr>
          <w:p w14:paraId="1FD6F94A" w14:textId="2C05AEC1" w:rsidR="009622FF" w:rsidRPr="00A06955" w:rsidRDefault="00342A1F" w:rsidP="00A06955">
            <w:pPr>
              <w:jc w:val="center"/>
              <w:rPr>
                <w:b/>
                <w:color w:val="auto"/>
                <w:vertAlign w:val="superscript"/>
              </w:rPr>
            </w:pPr>
            <w:r w:rsidRPr="00A06955">
              <w:rPr>
                <w:b/>
                <w:color w:val="auto"/>
              </w:rPr>
              <w:t>2013/14</w:t>
            </w:r>
            <w:r w:rsidR="00022AF9" w:rsidRPr="0027316E">
              <w:rPr>
                <w:color w:val="auto"/>
                <w:sz w:val="20"/>
                <w:szCs w:val="20"/>
                <w:vertAlign w:val="superscript"/>
              </w:rPr>
              <w:t>1</w:t>
            </w:r>
          </w:p>
        </w:tc>
        <w:tc>
          <w:tcPr>
            <w:tcW w:w="814" w:type="pct"/>
            <w:shd w:val="clear" w:color="auto" w:fill="D0CECE"/>
            <w:vAlign w:val="bottom"/>
          </w:tcPr>
          <w:p w14:paraId="15263CF7" w14:textId="77777777" w:rsidR="009622FF" w:rsidRPr="00C0047D" w:rsidRDefault="009622FF" w:rsidP="00F77838">
            <w:pPr>
              <w:jc w:val="center"/>
              <w:rPr>
                <w:b/>
                <w:color w:val="auto"/>
              </w:rPr>
            </w:pPr>
            <w:r w:rsidRPr="00C0047D">
              <w:rPr>
                <w:b/>
                <w:color w:val="auto"/>
              </w:rPr>
              <w:t>£m</w:t>
            </w:r>
          </w:p>
        </w:tc>
        <w:tc>
          <w:tcPr>
            <w:tcW w:w="678" w:type="pct"/>
            <w:shd w:val="clear" w:color="auto" w:fill="D0CECE"/>
            <w:vAlign w:val="bottom"/>
          </w:tcPr>
          <w:p w14:paraId="76FD823B" w14:textId="77777777" w:rsidR="009622FF" w:rsidRPr="00C0047D" w:rsidRDefault="009622FF" w:rsidP="00F77838">
            <w:pPr>
              <w:jc w:val="center"/>
              <w:rPr>
                <w:b/>
                <w:color w:val="auto"/>
              </w:rPr>
            </w:pPr>
            <w:r w:rsidRPr="00C0047D">
              <w:rPr>
                <w:b/>
                <w:color w:val="auto"/>
              </w:rPr>
              <w:t>£m</w:t>
            </w:r>
          </w:p>
        </w:tc>
        <w:tc>
          <w:tcPr>
            <w:tcW w:w="857" w:type="pct"/>
            <w:shd w:val="clear" w:color="auto" w:fill="D0CECE"/>
            <w:vAlign w:val="bottom"/>
          </w:tcPr>
          <w:p w14:paraId="7679FB9B" w14:textId="77777777" w:rsidR="009622FF" w:rsidRPr="00C0047D" w:rsidRDefault="009622FF" w:rsidP="00F77838">
            <w:pPr>
              <w:jc w:val="center"/>
              <w:rPr>
                <w:b/>
                <w:color w:val="auto"/>
              </w:rPr>
            </w:pPr>
            <w:r w:rsidRPr="00C0047D">
              <w:rPr>
                <w:b/>
                <w:color w:val="auto"/>
              </w:rPr>
              <w:t>£m</w:t>
            </w:r>
          </w:p>
        </w:tc>
        <w:tc>
          <w:tcPr>
            <w:tcW w:w="796" w:type="pct"/>
            <w:shd w:val="clear" w:color="auto" w:fill="D0CECE"/>
            <w:vAlign w:val="bottom"/>
          </w:tcPr>
          <w:p w14:paraId="40B651FC" w14:textId="77777777" w:rsidR="009622FF" w:rsidRPr="00C0047D" w:rsidRDefault="009622FF" w:rsidP="00F77838">
            <w:pPr>
              <w:jc w:val="center"/>
              <w:rPr>
                <w:b/>
                <w:color w:val="auto"/>
              </w:rPr>
            </w:pPr>
            <w:r w:rsidRPr="00C0047D">
              <w:rPr>
                <w:b/>
                <w:color w:val="auto"/>
              </w:rPr>
              <w:t>£m</w:t>
            </w:r>
          </w:p>
        </w:tc>
        <w:tc>
          <w:tcPr>
            <w:tcW w:w="568" w:type="pct"/>
            <w:shd w:val="clear" w:color="auto" w:fill="D0CECE"/>
            <w:vAlign w:val="bottom"/>
          </w:tcPr>
          <w:p w14:paraId="2D7400F2" w14:textId="77777777" w:rsidR="009622FF" w:rsidRPr="00C0047D" w:rsidRDefault="009622FF" w:rsidP="00F77838">
            <w:pPr>
              <w:jc w:val="center"/>
              <w:rPr>
                <w:b/>
                <w:color w:val="auto"/>
              </w:rPr>
            </w:pPr>
            <w:r w:rsidRPr="00C0047D">
              <w:rPr>
                <w:b/>
                <w:color w:val="auto"/>
              </w:rPr>
              <w:t>£m</w:t>
            </w:r>
          </w:p>
        </w:tc>
      </w:tr>
      <w:tr w:rsidR="009622FF" w:rsidRPr="00C0047D" w14:paraId="7A0D7440" w14:textId="77777777" w:rsidTr="00A06955">
        <w:trPr>
          <w:trHeight w:val="369"/>
        </w:trPr>
        <w:tc>
          <w:tcPr>
            <w:tcW w:w="1287" w:type="pct"/>
            <w:shd w:val="clear" w:color="auto" w:fill="auto"/>
            <w:vAlign w:val="bottom"/>
          </w:tcPr>
          <w:p w14:paraId="19D0AD62" w14:textId="77777777" w:rsidR="009622FF" w:rsidRPr="00342A1F" w:rsidRDefault="009622FF" w:rsidP="00F77838">
            <w:pPr>
              <w:jc w:val="left"/>
              <w:rPr>
                <w:color w:val="auto"/>
              </w:rPr>
            </w:pPr>
            <w:r w:rsidRPr="00342A1F">
              <w:rPr>
                <w:color w:val="auto"/>
              </w:rPr>
              <w:t>Fees, charges &amp; other service income</w:t>
            </w:r>
          </w:p>
        </w:tc>
        <w:tc>
          <w:tcPr>
            <w:tcW w:w="814" w:type="pct"/>
            <w:shd w:val="clear" w:color="auto" w:fill="auto"/>
            <w:vAlign w:val="bottom"/>
          </w:tcPr>
          <w:p w14:paraId="75984DFB" w14:textId="3BDABBCA" w:rsidR="009622FF" w:rsidRPr="00342A1F" w:rsidRDefault="00983E11" w:rsidP="00135601">
            <w:pPr>
              <w:tabs>
                <w:tab w:val="decimal" w:pos="1084"/>
              </w:tabs>
              <w:rPr>
                <w:color w:val="auto"/>
              </w:rPr>
            </w:pPr>
            <w:r>
              <w:rPr>
                <w:color w:val="auto"/>
              </w:rPr>
              <w:t>(</w:t>
            </w:r>
            <w:r w:rsidR="002C285E">
              <w:rPr>
                <w:color w:val="auto"/>
              </w:rPr>
              <w:t>107.5</w:t>
            </w:r>
            <w:r>
              <w:rPr>
                <w:color w:val="auto"/>
              </w:rPr>
              <w:t>)</w:t>
            </w:r>
          </w:p>
        </w:tc>
        <w:tc>
          <w:tcPr>
            <w:tcW w:w="678" w:type="pct"/>
            <w:vAlign w:val="bottom"/>
          </w:tcPr>
          <w:p w14:paraId="6EF49E07" w14:textId="0D624413" w:rsidR="009622FF" w:rsidRPr="00342A1F" w:rsidRDefault="009716DC" w:rsidP="00135601">
            <w:pPr>
              <w:tabs>
                <w:tab w:val="decimal" w:pos="952"/>
              </w:tabs>
              <w:rPr>
                <w:color w:val="auto"/>
              </w:rPr>
            </w:pPr>
            <w:r>
              <w:rPr>
                <w:color w:val="auto"/>
              </w:rPr>
              <w:t>(</w:t>
            </w:r>
            <w:r w:rsidR="00344756">
              <w:rPr>
                <w:color w:val="auto"/>
              </w:rPr>
              <w:t>62.1</w:t>
            </w:r>
            <w:r>
              <w:rPr>
                <w:color w:val="auto"/>
              </w:rPr>
              <w:t>)</w:t>
            </w:r>
          </w:p>
        </w:tc>
        <w:tc>
          <w:tcPr>
            <w:tcW w:w="857" w:type="pct"/>
            <w:vAlign w:val="bottom"/>
          </w:tcPr>
          <w:p w14:paraId="395F5885" w14:textId="764D58F5" w:rsidR="009622FF" w:rsidRPr="00342A1F" w:rsidRDefault="009716DC" w:rsidP="00135601">
            <w:pPr>
              <w:tabs>
                <w:tab w:val="decimal" w:pos="1244"/>
              </w:tabs>
              <w:rPr>
                <w:color w:val="auto"/>
              </w:rPr>
            </w:pPr>
            <w:r>
              <w:rPr>
                <w:color w:val="auto"/>
              </w:rPr>
              <w:t>(</w:t>
            </w:r>
            <w:r w:rsidR="009622FF" w:rsidRPr="00342A1F">
              <w:rPr>
                <w:color w:val="auto"/>
              </w:rPr>
              <w:t>56.9</w:t>
            </w:r>
            <w:r>
              <w:rPr>
                <w:color w:val="auto"/>
              </w:rPr>
              <w:t>)</w:t>
            </w:r>
          </w:p>
        </w:tc>
        <w:tc>
          <w:tcPr>
            <w:tcW w:w="796" w:type="pct"/>
            <w:shd w:val="clear" w:color="auto" w:fill="auto"/>
            <w:vAlign w:val="bottom"/>
          </w:tcPr>
          <w:p w14:paraId="19D3C866" w14:textId="245CA6E0" w:rsidR="009622FF" w:rsidRPr="00342A1F" w:rsidRDefault="009716DC" w:rsidP="003B4013">
            <w:pPr>
              <w:tabs>
                <w:tab w:val="decimal" w:pos="1118"/>
              </w:tabs>
              <w:rPr>
                <w:color w:val="auto"/>
              </w:rPr>
            </w:pPr>
            <w:r>
              <w:rPr>
                <w:color w:val="auto"/>
              </w:rPr>
              <w:t>(</w:t>
            </w:r>
            <w:r w:rsidR="00344756">
              <w:rPr>
                <w:color w:val="auto"/>
              </w:rPr>
              <w:t>90.5</w:t>
            </w:r>
            <w:r>
              <w:rPr>
                <w:color w:val="auto"/>
              </w:rPr>
              <w:t>)</w:t>
            </w:r>
          </w:p>
        </w:tc>
        <w:tc>
          <w:tcPr>
            <w:tcW w:w="568" w:type="pct"/>
            <w:shd w:val="clear" w:color="auto" w:fill="auto"/>
            <w:vAlign w:val="bottom"/>
          </w:tcPr>
          <w:p w14:paraId="6CBBC1FA" w14:textId="516308AD" w:rsidR="009622FF" w:rsidRPr="00342A1F" w:rsidRDefault="009716DC" w:rsidP="003B4013">
            <w:pPr>
              <w:tabs>
                <w:tab w:val="decimal" w:pos="759"/>
              </w:tabs>
              <w:rPr>
                <w:color w:val="auto"/>
              </w:rPr>
            </w:pPr>
            <w:r>
              <w:rPr>
                <w:color w:val="auto"/>
              </w:rPr>
              <w:t>(</w:t>
            </w:r>
            <w:r w:rsidR="002C285E">
              <w:rPr>
                <w:color w:val="auto"/>
              </w:rPr>
              <w:t>317.0</w:t>
            </w:r>
            <w:r>
              <w:rPr>
                <w:color w:val="auto"/>
              </w:rPr>
              <w:t>)</w:t>
            </w:r>
          </w:p>
        </w:tc>
      </w:tr>
      <w:tr w:rsidR="009622FF" w:rsidRPr="00C0047D" w14:paraId="7EE09EEE" w14:textId="77777777" w:rsidTr="00A06955">
        <w:trPr>
          <w:trHeight w:val="369"/>
        </w:trPr>
        <w:tc>
          <w:tcPr>
            <w:tcW w:w="1287" w:type="pct"/>
            <w:shd w:val="clear" w:color="auto" w:fill="auto"/>
            <w:vAlign w:val="bottom"/>
          </w:tcPr>
          <w:p w14:paraId="7131B2C2" w14:textId="77777777" w:rsidR="009622FF" w:rsidRPr="00342A1F" w:rsidRDefault="009622FF" w:rsidP="00F77838">
            <w:pPr>
              <w:jc w:val="left"/>
              <w:rPr>
                <w:color w:val="auto"/>
              </w:rPr>
            </w:pPr>
            <w:r w:rsidRPr="00342A1F">
              <w:rPr>
                <w:rFonts w:eastAsia="Times New Roman" w:cs="Arial"/>
                <w:lang w:eastAsia="en-GB"/>
              </w:rPr>
              <w:t>Government grants</w:t>
            </w:r>
          </w:p>
        </w:tc>
        <w:tc>
          <w:tcPr>
            <w:tcW w:w="814" w:type="pct"/>
            <w:tcBorders>
              <w:bottom w:val="single" w:sz="4" w:space="0" w:color="auto"/>
            </w:tcBorders>
            <w:shd w:val="clear" w:color="auto" w:fill="auto"/>
            <w:vAlign w:val="bottom"/>
          </w:tcPr>
          <w:p w14:paraId="1AA3B1E4" w14:textId="5F50BBF3" w:rsidR="009622FF" w:rsidRPr="00342A1F" w:rsidRDefault="00983E11" w:rsidP="00135601">
            <w:pPr>
              <w:tabs>
                <w:tab w:val="decimal" w:pos="1084"/>
              </w:tabs>
              <w:rPr>
                <w:color w:val="auto"/>
              </w:rPr>
            </w:pPr>
            <w:r>
              <w:rPr>
                <w:color w:val="auto"/>
              </w:rPr>
              <w:t>(</w:t>
            </w:r>
            <w:r w:rsidR="002C285E">
              <w:rPr>
                <w:color w:val="auto"/>
              </w:rPr>
              <w:t>83.5</w:t>
            </w:r>
            <w:r>
              <w:rPr>
                <w:color w:val="auto"/>
              </w:rPr>
              <w:t>)</w:t>
            </w:r>
          </w:p>
        </w:tc>
        <w:tc>
          <w:tcPr>
            <w:tcW w:w="678" w:type="pct"/>
            <w:tcBorders>
              <w:bottom w:val="single" w:sz="4" w:space="0" w:color="auto"/>
            </w:tcBorders>
            <w:vAlign w:val="bottom"/>
          </w:tcPr>
          <w:p w14:paraId="14EC4395" w14:textId="4124DBB5" w:rsidR="009622FF" w:rsidRPr="00342A1F" w:rsidRDefault="009716DC" w:rsidP="00135601">
            <w:pPr>
              <w:tabs>
                <w:tab w:val="decimal" w:pos="952"/>
              </w:tabs>
              <w:rPr>
                <w:color w:val="auto"/>
              </w:rPr>
            </w:pPr>
            <w:r>
              <w:rPr>
                <w:color w:val="auto"/>
              </w:rPr>
              <w:t>(</w:t>
            </w:r>
            <w:r w:rsidR="00BC08C4">
              <w:rPr>
                <w:color w:val="auto"/>
              </w:rPr>
              <w:t>8</w:t>
            </w:r>
            <w:r w:rsidR="00A210DB">
              <w:rPr>
                <w:color w:val="auto"/>
              </w:rPr>
              <w:t>7</w:t>
            </w:r>
            <w:r w:rsidR="00BC08C4">
              <w:rPr>
                <w:color w:val="auto"/>
              </w:rPr>
              <w:t>6.</w:t>
            </w:r>
            <w:r w:rsidR="00CB199D">
              <w:rPr>
                <w:color w:val="auto"/>
              </w:rPr>
              <w:t>1</w:t>
            </w:r>
            <w:r>
              <w:rPr>
                <w:color w:val="auto"/>
              </w:rPr>
              <w:t>)</w:t>
            </w:r>
          </w:p>
        </w:tc>
        <w:tc>
          <w:tcPr>
            <w:tcW w:w="857" w:type="pct"/>
            <w:tcBorders>
              <w:bottom w:val="single" w:sz="4" w:space="0" w:color="auto"/>
            </w:tcBorders>
            <w:vAlign w:val="bottom"/>
          </w:tcPr>
          <w:p w14:paraId="46E9771B" w14:textId="00F7E1E7" w:rsidR="009622FF" w:rsidRPr="00342A1F" w:rsidRDefault="009716DC" w:rsidP="00135601">
            <w:pPr>
              <w:tabs>
                <w:tab w:val="decimal" w:pos="1244"/>
              </w:tabs>
              <w:rPr>
                <w:color w:val="auto"/>
              </w:rPr>
            </w:pPr>
            <w:r>
              <w:rPr>
                <w:color w:val="auto"/>
              </w:rPr>
              <w:t>(</w:t>
            </w:r>
            <w:r w:rsidR="009622FF" w:rsidRPr="00342A1F">
              <w:rPr>
                <w:color w:val="auto"/>
              </w:rPr>
              <w:t>14.7</w:t>
            </w:r>
            <w:r>
              <w:rPr>
                <w:color w:val="auto"/>
              </w:rPr>
              <w:t>)</w:t>
            </w:r>
          </w:p>
        </w:tc>
        <w:tc>
          <w:tcPr>
            <w:tcW w:w="796" w:type="pct"/>
            <w:tcBorders>
              <w:bottom w:val="single" w:sz="4" w:space="0" w:color="auto"/>
            </w:tcBorders>
            <w:shd w:val="clear" w:color="auto" w:fill="auto"/>
            <w:vAlign w:val="bottom"/>
          </w:tcPr>
          <w:p w14:paraId="058B27B2" w14:textId="38F1C04D" w:rsidR="009622FF" w:rsidRPr="00342A1F" w:rsidRDefault="009716DC" w:rsidP="003B4013">
            <w:pPr>
              <w:tabs>
                <w:tab w:val="decimal" w:pos="1118"/>
              </w:tabs>
              <w:rPr>
                <w:color w:val="auto"/>
              </w:rPr>
            </w:pPr>
            <w:r>
              <w:rPr>
                <w:color w:val="auto"/>
              </w:rPr>
              <w:t>(</w:t>
            </w:r>
            <w:r w:rsidR="00344756">
              <w:rPr>
                <w:color w:val="auto"/>
              </w:rPr>
              <w:t>45.4</w:t>
            </w:r>
            <w:r>
              <w:rPr>
                <w:color w:val="auto"/>
              </w:rPr>
              <w:t>)</w:t>
            </w:r>
          </w:p>
        </w:tc>
        <w:tc>
          <w:tcPr>
            <w:tcW w:w="568" w:type="pct"/>
            <w:tcBorders>
              <w:bottom w:val="single" w:sz="4" w:space="0" w:color="auto"/>
            </w:tcBorders>
            <w:shd w:val="clear" w:color="auto" w:fill="auto"/>
            <w:vAlign w:val="bottom"/>
          </w:tcPr>
          <w:p w14:paraId="467E85D2" w14:textId="55AB3062" w:rsidR="009622FF" w:rsidRPr="00342A1F" w:rsidRDefault="009716DC" w:rsidP="00A210DB">
            <w:pPr>
              <w:tabs>
                <w:tab w:val="decimal" w:pos="759"/>
              </w:tabs>
              <w:rPr>
                <w:color w:val="auto"/>
              </w:rPr>
            </w:pPr>
            <w:r>
              <w:rPr>
                <w:color w:val="auto"/>
              </w:rPr>
              <w:t>(</w:t>
            </w:r>
            <w:r w:rsidR="00BC08C4">
              <w:rPr>
                <w:color w:val="auto"/>
              </w:rPr>
              <w:t>1,0</w:t>
            </w:r>
            <w:r w:rsidR="002C285E">
              <w:rPr>
                <w:color w:val="auto"/>
              </w:rPr>
              <w:t>19.7</w:t>
            </w:r>
            <w:r>
              <w:rPr>
                <w:color w:val="auto"/>
              </w:rPr>
              <w:t>)</w:t>
            </w:r>
          </w:p>
        </w:tc>
      </w:tr>
      <w:tr w:rsidR="009622FF" w:rsidRPr="00C0047D" w14:paraId="1393703C" w14:textId="77777777" w:rsidTr="00A06955">
        <w:trPr>
          <w:trHeight w:val="369"/>
        </w:trPr>
        <w:tc>
          <w:tcPr>
            <w:tcW w:w="1287" w:type="pct"/>
            <w:shd w:val="clear" w:color="auto" w:fill="auto"/>
            <w:vAlign w:val="bottom"/>
          </w:tcPr>
          <w:p w14:paraId="0A3E01E8" w14:textId="77777777" w:rsidR="009622FF" w:rsidRPr="00342A1F" w:rsidRDefault="009622FF" w:rsidP="00F77838">
            <w:pPr>
              <w:jc w:val="left"/>
              <w:rPr>
                <w:b/>
                <w:color w:val="auto"/>
              </w:rPr>
            </w:pPr>
            <w:r w:rsidRPr="00342A1F">
              <w:rPr>
                <w:b/>
                <w:color w:val="auto"/>
              </w:rPr>
              <w:t>Total Income</w:t>
            </w:r>
          </w:p>
        </w:tc>
        <w:tc>
          <w:tcPr>
            <w:tcW w:w="814" w:type="pct"/>
            <w:tcBorders>
              <w:top w:val="single" w:sz="4" w:space="0" w:color="auto"/>
              <w:bottom w:val="nil"/>
            </w:tcBorders>
            <w:shd w:val="clear" w:color="auto" w:fill="auto"/>
            <w:vAlign w:val="bottom"/>
          </w:tcPr>
          <w:p w14:paraId="07DBD50F" w14:textId="3E77BF5F" w:rsidR="009622FF" w:rsidRPr="00342A1F" w:rsidRDefault="009716DC" w:rsidP="00135601">
            <w:pPr>
              <w:tabs>
                <w:tab w:val="decimal" w:pos="1084"/>
              </w:tabs>
              <w:rPr>
                <w:b/>
                <w:color w:val="auto"/>
              </w:rPr>
            </w:pPr>
            <w:r>
              <w:rPr>
                <w:b/>
                <w:color w:val="auto"/>
              </w:rPr>
              <w:t>(</w:t>
            </w:r>
            <w:r w:rsidR="00344756">
              <w:rPr>
                <w:b/>
                <w:color w:val="auto"/>
              </w:rPr>
              <w:t>191.0</w:t>
            </w:r>
            <w:r>
              <w:rPr>
                <w:b/>
                <w:color w:val="auto"/>
              </w:rPr>
              <w:t>)</w:t>
            </w:r>
          </w:p>
        </w:tc>
        <w:tc>
          <w:tcPr>
            <w:tcW w:w="678" w:type="pct"/>
            <w:tcBorders>
              <w:top w:val="single" w:sz="4" w:space="0" w:color="auto"/>
              <w:bottom w:val="nil"/>
            </w:tcBorders>
            <w:vAlign w:val="bottom"/>
          </w:tcPr>
          <w:p w14:paraId="178967A2" w14:textId="236BF2C6" w:rsidR="009622FF" w:rsidRPr="00342A1F" w:rsidRDefault="009716DC" w:rsidP="00A210DB">
            <w:pPr>
              <w:tabs>
                <w:tab w:val="decimal" w:pos="952"/>
              </w:tabs>
              <w:rPr>
                <w:b/>
                <w:color w:val="auto"/>
              </w:rPr>
            </w:pPr>
            <w:r>
              <w:rPr>
                <w:b/>
                <w:color w:val="auto"/>
              </w:rPr>
              <w:t>(</w:t>
            </w:r>
            <w:r w:rsidR="00BC08C4">
              <w:rPr>
                <w:b/>
                <w:color w:val="auto"/>
              </w:rPr>
              <w:t>9</w:t>
            </w:r>
            <w:r w:rsidR="00CB199D">
              <w:rPr>
                <w:b/>
                <w:color w:val="auto"/>
              </w:rPr>
              <w:t>38.2</w:t>
            </w:r>
            <w:r>
              <w:rPr>
                <w:b/>
                <w:color w:val="auto"/>
              </w:rPr>
              <w:t>)</w:t>
            </w:r>
          </w:p>
        </w:tc>
        <w:tc>
          <w:tcPr>
            <w:tcW w:w="857" w:type="pct"/>
            <w:tcBorders>
              <w:top w:val="single" w:sz="4" w:space="0" w:color="auto"/>
              <w:bottom w:val="nil"/>
            </w:tcBorders>
            <w:vAlign w:val="bottom"/>
          </w:tcPr>
          <w:p w14:paraId="0D597AC3" w14:textId="22AA2996" w:rsidR="009622FF" w:rsidRPr="00342A1F" w:rsidRDefault="009716DC" w:rsidP="00135601">
            <w:pPr>
              <w:tabs>
                <w:tab w:val="decimal" w:pos="1244"/>
              </w:tabs>
              <w:rPr>
                <w:b/>
                <w:color w:val="auto"/>
              </w:rPr>
            </w:pPr>
            <w:r>
              <w:rPr>
                <w:b/>
                <w:color w:val="auto"/>
              </w:rPr>
              <w:t>(</w:t>
            </w:r>
            <w:r w:rsidR="009622FF" w:rsidRPr="00342A1F">
              <w:rPr>
                <w:b/>
                <w:color w:val="auto"/>
              </w:rPr>
              <w:t>71.6</w:t>
            </w:r>
            <w:r>
              <w:rPr>
                <w:b/>
                <w:color w:val="auto"/>
              </w:rPr>
              <w:t>)</w:t>
            </w:r>
          </w:p>
        </w:tc>
        <w:tc>
          <w:tcPr>
            <w:tcW w:w="796" w:type="pct"/>
            <w:tcBorders>
              <w:top w:val="single" w:sz="4" w:space="0" w:color="auto"/>
              <w:bottom w:val="nil"/>
            </w:tcBorders>
            <w:shd w:val="clear" w:color="auto" w:fill="auto"/>
            <w:vAlign w:val="bottom"/>
          </w:tcPr>
          <w:p w14:paraId="3CC73433" w14:textId="227A583F" w:rsidR="009622FF" w:rsidRPr="00690C5C" w:rsidRDefault="009716DC" w:rsidP="003B4013">
            <w:pPr>
              <w:tabs>
                <w:tab w:val="decimal" w:pos="1118"/>
              </w:tabs>
              <w:rPr>
                <w:b/>
                <w:color w:val="auto"/>
              </w:rPr>
            </w:pPr>
            <w:r>
              <w:rPr>
                <w:b/>
                <w:color w:val="auto"/>
              </w:rPr>
              <w:t>(</w:t>
            </w:r>
            <w:r w:rsidR="00344756">
              <w:rPr>
                <w:b/>
                <w:color w:val="auto"/>
              </w:rPr>
              <w:t>135.9</w:t>
            </w:r>
            <w:r>
              <w:rPr>
                <w:b/>
                <w:color w:val="auto"/>
              </w:rPr>
              <w:t>)</w:t>
            </w:r>
          </w:p>
        </w:tc>
        <w:tc>
          <w:tcPr>
            <w:tcW w:w="568" w:type="pct"/>
            <w:tcBorders>
              <w:top w:val="single" w:sz="4" w:space="0" w:color="auto"/>
              <w:bottom w:val="nil"/>
            </w:tcBorders>
            <w:shd w:val="clear" w:color="auto" w:fill="auto"/>
            <w:vAlign w:val="bottom"/>
          </w:tcPr>
          <w:p w14:paraId="412A6C8F" w14:textId="20C480C3" w:rsidR="009622FF" w:rsidRPr="00342A1F" w:rsidRDefault="009716DC" w:rsidP="00A210DB">
            <w:pPr>
              <w:tabs>
                <w:tab w:val="decimal" w:pos="759"/>
              </w:tabs>
              <w:rPr>
                <w:b/>
                <w:color w:val="auto"/>
              </w:rPr>
            </w:pPr>
            <w:r>
              <w:rPr>
                <w:b/>
                <w:color w:val="auto"/>
              </w:rPr>
              <w:t>(</w:t>
            </w:r>
            <w:r w:rsidR="00BC08C4">
              <w:rPr>
                <w:b/>
                <w:color w:val="auto"/>
              </w:rPr>
              <w:t>1,3</w:t>
            </w:r>
            <w:r w:rsidR="00CB199D">
              <w:rPr>
                <w:b/>
                <w:color w:val="auto"/>
              </w:rPr>
              <w:t>36.7</w:t>
            </w:r>
            <w:r>
              <w:rPr>
                <w:b/>
                <w:color w:val="auto"/>
              </w:rPr>
              <w:t>)</w:t>
            </w:r>
          </w:p>
        </w:tc>
      </w:tr>
      <w:tr w:rsidR="009622FF" w:rsidRPr="00C0047D" w14:paraId="36066D41" w14:textId="77777777" w:rsidTr="00A06955">
        <w:trPr>
          <w:trHeight w:val="178"/>
        </w:trPr>
        <w:tc>
          <w:tcPr>
            <w:tcW w:w="1287" w:type="pct"/>
            <w:shd w:val="clear" w:color="auto" w:fill="auto"/>
            <w:vAlign w:val="bottom"/>
          </w:tcPr>
          <w:p w14:paraId="1A456FD0" w14:textId="77777777" w:rsidR="009622FF" w:rsidRPr="00342A1F" w:rsidRDefault="009622FF" w:rsidP="00F77838">
            <w:pPr>
              <w:jc w:val="left"/>
              <w:rPr>
                <w:b/>
                <w:color w:val="auto"/>
              </w:rPr>
            </w:pPr>
          </w:p>
        </w:tc>
        <w:tc>
          <w:tcPr>
            <w:tcW w:w="814" w:type="pct"/>
            <w:tcBorders>
              <w:top w:val="nil"/>
            </w:tcBorders>
            <w:shd w:val="clear" w:color="auto" w:fill="auto"/>
            <w:vAlign w:val="bottom"/>
          </w:tcPr>
          <w:p w14:paraId="74DF3302" w14:textId="77777777" w:rsidR="009622FF" w:rsidRPr="00342A1F" w:rsidRDefault="009622FF" w:rsidP="00135601">
            <w:pPr>
              <w:tabs>
                <w:tab w:val="decimal" w:pos="1084"/>
              </w:tabs>
              <w:rPr>
                <w:b/>
                <w:color w:val="auto"/>
              </w:rPr>
            </w:pPr>
          </w:p>
        </w:tc>
        <w:tc>
          <w:tcPr>
            <w:tcW w:w="678" w:type="pct"/>
            <w:tcBorders>
              <w:top w:val="nil"/>
            </w:tcBorders>
            <w:vAlign w:val="bottom"/>
          </w:tcPr>
          <w:p w14:paraId="31B4D9A0" w14:textId="77777777" w:rsidR="009622FF" w:rsidRPr="00342A1F" w:rsidRDefault="009622FF" w:rsidP="00135601">
            <w:pPr>
              <w:tabs>
                <w:tab w:val="decimal" w:pos="952"/>
              </w:tabs>
              <w:rPr>
                <w:b/>
                <w:color w:val="auto"/>
              </w:rPr>
            </w:pPr>
          </w:p>
        </w:tc>
        <w:tc>
          <w:tcPr>
            <w:tcW w:w="857" w:type="pct"/>
            <w:tcBorders>
              <w:top w:val="nil"/>
            </w:tcBorders>
            <w:vAlign w:val="bottom"/>
          </w:tcPr>
          <w:p w14:paraId="020D9962" w14:textId="77777777" w:rsidR="009622FF" w:rsidRPr="00342A1F" w:rsidRDefault="009622FF" w:rsidP="00135601">
            <w:pPr>
              <w:tabs>
                <w:tab w:val="decimal" w:pos="1244"/>
              </w:tabs>
              <w:rPr>
                <w:b/>
                <w:color w:val="auto"/>
              </w:rPr>
            </w:pPr>
          </w:p>
        </w:tc>
        <w:tc>
          <w:tcPr>
            <w:tcW w:w="796" w:type="pct"/>
            <w:tcBorders>
              <w:top w:val="nil"/>
            </w:tcBorders>
            <w:shd w:val="clear" w:color="auto" w:fill="auto"/>
            <w:vAlign w:val="bottom"/>
          </w:tcPr>
          <w:p w14:paraId="5EC1F84D" w14:textId="77777777" w:rsidR="009622FF" w:rsidRPr="00342A1F" w:rsidRDefault="009622FF" w:rsidP="003B4013">
            <w:pPr>
              <w:tabs>
                <w:tab w:val="decimal" w:pos="1118"/>
              </w:tabs>
              <w:rPr>
                <w:b/>
                <w:color w:val="auto"/>
              </w:rPr>
            </w:pPr>
          </w:p>
        </w:tc>
        <w:tc>
          <w:tcPr>
            <w:tcW w:w="568" w:type="pct"/>
            <w:tcBorders>
              <w:top w:val="nil"/>
            </w:tcBorders>
            <w:shd w:val="clear" w:color="auto" w:fill="auto"/>
            <w:vAlign w:val="bottom"/>
          </w:tcPr>
          <w:p w14:paraId="525F888D" w14:textId="77777777" w:rsidR="009622FF" w:rsidRPr="00342A1F" w:rsidRDefault="009622FF" w:rsidP="003B4013">
            <w:pPr>
              <w:tabs>
                <w:tab w:val="decimal" w:pos="759"/>
              </w:tabs>
              <w:rPr>
                <w:b/>
                <w:color w:val="auto"/>
              </w:rPr>
            </w:pPr>
          </w:p>
        </w:tc>
      </w:tr>
      <w:tr w:rsidR="009622FF" w:rsidRPr="00C0047D" w14:paraId="395C1B56" w14:textId="77777777" w:rsidTr="00A06955">
        <w:trPr>
          <w:trHeight w:val="369"/>
        </w:trPr>
        <w:tc>
          <w:tcPr>
            <w:tcW w:w="1287" w:type="pct"/>
            <w:shd w:val="clear" w:color="auto" w:fill="auto"/>
            <w:vAlign w:val="bottom"/>
          </w:tcPr>
          <w:p w14:paraId="2F9A1CE6" w14:textId="77777777" w:rsidR="009622FF" w:rsidRPr="00342A1F" w:rsidRDefault="009622FF" w:rsidP="00F77838">
            <w:pPr>
              <w:jc w:val="left"/>
              <w:rPr>
                <w:color w:val="auto"/>
              </w:rPr>
            </w:pPr>
            <w:r w:rsidRPr="00342A1F">
              <w:rPr>
                <w:color w:val="auto"/>
              </w:rPr>
              <w:t>Employee expenses</w:t>
            </w:r>
          </w:p>
        </w:tc>
        <w:tc>
          <w:tcPr>
            <w:tcW w:w="814" w:type="pct"/>
            <w:shd w:val="clear" w:color="auto" w:fill="auto"/>
            <w:vAlign w:val="bottom"/>
          </w:tcPr>
          <w:p w14:paraId="46536591" w14:textId="0E825F76" w:rsidR="009622FF" w:rsidRPr="00690C5C" w:rsidRDefault="00344756" w:rsidP="00135601">
            <w:pPr>
              <w:tabs>
                <w:tab w:val="decimal" w:pos="1084"/>
              </w:tabs>
              <w:rPr>
                <w:color w:val="auto"/>
              </w:rPr>
            </w:pPr>
            <w:r>
              <w:rPr>
                <w:color w:val="auto"/>
              </w:rPr>
              <w:t>98.8</w:t>
            </w:r>
          </w:p>
        </w:tc>
        <w:tc>
          <w:tcPr>
            <w:tcW w:w="678" w:type="pct"/>
            <w:vAlign w:val="bottom"/>
          </w:tcPr>
          <w:p w14:paraId="086C467E" w14:textId="7CDBD663" w:rsidR="009622FF" w:rsidRPr="00342A1F" w:rsidRDefault="009622FF" w:rsidP="00135601">
            <w:pPr>
              <w:tabs>
                <w:tab w:val="decimal" w:pos="952"/>
              </w:tabs>
              <w:rPr>
                <w:color w:val="auto"/>
              </w:rPr>
            </w:pPr>
            <w:r w:rsidRPr="00690C5C">
              <w:rPr>
                <w:color w:val="auto"/>
              </w:rPr>
              <w:t>694.</w:t>
            </w:r>
            <w:r w:rsidR="00344756">
              <w:rPr>
                <w:color w:val="auto"/>
              </w:rPr>
              <w:t>7</w:t>
            </w:r>
          </w:p>
        </w:tc>
        <w:tc>
          <w:tcPr>
            <w:tcW w:w="857" w:type="pct"/>
            <w:vAlign w:val="bottom"/>
          </w:tcPr>
          <w:p w14:paraId="3CD908F2" w14:textId="16256071" w:rsidR="009622FF" w:rsidRPr="00342A1F" w:rsidRDefault="009622FF" w:rsidP="00135601">
            <w:pPr>
              <w:tabs>
                <w:tab w:val="decimal" w:pos="1244"/>
              </w:tabs>
              <w:rPr>
                <w:color w:val="auto"/>
              </w:rPr>
            </w:pPr>
            <w:r w:rsidRPr="00690C5C">
              <w:rPr>
                <w:color w:val="auto"/>
              </w:rPr>
              <w:t>52.</w:t>
            </w:r>
            <w:r w:rsidR="00344756">
              <w:rPr>
                <w:color w:val="auto"/>
              </w:rPr>
              <w:t>6</w:t>
            </w:r>
          </w:p>
        </w:tc>
        <w:tc>
          <w:tcPr>
            <w:tcW w:w="796" w:type="pct"/>
            <w:shd w:val="clear" w:color="auto" w:fill="auto"/>
            <w:vAlign w:val="bottom"/>
          </w:tcPr>
          <w:p w14:paraId="6D38F617" w14:textId="77DB532F" w:rsidR="009622FF" w:rsidRPr="00342A1F" w:rsidRDefault="00344756" w:rsidP="003B4013">
            <w:pPr>
              <w:tabs>
                <w:tab w:val="decimal" w:pos="1118"/>
              </w:tabs>
              <w:rPr>
                <w:color w:val="auto"/>
              </w:rPr>
            </w:pPr>
            <w:r>
              <w:rPr>
                <w:color w:val="auto"/>
              </w:rPr>
              <w:t>79.0</w:t>
            </w:r>
          </w:p>
        </w:tc>
        <w:tc>
          <w:tcPr>
            <w:tcW w:w="568" w:type="pct"/>
            <w:shd w:val="clear" w:color="auto" w:fill="auto"/>
            <w:vAlign w:val="bottom"/>
          </w:tcPr>
          <w:p w14:paraId="3D45C9D1" w14:textId="5E268EDA" w:rsidR="009622FF" w:rsidRPr="00342A1F" w:rsidRDefault="00344756" w:rsidP="003B4013">
            <w:pPr>
              <w:tabs>
                <w:tab w:val="decimal" w:pos="759"/>
              </w:tabs>
              <w:rPr>
                <w:color w:val="auto"/>
              </w:rPr>
            </w:pPr>
            <w:r>
              <w:rPr>
                <w:color w:val="auto"/>
              </w:rPr>
              <w:t>925.1</w:t>
            </w:r>
          </w:p>
        </w:tc>
      </w:tr>
      <w:tr w:rsidR="009622FF" w:rsidRPr="00C0047D" w14:paraId="72A7D99F" w14:textId="77777777" w:rsidTr="00A06955">
        <w:trPr>
          <w:trHeight w:val="369"/>
        </w:trPr>
        <w:tc>
          <w:tcPr>
            <w:tcW w:w="1287" w:type="pct"/>
            <w:shd w:val="clear" w:color="auto" w:fill="auto"/>
            <w:vAlign w:val="bottom"/>
          </w:tcPr>
          <w:p w14:paraId="1D9185DD" w14:textId="77777777" w:rsidR="009622FF" w:rsidRPr="00342A1F" w:rsidRDefault="009622FF" w:rsidP="00F77838">
            <w:pPr>
              <w:jc w:val="left"/>
              <w:rPr>
                <w:color w:val="auto"/>
              </w:rPr>
            </w:pPr>
            <w:r w:rsidRPr="00342A1F">
              <w:rPr>
                <w:color w:val="auto"/>
              </w:rPr>
              <w:t>Other service expenses</w:t>
            </w:r>
          </w:p>
        </w:tc>
        <w:tc>
          <w:tcPr>
            <w:tcW w:w="814" w:type="pct"/>
            <w:shd w:val="clear" w:color="auto" w:fill="auto"/>
            <w:vAlign w:val="bottom"/>
          </w:tcPr>
          <w:p w14:paraId="72C93E08" w14:textId="15E066DC" w:rsidR="009622FF" w:rsidRPr="00342A1F" w:rsidRDefault="00344756" w:rsidP="00135601">
            <w:pPr>
              <w:tabs>
                <w:tab w:val="decimal" w:pos="1084"/>
              </w:tabs>
              <w:rPr>
                <w:color w:val="auto"/>
              </w:rPr>
            </w:pPr>
            <w:r>
              <w:rPr>
                <w:color w:val="auto"/>
              </w:rPr>
              <w:t>426.6</w:t>
            </w:r>
          </w:p>
        </w:tc>
        <w:tc>
          <w:tcPr>
            <w:tcW w:w="678" w:type="pct"/>
            <w:vAlign w:val="bottom"/>
          </w:tcPr>
          <w:p w14:paraId="2D5DB570" w14:textId="37C68ADF" w:rsidR="009622FF" w:rsidRPr="00342A1F" w:rsidRDefault="00344756" w:rsidP="00135601">
            <w:pPr>
              <w:tabs>
                <w:tab w:val="decimal" w:pos="952"/>
              </w:tabs>
              <w:rPr>
                <w:color w:val="auto"/>
              </w:rPr>
            </w:pPr>
            <w:r>
              <w:rPr>
                <w:color w:val="auto"/>
              </w:rPr>
              <w:t>354.9</w:t>
            </w:r>
          </w:p>
        </w:tc>
        <w:tc>
          <w:tcPr>
            <w:tcW w:w="857" w:type="pct"/>
            <w:vAlign w:val="bottom"/>
          </w:tcPr>
          <w:p w14:paraId="7F065F54" w14:textId="2A3DD462" w:rsidR="009622FF" w:rsidRPr="00342A1F" w:rsidRDefault="00344756" w:rsidP="00135601">
            <w:pPr>
              <w:tabs>
                <w:tab w:val="decimal" w:pos="1244"/>
              </w:tabs>
              <w:rPr>
                <w:color w:val="auto"/>
              </w:rPr>
            </w:pPr>
            <w:r>
              <w:rPr>
                <w:color w:val="auto"/>
              </w:rPr>
              <w:t>213.1</w:t>
            </w:r>
          </w:p>
        </w:tc>
        <w:tc>
          <w:tcPr>
            <w:tcW w:w="796" w:type="pct"/>
            <w:shd w:val="clear" w:color="auto" w:fill="auto"/>
            <w:vAlign w:val="bottom"/>
          </w:tcPr>
          <w:p w14:paraId="32840AF5" w14:textId="0378FCC6" w:rsidR="009622FF" w:rsidRPr="00342A1F" w:rsidRDefault="00344756" w:rsidP="003B4013">
            <w:pPr>
              <w:tabs>
                <w:tab w:val="decimal" w:pos="1118"/>
              </w:tabs>
              <w:rPr>
                <w:color w:val="auto"/>
              </w:rPr>
            </w:pPr>
            <w:r>
              <w:rPr>
                <w:color w:val="auto"/>
              </w:rPr>
              <w:t>151.6</w:t>
            </w:r>
          </w:p>
        </w:tc>
        <w:tc>
          <w:tcPr>
            <w:tcW w:w="568" w:type="pct"/>
            <w:shd w:val="clear" w:color="auto" w:fill="auto"/>
            <w:vAlign w:val="bottom"/>
          </w:tcPr>
          <w:p w14:paraId="0EA53325" w14:textId="54375FDB" w:rsidR="009622FF" w:rsidRPr="00342A1F" w:rsidRDefault="009622FF" w:rsidP="003B4013">
            <w:pPr>
              <w:tabs>
                <w:tab w:val="decimal" w:pos="759"/>
              </w:tabs>
              <w:rPr>
                <w:color w:val="auto"/>
              </w:rPr>
            </w:pPr>
            <w:r w:rsidRPr="00690C5C">
              <w:rPr>
                <w:color w:val="auto"/>
              </w:rPr>
              <w:t>1,</w:t>
            </w:r>
            <w:r w:rsidR="00344756">
              <w:rPr>
                <w:color w:val="auto"/>
              </w:rPr>
              <w:t>146.2</w:t>
            </w:r>
          </w:p>
        </w:tc>
      </w:tr>
      <w:tr w:rsidR="009622FF" w:rsidRPr="00C0047D" w14:paraId="05C7D85F" w14:textId="77777777" w:rsidTr="00A06955">
        <w:trPr>
          <w:trHeight w:val="369"/>
        </w:trPr>
        <w:tc>
          <w:tcPr>
            <w:tcW w:w="1287" w:type="pct"/>
            <w:shd w:val="clear" w:color="auto" w:fill="auto"/>
            <w:vAlign w:val="bottom"/>
          </w:tcPr>
          <w:p w14:paraId="2C549808" w14:textId="77777777" w:rsidR="009622FF" w:rsidRPr="00342A1F" w:rsidRDefault="009622FF" w:rsidP="00F77838">
            <w:pPr>
              <w:jc w:val="left"/>
              <w:rPr>
                <w:color w:val="auto"/>
              </w:rPr>
            </w:pPr>
            <w:r w:rsidRPr="00342A1F">
              <w:rPr>
                <w:color w:val="auto"/>
              </w:rPr>
              <w:t>Support service recharges</w:t>
            </w:r>
          </w:p>
        </w:tc>
        <w:tc>
          <w:tcPr>
            <w:tcW w:w="814" w:type="pct"/>
            <w:tcBorders>
              <w:bottom w:val="single" w:sz="4" w:space="0" w:color="auto"/>
            </w:tcBorders>
            <w:shd w:val="clear" w:color="auto" w:fill="auto"/>
            <w:vAlign w:val="bottom"/>
          </w:tcPr>
          <w:p w14:paraId="44593AB4" w14:textId="26A00EF9" w:rsidR="009622FF" w:rsidRPr="00690C5C" w:rsidRDefault="00344756" w:rsidP="00135601">
            <w:pPr>
              <w:tabs>
                <w:tab w:val="decimal" w:pos="1084"/>
              </w:tabs>
              <w:rPr>
                <w:color w:val="auto"/>
              </w:rPr>
            </w:pPr>
            <w:r>
              <w:rPr>
                <w:color w:val="auto"/>
              </w:rPr>
              <w:t>4.5</w:t>
            </w:r>
          </w:p>
        </w:tc>
        <w:tc>
          <w:tcPr>
            <w:tcW w:w="678" w:type="pct"/>
            <w:tcBorders>
              <w:bottom w:val="single" w:sz="4" w:space="0" w:color="auto"/>
            </w:tcBorders>
            <w:vAlign w:val="bottom"/>
          </w:tcPr>
          <w:p w14:paraId="2E2DF664" w14:textId="5E497862" w:rsidR="009622FF" w:rsidRPr="00690C5C" w:rsidRDefault="00344756" w:rsidP="00135601">
            <w:pPr>
              <w:tabs>
                <w:tab w:val="decimal" w:pos="952"/>
              </w:tabs>
              <w:rPr>
                <w:color w:val="auto"/>
              </w:rPr>
            </w:pPr>
            <w:r>
              <w:rPr>
                <w:color w:val="auto"/>
              </w:rPr>
              <w:t>49.0</w:t>
            </w:r>
          </w:p>
        </w:tc>
        <w:tc>
          <w:tcPr>
            <w:tcW w:w="857" w:type="pct"/>
            <w:tcBorders>
              <w:bottom w:val="single" w:sz="4" w:space="0" w:color="auto"/>
            </w:tcBorders>
            <w:vAlign w:val="bottom"/>
          </w:tcPr>
          <w:p w14:paraId="34521C7E" w14:textId="5AFD5838" w:rsidR="009622FF" w:rsidRPr="00690C5C" w:rsidRDefault="00344756" w:rsidP="00135601">
            <w:pPr>
              <w:tabs>
                <w:tab w:val="decimal" w:pos="1244"/>
              </w:tabs>
              <w:rPr>
                <w:color w:val="auto"/>
              </w:rPr>
            </w:pPr>
            <w:r>
              <w:rPr>
                <w:color w:val="auto"/>
              </w:rPr>
              <w:t>(42.8)</w:t>
            </w:r>
          </w:p>
        </w:tc>
        <w:tc>
          <w:tcPr>
            <w:tcW w:w="796" w:type="pct"/>
            <w:tcBorders>
              <w:bottom w:val="single" w:sz="4" w:space="0" w:color="auto"/>
            </w:tcBorders>
            <w:shd w:val="clear" w:color="auto" w:fill="auto"/>
            <w:vAlign w:val="bottom"/>
          </w:tcPr>
          <w:p w14:paraId="4D1BD029" w14:textId="3AF0059C" w:rsidR="009622FF" w:rsidRPr="00690C5C" w:rsidRDefault="009622FF" w:rsidP="003B4013">
            <w:pPr>
              <w:tabs>
                <w:tab w:val="decimal" w:pos="1118"/>
              </w:tabs>
              <w:rPr>
                <w:color w:val="auto"/>
              </w:rPr>
            </w:pPr>
            <w:r w:rsidRPr="00690C5C">
              <w:rPr>
                <w:color w:val="auto"/>
              </w:rPr>
              <w:t>(</w:t>
            </w:r>
            <w:r w:rsidR="00344756">
              <w:rPr>
                <w:color w:val="auto"/>
              </w:rPr>
              <w:t>22.1</w:t>
            </w:r>
            <w:r w:rsidRPr="00342A1F">
              <w:rPr>
                <w:color w:val="auto"/>
              </w:rPr>
              <w:t>)</w:t>
            </w:r>
          </w:p>
        </w:tc>
        <w:tc>
          <w:tcPr>
            <w:tcW w:w="568" w:type="pct"/>
            <w:tcBorders>
              <w:bottom w:val="single" w:sz="4" w:space="0" w:color="auto"/>
            </w:tcBorders>
            <w:shd w:val="clear" w:color="auto" w:fill="auto"/>
            <w:vAlign w:val="bottom"/>
          </w:tcPr>
          <w:p w14:paraId="3F0D8C30" w14:textId="0D1BB17D" w:rsidR="009622FF" w:rsidRPr="00690C5C" w:rsidRDefault="009622FF" w:rsidP="003B4013">
            <w:pPr>
              <w:tabs>
                <w:tab w:val="decimal" w:pos="759"/>
              </w:tabs>
              <w:rPr>
                <w:color w:val="auto"/>
              </w:rPr>
            </w:pPr>
            <w:r w:rsidRPr="00690C5C">
              <w:rPr>
                <w:color w:val="auto"/>
              </w:rPr>
              <w:t>(</w:t>
            </w:r>
            <w:r w:rsidR="00344756">
              <w:rPr>
                <w:color w:val="auto"/>
              </w:rPr>
              <w:t>11.4</w:t>
            </w:r>
            <w:r w:rsidRPr="00342A1F">
              <w:rPr>
                <w:color w:val="auto"/>
              </w:rPr>
              <w:t>)</w:t>
            </w:r>
          </w:p>
        </w:tc>
      </w:tr>
      <w:tr w:rsidR="009622FF" w:rsidRPr="00C0047D" w14:paraId="30781BE8" w14:textId="77777777" w:rsidTr="00A06955">
        <w:trPr>
          <w:trHeight w:val="369"/>
        </w:trPr>
        <w:tc>
          <w:tcPr>
            <w:tcW w:w="1287" w:type="pct"/>
            <w:shd w:val="clear" w:color="auto" w:fill="auto"/>
            <w:vAlign w:val="bottom"/>
          </w:tcPr>
          <w:p w14:paraId="5EC45A33" w14:textId="77777777" w:rsidR="009622FF" w:rsidRPr="00342A1F" w:rsidRDefault="009622FF" w:rsidP="00F77838">
            <w:pPr>
              <w:jc w:val="left"/>
              <w:rPr>
                <w:b/>
                <w:color w:val="auto"/>
              </w:rPr>
            </w:pPr>
            <w:r w:rsidRPr="00342A1F">
              <w:rPr>
                <w:b/>
                <w:color w:val="auto"/>
              </w:rPr>
              <w:t>Total Expenditure</w:t>
            </w:r>
          </w:p>
        </w:tc>
        <w:tc>
          <w:tcPr>
            <w:tcW w:w="814" w:type="pct"/>
            <w:tcBorders>
              <w:top w:val="single" w:sz="4" w:space="0" w:color="auto"/>
              <w:bottom w:val="nil"/>
            </w:tcBorders>
            <w:shd w:val="clear" w:color="auto" w:fill="auto"/>
            <w:vAlign w:val="bottom"/>
          </w:tcPr>
          <w:p w14:paraId="2DC53E61" w14:textId="6D52AE5F" w:rsidR="009622FF" w:rsidRPr="00342A1F" w:rsidRDefault="00344756" w:rsidP="00135601">
            <w:pPr>
              <w:tabs>
                <w:tab w:val="decimal" w:pos="1084"/>
              </w:tabs>
              <w:rPr>
                <w:b/>
                <w:color w:val="auto"/>
              </w:rPr>
            </w:pPr>
            <w:r>
              <w:rPr>
                <w:b/>
                <w:color w:val="auto"/>
              </w:rPr>
              <w:t>529.9</w:t>
            </w:r>
          </w:p>
        </w:tc>
        <w:tc>
          <w:tcPr>
            <w:tcW w:w="678" w:type="pct"/>
            <w:tcBorders>
              <w:top w:val="single" w:sz="4" w:space="0" w:color="auto"/>
              <w:bottom w:val="nil"/>
            </w:tcBorders>
            <w:vAlign w:val="bottom"/>
          </w:tcPr>
          <w:p w14:paraId="02F6DFA4" w14:textId="31D4228A" w:rsidR="009622FF" w:rsidRPr="00342A1F" w:rsidRDefault="009622FF" w:rsidP="00135601">
            <w:pPr>
              <w:tabs>
                <w:tab w:val="decimal" w:pos="952"/>
              </w:tabs>
              <w:rPr>
                <w:b/>
                <w:color w:val="auto"/>
              </w:rPr>
            </w:pPr>
            <w:r w:rsidRPr="00690C5C">
              <w:rPr>
                <w:b/>
                <w:color w:val="auto"/>
              </w:rPr>
              <w:t>1,</w:t>
            </w:r>
            <w:r w:rsidR="00344756">
              <w:rPr>
                <w:b/>
                <w:color w:val="auto"/>
              </w:rPr>
              <w:t>098.6</w:t>
            </w:r>
          </w:p>
        </w:tc>
        <w:tc>
          <w:tcPr>
            <w:tcW w:w="857" w:type="pct"/>
            <w:tcBorders>
              <w:top w:val="single" w:sz="4" w:space="0" w:color="auto"/>
              <w:bottom w:val="nil"/>
            </w:tcBorders>
            <w:vAlign w:val="bottom"/>
          </w:tcPr>
          <w:p w14:paraId="53EE463B" w14:textId="07DFA3FE" w:rsidR="009622FF" w:rsidRPr="00342A1F" w:rsidRDefault="00344756" w:rsidP="00135601">
            <w:pPr>
              <w:tabs>
                <w:tab w:val="decimal" w:pos="1244"/>
              </w:tabs>
              <w:rPr>
                <w:b/>
                <w:color w:val="auto"/>
              </w:rPr>
            </w:pPr>
            <w:r>
              <w:rPr>
                <w:b/>
                <w:color w:val="auto"/>
              </w:rPr>
              <w:t>222.9</w:t>
            </w:r>
          </w:p>
        </w:tc>
        <w:tc>
          <w:tcPr>
            <w:tcW w:w="796" w:type="pct"/>
            <w:tcBorders>
              <w:top w:val="single" w:sz="4" w:space="0" w:color="auto"/>
              <w:bottom w:val="nil"/>
            </w:tcBorders>
            <w:shd w:val="clear" w:color="auto" w:fill="auto"/>
            <w:vAlign w:val="bottom"/>
          </w:tcPr>
          <w:p w14:paraId="7709335A" w14:textId="6A32E3AC" w:rsidR="009622FF" w:rsidRPr="00342A1F" w:rsidRDefault="00344756" w:rsidP="003B4013">
            <w:pPr>
              <w:tabs>
                <w:tab w:val="decimal" w:pos="1118"/>
              </w:tabs>
              <w:rPr>
                <w:b/>
                <w:color w:val="auto"/>
              </w:rPr>
            </w:pPr>
            <w:r>
              <w:rPr>
                <w:b/>
                <w:color w:val="auto"/>
              </w:rPr>
              <w:t>208.5</w:t>
            </w:r>
          </w:p>
        </w:tc>
        <w:tc>
          <w:tcPr>
            <w:tcW w:w="568" w:type="pct"/>
            <w:tcBorders>
              <w:top w:val="single" w:sz="4" w:space="0" w:color="auto"/>
              <w:bottom w:val="nil"/>
            </w:tcBorders>
            <w:shd w:val="clear" w:color="auto" w:fill="auto"/>
            <w:vAlign w:val="bottom"/>
          </w:tcPr>
          <w:p w14:paraId="37040672" w14:textId="08FE8831" w:rsidR="009622FF" w:rsidRPr="00342A1F" w:rsidRDefault="009622FF" w:rsidP="003B4013">
            <w:pPr>
              <w:tabs>
                <w:tab w:val="decimal" w:pos="759"/>
              </w:tabs>
              <w:rPr>
                <w:b/>
                <w:color w:val="auto"/>
              </w:rPr>
            </w:pPr>
            <w:r w:rsidRPr="00690C5C">
              <w:rPr>
                <w:b/>
                <w:color w:val="auto"/>
              </w:rPr>
              <w:t>2,</w:t>
            </w:r>
            <w:r w:rsidR="00344756">
              <w:rPr>
                <w:b/>
                <w:color w:val="auto"/>
              </w:rPr>
              <w:t>059.9</w:t>
            </w:r>
          </w:p>
        </w:tc>
      </w:tr>
      <w:tr w:rsidR="009622FF" w:rsidRPr="00C0047D" w14:paraId="27377A20" w14:textId="77777777" w:rsidTr="00A06955">
        <w:trPr>
          <w:trHeight w:val="369"/>
        </w:trPr>
        <w:tc>
          <w:tcPr>
            <w:tcW w:w="1287" w:type="pct"/>
            <w:shd w:val="clear" w:color="auto" w:fill="auto"/>
            <w:vAlign w:val="bottom"/>
          </w:tcPr>
          <w:p w14:paraId="0AD35A9E" w14:textId="77777777" w:rsidR="009622FF" w:rsidRPr="00342A1F" w:rsidRDefault="009622FF" w:rsidP="00F77838">
            <w:pPr>
              <w:jc w:val="left"/>
              <w:rPr>
                <w:b/>
                <w:color w:val="auto"/>
              </w:rPr>
            </w:pPr>
          </w:p>
        </w:tc>
        <w:tc>
          <w:tcPr>
            <w:tcW w:w="814" w:type="pct"/>
            <w:tcBorders>
              <w:top w:val="nil"/>
            </w:tcBorders>
            <w:shd w:val="clear" w:color="auto" w:fill="auto"/>
            <w:vAlign w:val="bottom"/>
          </w:tcPr>
          <w:p w14:paraId="69480FE0" w14:textId="77777777" w:rsidR="009622FF" w:rsidRPr="00342A1F" w:rsidRDefault="009622FF" w:rsidP="00135601">
            <w:pPr>
              <w:tabs>
                <w:tab w:val="decimal" w:pos="1084"/>
              </w:tabs>
              <w:rPr>
                <w:b/>
                <w:color w:val="auto"/>
              </w:rPr>
            </w:pPr>
          </w:p>
        </w:tc>
        <w:tc>
          <w:tcPr>
            <w:tcW w:w="678" w:type="pct"/>
            <w:tcBorders>
              <w:top w:val="nil"/>
            </w:tcBorders>
            <w:vAlign w:val="bottom"/>
          </w:tcPr>
          <w:p w14:paraId="0C95F239" w14:textId="77777777" w:rsidR="009622FF" w:rsidRPr="00342A1F" w:rsidRDefault="009622FF" w:rsidP="00135601">
            <w:pPr>
              <w:tabs>
                <w:tab w:val="decimal" w:pos="952"/>
              </w:tabs>
              <w:rPr>
                <w:b/>
                <w:color w:val="auto"/>
              </w:rPr>
            </w:pPr>
          </w:p>
        </w:tc>
        <w:tc>
          <w:tcPr>
            <w:tcW w:w="857" w:type="pct"/>
            <w:tcBorders>
              <w:top w:val="nil"/>
            </w:tcBorders>
            <w:vAlign w:val="bottom"/>
          </w:tcPr>
          <w:p w14:paraId="6F7A331F" w14:textId="77777777" w:rsidR="009622FF" w:rsidRPr="00342A1F" w:rsidRDefault="009622FF" w:rsidP="00135601">
            <w:pPr>
              <w:tabs>
                <w:tab w:val="decimal" w:pos="1244"/>
              </w:tabs>
              <w:rPr>
                <w:b/>
                <w:color w:val="auto"/>
              </w:rPr>
            </w:pPr>
          </w:p>
        </w:tc>
        <w:tc>
          <w:tcPr>
            <w:tcW w:w="796" w:type="pct"/>
            <w:tcBorders>
              <w:top w:val="nil"/>
              <w:bottom w:val="nil"/>
            </w:tcBorders>
            <w:shd w:val="clear" w:color="auto" w:fill="auto"/>
            <w:vAlign w:val="bottom"/>
          </w:tcPr>
          <w:p w14:paraId="3E0811DD" w14:textId="77777777" w:rsidR="009622FF" w:rsidRPr="00342A1F" w:rsidRDefault="009622FF" w:rsidP="003B4013">
            <w:pPr>
              <w:tabs>
                <w:tab w:val="decimal" w:pos="1118"/>
              </w:tabs>
              <w:rPr>
                <w:b/>
                <w:color w:val="auto"/>
              </w:rPr>
            </w:pPr>
          </w:p>
        </w:tc>
        <w:tc>
          <w:tcPr>
            <w:tcW w:w="568" w:type="pct"/>
            <w:tcBorders>
              <w:top w:val="nil"/>
              <w:bottom w:val="nil"/>
            </w:tcBorders>
            <w:shd w:val="clear" w:color="auto" w:fill="auto"/>
            <w:vAlign w:val="bottom"/>
          </w:tcPr>
          <w:p w14:paraId="56A230D0" w14:textId="77777777" w:rsidR="009622FF" w:rsidRPr="00342A1F" w:rsidRDefault="009622FF" w:rsidP="003B4013">
            <w:pPr>
              <w:tabs>
                <w:tab w:val="decimal" w:pos="759"/>
              </w:tabs>
              <w:rPr>
                <w:b/>
                <w:color w:val="auto"/>
              </w:rPr>
            </w:pPr>
          </w:p>
        </w:tc>
      </w:tr>
      <w:tr w:rsidR="009622FF" w:rsidRPr="00C0047D" w14:paraId="5A132602" w14:textId="77777777" w:rsidTr="00A06955">
        <w:trPr>
          <w:trHeight w:val="369"/>
        </w:trPr>
        <w:tc>
          <w:tcPr>
            <w:tcW w:w="1287" w:type="pct"/>
            <w:shd w:val="clear" w:color="auto" w:fill="auto"/>
            <w:vAlign w:val="bottom"/>
          </w:tcPr>
          <w:p w14:paraId="1654D9F2" w14:textId="77777777" w:rsidR="009622FF" w:rsidRPr="00342A1F" w:rsidRDefault="009622FF" w:rsidP="00F77838">
            <w:pPr>
              <w:jc w:val="left"/>
              <w:rPr>
                <w:b/>
                <w:color w:val="auto"/>
              </w:rPr>
            </w:pPr>
            <w:r w:rsidRPr="00342A1F">
              <w:rPr>
                <w:b/>
                <w:color w:val="auto"/>
              </w:rPr>
              <w:t>Net Expenditure</w:t>
            </w:r>
          </w:p>
        </w:tc>
        <w:tc>
          <w:tcPr>
            <w:tcW w:w="814" w:type="pct"/>
            <w:tcBorders>
              <w:top w:val="single" w:sz="4" w:space="0" w:color="auto"/>
            </w:tcBorders>
            <w:shd w:val="clear" w:color="auto" w:fill="auto"/>
            <w:vAlign w:val="bottom"/>
          </w:tcPr>
          <w:p w14:paraId="5039D4DB" w14:textId="5ECC0ABF" w:rsidR="009622FF" w:rsidRPr="00690C5C" w:rsidRDefault="00344756" w:rsidP="00135601">
            <w:pPr>
              <w:tabs>
                <w:tab w:val="decimal" w:pos="1084"/>
              </w:tabs>
              <w:rPr>
                <w:b/>
                <w:color w:val="auto"/>
              </w:rPr>
            </w:pPr>
            <w:r>
              <w:rPr>
                <w:b/>
                <w:color w:val="auto"/>
              </w:rPr>
              <w:t>338.9</w:t>
            </w:r>
          </w:p>
        </w:tc>
        <w:tc>
          <w:tcPr>
            <w:tcW w:w="678" w:type="pct"/>
            <w:tcBorders>
              <w:top w:val="single" w:sz="4" w:space="0" w:color="auto"/>
            </w:tcBorders>
            <w:vAlign w:val="bottom"/>
          </w:tcPr>
          <w:p w14:paraId="55A7BB63" w14:textId="2D8C8B1D" w:rsidR="009622FF" w:rsidRPr="00690C5C" w:rsidRDefault="00CB199D" w:rsidP="00135601">
            <w:pPr>
              <w:tabs>
                <w:tab w:val="decimal" w:pos="952"/>
              </w:tabs>
              <w:rPr>
                <w:b/>
                <w:color w:val="auto"/>
              </w:rPr>
            </w:pPr>
            <w:r>
              <w:rPr>
                <w:b/>
                <w:color w:val="auto"/>
              </w:rPr>
              <w:t>160.4</w:t>
            </w:r>
          </w:p>
        </w:tc>
        <w:tc>
          <w:tcPr>
            <w:tcW w:w="857" w:type="pct"/>
            <w:tcBorders>
              <w:top w:val="single" w:sz="4" w:space="0" w:color="auto"/>
            </w:tcBorders>
            <w:vAlign w:val="bottom"/>
          </w:tcPr>
          <w:p w14:paraId="1ECC9909" w14:textId="30C8CF57" w:rsidR="009622FF" w:rsidRPr="00690C5C" w:rsidRDefault="009622FF" w:rsidP="00135601">
            <w:pPr>
              <w:tabs>
                <w:tab w:val="decimal" w:pos="1244"/>
              </w:tabs>
              <w:rPr>
                <w:b/>
                <w:color w:val="auto"/>
              </w:rPr>
            </w:pPr>
            <w:r w:rsidRPr="00690C5C">
              <w:rPr>
                <w:b/>
                <w:color w:val="auto"/>
              </w:rPr>
              <w:t>1</w:t>
            </w:r>
            <w:r w:rsidR="00344756">
              <w:rPr>
                <w:b/>
                <w:color w:val="auto"/>
              </w:rPr>
              <w:t>51.3</w:t>
            </w:r>
          </w:p>
        </w:tc>
        <w:tc>
          <w:tcPr>
            <w:tcW w:w="796" w:type="pct"/>
            <w:tcBorders>
              <w:top w:val="single" w:sz="4" w:space="0" w:color="auto"/>
            </w:tcBorders>
            <w:shd w:val="clear" w:color="auto" w:fill="auto"/>
            <w:vAlign w:val="bottom"/>
          </w:tcPr>
          <w:p w14:paraId="2A17C078" w14:textId="4A9DE61F" w:rsidR="009622FF" w:rsidRPr="00690C5C" w:rsidRDefault="00344756" w:rsidP="003B4013">
            <w:pPr>
              <w:tabs>
                <w:tab w:val="decimal" w:pos="1118"/>
              </w:tabs>
              <w:rPr>
                <w:b/>
                <w:color w:val="auto"/>
              </w:rPr>
            </w:pPr>
            <w:r>
              <w:rPr>
                <w:b/>
                <w:color w:val="auto"/>
              </w:rPr>
              <w:t>72.6</w:t>
            </w:r>
          </w:p>
        </w:tc>
        <w:tc>
          <w:tcPr>
            <w:tcW w:w="568" w:type="pct"/>
            <w:tcBorders>
              <w:top w:val="single" w:sz="4" w:space="0" w:color="auto"/>
            </w:tcBorders>
            <w:shd w:val="clear" w:color="auto" w:fill="auto"/>
            <w:vAlign w:val="bottom"/>
          </w:tcPr>
          <w:p w14:paraId="6C3F7908" w14:textId="03C19BF3" w:rsidR="009622FF" w:rsidRPr="00690C5C" w:rsidRDefault="00CB199D" w:rsidP="003B4013">
            <w:pPr>
              <w:tabs>
                <w:tab w:val="decimal" w:pos="759"/>
              </w:tabs>
              <w:rPr>
                <w:b/>
                <w:color w:val="auto"/>
              </w:rPr>
            </w:pPr>
            <w:r>
              <w:rPr>
                <w:b/>
                <w:color w:val="auto"/>
              </w:rPr>
              <w:t>723.2</w:t>
            </w:r>
          </w:p>
        </w:tc>
      </w:tr>
    </w:tbl>
    <w:p w14:paraId="710DEE50" w14:textId="77777777" w:rsidR="00022AF9" w:rsidRDefault="00022AF9" w:rsidP="0001390E">
      <w:pPr>
        <w:rPr>
          <w:sz w:val="20"/>
          <w:szCs w:val="20"/>
          <w:vertAlign w:val="superscript"/>
          <w:lang w:eastAsia="en-GB"/>
        </w:rPr>
      </w:pPr>
    </w:p>
    <w:p w14:paraId="1CAF01CB" w14:textId="6B8B73EE" w:rsidR="009622FF" w:rsidRDefault="00246A2C" w:rsidP="0001390E">
      <w:pPr>
        <w:rPr>
          <w:b/>
          <w:lang w:eastAsia="en-GB"/>
        </w:rPr>
      </w:pPr>
      <w:r>
        <w:rPr>
          <w:b/>
          <w:lang w:eastAsia="en-GB"/>
        </w:rPr>
        <w:t>Reconciliation to n</w:t>
      </w:r>
      <w:r w:rsidR="009622FF" w:rsidRPr="009622FF">
        <w:rPr>
          <w:b/>
          <w:lang w:eastAsia="en-GB"/>
        </w:rPr>
        <w:t xml:space="preserve">et </w:t>
      </w:r>
      <w:r>
        <w:rPr>
          <w:b/>
          <w:lang w:eastAsia="en-GB"/>
        </w:rPr>
        <w:t>cost of s</w:t>
      </w:r>
      <w:r w:rsidR="009622FF" w:rsidRPr="009622FF">
        <w:rPr>
          <w:b/>
          <w:lang w:eastAsia="en-GB"/>
        </w:rPr>
        <w:t>ervices in Comprehensive Income and Expenditure Statement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36"/>
        <w:gridCol w:w="3654"/>
      </w:tblGrid>
      <w:tr w:rsidR="009622FF" w:rsidRPr="008D3771" w14:paraId="4D062CEA" w14:textId="77777777" w:rsidTr="00A06955">
        <w:trPr>
          <w:trHeight w:val="369"/>
          <w:tblHeader/>
        </w:trPr>
        <w:tc>
          <w:tcPr>
            <w:tcW w:w="3813" w:type="pct"/>
            <w:shd w:val="clear" w:color="auto" w:fill="D0CECE"/>
            <w:vAlign w:val="bottom"/>
          </w:tcPr>
          <w:p w14:paraId="00E4885D" w14:textId="3FA5CF33" w:rsidR="009622FF" w:rsidRPr="00A06955" w:rsidRDefault="00F71517" w:rsidP="00F77838">
            <w:pPr>
              <w:jc w:val="left"/>
              <w:rPr>
                <w:b/>
                <w:color w:val="auto"/>
              </w:rPr>
            </w:pPr>
            <w:r>
              <w:rPr>
                <w:b/>
                <w:color w:val="auto"/>
              </w:rPr>
              <w:t xml:space="preserve">           </w:t>
            </w:r>
            <w:r w:rsidRPr="00A06955">
              <w:rPr>
                <w:b/>
                <w:color w:val="auto"/>
              </w:rPr>
              <w:t>2013/14</w:t>
            </w:r>
          </w:p>
        </w:tc>
        <w:tc>
          <w:tcPr>
            <w:tcW w:w="1187" w:type="pct"/>
            <w:shd w:val="clear" w:color="auto" w:fill="D0CECE"/>
            <w:vAlign w:val="bottom"/>
          </w:tcPr>
          <w:p w14:paraId="5A50136D" w14:textId="77777777" w:rsidR="009622FF" w:rsidRPr="008D3771" w:rsidRDefault="009622FF" w:rsidP="00F77838">
            <w:pPr>
              <w:jc w:val="center"/>
              <w:rPr>
                <w:b/>
                <w:color w:val="auto"/>
              </w:rPr>
            </w:pPr>
            <w:r w:rsidRPr="008D3771">
              <w:rPr>
                <w:b/>
                <w:color w:val="auto"/>
              </w:rPr>
              <w:t>£m</w:t>
            </w:r>
          </w:p>
        </w:tc>
      </w:tr>
      <w:tr w:rsidR="009622FF" w:rsidRPr="008D3771" w14:paraId="1CA671E5" w14:textId="77777777" w:rsidTr="00F77838">
        <w:trPr>
          <w:trHeight w:val="369"/>
        </w:trPr>
        <w:tc>
          <w:tcPr>
            <w:tcW w:w="3813" w:type="pct"/>
            <w:shd w:val="clear" w:color="auto" w:fill="auto"/>
            <w:vAlign w:val="bottom"/>
          </w:tcPr>
          <w:p w14:paraId="00F5FD08" w14:textId="77777777" w:rsidR="009622FF" w:rsidRPr="00A06955" w:rsidRDefault="009622FF" w:rsidP="00F77838">
            <w:pPr>
              <w:jc w:val="left"/>
              <w:rPr>
                <w:color w:val="auto"/>
                <w:highlight w:val="yellow"/>
              </w:rPr>
            </w:pPr>
            <w:r w:rsidRPr="009C12B3">
              <w:rPr>
                <w:color w:val="auto"/>
              </w:rPr>
              <w:t>Cost of Services in Service Analysis</w:t>
            </w:r>
          </w:p>
        </w:tc>
        <w:tc>
          <w:tcPr>
            <w:tcW w:w="1187" w:type="pct"/>
            <w:tcBorders>
              <w:bottom w:val="nil"/>
            </w:tcBorders>
            <w:shd w:val="clear" w:color="auto" w:fill="auto"/>
            <w:vAlign w:val="bottom"/>
          </w:tcPr>
          <w:p w14:paraId="77F8BE38" w14:textId="35886689" w:rsidR="009622FF" w:rsidRPr="009C12B3" w:rsidRDefault="00DA25B7" w:rsidP="00A210DB">
            <w:pPr>
              <w:tabs>
                <w:tab w:val="decimal" w:pos="1699"/>
              </w:tabs>
              <w:rPr>
                <w:b/>
                <w:color w:val="auto"/>
              </w:rPr>
            </w:pPr>
            <w:r>
              <w:rPr>
                <w:b/>
                <w:color w:val="auto"/>
              </w:rPr>
              <w:t>7</w:t>
            </w:r>
            <w:r w:rsidR="00CB199D">
              <w:rPr>
                <w:b/>
                <w:color w:val="auto"/>
              </w:rPr>
              <w:t>23.2</w:t>
            </w:r>
          </w:p>
        </w:tc>
      </w:tr>
      <w:tr w:rsidR="00344756" w:rsidRPr="008D3771" w14:paraId="32AEED8C" w14:textId="77777777" w:rsidTr="00F77838">
        <w:trPr>
          <w:trHeight w:val="369"/>
        </w:trPr>
        <w:tc>
          <w:tcPr>
            <w:tcW w:w="3813" w:type="pct"/>
            <w:shd w:val="clear" w:color="auto" w:fill="auto"/>
            <w:vAlign w:val="bottom"/>
          </w:tcPr>
          <w:p w14:paraId="20EAE3BD" w14:textId="7BDBDD5C" w:rsidR="00344756" w:rsidRPr="009C12B3" w:rsidRDefault="00344756" w:rsidP="00F77838">
            <w:pPr>
              <w:jc w:val="left"/>
              <w:rPr>
                <w:color w:val="auto"/>
              </w:rPr>
            </w:pPr>
            <w:r>
              <w:rPr>
                <w:color w:val="auto"/>
              </w:rPr>
              <w:t>Add Services not included in main analysis</w:t>
            </w:r>
          </w:p>
        </w:tc>
        <w:tc>
          <w:tcPr>
            <w:tcW w:w="1187" w:type="pct"/>
            <w:tcBorders>
              <w:bottom w:val="nil"/>
            </w:tcBorders>
            <w:shd w:val="clear" w:color="auto" w:fill="auto"/>
            <w:vAlign w:val="bottom"/>
          </w:tcPr>
          <w:p w14:paraId="6E2F9689" w14:textId="3CC819E5" w:rsidR="00344756" w:rsidRDefault="00344756" w:rsidP="003B4013">
            <w:pPr>
              <w:tabs>
                <w:tab w:val="decimal" w:pos="1699"/>
              </w:tabs>
              <w:rPr>
                <w:b/>
                <w:color w:val="auto"/>
              </w:rPr>
            </w:pPr>
            <w:r>
              <w:rPr>
                <w:b/>
                <w:color w:val="auto"/>
              </w:rPr>
              <w:t>(8.8)</w:t>
            </w:r>
          </w:p>
        </w:tc>
      </w:tr>
      <w:tr w:rsidR="009622FF" w:rsidRPr="008D3771" w14:paraId="0D3D418E" w14:textId="77777777" w:rsidTr="00F77838">
        <w:trPr>
          <w:trHeight w:val="369"/>
        </w:trPr>
        <w:tc>
          <w:tcPr>
            <w:tcW w:w="3813" w:type="pct"/>
            <w:shd w:val="clear" w:color="auto" w:fill="auto"/>
            <w:vAlign w:val="bottom"/>
          </w:tcPr>
          <w:p w14:paraId="3956A096" w14:textId="77777777" w:rsidR="009622FF" w:rsidRPr="009C12B3" w:rsidRDefault="009622FF" w:rsidP="00F77838">
            <w:pPr>
              <w:jc w:val="left"/>
              <w:rPr>
                <w:color w:val="auto"/>
              </w:rPr>
            </w:pPr>
            <w:r w:rsidRPr="009C12B3">
              <w:rPr>
                <w:color w:val="auto"/>
              </w:rPr>
              <w:t>Add amounts not reported to management</w:t>
            </w:r>
          </w:p>
        </w:tc>
        <w:tc>
          <w:tcPr>
            <w:tcW w:w="1187" w:type="pct"/>
            <w:tcBorders>
              <w:bottom w:val="nil"/>
            </w:tcBorders>
            <w:shd w:val="clear" w:color="auto" w:fill="auto"/>
            <w:vAlign w:val="bottom"/>
          </w:tcPr>
          <w:p w14:paraId="4B5B6BA4" w14:textId="12B96BE5" w:rsidR="009622FF" w:rsidRPr="009C12B3" w:rsidRDefault="00344756" w:rsidP="003B4013">
            <w:pPr>
              <w:tabs>
                <w:tab w:val="decimal" w:pos="1699"/>
              </w:tabs>
              <w:rPr>
                <w:color w:val="auto"/>
              </w:rPr>
            </w:pPr>
            <w:r>
              <w:rPr>
                <w:color w:val="auto"/>
              </w:rPr>
              <w:t>100.1</w:t>
            </w:r>
          </w:p>
        </w:tc>
      </w:tr>
      <w:tr w:rsidR="009622FF" w:rsidRPr="008D3771" w14:paraId="1E0AE44B" w14:textId="77777777" w:rsidTr="00F77838">
        <w:trPr>
          <w:trHeight w:val="369"/>
        </w:trPr>
        <w:tc>
          <w:tcPr>
            <w:tcW w:w="3813" w:type="pct"/>
            <w:shd w:val="clear" w:color="auto" w:fill="auto"/>
            <w:vAlign w:val="bottom"/>
          </w:tcPr>
          <w:p w14:paraId="0208A94D" w14:textId="77777777" w:rsidR="009622FF" w:rsidRPr="009C12B3" w:rsidRDefault="009622FF" w:rsidP="00F77838">
            <w:pPr>
              <w:jc w:val="left"/>
              <w:rPr>
                <w:color w:val="auto"/>
              </w:rPr>
            </w:pPr>
            <w:r w:rsidRPr="009C12B3">
              <w:rPr>
                <w:color w:val="auto"/>
              </w:rPr>
              <w:t>Remove amounts reported to management not included in Comprehensive Income and Expenditure Statement</w:t>
            </w:r>
          </w:p>
        </w:tc>
        <w:tc>
          <w:tcPr>
            <w:tcW w:w="1187" w:type="pct"/>
            <w:tcBorders>
              <w:top w:val="nil"/>
              <w:bottom w:val="single" w:sz="4" w:space="0" w:color="auto"/>
            </w:tcBorders>
            <w:shd w:val="clear" w:color="auto" w:fill="auto"/>
            <w:vAlign w:val="bottom"/>
          </w:tcPr>
          <w:p w14:paraId="215391BE" w14:textId="47C20D0E" w:rsidR="009622FF" w:rsidRPr="009C12B3" w:rsidRDefault="00397FE7" w:rsidP="003B4013">
            <w:pPr>
              <w:tabs>
                <w:tab w:val="decimal" w:pos="1699"/>
              </w:tabs>
              <w:rPr>
                <w:color w:val="auto"/>
              </w:rPr>
            </w:pPr>
            <w:r w:rsidRPr="009C12B3">
              <w:rPr>
                <w:color w:val="auto"/>
              </w:rPr>
              <w:t>(</w:t>
            </w:r>
            <w:r w:rsidR="00344756">
              <w:rPr>
                <w:color w:val="auto"/>
              </w:rPr>
              <w:t>6.8</w:t>
            </w:r>
            <w:r w:rsidRPr="009C12B3">
              <w:rPr>
                <w:color w:val="auto"/>
              </w:rPr>
              <w:t>)</w:t>
            </w:r>
          </w:p>
        </w:tc>
      </w:tr>
      <w:tr w:rsidR="009622FF" w:rsidRPr="0050380D" w14:paraId="442D94BB" w14:textId="77777777" w:rsidTr="00F77838">
        <w:trPr>
          <w:trHeight w:val="369"/>
        </w:trPr>
        <w:tc>
          <w:tcPr>
            <w:tcW w:w="3813" w:type="pct"/>
            <w:shd w:val="clear" w:color="auto" w:fill="auto"/>
            <w:vAlign w:val="bottom"/>
          </w:tcPr>
          <w:p w14:paraId="22E4D98E" w14:textId="77777777" w:rsidR="009622FF" w:rsidRPr="009C12B3" w:rsidRDefault="009622FF" w:rsidP="00F77838">
            <w:pPr>
              <w:jc w:val="left"/>
              <w:rPr>
                <w:b/>
                <w:color w:val="auto"/>
              </w:rPr>
            </w:pPr>
            <w:r w:rsidRPr="009C12B3">
              <w:rPr>
                <w:b/>
                <w:color w:val="auto"/>
              </w:rPr>
              <w:t>Net Cost of Services in Comprehensive Income and Expenditure Statement</w:t>
            </w:r>
          </w:p>
        </w:tc>
        <w:tc>
          <w:tcPr>
            <w:tcW w:w="1187" w:type="pct"/>
            <w:tcBorders>
              <w:top w:val="single" w:sz="4" w:space="0" w:color="auto"/>
              <w:bottom w:val="single" w:sz="4" w:space="0" w:color="auto"/>
            </w:tcBorders>
            <w:shd w:val="clear" w:color="auto" w:fill="auto"/>
            <w:vAlign w:val="bottom"/>
          </w:tcPr>
          <w:p w14:paraId="407ADAED" w14:textId="4CD26485" w:rsidR="009622FF" w:rsidRPr="009C12B3" w:rsidRDefault="00BC08C4" w:rsidP="00A210DB">
            <w:pPr>
              <w:tabs>
                <w:tab w:val="decimal" w:pos="1699"/>
              </w:tabs>
              <w:rPr>
                <w:b/>
                <w:color w:val="auto"/>
              </w:rPr>
            </w:pPr>
            <w:r>
              <w:rPr>
                <w:b/>
                <w:color w:val="auto"/>
              </w:rPr>
              <w:t>8</w:t>
            </w:r>
            <w:r w:rsidR="00CB199D">
              <w:rPr>
                <w:b/>
                <w:color w:val="auto"/>
              </w:rPr>
              <w:t>07.7</w:t>
            </w:r>
          </w:p>
        </w:tc>
      </w:tr>
    </w:tbl>
    <w:p w14:paraId="2067BFD6" w14:textId="77777777" w:rsidR="00D1697D" w:rsidRDefault="00D1697D" w:rsidP="004F3F10">
      <w:pPr>
        <w:rPr>
          <w:b/>
          <w:lang w:eastAsia="en-GB"/>
        </w:rPr>
      </w:pPr>
    </w:p>
    <w:p w14:paraId="2B787305" w14:textId="77777777" w:rsidR="00385F32" w:rsidRDefault="00385F32" w:rsidP="004F3F10">
      <w:pPr>
        <w:rPr>
          <w:b/>
          <w:lang w:eastAsia="en-GB"/>
        </w:rPr>
      </w:pPr>
    </w:p>
    <w:p w14:paraId="51AF9281" w14:textId="7223EED0" w:rsidR="004F3F10" w:rsidRPr="004F3F10" w:rsidRDefault="00246A2C" w:rsidP="004F3F10">
      <w:pPr>
        <w:rPr>
          <w:b/>
          <w:lang w:eastAsia="en-GB"/>
        </w:rPr>
      </w:pPr>
      <w:r>
        <w:rPr>
          <w:b/>
          <w:lang w:eastAsia="en-GB"/>
        </w:rPr>
        <w:t>Reconciliation to subjective a</w:t>
      </w:r>
      <w:r w:rsidR="004F3F10" w:rsidRPr="004F3F10">
        <w:rPr>
          <w:b/>
          <w:lang w:eastAsia="en-GB"/>
        </w:rPr>
        <w:t>nalysis</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58"/>
        <w:gridCol w:w="1499"/>
        <w:gridCol w:w="2041"/>
        <w:gridCol w:w="2041"/>
        <w:gridCol w:w="1360"/>
        <w:gridCol w:w="1357"/>
        <w:gridCol w:w="1357"/>
        <w:gridCol w:w="1277"/>
      </w:tblGrid>
      <w:tr w:rsidR="00344756" w:rsidRPr="00C0047D" w14:paraId="2EB0A7A6" w14:textId="77777777" w:rsidTr="00344756">
        <w:trPr>
          <w:trHeight w:val="369"/>
          <w:tblHeader/>
        </w:trPr>
        <w:tc>
          <w:tcPr>
            <w:tcW w:w="1448" w:type="pct"/>
            <w:shd w:val="clear" w:color="auto" w:fill="D0CECE"/>
            <w:vAlign w:val="bottom"/>
          </w:tcPr>
          <w:p w14:paraId="26893951" w14:textId="77777777" w:rsidR="00344756" w:rsidRPr="00C0047D" w:rsidRDefault="00344756" w:rsidP="00623F50">
            <w:pPr>
              <w:jc w:val="center"/>
              <w:rPr>
                <w:b/>
                <w:color w:val="auto"/>
                <w:u w:val="single"/>
              </w:rPr>
            </w:pPr>
            <w:r w:rsidRPr="00C0047D">
              <w:rPr>
                <w:b/>
                <w:color w:val="auto"/>
                <w:u w:val="single"/>
              </w:rPr>
              <w:t>201</w:t>
            </w:r>
            <w:r>
              <w:rPr>
                <w:b/>
                <w:color w:val="auto"/>
                <w:u w:val="single"/>
              </w:rPr>
              <w:t>3</w:t>
            </w:r>
            <w:r w:rsidRPr="00C0047D">
              <w:rPr>
                <w:b/>
                <w:color w:val="auto"/>
                <w:u w:val="single"/>
              </w:rPr>
              <w:t>/1</w:t>
            </w:r>
            <w:r>
              <w:rPr>
                <w:b/>
                <w:color w:val="auto"/>
                <w:u w:val="single"/>
              </w:rPr>
              <w:t>4</w:t>
            </w:r>
          </w:p>
        </w:tc>
        <w:tc>
          <w:tcPr>
            <w:tcW w:w="487" w:type="pct"/>
            <w:shd w:val="clear" w:color="auto" w:fill="D0CECE"/>
            <w:vAlign w:val="bottom"/>
          </w:tcPr>
          <w:p w14:paraId="79689843" w14:textId="77777777" w:rsidR="00344756" w:rsidRPr="00C0047D" w:rsidRDefault="00344756" w:rsidP="00F77838">
            <w:pPr>
              <w:jc w:val="center"/>
              <w:rPr>
                <w:b/>
                <w:color w:val="auto"/>
              </w:rPr>
            </w:pPr>
            <w:r w:rsidRPr="00733B1D">
              <w:rPr>
                <w:b/>
                <w:color w:val="auto"/>
              </w:rPr>
              <w:t>Directorate Analysis</w:t>
            </w:r>
          </w:p>
        </w:tc>
        <w:tc>
          <w:tcPr>
            <w:tcW w:w="663" w:type="pct"/>
            <w:shd w:val="clear" w:color="auto" w:fill="D0CECE"/>
          </w:tcPr>
          <w:p w14:paraId="7D2E8C3D" w14:textId="77777777" w:rsidR="00344756" w:rsidRDefault="00344756" w:rsidP="00F77838">
            <w:pPr>
              <w:jc w:val="center"/>
              <w:rPr>
                <w:b/>
                <w:color w:val="auto"/>
              </w:rPr>
            </w:pPr>
          </w:p>
          <w:p w14:paraId="4AB6A456" w14:textId="33713612" w:rsidR="00344756" w:rsidRPr="00733B1D" w:rsidRDefault="00344756" w:rsidP="00F77838">
            <w:pPr>
              <w:jc w:val="center"/>
              <w:rPr>
                <w:b/>
                <w:color w:val="auto"/>
              </w:rPr>
            </w:pPr>
            <w:r>
              <w:rPr>
                <w:b/>
                <w:color w:val="auto"/>
              </w:rPr>
              <w:t>Services &amp; Support Services not in analysis</w:t>
            </w:r>
          </w:p>
        </w:tc>
        <w:tc>
          <w:tcPr>
            <w:tcW w:w="663" w:type="pct"/>
            <w:shd w:val="clear" w:color="auto" w:fill="D0CECE"/>
            <w:vAlign w:val="bottom"/>
          </w:tcPr>
          <w:p w14:paraId="4FEF3047" w14:textId="1C71898D" w:rsidR="00344756" w:rsidRPr="00C0047D" w:rsidRDefault="00344756" w:rsidP="00F77838">
            <w:pPr>
              <w:jc w:val="center"/>
              <w:rPr>
                <w:b/>
                <w:color w:val="auto"/>
              </w:rPr>
            </w:pPr>
            <w:r w:rsidRPr="00733B1D">
              <w:rPr>
                <w:b/>
                <w:color w:val="auto"/>
              </w:rPr>
              <w:t>Amounts not reported to management for decision making</w:t>
            </w:r>
          </w:p>
        </w:tc>
        <w:tc>
          <w:tcPr>
            <w:tcW w:w="442" w:type="pct"/>
            <w:shd w:val="clear" w:color="auto" w:fill="D0CECE"/>
            <w:vAlign w:val="bottom"/>
          </w:tcPr>
          <w:p w14:paraId="261C0071" w14:textId="77777777" w:rsidR="00344756" w:rsidRPr="00C0047D" w:rsidRDefault="00344756" w:rsidP="00F77838">
            <w:pPr>
              <w:jc w:val="center"/>
              <w:rPr>
                <w:b/>
                <w:color w:val="auto"/>
              </w:rPr>
            </w:pPr>
            <w:r w:rsidRPr="00733B1D">
              <w:rPr>
                <w:b/>
                <w:color w:val="auto"/>
              </w:rPr>
              <w:t>Amounts not included in the I&amp;E</w:t>
            </w:r>
          </w:p>
        </w:tc>
        <w:tc>
          <w:tcPr>
            <w:tcW w:w="441" w:type="pct"/>
            <w:shd w:val="clear" w:color="auto" w:fill="D0CECE"/>
            <w:vAlign w:val="bottom"/>
          </w:tcPr>
          <w:p w14:paraId="1B49B111" w14:textId="77777777" w:rsidR="00344756" w:rsidRPr="00C0047D" w:rsidRDefault="00344756" w:rsidP="00F77838">
            <w:pPr>
              <w:jc w:val="center"/>
              <w:rPr>
                <w:b/>
                <w:color w:val="auto"/>
              </w:rPr>
            </w:pPr>
            <w:r w:rsidRPr="00733B1D">
              <w:rPr>
                <w:b/>
                <w:color w:val="auto"/>
              </w:rPr>
              <w:t>Cost of Services</w:t>
            </w:r>
          </w:p>
        </w:tc>
        <w:tc>
          <w:tcPr>
            <w:tcW w:w="441" w:type="pct"/>
            <w:shd w:val="clear" w:color="auto" w:fill="D0CECE"/>
            <w:vAlign w:val="bottom"/>
          </w:tcPr>
          <w:p w14:paraId="751A8D9F" w14:textId="77777777" w:rsidR="00344756" w:rsidRPr="00C0047D" w:rsidRDefault="00344756" w:rsidP="00F77838">
            <w:pPr>
              <w:jc w:val="center"/>
              <w:rPr>
                <w:b/>
                <w:color w:val="auto"/>
              </w:rPr>
            </w:pPr>
            <w:r w:rsidRPr="00733B1D">
              <w:rPr>
                <w:b/>
                <w:color w:val="auto"/>
              </w:rPr>
              <w:t>Corporate Amounts</w:t>
            </w:r>
          </w:p>
        </w:tc>
        <w:tc>
          <w:tcPr>
            <w:tcW w:w="415" w:type="pct"/>
            <w:shd w:val="clear" w:color="auto" w:fill="D0CECE"/>
            <w:vAlign w:val="bottom"/>
          </w:tcPr>
          <w:p w14:paraId="16B812A9" w14:textId="77777777" w:rsidR="00344756" w:rsidRPr="00C0047D" w:rsidRDefault="00344756" w:rsidP="00F77838">
            <w:pPr>
              <w:jc w:val="center"/>
              <w:rPr>
                <w:b/>
                <w:color w:val="auto"/>
              </w:rPr>
            </w:pPr>
            <w:r w:rsidRPr="00C0047D">
              <w:rPr>
                <w:b/>
                <w:color w:val="auto"/>
              </w:rPr>
              <w:t>Total</w:t>
            </w:r>
          </w:p>
        </w:tc>
      </w:tr>
      <w:tr w:rsidR="00344756" w:rsidRPr="00C0047D" w14:paraId="73D22174" w14:textId="77777777" w:rsidTr="00344756">
        <w:trPr>
          <w:trHeight w:val="369"/>
          <w:tblHeader/>
        </w:trPr>
        <w:tc>
          <w:tcPr>
            <w:tcW w:w="1448" w:type="pct"/>
            <w:shd w:val="clear" w:color="auto" w:fill="D0CECE"/>
            <w:vAlign w:val="bottom"/>
          </w:tcPr>
          <w:p w14:paraId="4A1C655E" w14:textId="77777777" w:rsidR="00344756" w:rsidRPr="00C0047D" w:rsidRDefault="00344756" w:rsidP="00F77838">
            <w:pPr>
              <w:jc w:val="left"/>
              <w:rPr>
                <w:color w:val="auto"/>
              </w:rPr>
            </w:pPr>
          </w:p>
        </w:tc>
        <w:tc>
          <w:tcPr>
            <w:tcW w:w="487" w:type="pct"/>
            <w:shd w:val="clear" w:color="auto" w:fill="D0CECE"/>
            <w:vAlign w:val="bottom"/>
          </w:tcPr>
          <w:p w14:paraId="3E69ADBA" w14:textId="77777777" w:rsidR="00344756" w:rsidRPr="00C0047D" w:rsidRDefault="00344756" w:rsidP="00F77838">
            <w:pPr>
              <w:jc w:val="center"/>
              <w:rPr>
                <w:b/>
                <w:color w:val="auto"/>
              </w:rPr>
            </w:pPr>
            <w:r w:rsidRPr="00C0047D">
              <w:rPr>
                <w:b/>
                <w:color w:val="auto"/>
              </w:rPr>
              <w:t>£m</w:t>
            </w:r>
          </w:p>
        </w:tc>
        <w:tc>
          <w:tcPr>
            <w:tcW w:w="663" w:type="pct"/>
            <w:shd w:val="clear" w:color="auto" w:fill="D0CECE"/>
          </w:tcPr>
          <w:p w14:paraId="25481DE5" w14:textId="19340EF5" w:rsidR="00344756" w:rsidRDefault="00344756" w:rsidP="00F77838">
            <w:pPr>
              <w:jc w:val="center"/>
              <w:rPr>
                <w:b/>
                <w:color w:val="auto"/>
              </w:rPr>
            </w:pPr>
            <w:r>
              <w:rPr>
                <w:b/>
                <w:color w:val="auto"/>
              </w:rPr>
              <w:t>£m</w:t>
            </w:r>
          </w:p>
        </w:tc>
        <w:tc>
          <w:tcPr>
            <w:tcW w:w="663" w:type="pct"/>
            <w:shd w:val="clear" w:color="auto" w:fill="D0CECE"/>
            <w:vAlign w:val="bottom"/>
          </w:tcPr>
          <w:p w14:paraId="1B240DEF" w14:textId="5BCB6755" w:rsidR="00344756" w:rsidRPr="00C0047D" w:rsidRDefault="00344756" w:rsidP="00F77838">
            <w:pPr>
              <w:jc w:val="center"/>
              <w:rPr>
                <w:b/>
                <w:color w:val="auto"/>
              </w:rPr>
            </w:pPr>
            <w:r>
              <w:rPr>
                <w:b/>
                <w:color w:val="auto"/>
              </w:rPr>
              <w:t>£m</w:t>
            </w:r>
          </w:p>
        </w:tc>
        <w:tc>
          <w:tcPr>
            <w:tcW w:w="442" w:type="pct"/>
            <w:shd w:val="clear" w:color="auto" w:fill="D0CECE"/>
            <w:vAlign w:val="bottom"/>
          </w:tcPr>
          <w:p w14:paraId="51374B16" w14:textId="77777777" w:rsidR="00344756" w:rsidRPr="00C0047D" w:rsidRDefault="00344756" w:rsidP="00F77838">
            <w:pPr>
              <w:jc w:val="center"/>
              <w:rPr>
                <w:b/>
                <w:color w:val="auto"/>
              </w:rPr>
            </w:pPr>
            <w:r w:rsidRPr="00C0047D">
              <w:rPr>
                <w:b/>
                <w:color w:val="auto"/>
              </w:rPr>
              <w:t>£m</w:t>
            </w:r>
          </w:p>
        </w:tc>
        <w:tc>
          <w:tcPr>
            <w:tcW w:w="441" w:type="pct"/>
            <w:shd w:val="clear" w:color="auto" w:fill="D0CECE"/>
            <w:vAlign w:val="bottom"/>
          </w:tcPr>
          <w:p w14:paraId="51486CD9" w14:textId="77777777" w:rsidR="00344756" w:rsidRPr="00C0047D" w:rsidRDefault="00344756" w:rsidP="00F77838">
            <w:pPr>
              <w:jc w:val="center"/>
              <w:rPr>
                <w:b/>
                <w:color w:val="auto"/>
              </w:rPr>
            </w:pPr>
            <w:r w:rsidRPr="00C0047D">
              <w:rPr>
                <w:b/>
                <w:color w:val="auto"/>
              </w:rPr>
              <w:t>£m</w:t>
            </w:r>
          </w:p>
        </w:tc>
        <w:tc>
          <w:tcPr>
            <w:tcW w:w="441" w:type="pct"/>
            <w:shd w:val="clear" w:color="auto" w:fill="D0CECE"/>
            <w:vAlign w:val="bottom"/>
          </w:tcPr>
          <w:p w14:paraId="6284A336" w14:textId="77777777" w:rsidR="00344756" w:rsidRPr="00C0047D" w:rsidRDefault="00344756" w:rsidP="00F77838">
            <w:pPr>
              <w:jc w:val="center"/>
              <w:rPr>
                <w:b/>
                <w:color w:val="auto"/>
              </w:rPr>
            </w:pPr>
            <w:r w:rsidRPr="00C0047D">
              <w:rPr>
                <w:b/>
                <w:color w:val="auto"/>
              </w:rPr>
              <w:t>£m</w:t>
            </w:r>
          </w:p>
        </w:tc>
        <w:tc>
          <w:tcPr>
            <w:tcW w:w="415" w:type="pct"/>
            <w:shd w:val="clear" w:color="auto" w:fill="D0CECE"/>
            <w:vAlign w:val="bottom"/>
          </w:tcPr>
          <w:p w14:paraId="15763B6A" w14:textId="77777777" w:rsidR="00344756" w:rsidRPr="00C0047D" w:rsidRDefault="00344756" w:rsidP="00F77838">
            <w:pPr>
              <w:jc w:val="center"/>
              <w:rPr>
                <w:b/>
                <w:color w:val="auto"/>
              </w:rPr>
            </w:pPr>
            <w:r w:rsidRPr="00C0047D">
              <w:rPr>
                <w:b/>
                <w:color w:val="auto"/>
              </w:rPr>
              <w:t>£m</w:t>
            </w:r>
          </w:p>
        </w:tc>
      </w:tr>
      <w:tr w:rsidR="00344756" w:rsidRPr="00C0047D" w14:paraId="557819BE" w14:textId="77777777" w:rsidTr="00344756">
        <w:trPr>
          <w:trHeight w:val="369"/>
        </w:trPr>
        <w:tc>
          <w:tcPr>
            <w:tcW w:w="1448" w:type="pct"/>
            <w:shd w:val="clear" w:color="auto" w:fill="auto"/>
            <w:vAlign w:val="bottom"/>
          </w:tcPr>
          <w:p w14:paraId="5F5A5813" w14:textId="77777777" w:rsidR="00344756" w:rsidRPr="009C12B3" w:rsidRDefault="00344756" w:rsidP="00F77838">
            <w:pPr>
              <w:jc w:val="left"/>
              <w:rPr>
                <w:color w:val="auto"/>
              </w:rPr>
            </w:pPr>
            <w:r w:rsidRPr="009C12B3">
              <w:rPr>
                <w:color w:val="auto"/>
              </w:rPr>
              <w:t>Fees, charges and other service income</w:t>
            </w:r>
          </w:p>
        </w:tc>
        <w:tc>
          <w:tcPr>
            <w:tcW w:w="487" w:type="pct"/>
            <w:shd w:val="clear" w:color="auto" w:fill="auto"/>
            <w:vAlign w:val="bottom"/>
          </w:tcPr>
          <w:p w14:paraId="27F1B156" w14:textId="3E67187C" w:rsidR="00344756" w:rsidRPr="009C12B3" w:rsidRDefault="009716DC" w:rsidP="00A06955">
            <w:pPr>
              <w:tabs>
                <w:tab w:val="decimal" w:pos="838"/>
              </w:tabs>
              <w:rPr>
                <w:color w:val="auto"/>
              </w:rPr>
            </w:pPr>
            <w:r>
              <w:rPr>
                <w:color w:val="auto"/>
              </w:rPr>
              <w:t>(</w:t>
            </w:r>
            <w:r w:rsidR="002C285E">
              <w:rPr>
                <w:color w:val="auto"/>
              </w:rPr>
              <w:t>317.0</w:t>
            </w:r>
            <w:r>
              <w:rPr>
                <w:color w:val="auto"/>
              </w:rPr>
              <w:t>)</w:t>
            </w:r>
          </w:p>
        </w:tc>
        <w:tc>
          <w:tcPr>
            <w:tcW w:w="663" w:type="pct"/>
          </w:tcPr>
          <w:p w14:paraId="1C56453C" w14:textId="58262D5B" w:rsidR="00344756" w:rsidRDefault="00344756" w:rsidP="00F77838">
            <w:pPr>
              <w:tabs>
                <w:tab w:val="decimal" w:pos="1027"/>
              </w:tabs>
              <w:rPr>
                <w:color w:val="auto"/>
              </w:rPr>
            </w:pPr>
            <w:r>
              <w:rPr>
                <w:color w:val="auto"/>
              </w:rPr>
              <w:t>-</w:t>
            </w:r>
          </w:p>
        </w:tc>
        <w:tc>
          <w:tcPr>
            <w:tcW w:w="663" w:type="pct"/>
            <w:vAlign w:val="bottom"/>
          </w:tcPr>
          <w:p w14:paraId="1F98486F" w14:textId="5AAF90E3" w:rsidR="00344756" w:rsidRPr="009C12B3" w:rsidRDefault="00344756" w:rsidP="00F77838">
            <w:pPr>
              <w:tabs>
                <w:tab w:val="decimal" w:pos="1027"/>
              </w:tabs>
              <w:rPr>
                <w:color w:val="auto"/>
              </w:rPr>
            </w:pPr>
            <w:r>
              <w:rPr>
                <w:color w:val="auto"/>
              </w:rPr>
              <w:t>-</w:t>
            </w:r>
          </w:p>
        </w:tc>
        <w:tc>
          <w:tcPr>
            <w:tcW w:w="442" w:type="pct"/>
            <w:vAlign w:val="bottom"/>
          </w:tcPr>
          <w:p w14:paraId="301F933B" w14:textId="4AEBFA25" w:rsidR="00344756" w:rsidRPr="009C12B3" w:rsidRDefault="00344756" w:rsidP="00623F50">
            <w:pPr>
              <w:tabs>
                <w:tab w:val="decimal" w:pos="601"/>
              </w:tabs>
              <w:rPr>
                <w:color w:val="auto"/>
              </w:rPr>
            </w:pPr>
            <w:r>
              <w:rPr>
                <w:color w:val="auto"/>
              </w:rPr>
              <w:t>-</w:t>
            </w:r>
          </w:p>
        </w:tc>
        <w:tc>
          <w:tcPr>
            <w:tcW w:w="441" w:type="pct"/>
            <w:vAlign w:val="bottom"/>
          </w:tcPr>
          <w:p w14:paraId="46600E28" w14:textId="1423228B" w:rsidR="00344756" w:rsidRPr="00F92D52" w:rsidRDefault="009716DC" w:rsidP="00623F50">
            <w:pPr>
              <w:tabs>
                <w:tab w:val="decimal" w:pos="739"/>
              </w:tabs>
              <w:rPr>
                <w:b/>
                <w:color w:val="auto"/>
              </w:rPr>
            </w:pPr>
            <w:r>
              <w:rPr>
                <w:b/>
                <w:color w:val="auto"/>
              </w:rPr>
              <w:t>(</w:t>
            </w:r>
            <w:r w:rsidR="002C285E">
              <w:rPr>
                <w:b/>
                <w:color w:val="auto"/>
              </w:rPr>
              <w:t>317.0</w:t>
            </w:r>
            <w:r>
              <w:rPr>
                <w:b/>
                <w:color w:val="auto"/>
              </w:rPr>
              <w:t>)</w:t>
            </w:r>
          </w:p>
        </w:tc>
        <w:tc>
          <w:tcPr>
            <w:tcW w:w="441" w:type="pct"/>
            <w:shd w:val="clear" w:color="auto" w:fill="auto"/>
            <w:vAlign w:val="bottom"/>
          </w:tcPr>
          <w:p w14:paraId="6E0BF88F" w14:textId="32D3E46D" w:rsidR="00344756" w:rsidRPr="009C12B3" w:rsidRDefault="009716DC" w:rsidP="00623F50">
            <w:pPr>
              <w:tabs>
                <w:tab w:val="decimal" w:pos="741"/>
              </w:tabs>
              <w:rPr>
                <w:color w:val="auto"/>
              </w:rPr>
            </w:pPr>
            <w:r>
              <w:rPr>
                <w:color w:val="auto"/>
              </w:rPr>
              <w:t>(</w:t>
            </w:r>
            <w:r w:rsidR="00344756">
              <w:rPr>
                <w:color w:val="auto"/>
              </w:rPr>
              <w:t>14.1</w:t>
            </w:r>
            <w:r>
              <w:rPr>
                <w:color w:val="auto"/>
              </w:rPr>
              <w:t>)</w:t>
            </w:r>
          </w:p>
        </w:tc>
        <w:tc>
          <w:tcPr>
            <w:tcW w:w="415" w:type="pct"/>
            <w:shd w:val="clear" w:color="auto" w:fill="auto"/>
            <w:vAlign w:val="bottom"/>
          </w:tcPr>
          <w:p w14:paraId="5C4B7298" w14:textId="22F0EBA4" w:rsidR="00344756" w:rsidRPr="00F92D52" w:rsidRDefault="009716DC" w:rsidP="00623F50">
            <w:pPr>
              <w:tabs>
                <w:tab w:val="decimal" w:pos="744"/>
              </w:tabs>
              <w:rPr>
                <w:b/>
                <w:color w:val="auto"/>
              </w:rPr>
            </w:pPr>
            <w:r>
              <w:rPr>
                <w:b/>
                <w:color w:val="auto"/>
              </w:rPr>
              <w:t>(</w:t>
            </w:r>
            <w:r w:rsidR="00344756" w:rsidRPr="00F92D52">
              <w:rPr>
                <w:b/>
                <w:color w:val="auto"/>
              </w:rPr>
              <w:t>3</w:t>
            </w:r>
            <w:r w:rsidR="002C285E">
              <w:rPr>
                <w:b/>
                <w:color w:val="auto"/>
              </w:rPr>
              <w:t>31.1</w:t>
            </w:r>
            <w:r>
              <w:rPr>
                <w:b/>
                <w:color w:val="auto"/>
              </w:rPr>
              <w:t>)</w:t>
            </w:r>
          </w:p>
        </w:tc>
      </w:tr>
      <w:tr w:rsidR="00344756" w:rsidRPr="00C0047D" w14:paraId="3B91D035" w14:textId="77777777" w:rsidTr="00344756">
        <w:trPr>
          <w:trHeight w:val="369"/>
        </w:trPr>
        <w:tc>
          <w:tcPr>
            <w:tcW w:w="1448" w:type="pct"/>
            <w:shd w:val="clear" w:color="auto" w:fill="auto"/>
            <w:vAlign w:val="bottom"/>
          </w:tcPr>
          <w:p w14:paraId="7B8076C5" w14:textId="77777777" w:rsidR="00344756" w:rsidRPr="009C12B3" w:rsidRDefault="00344756" w:rsidP="00F77838">
            <w:pPr>
              <w:jc w:val="left"/>
              <w:rPr>
                <w:color w:val="auto"/>
              </w:rPr>
            </w:pPr>
            <w:r w:rsidRPr="009C12B3">
              <w:rPr>
                <w:color w:val="auto"/>
              </w:rPr>
              <w:t>Interest and investment income</w:t>
            </w:r>
          </w:p>
        </w:tc>
        <w:tc>
          <w:tcPr>
            <w:tcW w:w="487" w:type="pct"/>
            <w:shd w:val="clear" w:color="auto" w:fill="auto"/>
            <w:vAlign w:val="bottom"/>
          </w:tcPr>
          <w:p w14:paraId="0A59613A" w14:textId="3DAEAA8B" w:rsidR="00344756" w:rsidRPr="009C12B3" w:rsidRDefault="00344756" w:rsidP="00A06955">
            <w:pPr>
              <w:tabs>
                <w:tab w:val="decimal" w:pos="838"/>
              </w:tabs>
              <w:rPr>
                <w:color w:val="auto"/>
              </w:rPr>
            </w:pPr>
            <w:r>
              <w:rPr>
                <w:color w:val="auto"/>
              </w:rPr>
              <w:t>-</w:t>
            </w:r>
          </w:p>
        </w:tc>
        <w:tc>
          <w:tcPr>
            <w:tcW w:w="663" w:type="pct"/>
          </w:tcPr>
          <w:p w14:paraId="180B10A9" w14:textId="4BA6E5C8" w:rsidR="00344756" w:rsidRDefault="00344756" w:rsidP="00F77838">
            <w:pPr>
              <w:tabs>
                <w:tab w:val="decimal" w:pos="1027"/>
              </w:tabs>
              <w:rPr>
                <w:color w:val="auto"/>
              </w:rPr>
            </w:pPr>
            <w:r>
              <w:rPr>
                <w:color w:val="auto"/>
              </w:rPr>
              <w:t>-</w:t>
            </w:r>
          </w:p>
        </w:tc>
        <w:tc>
          <w:tcPr>
            <w:tcW w:w="663" w:type="pct"/>
            <w:vAlign w:val="bottom"/>
          </w:tcPr>
          <w:p w14:paraId="18502324" w14:textId="34AAD06F" w:rsidR="00344756" w:rsidRPr="009C12B3" w:rsidRDefault="00344756" w:rsidP="00F77838">
            <w:pPr>
              <w:tabs>
                <w:tab w:val="decimal" w:pos="1027"/>
              </w:tabs>
              <w:rPr>
                <w:color w:val="auto"/>
              </w:rPr>
            </w:pPr>
            <w:r>
              <w:rPr>
                <w:color w:val="auto"/>
              </w:rPr>
              <w:t>-</w:t>
            </w:r>
          </w:p>
        </w:tc>
        <w:tc>
          <w:tcPr>
            <w:tcW w:w="442" w:type="pct"/>
            <w:vAlign w:val="bottom"/>
          </w:tcPr>
          <w:p w14:paraId="5560D972" w14:textId="37D7549C" w:rsidR="00344756" w:rsidRPr="009C12B3" w:rsidRDefault="00344756" w:rsidP="00623F50">
            <w:pPr>
              <w:tabs>
                <w:tab w:val="decimal" w:pos="601"/>
              </w:tabs>
              <w:rPr>
                <w:color w:val="auto"/>
              </w:rPr>
            </w:pPr>
            <w:r>
              <w:rPr>
                <w:color w:val="auto"/>
              </w:rPr>
              <w:t>-</w:t>
            </w:r>
          </w:p>
        </w:tc>
        <w:tc>
          <w:tcPr>
            <w:tcW w:w="441" w:type="pct"/>
            <w:vAlign w:val="bottom"/>
          </w:tcPr>
          <w:p w14:paraId="7F82BB2F" w14:textId="5AD5B6A4" w:rsidR="00344756" w:rsidRPr="00F92D52" w:rsidRDefault="00344756" w:rsidP="00623F50">
            <w:pPr>
              <w:tabs>
                <w:tab w:val="decimal" w:pos="739"/>
              </w:tabs>
              <w:rPr>
                <w:b/>
                <w:color w:val="auto"/>
              </w:rPr>
            </w:pPr>
            <w:r w:rsidRPr="00F92D52">
              <w:rPr>
                <w:b/>
                <w:color w:val="auto"/>
              </w:rPr>
              <w:t>-</w:t>
            </w:r>
          </w:p>
        </w:tc>
        <w:tc>
          <w:tcPr>
            <w:tcW w:w="441" w:type="pct"/>
            <w:shd w:val="clear" w:color="auto" w:fill="auto"/>
            <w:vAlign w:val="bottom"/>
          </w:tcPr>
          <w:p w14:paraId="5553F2EF" w14:textId="3A899235" w:rsidR="00344756" w:rsidRPr="009C12B3" w:rsidRDefault="009716DC" w:rsidP="00623F50">
            <w:pPr>
              <w:tabs>
                <w:tab w:val="decimal" w:pos="741"/>
              </w:tabs>
              <w:rPr>
                <w:color w:val="auto"/>
              </w:rPr>
            </w:pPr>
            <w:r>
              <w:rPr>
                <w:color w:val="auto"/>
              </w:rPr>
              <w:t>(</w:t>
            </w:r>
            <w:r w:rsidR="00344756" w:rsidRPr="00A06955">
              <w:rPr>
                <w:color w:val="auto"/>
              </w:rPr>
              <w:t>19.5</w:t>
            </w:r>
            <w:r>
              <w:rPr>
                <w:color w:val="auto"/>
              </w:rPr>
              <w:t>)</w:t>
            </w:r>
          </w:p>
        </w:tc>
        <w:tc>
          <w:tcPr>
            <w:tcW w:w="415" w:type="pct"/>
            <w:shd w:val="clear" w:color="auto" w:fill="auto"/>
            <w:vAlign w:val="bottom"/>
          </w:tcPr>
          <w:p w14:paraId="109B9438" w14:textId="1A3978FB" w:rsidR="00344756" w:rsidRPr="00F92D52" w:rsidRDefault="009716DC" w:rsidP="00623F50">
            <w:pPr>
              <w:tabs>
                <w:tab w:val="decimal" w:pos="744"/>
              </w:tabs>
              <w:rPr>
                <w:b/>
                <w:color w:val="auto"/>
              </w:rPr>
            </w:pPr>
            <w:r>
              <w:rPr>
                <w:b/>
                <w:color w:val="auto"/>
              </w:rPr>
              <w:t>(</w:t>
            </w:r>
            <w:r w:rsidR="00344756" w:rsidRPr="00F92D52">
              <w:rPr>
                <w:b/>
                <w:color w:val="auto"/>
              </w:rPr>
              <w:t>19.5</w:t>
            </w:r>
            <w:r>
              <w:rPr>
                <w:b/>
                <w:color w:val="auto"/>
              </w:rPr>
              <w:t>)</w:t>
            </w:r>
          </w:p>
        </w:tc>
      </w:tr>
      <w:tr w:rsidR="00344756" w:rsidRPr="00C0047D" w14:paraId="6AF4BBBB" w14:textId="77777777" w:rsidTr="00344756">
        <w:trPr>
          <w:trHeight w:val="369"/>
        </w:trPr>
        <w:tc>
          <w:tcPr>
            <w:tcW w:w="1448" w:type="pct"/>
            <w:shd w:val="clear" w:color="auto" w:fill="auto"/>
            <w:vAlign w:val="bottom"/>
          </w:tcPr>
          <w:p w14:paraId="63ED4D01" w14:textId="77777777" w:rsidR="00344756" w:rsidRPr="009C12B3" w:rsidRDefault="00344756" w:rsidP="00F77838">
            <w:pPr>
              <w:jc w:val="left"/>
              <w:rPr>
                <w:color w:val="auto"/>
              </w:rPr>
            </w:pPr>
            <w:r w:rsidRPr="009C12B3">
              <w:rPr>
                <w:color w:val="auto"/>
              </w:rPr>
              <w:t>Income from council tax</w:t>
            </w:r>
          </w:p>
        </w:tc>
        <w:tc>
          <w:tcPr>
            <w:tcW w:w="487" w:type="pct"/>
            <w:shd w:val="clear" w:color="auto" w:fill="auto"/>
            <w:vAlign w:val="bottom"/>
          </w:tcPr>
          <w:p w14:paraId="21B011B5" w14:textId="53CCA6D7" w:rsidR="00344756" w:rsidRPr="009C12B3" w:rsidRDefault="00344756" w:rsidP="00A06955">
            <w:pPr>
              <w:tabs>
                <w:tab w:val="decimal" w:pos="838"/>
              </w:tabs>
              <w:rPr>
                <w:color w:val="auto"/>
              </w:rPr>
            </w:pPr>
            <w:r>
              <w:rPr>
                <w:color w:val="auto"/>
              </w:rPr>
              <w:t>-</w:t>
            </w:r>
          </w:p>
        </w:tc>
        <w:tc>
          <w:tcPr>
            <w:tcW w:w="663" w:type="pct"/>
          </w:tcPr>
          <w:p w14:paraId="1C52ED4B" w14:textId="5CCA0ECF" w:rsidR="00344756" w:rsidRDefault="00344756" w:rsidP="00F77838">
            <w:pPr>
              <w:tabs>
                <w:tab w:val="decimal" w:pos="1027"/>
              </w:tabs>
              <w:rPr>
                <w:color w:val="auto"/>
              </w:rPr>
            </w:pPr>
            <w:r>
              <w:rPr>
                <w:color w:val="auto"/>
              </w:rPr>
              <w:t>-</w:t>
            </w:r>
          </w:p>
        </w:tc>
        <w:tc>
          <w:tcPr>
            <w:tcW w:w="663" w:type="pct"/>
            <w:vAlign w:val="bottom"/>
          </w:tcPr>
          <w:p w14:paraId="01B7DCF4" w14:textId="7B8AF12B" w:rsidR="00344756" w:rsidRPr="009C12B3" w:rsidRDefault="00344756" w:rsidP="00F77838">
            <w:pPr>
              <w:tabs>
                <w:tab w:val="decimal" w:pos="1027"/>
              </w:tabs>
              <w:rPr>
                <w:color w:val="auto"/>
              </w:rPr>
            </w:pPr>
            <w:r>
              <w:rPr>
                <w:color w:val="auto"/>
              </w:rPr>
              <w:t>-</w:t>
            </w:r>
          </w:p>
        </w:tc>
        <w:tc>
          <w:tcPr>
            <w:tcW w:w="442" w:type="pct"/>
            <w:vAlign w:val="bottom"/>
          </w:tcPr>
          <w:p w14:paraId="05A42BED" w14:textId="68DC66DE" w:rsidR="00344756" w:rsidRPr="009C12B3" w:rsidRDefault="00344756" w:rsidP="00623F50">
            <w:pPr>
              <w:tabs>
                <w:tab w:val="decimal" w:pos="601"/>
              </w:tabs>
              <w:rPr>
                <w:color w:val="auto"/>
              </w:rPr>
            </w:pPr>
            <w:r>
              <w:rPr>
                <w:color w:val="auto"/>
              </w:rPr>
              <w:t>-</w:t>
            </w:r>
          </w:p>
        </w:tc>
        <w:tc>
          <w:tcPr>
            <w:tcW w:w="441" w:type="pct"/>
            <w:vAlign w:val="bottom"/>
          </w:tcPr>
          <w:p w14:paraId="0635C7D2" w14:textId="6A6336FA" w:rsidR="00344756" w:rsidRPr="00F92D52" w:rsidRDefault="00344756" w:rsidP="00623F50">
            <w:pPr>
              <w:tabs>
                <w:tab w:val="decimal" w:pos="739"/>
              </w:tabs>
              <w:rPr>
                <w:b/>
                <w:color w:val="auto"/>
              </w:rPr>
            </w:pPr>
            <w:r w:rsidRPr="00F92D52">
              <w:rPr>
                <w:b/>
                <w:color w:val="auto"/>
              </w:rPr>
              <w:t>-</w:t>
            </w:r>
          </w:p>
        </w:tc>
        <w:tc>
          <w:tcPr>
            <w:tcW w:w="441" w:type="pct"/>
            <w:shd w:val="clear" w:color="auto" w:fill="auto"/>
            <w:vAlign w:val="bottom"/>
          </w:tcPr>
          <w:p w14:paraId="583F678B" w14:textId="7E203948" w:rsidR="00344756" w:rsidRPr="009C12B3" w:rsidRDefault="009716DC" w:rsidP="00623F50">
            <w:pPr>
              <w:tabs>
                <w:tab w:val="decimal" w:pos="741"/>
              </w:tabs>
              <w:rPr>
                <w:color w:val="auto"/>
              </w:rPr>
            </w:pPr>
            <w:r>
              <w:rPr>
                <w:color w:val="auto"/>
              </w:rPr>
              <w:t>(</w:t>
            </w:r>
            <w:r w:rsidR="00344756">
              <w:rPr>
                <w:color w:val="auto"/>
              </w:rPr>
              <w:t>364.4</w:t>
            </w:r>
            <w:r>
              <w:rPr>
                <w:color w:val="auto"/>
              </w:rPr>
              <w:t>)</w:t>
            </w:r>
          </w:p>
        </w:tc>
        <w:tc>
          <w:tcPr>
            <w:tcW w:w="415" w:type="pct"/>
            <w:shd w:val="clear" w:color="auto" w:fill="auto"/>
            <w:vAlign w:val="bottom"/>
          </w:tcPr>
          <w:p w14:paraId="13742D26" w14:textId="033213FB" w:rsidR="00344756" w:rsidRPr="00F92D52" w:rsidRDefault="009716DC" w:rsidP="00623F50">
            <w:pPr>
              <w:tabs>
                <w:tab w:val="decimal" w:pos="744"/>
              </w:tabs>
              <w:rPr>
                <w:b/>
                <w:color w:val="auto"/>
              </w:rPr>
            </w:pPr>
            <w:r>
              <w:rPr>
                <w:b/>
                <w:color w:val="auto"/>
              </w:rPr>
              <w:t>(</w:t>
            </w:r>
            <w:r w:rsidR="00344756" w:rsidRPr="00F92D52">
              <w:rPr>
                <w:b/>
                <w:color w:val="auto"/>
              </w:rPr>
              <w:t>364.4</w:t>
            </w:r>
            <w:r>
              <w:rPr>
                <w:b/>
                <w:color w:val="auto"/>
              </w:rPr>
              <w:t>)</w:t>
            </w:r>
          </w:p>
        </w:tc>
      </w:tr>
      <w:tr w:rsidR="00344756" w:rsidRPr="00C0047D" w14:paraId="6080D5AB" w14:textId="77777777" w:rsidTr="00344756">
        <w:trPr>
          <w:trHeight w:val="369"/>
        </w:trPr>
        <w:tc>
          <w:tcPr>
            <w:tcW w:w="1448" w:type="pct"/>
            <w:shd w:val="clear" w:color="auto" w:fill="auto"/>
            <w:vAlign w:val="bottom"/>
          </w:tcPr>
          <w:p w14:paraId="49D2E63A" w14:textId="77777777" w:rsidR="00344756" w:rsidRPr="009C12B3" w:rsidRDefault="00344756" w:rsidP="00F77838">
            <w:pPr>
              <w:jc w:val="left"/>
              <w:rPr>
                <w:color w:val="auto"/>
              </w:rPr>
            </w:pPr>
            <w:r w:rsidRPr="009C12B3">
              <w:rPr>
                <w:rFonts w:eastAsia="Times New Roman" w:cs="Arial"/>
                <w:lang w:eastAsia="en-GB"/>
              </w:rPr>
              <w:t>Government grants and contributions</w:t>
            </w:r>
          </w:p>
        </w:tc>
        <w:tc>
          <w:tcPr>
            <w:tcW w:w="487" w:type="pct"/>
            <w:tcBorders>
              <w:bottom w:val="single" w:sz="4" w:space="0" w:color="auto"/>
            </w:tcBorders>
            <w:shd w:val="clear" w:color="auto" w:fill="auto"/>
            <w:vAlign w:val="bottom"/>
          </w:tcPr>
          <w:p w14:paraId="3AD70B20" w14:textId="4B1B979F" w:rsidR="00344756" w:rsidRPr="009C12B3" w:rsidRDefault="009716DC" w:rsidP="00A06955">
            <w:pPr>
              <w:tabs>
                <w:tab w:val="decimal" w:pos="838"/>
              </w:tabs>
              <w:rPr>
                <w:color w:val="auto"/>
              </w:rPr>
            </w:pPr>
            <w:r>
              <w:rPr>
                <w:color w:val="auto"/>
              </w:rPr>
              <w:t>(</w:t>
            </w:r>
            <w:r w:rsidR="00BC08C4">
              <w:rPr>
                <w:color w:val="auto"/>
              </w:rPr>
              <w:t>1,0</w:t>
            </w:r>
            <w:r w:rsidR="002C285E">
              <w:rPr>
                <w:color w:val="auto"/>
              </w:rPr>
              <w:t>19.7</w:t>
            </w:r>
            <w:r>
              <w:rPr>
                <w:color w:val="auto"/>
              </w:rPr>
              <w:t>)</w:t>
            </w:r>
          </w:p>
        </w:tc>
        <w:tc>
          <w:tcPr>
            <w:tcW w:w="663" w:type="pct"/>
            <w:tcBorders>
              <w:bottom w:val="single" w:sz="4" w:space="0" w:color="auto"/>
            </w:tcBorders>
          </w:tcPr>
          <w:p w14:paraId="4B337CFF" w14:textId="04854363" w:rsidR="00344756" w:rsidRDefault="009716DC" w:rsidP="00F77838">
            <w:pPr>
              <w:tabs>
                <w:tab w:val="decimal" w:pos="1027"/>
              </w:tabs>
              <w:rPr>
                <w:color w:val="auto"/>
              </w:rPr>
            </w:pPr>
            <w:r>
              <w:rPr>
                <w:color w:val="auto"/>
              </w:rPr>
              <w:t>(</w:t>
            </w:r>
            <w:r w:rsidR="00344756">
              <w:rPr>
                <w:color w:val="auto"/>
              </w:rPr>
              <w:t>17.3</w:t>
            </w:r>
            <w:r>
              <w:rPr>
                <w:color w:val="auto"/>
              </w:rPr>
              <w:t>)</w:t>
            </w:r>
          </w:p>
        </w:tc>
        <w:tc>
          <w:tcPr>
            <w:tcW w:w="663" w:type="pct"/>
            <w:tcBorders>
              <w:bottom w:val="single" w:sz="4" w:space="0" w:color="auto"/>
            </w:tcBorders>
            <w:vAlign w:val="bottom"/>
          </w:tcPr>
          <w:p w14:paraId="365604EF" w14:textId="7298CC52" w:rsidR="00344756" w:rsidRPr="009C12B3" w:rsidRDefault="00344756" w:rsidP="00F77838">
            <w:pPr>
              <w:tabs>
                <w:tab w:val="decimal" w:pos="1027"/>
              </w:tabs>
              <w:rPr>
                <w:color w:val="auto"/>
              </w:rPr>
            </w:pPr>
            <w:r>
              <w:rPr>
                <w:color w:val="auto"/>
              </w:rPr>
              <w:t>-</w:t>
            </w:r>
          </w:p>
        </w:tc>
        <w:tc>
          <w:tcPr>
            <w:tcW w:w="442" w:type="pct"/>
            <w:tcBorders>
              <w:bottom w:val="single" w:sz="4" w:space="0" w:color="auto"/>
            </w:tcBorders>
            <w:vAlign w:val="bottom"/>
          </w:tcPr>
          <w:p w14:paraId="1D081AD8" w14:textId="2D298030" w:rsidR="00344756" w:rsidRPr="009C12B3" w:rsidRDefault="009716DC" w:rsidP="00623F50">
            <w:pPr>
              <w:tabs>
                <w:tab w:val="decimal" w:pos="601"/>
              </w:tabs>
              <w:rPr>
                <w:color w:val="auto"/>
              </w:rPr>
            </w:pPr>
            <w:r>
              <w:rPr>
                <w:color w:val="auto"/>
              </w:rPr>
              <w:t>91.5</w:t>
            </w:r>
          </w:p>
        </w:tc>
        <w:tc>
          <w:tcPr>
            <w:tcW w:w="441" w:type="pct"/>
            <w:tcBorders>
              <w:bottom w:val="single" w:sz="4" w:space="0" w:color="auto"/>
            </w:tcBorders>
            <w:vAlign w:val="bottom"/>
          </w:tcPr>
          <w:p w14:paraId="5AFA9806" w14:textId="24C53D90" w:rsidR="00344756" w:rsidRPr="00F92D52" w:rsidRDefault="009716DC" w:rsidP="00623F50">
            <w:pPr>
              <w:tabs>
                <w:tab w:val="decimal" w:pos="739"/>
              </w:tabs>
              <w:rPr>
                <w:b/>
                <w:color w:val="auto"/>
              </w:rPr>
            </w:pPr>
            <w:r>
              <w:rPr>
                <w:b/>
                <w:color w:val="auto"/>
              </w:rPr>
              <w:t>(</w:t>
            </w:r>
            <w:r w:rsidR="00BC08C4">
              <w:rPr>
                <w:b/>
                <w:color w:val="auto"/>
              </w:rPr>
              <w:t>9</w:t>
            </w:r>
            <w:r w:rsidR="002C285E">
              <w:rPr>
                <w:b/>
                <w:color w:val="auto"/>
              </w:rPr>
              <w:t>45.5</w:t>
            </w:r>
            <w:r>
              <w:rPr>
                <w:b/>
                <w:color w:val="auto"/>
              </w:rPr>
              <w:t>)</w:t>
            </w:r>
          </w:p>
        </w:tc>
        <w:tc>
          <w:tcPr>
            <w:tcW w:w="441" w:type="pct"/>
            <w:tcBorders>
              <w:bottom w:val="single" w:sz="4" w:space="0" w:color="auto"/>
            </w:tcBorders>
            <w:shd w:val="clear" w:color="auto" w:fill="auto"/>
            <w:vAlign w:val="bottom"/>
          </w:tcPr>
          <w:p w14:paraId="5AA709ED" w14:textId="3DD790C8" w:rsidR="00344756" w:rsidRPr="009C12B3" w:rsidRDefault="009716DC" w:rsidP="00623F50">
            <w:pPr>
              <w:tabs>
                <w:tab w:val="decimal" w:pos="741"/>
              </w:tabs>
              <w:rPr>
                <w:color w:val="auto"/>
              </w:rPr>
            </w:pPr>
            <w:r>
              <w:rPr>
                <w:color w:val="auto"/>
              </w:rPr>
              <w:t>(</w:t>
            </w:r>
            <w:r w:rsidR="00BC08C4">
              <w:rPr>
                <w:color w:val="auto"/>
              </w:rPr>
              <w:t>5</w:t>
            </w:r>
            <w:r w:rsidR="00CB199D">
              <w:rPr>
                <w:color w:val="auto"/>
              </w:rPr>
              <w:t>46.1</w:t>
            </w:r>
            <w:r>
              <w:rPr>
                <w:color w:val="auto"/>
              </w:rPr>
              <w:t>)</w:t>
            </w:r>
          </w:p>
        </w:tc>
        <w:tc>
          <w:tcPr>
            <w:tcW w:w="415" w:type="pct"/>
            <w:tcBorders>
              <w:bottom w:val="single" w:sz="4" w:space="0" w:color="auto"/>
            </w:tcBorders>
            <w:shd w:val="clear" w:color="auto" w:fill="auto"/>
            <w:vAlign w:val="bottom"/>
          </w:tcPr>
          <w:p w14:paraId="5534AA94" w14:textId="11DA2FD6" w:rsidR="00344756" w:rsidRPr="00F92D52" w:rsidRDefault="009716DC" w:rsidP="008C79F4">
            <w:pPr>
              <w:tabs>
                <w:tab w:val="decimal" w:pos="744"/>
              </w:tabs>
              <w:rPr>
                <w:b/>
                <w:color w:val="auto"/>
              </w:rPr>
            </w:pPr>
            <w:r>
              <w:rPr>
                <w:b/>
                <w:color w:val="auto"/>
              </w:rPr>
              <w:t>(</w:t>
            </w:r>
            <w:r w:rsidR="00344756" w:rsidRPr="00F92D52">
              <w:rPr>
                <w:b/>
                <w:color w:val="auto"/>
              </w:rPr>
              <w:t>1,</w:t>
            </w:r>
            <w:r w:rsidR="002C285E">
              <w:rPr>
                <w:b/>
                <w:color w:val="auto"/>
              </w:rPr>
              <w:t>491.6</w:t>
            </w:r>
            <w:r>
              <w:rPr>
                <w:b/>
                <w:color w:val="auto"/>
              </w:rPr>
              <w:t>)</w:t>
            </w:r>
          </w:p>
        </w:tc>
      </w:tr>
      <w:tr w:rsidR="00344756" w:rsidRPr="00C0047D" w14:paraId="7B3FA8CE" w14:textId="77777777" w:rsidTr="00344756">
        <w:trPr>
          <w:trHeight w:val="369"/>
        </w:trPr>
        <w:tc>
          <w:tcPr>
            <w:tcW w:w="1448" w:type="pct"/>
            <w:shd w:val="clear" w:color="auto" w:fill="auto"/>
            <w:vAlign w:val="bottom"/>
          </w:tcPr>
          <w:p w14:paraId="4991DC29" w14:textId="77777777" w:rsidR="00344756" w:rsidRPr="009C12B3" w:rsidRDefault="00344756" w:rsidP="00F77838">
            <w:pPr>
              <w:jc w:val="left"/>
              <w:rPr>
                <w:b/>
                <w:color w:val="auto"/>
              </w:rPr>
            </w:pPr>
            <w:r w:rsidRPr="009C12B3">
              <w:rPr>
                <w:b/>
                <w:color w:val="auto"/>
              </w:rPr>
              <w:t>Total Income</w:t>
            </w:r>
          </w:p>
        </w:tc>
        <w:tc>
          <w:tcPr>
            <w:tcW w:w="487" w:type="pct"/>
            <w:tcBorders>
              <w:top w:val="single" w:sz="4" w:space="0" w:color="auto"/>
              <w:bottom w:val="nil"/>
            </w:tcBorders>
            <w:shd w:val="clear" w:color="auto" w:fill="auto"/>
            <w:vAlign w:val="bottom"/>
          </w:tcPr>
          <w:p w14:paraId="7BB7DEF7" w14:textId="481FE43F" w:rsidR="00344756" w:rsidRPr="009C12B3" w:rsidRDefault="009716DC">
            <w:pPr>
              <w:tabs>
                <w:tab w:val="decimal" w:pos="838"/>
              </w:tabs>
              <w:rPr>
                <w:b/>
                <w:color w:val="auto"/>
              </w:rPr>
            </w:pPr>
            <w:r>
              <w:rPr>
                <w:b/>
                <w:color w:val="auto"/>
              </w:rPr>
              <w:t>(</w:t>
            </w:r>
            <w:r w:rsidR="00344756" w:rsidRPr="00A06955">
              <w:rPr>
                <w:b/>
                <w:color w:val="auto"/>
              </w:rPr>
              <w:t>1,</w:t>
            </w:r>
            <w:r w:rsidR="00BC08C4">
              <w:rPr>
                <w:b/>
                <w:color w:val="auto"/>
              </w:rPr>
              <w:t>3</w:t>
            </w:r>
            <w:r w:rsidR="00CB199D">
              <w:rPr>
                <w:b/>
                <w:color w:val="auto"/>
              </w:rPr>
              <w:t>36.7</w:t>
            </w:r>
            <w:r>
              <w:rPr>
                <w:b/>
                <w:color w:val="auto"/>
              </w:rPr>
              <w:t>)</w:t>
            </w:r>
          </w:p>
        </w:tc>
        <w:tc>
          <w:tcPr>
            <w:tcW w:w="663" w:type="pct"/>
            <w:tcBorders>
              <w:top w:val="single" w:sz="4" w:space="0" w:color="auto"/>
              <w:bottom w:val="nil"/>
            </w:tcBorders>
          </w:tcPr>
          <w:p w14:paraId="24C4B1D2" w14:textId="760326ED" w:rsidR="00344756" w:rsidRPr="009C12B3" w:rsidRDefault="009716DC" w:rsidP="00F77838">
            <w:pPr>
              <w:tabs>
                <w:tab w:val="decimal" w:pos="1027"/>
              </w:tabs>
              <w:rPr>
                <w:b/>
                <w:color w:val="auto"/>
              </w:rPr>
            </w:pPr>
            <w:r>
              <w:rPr>
                <w:b/>
                <w:color w:val="auto"/>
              </w:rPr>
              <w:t>(</w:t>
            </w:r>
            <w:r w:rsidR="00344756">
              <w:rPr>
                <w:b/>
                <w:color w:val="auto"/>
              </w:rPr>
              <w:t>17.3</w:t>
            </w:r>
            <w:r>
              <w:rPr>
                <w:b/>
                <w:color w:val="auto"/>
              </w:rPr>
              <w:t>)</w:t>
            </w:r>
          </w:p>
        </w:tc>
        <w:tc>
          <w:tcPr>
            <w:tcW w:w="663" w:type="pct"/>
            <w:tcBorders>
              <w:top w:val="single" w:sz="4" w:space="0" w:color="auto"/>
              <w:bottom w:val="nil"/>
            </w:tcBorders>
            <w:vAlign w:val="bottom"/>
          </w:tcPr>
          <w:p w14:paraId="6E9DB5B9" w14:textId="408AD3B3" w:rsidR="00344756" w:rsidRPr="009C12B3" w:rsidRDefault="00344756" w:rsidP="00F77838">
            <w:pPr>
              <w:tabs>
                <w:tab w:val="decimal" w:pos="1027"/>
              </w:tabs>
              <w:rPr>
                <w:b/>
                <w:color w:val="auto"/>
              </w:rPr>
            </w:pPr>
            <w:r>
              <w:rPr>
                <w:b/>
                <w:color w:val="auto"/>
              </w:rPr>
              <w:t>-</w:t>
            </w:r>
          </w:p>
        </w:tc>
        <w:tc>
          <w:tcPr>
            <w:tcW w:w="442" w:type="pct"/>
            <w:tcBorders>
              <w:top w:val="single" w:sz="4" w:space="0" w:color="auto"/>
              <w:bottom w:val="nil"/>
            </w:tcBorders>
            <w:vAlign w:val="bottom"/>
          </w:tcPr>
          <w:p w14:paraId="3351614F" w14:textId="6E7030F0" w:rsidR="00344756" w:rsidRPr="009C12B3" w:rsidRDefault="009716DC" w:rsidP="00344756">
            <w:pPr>
              <w:tabs>
                <w:tab w:val="decimal" w:pos="601"/>
              </w:tabs>
              <w:rPr>
                <w:b/>
                <w:color w:val="auto"/>
              </w:rPr>
            </w:pPr>
            <w:r>
              <w:rPr>
                <w:b/>
                <w:color w:val="auto"/>
              </w:rPr>
              <w:t>91.5</w:t>
            </w:r>
          </w:p>
        </w:tc>
        <w:tc>
          <w:tcPr>
            <w:tcW w:w="441" w:type="pct"/>
            <w:tcBorders>
              <w:top w:val="single" w:sz="4" w:space="0" w:color="auto"/>
              <w:bottom w:val="nil"/>
            </w:tcBorders>
            <w:vAlign w:val="bottom"/>
          </w:tcPr>
          <w:p w14:paraId="540EEB24" w14:textId="5DDC8258" w:rsidR="00344756" w:rsidRPr="00F92D52" w:rsidRDefault="009716DC" w:rsidP="00344756">
            <w:pPr>
              <w:tabs>
                <w:tab w:val="decimal" w:pos="739"/>
              </w:tabs>
              <w:rPr>
                <w:b/>
                <w:color w:val="auto"/>
              </w:rPr>
            </w:pPr>
            <w:r>
              <w:rPr>
                <w:b/>
                <w:color w:val="auto"/>
              </w:rPr>
              <w:t>(</w:t>
            </w:r>
            <w:r w:rsidR="00BC08C4">
              <w:rPr>
                <w:b/>
                <w:color w:val="auto"/>
              </w:rPr>
              <w:t>1,2</w:t>
            </w:r>
            <w:r w:rsidR="00CB199D">
              <w:rPr>
                <w:b/>
                <w:color w:val="auto"/>
              </w:rPr>
              <w:t>62.5</w:t>
            </w:r>
            <w:r>
              <w:rPr>
                <w:b/>
                <w:color w:val="auto"/>
              </w:rPr>
              <w:t>)</w:t>
            </w:r>
          </w:p>
        </w:tc>
        <w:tc>
          <w:tcPr>
            <w:tcW w:w="441" w:type="pct"/>
            <w:tcBorders>
              <w:top w:val="single" w:sz="4" w:space="0" w:color="auto"/>
              <w:bottom w:val="nil"/>
            </w:tcBorders>
            <w:shd w:val="clear" w:color="auto" w:fill="auto"/>
            <w:vAlign w:val="bottom"/>
          </w:tcPr>
          <w:p w14:paraId="5B5F9CF1" w14:textId="75BA819D" w:rsidR="00344756" w:rsidRPr="009C12B3" w:rsidRDefault="009716DC" w:rsidP="00623F50">
            <w:pPr>
              <w:tabs>
                <w:tab w:val="decimal" w:pos="741"/>
              </w:tabs>
              <w:rPr>
                <w:b/>
                <w:color w:val="auto"/>
              </w:rPr>
            </w:pPr>
            <w:r>
              <w:rPr>
                <w:b/>
                <w:color w:val="auto"/>
              </w:rPr>
              <w:t>(</w:t>
            </w:r>
            <w:r w:rsidR="00BC08C4">
              <w:rPr>
                <w:b/>
                <w:color w:val="auto"/>
              </w:rPr>
              <w:t>9</w:t>
            </w:r>
            <w:r w:rsidR="00DA25B7">
              <w:rPr>
                <w:b/>
                <w:color w:val="auto"/>
              </w:rPr>
              <w:t>4</w:t>
            </w:r>
            <w:r w:rsidR="00CB199D">
              <w:rPr>
                <w:b/>
                <w:color w:val="auto"/>
              </w:rPr>
              <w:t>4.1</w:t>
            </w:r>
            <w:r>
              <w:rPr>
                <w:b/>
                <w:color w:val="auto"/>
              </w:rPr>
              <w:t>)</w:t>
            </w:r>
          </w:p>
        </w:tc>
        <w:tc>
          <w:tcPr>
            <w:tcW w:w="415" w:type="pct"/>
            <w:tcBorders>
              <w:top w:val="single" w:sz="4" w:space="0" w:color="auto"/>
              <w:bottom w:val="nil"/>
            </w:tcBorders>
            <w:shd w:val="clear" w:color="auto" w:fill="auto"/>
            <w:vAlign w:val="bottom"/>
          </w:tcPr>
          <w:p w14:paraId="7E14B3B9" w14:textId="3418A19C" w:rsidR="00344756" w:rsidRPr="00F92D52" w:rsidRDefault="009716DC" w:rsidP="00623F50">
            <w:pPr>
              <w:tabs>
                <w:tab w:val="decimal" w:pos="744"/>
              </w:tabs>
              <w:rPr>
                <w:b/>
                <w:color w:val="auto"/>
              </w:rPr>
            </w:pPr>
            <w:r>
              <w:rPr>
                <w:b/>
                <w:color w:val="auto"/>
              </w:rPr>
              <w:t>(</w:t>
            </w:r>
            <w:r w:rsidR="008C79F4" w:rsidRPr="00F92D52">
              <w:rPr>
                <w:b/>
                <w:color w:val="auto"/>
              </w:rPr>
              <w:t>2,206</w:t>
            </w:r>
            <w:r w:rsidR="00344756" w:rsidRPr="00F92D52">
              <w:rPr>
                <w:b/>
                <w:color w:val="auto"/>
              </w:rPr>
              <w:t>.6</w:t>
            </w:r>
            <w:r>
              <w:rPr>
                <w:b/>
                <w:color w:val="auto"/>
              </w:rPr>
              <w:t>)</w:t>
            </w:r>
          </w:p>
        </w:tc>
      </w:tr>
      <w:tr w:rsidR="00344756" w:rsidRPr="00C0047D" w14:paraId="5C520E8C" w14:textId="77777777" w:rsidTr="00344756">
        <w:trPr>
          <w:trHeight w:val="369"/>
        </w:trPr>
        <w:tc>
          <w:tcPr>
            <w:tcW w:w="1448" w:type="pct"/>
            <w:shd w:val="clear" w:color="auto" w:fill="auto"/>
            <w:vAlign w:val="bottom"/>
          </w:tcPr>
          <w:p w14:paraId="0F94C89E" w14:textId="77777777" w:rsidR="00344756" w:rsidRPr="009C12B3" w:rsidRDefault="00344756" w:rsidP="00F77838">
            <w:pPr>
              <w:jc w:val="left"/>
              <w:rPr>
                <w:color w:val="auto"/>
              </w:rPr>
            </w:pPr>
            <w:r w:rsidRPr="009C12B3">
              <w:rPr>
                <w:color w:val="auto"/>
              </w:rPr>
              <w:t>Employee expenses</w:t>
            </w:r>
          </w:p>
        </w:tc>
        <w:tc>
          <w:tcPr>
            <w:tcW w:w="487" w:type="pct"/>
            <w:shd w:val="clear" w:color="auto" w:fill="auto"/>
            <w:vAlign w:val="bottom"/>
          </w:tcPr>
          <w:p w14:paraId="59E10919" w14:textId="2ED6989B" w:rsidR="00344756" w:rsidRPr="009C12B3" w:rsidRDefault="008C79F4" w:rsidP="00A06955">
            <w:pPr>
              <w:tabs>
                <w:tab w:val="decimal" w:pos="838"/>
              </w:tabs>
              <w:rPr>
                <w:color w:val="auto"/>
              </w:rPr>
            </w:pPr>
            <w:r>
              <w:rPr>
                <w:color w:val="auto"/>
              </w:rPr>
              <w:t>925.1</w:t>
            </w:r>
          </w:p>
        </w:tc>
        <w:tc>
          <w:tcPr>
            <w:tcW w:w="663" w:type="pct"/>
          </w:tcPr>
          <w:p w14:paraId="6FBFAF5A" w14:textId="503E2129" w:rsidR="00344756" w:rsidRPr="00A06955" w:rsidRDefault="008C79F4" w:rsidP="00F77838">
            <w:pPr>
              <w:tabs>
                <w:tab w:val="decimal" w:pos="1027"/>
              </w:tabs>
              <w:rPr>
                <w:color w:val="auto"/>
              </w:rPr>
            </w:pPr>
            <w:r>
              <w:rPr>
                <w:color w:val="auto"/>
              </w:rPr>
              <w:t>-</w:t>
            </w:r>
          </w:p>
        </w:tc>
        <w:tc>
          <w:tcPr>
            <w:tcW w:w="663" w:type="pct"/>
            <w:vAlign w:val="bottom"/>
          </w:tcPr>
          <w:p w14:paraId="5505226B" w14:textId="4063F2EB" w:rsidR="00344756" w:rsidRPr="009C12B3" w:rsidRDefault="008C79F4" w:rsidP="00F77838">
            <w:pPr>
              <w:tabs>
                <w:tab w:val="decimal" w:pos="1027"/>
              </w:tabs>
              <w:rPr>
                <w:color w:val="auto"/>
              </w:rPr>
            </w:pPr>
            <w:r>
              <w:rPr>
                <w:color w:val="auto"/>
              </w:rPr>
              <w:t>7.0</w:t>
            </w:r>
          </w:p>
        </w:tc>
        <w:tc>
          <w:tcPr>
            <w:tcW w:w="442" w:type="pct"/>
            <w:vAlign w:val="bottom"/>
          </w:tcPr>
          <w:p w14:paraId="41065895" w14:textId="556AF883" w:rsidR="00344756" w:rsidRPr="009C12B3" w:rsidRDefault="008C79F4" w:rsidP="00623F50">
            <w:pPr>
              <w:tabs>
                <w:tab w:val="decimal" w:pos="601"/>
              </w:tabs>
              <w:rPr>
                <w:color w:val="auto"/>
              </w:rPr>
            </w:pPr>
            <w:r>
              <w:rPr>
                <w:color w:val="auto"/>
              </w:rPr>
              <w:t>-</w:t>
            </w:r>
          </w:p>
        </w:tc>
        <w:tc>
          <w:tcPr>
            <w:tcW w:w="441" w:type="pct"/>
            <w:vAlign w:val="bottom"/>
          </w:tcPr>
          <w:p w14:paraId="2B8133AE" w14:textId="5BADC435" w:rsidR="00344756" w:rsidRPr="00F92D52" w:rsidRDefault="008C79F4" w:rsidP="00623F50">
            <w:pPr>
              <w:tabs>
                <w:tab w:val="decimal" w:pos="739"/>
              </w:tabs>
              <w:rPr>
                <w:b/>
                <w:color w:val="auto"/>
              </w:rPr>
            </w:pPr>
            <w:r w:rsidRPr="00F92D52">
              <w:rPr>
                <w:b/>
                <w:color w:val="auto"/>
              </w:rPr>
              <w:t>932.1</w:t>
            </w:r>
          </w:p>
        </w:tc>
        <w:tc>
          <w:tcPr>
            <w:tcW w:w="441" w:type="pct"/>
            <w:shd w:val="clear" w:color="auto" w:fill="auto"/>
            <w:vAlign w:val="bottom"/>
          </w:tcPr>
          <w:p w14:paraId="16A8751A" w14:textId="6D03527E" w:rsidR="00344756" w:rsidRPr="009C12B3" w:rsidRDefault="00344756" w:rsidP="00623F50">
            <w:pPr>
              <w:tabs>
                <w:tab w:val="decimal" w:pos="741"/>
              </w:tabs>
              <w:rPr>
                <w:color w:val="auto"/>
              </w:rPr>
            </w:pPr>
          </w:p>
        </w:tc>
        <w:tc>
          <w:tcPr>
            <w:tcW w:w="415" w:type="pct"/>
            <w:shd w:val="clear" w:color="auto" w:fill="auto"/>
            <w:vAlign w:val="bottom"/>
          </w:tcPr>
          <w:p w14:paraId="57A12695" w14:textId="0ADFD681" w:rsidR="00344756" w:rsidRPr="00F92D52" w:rsidRDefault="008C79F4" w:rsidP="00623F50">
            <w:pPr>
              <w:tabs>
                <w:tab w:val="decimal" w:pos="744"/>
              </w:tabs>
              <w:rPr>
                <w:b/>
                <w:color w:val="auto"/>
              </w:rPr>
            </w:pPr>
            <w:r w:rsidRPr="00F92D52">
              <w:rPr>
                <w:b/>
                <w:color w:val="auto"/>
              </w:rPr>
              <w:t>932.1</w:t>
            </w:r>
          </w:p>
        </w:tc>
      </w:tr>
      <w:tr w:rsidR="00344756" w:rsidRPr="00C0047D" w14:paraId="3257B2AC" w14:textId="77777777" w:rsidTr="00344756">
        <w:trPr>
          <w:trHeight w:val="369"/>
        </w:trPr>
        <w:tc>
          <w:tcPr>
            <w:tcW w:w="1448" w:type="pct"/>
            <w:shd w:val="clear" w:color="auto" w:fill="auto"/>
            <w:vAlign w:val="bottom"/>
          </w:tcPr>
          <w:p w14:paraId="53050AB1" w14:textId="67614973" w:rsidR="00344756" w:rsidRPr="009C12B3" w:rsidRDefault="00344756" w:rsidP="009C12B3">
            <w:pPr>
              <w:jc w:val="left"/>
              <w:rPr>
                <w:color w:val="auto"/>
              </w:rPr>
            </w:pPr>
            <w:r w:rsidRPr="009C12B3">
              <w:rPr>
                <w:color w:val="auto"/>
              </w:rPr>
              <w:t xml:space="preserve">Other </w:t>
            </w:r>
            <w:r w:rsidRPr="00A06955">
              <w:rPr>
                <w:color w:val="auto"/>
              </w:rPr>
              <w:t>operating</w:t>
            </w:r>
            <w:r w:rsidRPr="009C12B3">
              <w:rPr>
                <w:color w:val="auto"/>
              </w:rPr>
              <w:t xml:space="preserve"> expenses</w:t>
            </w:r>
          </w:p>
        </w:tc>
        <w:tc>
          <w:tcPr>
            <w:tcW w:w="487" w:type="pct"/>
            <w:shd w:val="clear" w:color="auto" w:fill="auto"/>
            <w:vAlign w:val="bottom"/>
          </w:tcPr>
          <w:p w14:paraId="03780F7B" w14:textId="2B846AF6" w:rsidR="00344756" w:rsidRPr="009C12B3" w:rsidRDefault="008C79F4" w:rsidP="00A06955">
            <w:pPr>
              <w:tabs>
                <w:tab w:val="decimal" w:pos="838"/>
              </w:tabs>
              <w:rPr>
                <w:color w:val="auto"/>
              </w:rPr>
            </w:pPr>
            <w:r>
              <w:rPr>
                <w:color w:val="auto"/>
              </w:rPr>
              <w:t>1,146.2</w:t>
            </w:r>
          </w:p>
        </w:tc>
        <w:tc>
          <w:tcPr>
            <w:tcW w:w="663" w:type="pct"/>
          </w:tcPr>
          <w:p w14:paraId="33C4897E" w14:textId="1208219B" w:rsidR="00344756" w:rsidRPr="009C12B3" w:rsidRDefault="008C79F4" w:rsidP="00F77838">
            <w:pPr>
              <w:tabs>
                <w:tab w:val="decimal" w:pos="1027"/>
              </w:tabs>
              <w:rPr>
                <w:color w:val="auto"/>
              </w:rPr>
            </w:pPr>
            <w:r>
              <w:rPr>
                <w:color w:val="auto"/>
              </w:rPr>
              <w:t>8.5</w:t>
            </w:r>
          </w:p>
        </w:tc>
        <w:tc>
          <w:tcPr>
            <w:tcW w:w="663" w:type="pct"/>
            <w:vAlign w:val="bottom"/>
          </w:tcPr>
          <w:p w14:paraId="22746FAE" w14:textId="5CFE00A9" w:rsidR="00344756" w:rsidRPr="009C12B3" w:rsidRDefault="008C79F4" w:rsidP="00F77838">
            <w:pPr>
              <w:tabs>
                <w:tab w:val="decimal" w:pos="1027"/>
              </w:tabs>
              <w:rPr>
                <w:color w:val="auto"/>
              </w:rPr>
            </w:pPr>
            <w:r>
              <w:rPr>
                <w:color w:val="auto"/>
              </w:rPr>
              <w:t>-</w:t>
            </w:r>
          </w:p>
        </w:tc>
        <w:tc>
          <w:tcPr>
            <w:tcW w:w="442" w:type="pct"/>
            <w:vAlign w:val="bottom"/>
          </w:tcPr>
          <w:p w14:paraId="67ED2A65" w14:textId="30D011C4" w:rsidR="00344756" w:rsidRPr="009C12B3" w:rsidRDefault="008C79F4" w:rsidP="00623F50">
            <w:pPr>
              <w:tabs>
                <w:tab w:val="decimal" w:pos="601"/>
              </w:tabs>
              <w:rPr>
                <w:color w:val="auto"/>
              </w:rPr>
            </w:pPr>
            <w:r>
              <w:rPr>
                <w:color w:val="auto"/>
              </w:rPr>
              <w:t>(98.3)</w:t>
            </w:r>
          </w:p>
        </w:tc>
        <w:tc>
          <w:tcPr>
            <w:tcW w:w="441" w:type="pct"/>
            <w:vAlign w:val="bottom"/>
          </w:tcPr>
          <w:p w14:paraId="108049C6" w14:textId="5A2D838A" w:rsidR="00344756" w:rsidRPr="00F92D52" w:rsidRDefault="008C79F4" w:rsidP="00623F50">
            <w:pPr>
              <w:tabs>
                <w:tab w:val="decimal" w:pos="739"/>
              </w:tabs>
              <w:rPr>
                <w:b/>
                <w:color w:val="auto"/>
              </w:rPr>
            </w:pPr>
            <w:r w:rsidRPr="00F92D52">
              <w:rPr>
                <w:b/>
                <w:color w:val="auto"/>
              </w:rPr>
              <w:t>1,056.4</w:t>
            </w:r>
          </w:p>
        </w:tc>
        <w:tc>
          <w:tcPr>
            <w:tcW w:w="441" w:type="pct"/>
            <w:shd w:val="clear" w:color="auto" w:fill="auto"/>
            <w:vAlign w:val="bottom"/>
          </w:tcPr>
          <w:p w14:paraId="249AE5AE" w14:textId="197A72FB" w:rsidR="00344756" w:rsidRPr="009C12B3" w:rsidRDefault="008C79F4" w:rsidP="00623F50">
            <w:pPr>
              <w:tabs>
                <w:tab w:val="decimal" w:pos="741"/>
              </w:tabs>
              <w:rPr>
                <w:color w:val="auto"/>
              </w:rPr>
            </w:pPr>
            <w:r>
              <w:rPr>
                <w:color w:val="auto"/>
              </w:rPr>
              <w:t>11.0</w:t>
            </w:r>
          </w:p>
        </w:tc>
        <w:tc>
          <w:tcPr>
            <w:tcW w:w="415" w:type="pct"/>
            <w:shd w:val="clear" w:color="auto" w:fill="auto"/>
            <w:vAlign w:val="bottom"/>
          </w:tcPr>
          <w:p w14:paraId="656A1941" w14:textId="2E998BA4" w:rsidR="00344756" w:rsidRPr="00F92D52" w:rsidRDefault="008C79F4" w:rsidP="00C36273">
            <w:pPr>
              <w:tabs>
                <w:tab w:val="decimal" w:pos="744"/>
              </w:tabs>
              <w:rPr>
                <w:b/>
                <w:color w:val="auto"/>
              </w:rPr>
            </w:pPr>
            <w:r w:rsidRPr="00F92D52">
              <w:rPr>
                <w:b/>
                <w:color w:val="auto"/>
              </w:rPr>
              <w:t>1,067.4</w:t>
            </w:r>
          </w:p>
        </w:tc>
      </w:tr>
      <w:tr w:rsidR="00344756" w:rsidRPr="00C0047D" w14:paraId="6F60374B" w14:textId="77777777" w:rsidTr="00344756">
        <w:trPr>
          <w:trHeight w:val="369"/>
        </w:trPr>
        <w:tc>
          <w:tcPr>
            <w:tcW w:w="1448" w:type="pct"/>
            <w:shd w:val="clear" w:color="auto" w:fill="auto"/>
            <w:vAlign w:val="bottom"/>
          </w:tcPr>
          <w:p w14:paraId="696E4514" w14:textId="77777777" w:rsidR="00344756" w:rsidRPr="009C12B3" w:rsidRDefault="00344756" w:rsidP="00F77838">
            <w:pPr>
              <w:jc w:val="left"/>
              <w:rPr>
                <w:color w:val="auto"/>
              </w:rPr>
            </w:pPr>
            <w:r w:rsidRPr="009C12B3">
              <w:rPr>
                <w:color w:val="auto"/>
              </w:rPr>
              <w:t>Support service recharges</w:t>
            </w:r>
          </w:p>
        </w:tc>
        <w:tc>
          <w:tcPr>
            <w:tcW w:w="487" w:type="pct"/>
            <w:shd w:val="clear" w:color="auto" w:fill="auto"/>
            <w:vAlign w:val="bottom"/>
          </w:tcPr>
          <w:p w14:paraId="465CECE0" w14:textId="2C69DE0C" w:rsidR="00344756" w:rsidRPr="009C12B3" w:rsidRDefault="008C79F4" w:rsidP="00A06955">
            <w:pPr>
              <w:tabs>
                <w:tab w:val="decimal" w:pos="838"/>
              </w:tabs>
              <w:rPr>
                <w:color w:val="auto"/>
              </w:rPr>
            </w:pPr>
            <w:r>
              <w:rPr>
                <w:color w:val="auto"/>
              </w:rPr>
              <w:t>(11.4</w:t>
            </w:r>
            <w:r w:rsidR="00344756" w:rsidRPr="00A06955">
              <w:rPr>
                <w:color w:val="auto"/>
              </w:rPr>
              <w:t>)</w:t>
            </w:r>
          </w:p>
        </w:tc>
        <w:tc>
          <w:tcPr>
            <w:tcW w:w="663" w:type="pct"/>
          </w:tcPr>
          <w:p w14:paraId="219CB04E" w14:textId="74782E39" w:rsidR="00344756" w:rsidRPr="009C12B3" w:rsidRDefault="008C79F4" w:rsidP="00F77838">
            <w:pPr>
              <w:tabs>
                <w:tab w:val="decimal" w:pos="1027"/>
              </w:tabs>
              <w:rPr>
                <w:color w:val="auto"/>
              </w:rPr>
            </w:pPr>
            <w:r>
              <w:rPr>
                <w:color w:val="auto"/>
              </w:rPr>
              <w:t>-</w:t>
            </w:r>
          </w:p>
        </w:tc>
        <w:tc>
          <w:tcPr>
            <w:tcW w:w="663" w:type="pct"/>
            <w:vAlign w:val="bottom"/>
          </w:tcPr>
          <w:p w14:paraId="4EF09907" w14:textId="419245EE" w:rsidR="00344756" w:rsidRPr="009C12B3" w:rsidRDefault="008C79F4" w:rsidP="00F77838">
            <w:pPr>
              <w:tabs>
                <w:tab w:val="decimal" w:pos="1027"/>
              </w:tabs>
              <w:rPr>
                <w:color w:val="auto"/>
              </w:rPr>
            </w:pPr>
            <w:r>
              <w:rPr>
                <w:color w:val="auto"/>
              </w:rPr>
              <w:t>-</w:t>
            </w:r>
          </w:p>
        </w:tc>
        <w:tc>
          <w:tcPr>
            <w:tcW w:w="442" w:type="pct"/>
            <w:vAlign w:val="bottom"/>
          </w:tcPr>
          <w:p w14:paraId="7F2B7DC7" w14:textId="239193CE" w:rsidR="00344756" w:rsidRPr="009C12B3" w:rsidRDefault="008C79F4" w:rsidP="00623F50">
            <w:pPr>
              <w:tabs>
                <w:tab w:val="decimal" w:pos="601"/>
              </w:tabs>
              <w:rPr>
                <w:color w:val="auto"/>
              </w:rPr>
            </w:pPr>
            <w:r>
              <w:rPr>
                <w:color w:val="auto"/>
              </w:rPr>
              <w:t>-</w:t>
            </w:r>
          </w:p>
        </w:tc>
        <w:tc>
          <w:tcPr>
            <w:tcW w:w="441" w:type="pct"/>
            <w:vAlign w:val="bottom"/>
          </w:tcPr>
          <w:p w14:paraId="42852C23" w14:textId="064F5985" w:rsidR="00344756" w:rsidRPr="00F92D52" w:rsidRDefault="008C79F4" w:rsidP="00623F50">
            <w:pPr>
              <w:tabs>
                <w:tab w:val="decimal" w:pos="739"/>
              </w:tabs>
              <w:rPr>
                <w:b/>
                <w:color w:val="auto"/>
              </w:rPr>
            </w:pPr>
            <w:r w:rsidRPr="00F92D52">
              <w:rPr>
                <w:b/>
                <w:color w:val="auto"/>
              </w:rPr>
              <w:t>(11.4</w:t>
            </w:r>
            <w:r w:rsidR="00344756" w:rsidRPr="00F92D52">
              <w:rPr>
                <w:b/>
                <w:color w:val="auto"/>
              </w:rPr>
              <w:t>)</w:t>
            </w:r>
          </w:p>
        </w:tc>
        <w:tc>
          <w:tcPr>
            <w:tcW w:w="441" w:type="pct"/>
            <w:shd w:val="clear" w:color="auto" w:fill="auto"/>
            <w:vAlign w:val="bottom"/>
          </w:tcPr>
          <w:p w14:paraId="09FB0379" w14:textId="571D4A1C" w:rsidR="00344756" w:rsidRPr="009C12B3" w:rsidRDefault="00344756" w:rsidP="00623F50">
            <w:pPr>
              <w:tabs>
                <w:tab w:val="decimal" w:pos="741"/>
              </w:tabs>
              <w:rPr>
                <w:color w:val="auto"/>
              </w:rPr>
            </w:pPr>
          </w:p>
        </w:tc>
        <w:tc>
          <w:tcPr>
            <w:tcW w:w="415" w:type="pct"/>
            <w:shd w:val="clear" w:color="auto" w:fill="auto"/>
            <w:vAlign w:val="bottom"/>
          </w:tcPr>
          <w:p w14:paraId="7DC0FABE" w14:textId="40D05A2E" w:rsidR="00344756" w:rsidRPr="00F92D52" w:rsidRDefault="008C79F4" w:rsidP="00623F50">
            <w:pPr>
              <w:tabs>
                <w:tab w:val="decimal" w:pos="744"/>
              </w:tabs>
              <w:rPr>
                <w:b/>
                <w:color w:val="auto"/>
              </w:rPr>
            </w:pPr>
            <w:r w:rsidRPr="00F92D52">
              <w:rPr>
                <w:b/>
                <w:color w:val="auto"/>
              </w:rPr>
              <w:t>(11.4)</w:t>
            </w:r>
          </w:p>
        </w:tc>
      </w:tr>
      <w:tr w:rsidR="00344756" w:rsidRPr="00C0047D" w14:paraId="75768AA0" w14:textId="77777777" w:rsidTr="00344756">
        <w:trPr>
          <w:trHeight w:val="369"/>
        </w:trPr>
        <w:tc>
          <w:tcPr>
            <w:tcW w:w="1448" w:type="pct"/>
            <w:shd w:val="clear" w:color="auto" w:fill="auto"/>
            <w:vAlign w:val="bottom"/>
          </w:tcPr>
          <w:p w14:paraId="59362437" w14:textId="3A969E60" w:rsidR="00344756" w:rsidRPr="009C12B3" w:rsidRDefault="00344756" w:rsidP="009C12B3">
            <w:pPr>
              <w:jc w:val="left"/>
              <w:rPr>
                <w:color w:val="auto"/>
              </w:rPr>
            </w:pPr>
            <w:r w:rsidRPr="009C12B3">
              <w:rPr>
                <w:color w:val="auto"/>
              </w:rPr>
              <w:t>Depreciation, amortisation</w:t>
            </w:r>
            <w:r w:rsidRPr="00A06955">
              <w:rPr>
                <w:color w:val="auto"/>
              </w:rPr>
              <w:t xml:space="preserve"> and </w:t>
            </w:r>
            <w:r w:rsidRPr="009C12B3">
              <w:rPr>
                <w:color w:val="auto"/>
              </w:rPr>
              <w:t xml:space="preserve"> impairment </w:t>
            </w:r>
          </w:p>
        </w:tc>
        <w:tc>
          <w:tcPr>
            <w:tcW w:w="487" w:type="pct"/>
            <w:shd w:val="clear" w:color="auto" w:fill="auto"/>
            <w:vAlign w:val="bottom"/>
          </w:tcPr>
          <w:p w14:paraId="0D184872" w14:textId="14207F2A" w:rsidR="00344756" w:rsidRPr="009C12B3" w:rsidRDefault="008C79F4" w:rsidP="00A06955">
            <w:pPr>
              <w:tabs>
                <w:tab w:val="decimal" w:pos="838"/>
              </w:tabs>
              <w:rPr>
                <w:color w:val="auto"/>
              </w:rPr>
            </w:pPr>
            <w:r>
              <w:rPr>
                <w:color w:val="auto"/>
              </w:rPr>
              <w:t>-</w:t>
            </w:r>
          </w:p>
        </w:tc>
        <w:tc>
          <w:tcPr>
            <w:tcW w:w="663" w:type="pct"/>
          </w:tcPr>
          <w:p w14:paraId="44C6AA72" w14:textId="77777777" w:rsidR="008C79F4" w:rsidRDefault="008C79F4" w:rsidP="00F77838">
            <w:pPr>
              <w:tabs>
                <w:tab w:val="decimal" w:pos="1027"/>
              </w:tabs>
              <w:rPr>
                <w:color w:val="auto"/>
              </w:rPr>
            </w:pPr>
          </w:p>
          <w:p w14:paraId="73B8C3D8" w14:textId="1485B3E1" w:rsidR="008C79F4" w:rsidRPr="00A06955" w:rsidRDefault="008C79F4" w:rsidP="00F77838">
            <w:pPr>
              <w:tabs>
                <w:tab w:val="decimal" w:pos="1027"/>
              </w:tabs>
              <w:rPr>
                <w:color w:val="auto"/>
              </w:rPr>
            </w:pPr>
            <w:r>
              <w:rPr>
                <w:color w:val="auto"/>
              </w:rPr>
              <w:t>-</w:t>
            </w:r>
          </w:p>
        </w:tc>
        <w:tc>
          <w:tcPr>
            <w:tcW w:w="663" w:type="pct"/>
            <w:vAlign w:val="bottom"/>
          </w:tcPr>
          <w:p w14:paraId="4EE900FD" w14:textId="3EC93015" w:rsidR="00344756" w:rsidRPr="009C12B3" w:rsidRDefault="008C79F4" w:rsidP="00F77838">
            <w:pPr>
              <w:tabs>
                <w:tab w:val="decimal" w:pos="1027"/>
              </w:tabs>
              <w:rPr>
                <w:color w:val="auto"/>
              </w:rPr>
            </w:pPr>
            <w:r>
              <w:rPr>
                <w:color w:val="auto"/>
              </w:rPr>
              <w:t>93.1</w:t>
            </w:r>
          </w:p>
        </w:tc>
        <w:tc>
          <w:tcPr>
            <w:tcW w:w="442" w:type="pct"/>
            <w:vAlign w:val="bottom"/>
          </w:tcPr>
          <w:p w14:paraId="5BD7D43B" w14:textId="474670F7" w:rsidR="00344756" w:rsidRPr="009C12B3" w:rsidRDefault="008C79F4" w:rsidP="00623F50">
            <w:pPr>
              <w:tabs>
                <w:tab w:val="decimal" w:pos="601"/>
              </w:tabs>
              <w:rPr>
                <w:color w:val="auto"/>
              </w:rPr>
            </w:pPr>
            <w:r>
              <w:rPr>
                <w:color w:val="auto"/>
              </w:rPr>
              <w:t>-</w:t>
            </w:r>
          </w:p>
        </w:tc>
        <w:tc>
          <w:tcPr>
            <w:tcW w:w="441" w:type="pct"/>
            <w:vAlign w:val="bottom"/>
          </w:tcPr>
          <w:p w14:paraId="01F5D1F9" w14:textId="6C75EFE7" w:rsidR="00344756" w:rsidRPr="00F92D52" w:rsidRDefault="008C79F4" w:rsidP="00623F50">
            <w:pPr>
              <w:tabs>
                <w:tab w:val="decimal" w:pos="739"/>
              </w:tabs>
              <w:rPr>
                <w:b/>
                <w:color w:val="auto"/>
              </w:rPr>
            </w:pPr>
            <w:r w:rsidRPr="00F92D52">
              <w:rPr>
                <w:b/>
                <w:color w:val="auto"/>
              </w:rPr>
              <w:t>93.1</w:t>
            </w:r>
          </w:p>
        </w:tc>
        <w:tc>
          <w:tcPr>
            <w:tcW w:w="441" w:type="pct"/>
            <w:shd w:val="clear" w:color="auto" w:fill="auto"/>
            <w:vAlign w:val="bottom"/>
          </w:tcPr>
          <w:p w14:paraId="4E84FE92" w14:textId="03816D14" w:rsidR="00344756" w:rsidRPr="009C12B3" w:rsidRDefault="008C79F4" w:rsidP="00623F50">
            <w:pPr>
              <w:tabs>
                <w:tab w:val="decimal" w:pos="741"/>
              </w:tabs>
              <w:rPr>
                <w:color w:val="auto"/>
              </w:rPr>
            </w:pPr>
            <w:r>
              <w:rPr>
                <w:color w:val="auto"/>
              </w:rPr>
              <w:t>-</w:t>
            </w:r>
          </w:p>
        </w:tc>
        <w:tc>
          <w:tcPr>
            <w:tcW w:w="415" w:type="pct"/>
            <w:shd w:val="clear" w:color="auto" w:fill="auto"/>
            <w:vAlign w:val="bottom"/>
          </w:tcPr>
          <w:p w14:paraId="5F26FAF6" w14:textId="6543CAFD" w:rsidR="00344756" w:rsidRPr="00F92D52" w:rsidRDefault="008C79F4" w:rsidP="00623F50">
            <w:pPr>
              <w:tabs>
                <w:tab w:val="decimal" w:pos="744"/>
              </w:tabs>
              <w:rPr>
                <w:b/>
                <w:color w:val="auto"/>
              </w:rPr>
            </w:pPr>
            <w:r w:rsidRPr="00F92D52">
              <w:rPr>
                <w:b/>
                <w:color w:val="auto"/>
              </w:rPr>
              <w:t>93.1</w:t>
            </w:r>
          </w:p>
        </w:tc>
      </w:tr>
      <w:tr w:rsidR="00344756" w:rsidRPr="00C0047D" w14:paraId="78DDA583" w14:textId="77777777" w:rsidTr="00344756">
        <w:trPr>
          <w:trHeight w:val="369"/>
        </w:trPr>
        <w:tc>
          <w:tcPr>
            <w:tcW w:w="1448" w:type="pct"/>
            <w:shd w:val="clear" w:color="auto" w:fill="auto"/>
            <w:vAlign w:val="bottom"/>
          </w:tcPr>
          <w:p w14:paraId="5FB12578" w14:textId="503AAD42" w:rsidR="00344756" w:rsidRPr="009C12B3" w:rsidRDefault="00344756" w:rsidP="00F77838">
            <w:pPr>
              <w:jc w:val="left"/>
              <w:rPr>
                <w:color w:val="auto"/>
              </w:rPr>
            </w:pPr>
            <w:r w:rsidRPr="009C12B3">
              <w:rPr>
                <w:color w:val="auto"/>
              </w:rPr>
              <w:t>Interest payments</w:t>
            </w:r>
          </w:p>
        </w:tc>
        <w:tc>
          <w:tcPr>
            <w:tcW w:w="487" w:type="pct"/>
            <w:shd w:val="clear" w:color="auto" w:fill="auto"/>
            <w:vAlign w:val="bottom"/>
          </w:tcPr>
          <w:p w14:paraId="29F7447C" w14:textId="4A440448" w:rsidR="00344756" w:rsidRPr="009C12B3" w:rsidRDefault="008C79F4" w:rsidP="00A06955">
            <w:pPr>
              <w:tabs>
                <w:tab w:val="decimal" w:pos="838"/>
              </w:tabs>
              <w:rPr>
                <w:color w:val="auto"/>
              </w:rPr>
            </w:pPr>
            <w:r>
              <w:rPr>
                <w:color w:val="auto"/>
              </w:rPr>
              <w:t>-</w:t>
            </w:r>
          </w:p>
        </w:tc>
        <w:tc>
          <w:tcPr>
            <w:tcW w:w="663" w:type="pct"/>
          </w:tcPr>
          <w:p w14:paraId="75B24F45" w14:textId="2E652D47" w:rsidR="00344756" w:rsidRPr="009C12B3" w:rsidRDefault="008C79F4" w:rsidP="00F77838">
            <w:pPr>
              <w:tabs>
                <w:tab w:val="decimal" w:pos="1027"/>
              </w:tabs>
              <w:rPr>
                <w:color w:val="auto"/>
              </w:rPr>
            </w:pPr>
            <w:r>
              <w:rPr>
                <w:color w:val="auto"/>
              </w:rPr>
              <w:t>-</w:t>
            </w:r>
          </w:p>
        </w:tc>
        <w:tc>
          <w:tcPr>
            <w:tcW w:w="663" w:type="pct"/>
            <w:vAlign w:val="bottom"/>
          </w:tcPr>
          <w:p w14:paraId="5CA50BDE" w14:textId="7A86BE94" w:rsidR="00344756" w:rsidRPr="009C12B3" w:rsidRDefault="008C79F4" w:rsidP="00F77838">
            <w:pPr>
              <w:tabs>
                <w:tab w:val="decimal" w:pos="1027"/>
              </w:tabs>
              <w:rPr>
                <w:color w:val="auto"/>
              </w:rPr>
            </w:pPr>
            <w:r>
              <w:rPr>
                <w:color w:val="auto"/>
              </w:rPr>
              <w:t>-</w:t>
            </w:r>
          </w:p>
        </w:tc>
        <w:tc>
          <w:tcPr>
            <w:tcW w:w="442" w:type="pct"/>
            <w:vAlign w:val="bottom"/>
          </w:tcPr>
          <w:p w14:paraId="42C52E7F" w14:textId="1CBBE53E" w:rsidR="00344756" w:rsidRPr="009C12B3" w:rsidRDefault="008C79F4" w:rsidP="00623F50">
            <w:pPr>
              <w:tabs>
                <w:tab w:val="decimal" w:pos="601"/>
              </w:tabs>
              <w:rPr>
                <w:color w:val="auto"/>
              </w:rPr>
            </w:pPr>
            <w:r>
              <w:rPr>
                <w:color w:val="auto"/>
              </w:rPr>
              <w:t>-</w:t>
            </w:r>
          </w:p>
        </w:tc>
        <w:tc>
          <w:tcPr>
            <w:tcW w:w="441" w:type="pct"/>
            <w:vAlign w:val="bottom"/>
          </w:tcPr>
          <w:p w14:paraId="219598BA" w14:textId="6F564B8B" w:rsidR="00344756" w:rsidRPr="00F92D52" w:rsidRDefault="008C79F4" w:rsidP="00623F50">
            <w:pPr>
              <w:tabs>
                <w:tab w:val="decimal" w:pos="739"/>
              </w:tabs>
              <w:rPr>
                <w:b/>
                <w:color w:val="auto"/>
              </w:rPr>
            </w:pPr>
            <w:r w:rsidRPr="00F92D52">
              <w:rPr>
                <w:b/>
                <w:color w:val="auto"/>
              </w:rPr>
              <w:t>-</w:t>
            </w:r>
          </w:p>
        </w:tc>
        <w:tc>
          <w:tcPr>
            <w:tcW w:w="441" w:type="pct"/>
            <w:shd w:val="clear" w:color="auto" w:fill="auto"/>
            <w:vAlign w:val="bottom"/>
          </w:tcPr>
          <w:p w14:paraId="0310E234" w14:textId="10FE0C4B" w:rsidR="00344756" w:rsidRPr="009C12B3" w:rsidRDefault="008C79F4" w:rsidP="00623F50">
            <w:pPr>
              <w:tabs>
                <w:tab w:val="decimal" w:pos="741"/>
              </w:tabs>
              <w:rPr>
                <w:color w:val="auto"/>
              </w:rPr>
            </w:pPr>
            <w:r>
              <w:rPr>
                <w:color w:val="auto"/>
              </w:rPr>
              <w:t>63.8</w:t>
            </w:r>
          </w:p>
        </w:tc>
        <w:tc>
          <w:tcPr>
            <w:tcW w:w="415" w:type="pct"/>
            <w:shd w:val="clear" w:color="auto" w:fill="auto"/>
            <w:vAlign w:val="bottom"/>
          </w:tcPr>
          <w:p w14:paraId="39C29512" w14:textId="5E409F2D" w:rsidR="00344756" w:rsidRPr="00F92D52" w:rsidRDefault="008C79F4" w:rsidP="00623F50">
            <w:pPr>
              <w:tabs>
                <w:tab w:val="decimal" w:pos="744"/>
              </w:tabs>
              <w:rPr>
                <w:b/>
                <w:color w:val="auto"/>
              </w:rPr>
            </w:pPr>
            <w:r w:rsidRPr="00F92D52">
              <w:rPr>
                <w:b/>
                <w:color w:val="auto"/>
              </w:rPr>
              <w:t>63.8</w:t>
            </w:r>
          </w:p>
        </w:tc>
      </w:tr>
      <w:tr w:rsidR="00344756" w:rsidRPr="00C0047D" w14:paraId="7945D0DD" w14:textId="77777777" w:rsidTr="00344756">
        <w:trPr>
          <w:trHeight w:val="369"/>
        </w:trPr>
        <w:tc>
          <w:tcPr>
            <w:tcW w:w="1448" w:type="pct"/>
            <w:shd w:val="clear" w:color="auto" w:fill="auto"/>
            <w:vAlign w:val="bottom"/>
          </w:tcPr>
          <w:p w14:paraId="6A23787D" w14:textId="77777777" w:rsidR="00344756" w:rsidRPr="009C12B3" w:rsidRDefault="00344756" w:rsidP="00F77838">
            <w:pPr>
              <w:jc w:val="left"/>
              <w:rPr>
                <w:color w:val="auto"/>
              </w:rPr>
            </w:pPr>
            <w:r w:rsidRPr="009C12B3">
              <w:rPr>
                <w:color w:val="auto"/>
              </w:rPr>
              <w:t>Precepts, levies and net pension interest costs</w:t>
            </w:r>
          </w:p>
        </w:tc>
        <w:tc>
          <w:tcPr>
            <w:tcW w:w="487" w:type="pct"/>
            <w:shd w:val="clear" w:color="auto" w:fill="auto"/>
            <w:vAlign w:val="bottom"/>
          </w:tcPr>
          <w:p w14:paraId="6DD254CF" w14:textId="30F35156" w:rsidR="00344756" w:rsidRPr="009C12B3" w:rsidRDefault="008C79F4" w:rsidP="00A06955">
            <w:pPr>
              <w:tabs>
                <w:tab w:val="decimal" w:pos="838"/>
              </w:tabs>
              <w:rPr>
                <w:color w:val="auto"/>
              </w:rPr>
            </w:pPr>
            <w:r>
              <w:rPr>
                <w:color w:val="auto"/>
              </w:rPr>
              <w:t>-</w:t>
            </w:r>
          </w:p>
        </w:tc>
        <w:tc>
          <w:tcPr>
            <w:tcW w:w="663" w:type="pct"/>
          </w:tcPr>
          <w:p w14:paraId="018410E9" w14:textId="77777777" w:rsidR="00344756" w:rsidRDefault="00344756" w:rsidP="00F77838">
            <w:pPr>
              <w:tabs>
                <w:tab w:val="decimal" w:pos="1027"/>
              </w:tabs>
              <w:rPr>
                <w:color w:val="auto"/>
              </w:rPr>
            </w:pPr>
          </w:p>
          <w:p w14:paraId="641D156F" w14:textId="428964C1" w:rsidR="008C79F4" w:rsidRPr="009C12B3" w:rsidRDefault="008C79F4" w:rsidP="00F77838">
            <w:pPr>
              <w:tabs>
                <w:tab w:val="decimal" w:pos="1027"/>
              </w:tabs>
              <w:rPr>
                <w:color w:val="auto"/>
              </w:rPr>
            </w:pPr>
            <w:r>
              <w:rPr>
                <w:color w:val="auto"/>
              </w:rPr>
              <w:t>-</w:t>
            </w:r>
          </w:p>
        </w:tc>
        <w:tc>
          <w:tcPr>
            <w:tcW w:w="663" w:type="pct"/>
            <w:vAlign w:val="bottom"/>
          </w:tcPr>
          <w:p w14:paraId="2F3CBA8C" w14:textId="2BEB1D1A" w:rsidR="00344756" w:rsidRPr="009C12B3" w:rsidRDefault="008C79F4" w:rsidP="00F77838">
            <w:pPr>
              <w:tabs>
                <w:tab w:val="decimal" w:pos="1027"/>
              </w:tabs>
              <w:rPr>
                <w:color w:val="auto"/>
              </w:rPr>
            </w:pPr>
            <w:r>
              <w:rPr>
                <w:color w:val="auto"/>
              </w:rPr>
              <w:t>-</w:t>
            </w:r>
          </w:p>
        </w:tc>
        <w:tc>
          <w:tcPr>
            <w:tcW w:w="442" w:type="pct"/>
            <w:vAlign w:val="bottom"/>
          </w:tcPr>
          <w:p w14:paraId="47CD48A7" w14:textId="1DE63D13" w:rsidR="00344756" w:rsidRPr="009C12B3" w:rsidRDefault="008C79F4" w:rsidP="00623F50">
            <w:pPr>
              <w:tabs>
                <w:tab w:val="decimal" w:pos="601"/>
              </w:tabs>
              <w:rPr>
                <w:color w:val="auto"/>
              </w:rPr>
            </w:pPr>
            <w:r>
              <w:rPr>
                <w:color w:val="auto"/>
              </w:rPr>
              <w:t>-</w:t>
            </w:r>
          </w:p>
        </w:tc>
        <w:tc>
          <w:tcPr>
            <w:tcW w:w="441" w:type="pct"/>
            <w:vAlign w:val="bottom"/>
          </w:tcPr>
          <w:p w14:paraId="29690690" w14:textId="24C1CF28" w:rsidR="00344756" w:rsidRPr="00F92D52" w:rsidRDefault="008C79F4" w:rsidP="00623F50">
            <w:pPr>
              <w:tabs>
                <w:tab w:val="decimal" w:pos="739"/>
              </w:tabs>
              <w:rPr>
                <w:b/>
                <w:color w:val="auto"/>
              </w:rPr>
            </w:pPr>
            <w:r w:rsidRPr="00F92D52">
              <w:rPr>
                <w:b/>
                <w:color w:val="auto"/>
              </w:rPr>
              <w:t>-</w:t>
            </w:r>
          </w:p>
        </w:tc>
        <w:tc>
          <w:tcPr>
            <w:tcW w:w="441" w:type="pct"/>
            <w:shd w:val="clear" w:color="auto" w:fill="auto"/>
            <w:vAlign w:val="bottom"/>
          </w:tcPr>
          <w:p w14:paraId="3D2D7843" w14:textId="1BD1DD6D" w:rsidR="00344756" w:rsidRPr="009C12B3" w:rsidRDefault="008C79F4" w:rsidP="00623F50">
            <w:pPr>
              <w:tabs>
                <w:tab w:val="decimal" w:pos="741"/>
              </w:tabs>
              <w:rPr>
                <w:color w:val="auto"/>
              </w:rPr>
            </w:pPr>
            <w:r>
              <w:rPr>
                <w:color w:val="auto"/>
              </w:rPr>
              <w:t>45.5</w:t>
            </w:r>
          </w:p>
        </w:tc>
        <w:tc>
          <w:tcPr>
            <w:tcW w:w="415" w:type="pct"/>
            <w:shd w:val="clear" w:color="auto" w:fill="auto"/>
            <w:vAlign w:val="bottom"/>
          </w:tcPr>
          <w:p w14:paraId="146B73CA" w14:textId="6F34D0D2" w:rsidR="00344756" w:rsidRPr="00F92D52" w:rsidRDefault="008C79F4" w:rsidP="00623F50">
            <w:pPr>
              <w:tabs>
                <w:tab w:val="decimal" w:pos="744"/>
              </w:tabs>
              <w:rPr>
                <w:b/>
                <w:color w:val="auto"/>
              </w:rPr>
            </w:pPr>
            <w:r w:rsidRPr="00F92D52">
              <w:rPr>
                <w:b/>
                <w:color w:val="auto"/>
              </w:rPr>
              <w:t>45.5</w:t>
            </w:r>
          </w:p>
        </w:tc>
      </w:tr>
      <w:tr w:rsidR="00344756" w:rsidRPr="00C0047D" w14:paraId="05819FF1" w14:textId="77777777" w:rsidTr="00F92D52">
        <w:trPr>
          <w:trHeight w:val="369"/>
        </w:trPr>
        <w:tc>
          <w:tcPr>
            <w:tcW w:w="1448" w:type="pct"/>
            <w:shd w:val="clear" w:color="auto" w:fill="auto"/>
            <w:vAlign w:val="bottom"/>
          </w:tcPr>
          <w:p w14:paraId="066AAF3E" w14:textId="1E254FC9" w:rsidR="00344756" w:rsidRPr="009C12B3" w:rsidRDefault="00344756" w:rsidP="00F77838">
            <w:pPr>
              <w:jc w:val="left"/>
              <w:rPr>
                <w:color w:val="auto"/>
              </w:rPr>
            </w:pPr>
            <w:r w:rsidRPr="009C12B3">
              <w:rPr>
                <w:color w:val="auto"/>
              </w:rPr>
              <w:t>Gains or losses on disposal of property, plant and equipment</w:t>
            </w:r>
          </w:p>
        </w:tc>
        <w:tc>
          <w:tcPr>
            <w:tcW w:w="487" w:type="pct"/>
            <w:tcBorders>
              <w:bottom w:val="single" w:sz="4" w:space="0" w:color="auto"/>
            </w:tcBorders>
            <w:shd w:val="clear" w:color="auto" w:fill="auto"/>
            <w:vAlign w:val="bottom"/>
          </w:tcPr>
          <w:p w14:paraId="45D181DD" w14:textId="5B67D901" w:rsidR="00344756" w:rsidRPr="009C12B3" w:rsidRDefault="008C79F4" w:rsidP="00A06955">
            <w:pPr>
              <w:tabs>
                <w:tab w:val="decimal" w:pos="838"/>
              </w:tabs>
              <w:rPr>
                <w:color w:val="auto"/>
              </w:rPr>
            </w:pPr>
            <w:r>
              <w:rPr>
                <w:color w:val="auto"/>
              </w:rPr>
              <w:t>-</w:t>
            </w:r>
          </w:p>
        </w:tc>
        <w:tc>
          <w:tcPr>
            <w:tcW w:w="663" w:type="pct"/>
            <w:tcBorders>
              <w:bottom w:val="single" w:sz="4" w:space="0" w:color="auto"/>
            </w:tcBorders>
          </w:tcPr>
          <w:p w14:paraId="39FCF02D" w14:textId="77777777" w:rsidR="00344756" w:rsidRDefault="00344756" w:rsidP="00F77838">
            <w:pPr>
              <w:tabs>
                <w:tab w:val="decimal" w:pos="1027"/>
              </w:tabs>
              <w:rPr>
                <w:color w:val="auto"/>
              </w:rPr>
            </w:pPr>
          </w:p>
          <w:p w14:paraId="17841806" w14:textId="3796CF02" w:rsidR="008C79F4" w:rsidRPr="009C12B3" w:rsidRDefault="008C79F4" w:rsidP="00F77838">
            <w:pPr>
              <w:tabs>
                <w:tab w:val="decimal" w:pos="1027"/>
              </w:tabs>
              <w:rPr>
                <w:color w:val="auto"/>
              </w:rPr>
            </w:pPr>
            <w:r>
              <w:rPr>
                <w:color w:val="auto"/>
              </w:rPr>
              <w:lastRenderedPageBreak/>
              <w:t>-</w:t>
            </w:r>
          </w:p>
        </w:tc>
        <w:tc>
          <w:tcPr>
            <w:tcW w:w="663" w:type="pct"/>
            <w:tcBorders>
              <w:bottom w:val="single" w:sz="4" w:space="0" w:color="auto"/>
            </w:tcBorders>
            <w:vAlign w:val="bottom"/>
          </w:tcPr>
          <w:p w14:paraId="0ADCD7F7" w14:textId="2F903F58" w:rsidR="00344756" w:rsidRPr="009C12B3" w:rsidRDefault="008C79F4" w:rsidP="00F77838">
            <w:pPr>
              <w:tabs>
                <w:tab w:val="decimal" w:pos="1027"/>
              </w:tabs>
              <w:rPr>
                <w:color w:val="auto"/>
              </w:rPr>
            </w:pPr>
            <w:r>
              <w:rPr>
                <w:color w:val="auto"/>
              </w:rPr>
              <w:lastRenderedPageBreak/>
              <w:t>-</w:t>
            </w:r>
          </w:p>
        </w:tc>
        <w:tc>
          <w:tcPr>
            <w:tcW w:w="442" w:type="pct"/>
            <w:tcBorders>
              <w:bottom w:val="single" w:sz="4" w:space="0" w:color="auto"/>
            </w:tcBorders>
            <w:vAlign w:val="bottom"/>
          </w:tcPr>
          <w:p w14:paraId="5555C7A4" w14:textId="4BDACE9C" w:rsidR="00344756" w:rsidRPr="009C12B3" w:rsidRDefault="008C79F4" w:rsidP="00623F50">
            <w:pPr>
              <w:tabs>
                <w:tab w:val="decimal" w:pos="601"/>
              </w:tabs>
              <w:rPr>
                <w:color w:val="auto"/>
              </w:rPr>
            </w:pPr>
            <w:r>
              <w:rPr>
                <w:color w:val="auto"/>
              </w:rPr>
              <w:t>-</w:t>
            </w:r>
          </w:p>
        </w:tc>
        <w:tc>
          <w:tcPr>
            <w:tcW w:w="441" w:type="pct"/>
            <w:tcBorders>
              <w:bottom w:val="single" w:sz="4" w:space="0" w:color="auto"/>
            </w:tcBorders>
            <w:vAlign w:val="bottom"/>
          </w:tcPr>
          <w:p w14:paraId="56D8BF29" w14:textId="243526FE" w:rsidR="00344756" w:rsidRPr="00F92D52" w:rsidRDefault="008C79F4" w:rsidP="00623F50">
            <w:pPr>
              <w:tabs>
                <w:tab w:val="decimal" w:pos="739"/>
              </w:tabs>
              <w:rPr>
                <w:b/>
                <w:color w:val="auto"/>
              </w:rPr>
            </w:pPr>
            <w:r w:rsidRPr="00F92D52">
              <w:rPr>
                <w:b/>
                <w:color w:val="auto"/>
              </w:rPr>
              <w:t>-</w:t>
            </w:r>
          </w:p>
        </w:tc>
        <w:tc>
          <w:tcPr>
            <w:tcW w:w="441" w:type="pct"/>
            <w:tcBorders>
              <w:bottom w:val="single" w:sz="4" w:space="0" w:color="auto"/>
            </w:tcBorders>
            <w:shd w:val="clear" w:color="auto" w:fill="auto"/>
            <w:vAlign w:val="bottom"/>
          </w:tcPr>
          <w:p w14:paraId="542A66E7" w14:textId="35F2FF34" w:rsidR="00344756" w:rsidRPr="009C12B3" w:rsidRDefault="00344756" w:rsidP="00623F50">
            <w:pPr>
              <w:tabs>
                <w:tab w:val="decimal" w:pos="741"/>
              </w:tabs>
              <w:rPr>
                <w:color w:val="auto"/>
              </w:rPr>
            </w:pPr>
            <w:r w:rsidRPr="00A06955">
              <w:rPr>
                <w:color w:val="auto"/>
              </w:rPr>
              <w:t>36.0</w:t>
            </w:r>
          </w:p>
        </w:tc>
        <w:tc>
          <w:tcPr>
            <w:tcW w:w="415" w:type="pct"/>
            <w:tcBorders>
              <w:bottom w:val="single" w:sz="4" w:space="0" w:color="auto"/>
            </w:tcBorders>
            <w:shd w:val="clear" w:color="auto" w:fill="auto"/>
            <w:vAlign w:val="bottom"/>
          </w:tcPr>
          <w:p w14:paraId="79BA920B" w14:textId="463550B9" w:rsidR="00344756" w:rsidRPr="00F92D52" w:rsidRDefault="00344756" w:rsidP="00623F50">
            <w:pPr>
              <w:tabs>
                <w:tab w:val="decimal" w:pos="744"/>
              </w:tabs>
              <w:rPr>
                <w:b/>
                <w:color w:val="auto"/>
              </w:rPr>
            </w:pPr>
            <w:r w:rsidRPr="00F92D52">
              <w:rPr>
                <w:b/>
                <w:color w:val="auto"/>
              </w:rPr>
              <w:t>36.0</w:t>
            </w:r>
          </w:p>
        </w:tc>
      </w:tr>
      <w:tr w:rsidR="00344756" w:rsidRPr="00F92D52" w14:paraId="3DECFDF5" w14:textId="77777777" w:rsidTr="00F92D52">
        <w:trPr>
          <w:trHeight w:val="369"/>
        </w:trPr>
        <w:tc>
          <w:tcPr>
            <w:tcW w:w="1448" w:type="pct"/>
            <w:tcBorders>
              <w:bottom w:val="nil"/>
            </w:tcBorders>
            <w:shd w:val="clear" w:color="auto" w:fill="auto"/>
            <w:vAlign w:val="bottom"/>
          </w:tcPr>
          <w:p w14:paraId="58E1A269" w14:textId="77777777" w:rsidR="00344756" w:rsidRPr="009C12B3" w:rsidRDefault="00344756" w:rsidP="00F77838">
            <w:pPr>
              <w:jc w:val="left"/>
              <w:rPr>
                <w:b/>
                <w:color w:val="auto"/>
              </w:rPr>
            </w:pPr>
            <w:r w:rsidRPr="009C12B3">
              <w:rPr>
                <w:b/>
                <w:color w:val="auto"/>
              </w:rPr>
              <w:lastRenderedPageBreak/>
              <w:t>Total Expenditure</w:t>
            </w:r>
          </w:p>
        </w:tc>
        <w:tc>
          <w:tcPr>
            <w:tcW w:w="487" w:type="pct"/>
            <w:tcBorders>
              <w:top w:val="single" w:sz="4" w:space="0" w:color="auto"/>
              <w:bottom w:val="nil"/>
            </w:tcBorders>
            <w:shd w:val="clear" w:color="auto" w:fill="auto"/>
            <w:vAlign w:val="bottom"/>
          </w:tcPr>
          <w:p w14:paraId="63208962" w14:textId="1163C401" w:rsidR="00344756" w:rsidRPr="009C12B3" w:rsidRDefault="00344756" w:rsidP="008C79F4">
            <w:pPr>
              <w:tabs>
                <w:tab w:val="decimal" w:pos="838"/>
              </w:tabs>
              <w:rPr>
                <w:b/>
                <w:color w:val="auto"/>
              </w:rPr>
            </w:pPr>
            <w:r w:rsidRPr="00A06955">
              <w:rPr>
                <w:b/>
                <w:color w:val="auto"/>
              </w:rPr>
              <w:t>2,</w:t>
            </w:r>
            <w:r w:rsidR="008C79F4">
              <w:rPr>
                <w:b/>
                <w:color w:val="auto"/>
              </w:rPr>
              <w:t>059.9</w:t>
            </w:r>
          </w:p>
        </w:tc>
        <w:tc>
          <w:tcPr>
            <w:tcW w:w="663" w:type="pct"/>
            <w:tcBorders>
              <w:top w:val="single" w:sz="4" w:space="0" w:color="auto"/>
              <w:bottom w:val="nil"/>
            </w:tcBorders>
          </w:tcPr>
          <w:p w14:paraId="5763D567" w14:textId="3B631AA7" w:rsidR="00344756" w:rsidRPr="00A06955" w:rsidRDefault="008C79F4" w:rsidP="00F77838">
            <w:pPr>
              <w:tabs>
                <w:tab w:val="decimal" w:pos="1027"/>
              </w:tabs>
              <w:rPr>
                <w:b/>
                <w:color w:val="auto"/>
              </w:rPr>
            </w:pPr>
            <w:r>
              <w:rPr>
                <w:b/>
                <w:color w:val="auto"/>
              </w:rPr>
              <w:t>8.5</w:t>
            </w:r>
          </w:p>
        </w:tc>
        <w:tc>
          <w:tcPr>
            <w:tcW w:w="663" w:type="pct"/>
            <w:tcBorders>
              <w:top w:val="single" w:sz="4" w:space="0" w:color="auto"/>
              <w:bottom w:val="nil"/>
            </w:tcBorders>
            <w:vAlign w:val="bottom"/>
          </w:tcPr>
          <w:p w14:paraId="1D3BBEAC" w14:textId="4743E0FC" w:rsidR="00344756" w:rsidRPr="009C12B3" w:rsidRDefault="008C79F4" w:rsidP="00F77838">
            <w:pPr>
              <w:tabs>
                <w:tab w:val="decimal" w:pos="1027"/>
              </w:tabs>
              <w:rPr>
                <w:b/>
                <w:color w:val="auto"/>
              </w:rPr>
            </w:pPr>
            <w:r>
              <w:rPr>
                <w:b/>
                <w:color w:val="auto"/>
              </w:rPr>
              <w:t>100.1</w:t>
            </w:r>
          </w:p>
        </w:tc>
        <w:tc>
          <w:tcPr>
            <w:tcW w:w="442" w:type="pct"/>
            <w:tcBorders>
              <w:top w:val="single" w:sz="4" w:space="0" w:color="auto"/>
              <w:bottom w:val="nil"/>
            </w:tcBorders>
            <w:vAlign w:val="bottom"/>
          </w:tcPr>
          <w:p w14:paraId="180E8043" w14:textId="3293F853" w:rsidR="00344756" w:rsidRPr="009C12B3" w:rsidRDefault="008C79F4" w:rsidP="00623F50">
            <w:pPr>
              <w:tabs>
                <w:tab w:val="decimal" w:pos="601"/>
              </w:tabs>
              <w:rPr>
                <w:b/>
                <w:color w:val="auto"/>
              </w:rPr>
            </w:pPr>
            <w:r>
              <w:rPr>
                <w:b/>
                <w:color w:val="auto"/>
              </w:rPr>
              <w:t>(98.3)</w:t>
            </w:r>
          </w:p>
        </w:tc>
        <w:tc>
          <w:tcPr>
            <w:tcW w:w="441" w:type="pct"/>
            <w:tcBorders>
              <w:top w:val="single" w:sz="4" w:space="0" w:color="auto"/>
              <w:bottom w:val="nil"/>
            </w:tcBorders>
            <w:vAlign w:val="bottom"/>
          </w:tcPr>
          <w:p w14:paraId="7F5B5185" w14:textId="484E2AE5" w:rsidR="00344756" w:rsidRPr="00F92D52" w:rsidRDefault="008C79F4" w:rsidP="00623F50">
            <w:pPr>
              <w:tabs>
                <w:tab w:val="decimal" w:pos="739"/>
              </w:tabs>
              <w:rPr>
                <w:b/>
                <w:color w:val="auto"/>
              </w:rPr>
            </w:pPr>
            <w:r w:rsidRPr="00F92D52">
              <w:rPr>
                <w:b/>
                <w:color w:val="auto"/>
              </w:rPr>
              <w:t>2,070.2</w:t>
            </w:r>
          </w:p>
        </w:tc>
        <w:tc>
          <w:tcPr>
            <w:tcW w:w="441" w:type="pct"/>
            <w:tcBorders>
              <w:top w:val="single" w:sz="4" w:space="0" w:color="auto"/>
              <w:bottom w:val="nil"/>
            </w:tcBorders>
            <w:shd w:val="clear" w:color="auto" w:fill="auto"/>
            <w:vAlign w:val="bottom"/>
          </w:tcPr>
          <w:p w14:paraId="6D534A95" w14:textId="4A0253F4" w:rsidR="00344756" w:rsidRPr="009C12B3" w:rsidRDefault="008C79F4" w:rsidP="00623F50">
            <w:pPr>
              <w:tabs>
                <w:tab w:val="decimal" w:pos="741"/>
              </w:tabs>
              <w:rPr>
                <w:b/>
                <w:color w:val="auto"/>
              </w:rPr>
            </w:pPr>
            <w:r>
              <w:rPr>
                <w:b/>
                <w:color w:val="auto"/>
              </w:rPr>
              <w:t>156.3</w:t>
            </w:r>
          </w:p>
        </w:tc>
        <w:tc>
          <w:tcPr>
            <w:tcW w:w="415" w:type="pct"/>
            <w:tcBorders>
              <w:top w:val="single" w:sz="4" w:space="0" w:color="auto"/>
              <w:bottom w:val="nil"/>
              <w:right w:val="single" w:sz="4" w:space="0" w:color="auto"/>
            </w:tcBorders>
            <w:shd w:val="clear" w:color="auto" w:fill="auto"/>
            <w:vAlign w:val="bottom"/>
          </w:tcPr>
          <w:p w14:paraId="2F612C4B" w14:textId="0F76498D" w:rsidR="00344756" w:rsidRPr="00F92D52" w:rsidRDefault="00344756" w:rsidP="008C79F4">
            <w:pPr>
              <w:tabs>
                <w:tab w:val="decimal" w:pos="744"/>
              </w:tabs>
              <w:rPr>
                <w:b/>
                <w:color w:val="auto"/>
              </w:rPr>
            </w:pPr>
            <w:r w:rsidRPr="00F92D52">
              <w:rPr>
                <w:b/>
                <w:color w:val="auto"/>
              </w:rPr>
              <w:t>2,22</w:t>
            </w:r>
            <w:r w:rsidR="008C79F4" w:rsidRPr="00F92D52">
              <w:rPr>
                <w:b/>
                <w:color w:val="auto"/>
              </w:rPr>
              <w:t>6</w:t>
            </w:r>
            <w:r w:rsidRPr="00F92D52">
              <w:rPr>
                <w:b/>
                <w:color w:val="auto"/>
              </w:rPr>
              <w:t>.5</w:t>
            </w:r>
          </w:p>
        </w:tc>
      </w:tr>
      <w:tr w:rsidR="004F3F10" w:rsidRPr="00C0047D" w14:paraId="32ED2B45" w14:textId="77777777" w:rsidTr="00F92D52">
        <w:trPr>
          <w:trHeight w:val="369"/>
        </w:trPr>
        <w:tc>
          <w:tcPr>
            <w:tcW w:w="1448" w:type="pct"/>
            <w:tcBorders>
              <w:top w:val="nil"/>
            </w:tcBorders>
            <w:shd w:val="clear" w:color="auto" w:fill="auto"/>
            <w:vAlign w:val="bottom"/>
          </w:tcPr>
          <w:p w14:paraId="2C80D500" w14:textId="71391076" w:rsidR="004F3F10" w:rsidRPr="009C12B3" w:rsidRDefault="004F3F10" w:rsidP="004F3F10">
            <w:pPr>
              <w:jc w:val="left"/>
              <w:rPr>
                <w:b/>
                <w:color w:val="auto"/>
              </w:rPr>
            </w:pPr>
            <w:r w:rsidRPr="009C12B3">
              <w:rPr>
                <w:b/>
                <w:color w:val="auto"/>
              </w:rPr>
              <w:t>Surplus or Deficit on the provision of services</w:t>
            </w:r>
          </w:p>
        </w:tc>
        <w:tc>
          <w:tcPr>
            <w:tcW w:w="487" w:type="pct"/>
            <w:tcBorders>
              <w:top w:val="nil"/>
            </w:tcBorders>
            <w:shd w:val="clear" w:color="auto" w:fill="auto"/>
            <w:vAlign w:val="bottom"/>
          </w:tcPr>
          <w:p w14:paraId="65782DF3" w14:textId="0F0B4DB0" w:rsidR="004F3F10" w:rsidRPr="009C12B3" w:rsidRDefault="00BC08C4" w:rsidP="004F3F10">
            <w:pPr>
              <w:tabs>
                <w:tab w:val="decimal" w:pos="838"/>
              </w:tabs>
              <w:rPr>
                <w:b/>
                <w:color w:val="auto"/>
              </w:rPr>
            </w:pPr>
            <w:r>
              <w:rPr>
                <w:b/>
                <w:color w:val="auto"/>
              </w:rPr>
              <w:t>7</w:t>
            </w:r>
            <w:r w:rsidR="00CB199D">
              <w:rPr>
                <w:b/>
                <w:color w:val="auto"/>
              </w:rPr>
              <w:t>23.2</w:t>
            </w:r>
          </w:p>
        </w:tc>
        <w:tc>
          <w:tcPr>
            <w:tcW w:w="663" w:type="pct"/>
            <w:tcBorders>
              <w:top w:val="nil"/>
            </w:tcBorders>
          </w:tcPr>
          <w:p w14:paraId="77BE9EE0" w14:textId="77777777" w:rsidR="004F3F10" w:rsidRDefault="004F3F10" w:rsidP="004F3F10">
            <w:pPr>
              <w:tabs>
                <w:tab w:val="decimal" w:pos="1027"/>
              </w:tabs>
              <w:rPr>
                <w:b/>
                <w:color w:val="auto"/>
              </w:rPr>
            </w:pPr>
          </w:p>
          <w:p w14:paraId="5F6B538D" w14:textId="66E1EA03" w:rsidR="004F3F10" w:rsidRPr="00A06955" w:rsidRDefault="004F3F10" w:rsidP="004F3F10">
            <w:pPr>
              <w:tabs>
                <w:tab w:val="decimal" w:pos="1027"/>
              </w:tabs>
              <w:rPr>
                <w:b/>
                <w:color w:val="auto"/>
              </w:rPr>
            </w:pPr>
            <w:r>
              <w:rPr>
                <w:b/>
                <w:color w:val="auto"/>
              </w:rPr>
              <w:t>(8.8)</w:t>
            </w:r>
          </w:p>
        </w:tc>
        <w:tc>
          <w:tcPr>
            <w:tcW w:w="663" w:type="pct"/>
            <w:tcBorders>
              <w:top w:val="nil"/>
            </w:tcBorders>
            <w:vAlign w:val="bottom"/>
          </w:tcPr>
          <w:p w14:paraId="46C5557D" w14:textId="03DB7200" w:rsidR="004F3F10" w:rsidRPr="009C12B3" w:rsidRDefault="004F3F10" w:rsidP="004F3F10">
            <w:pPr>
              <w:tabs>
                <w:tab w:val="decimal" w:pos="1027"/>
              </w:tabs>
              <w:rPr>
                <w:b/>
                <w:color w:val="auto"/>
              </w:rPr>
            </w:pPr>
            <w:r>
              <w:rPr>
                <w:b/>
                <w:color w:val="auto"/>
              </w:rPr>
              <w:t>100.1</w:t>
            </w:r>
          </w:p>
        </w:tc>
        <w:tc>
          <w:tcPr>
            <w:tcW w:w="442" w:type="pct"/>
            <w:tcBorders>
              <w:top w:val="nil"/>
            </w:tcBorders>
            <w:vAlign w:val="bottom"/>
          </w:tcPr>
          <w:p w14:paraId="1B6D76ED" w14:textId="14B1159C" w:rsidR="004F3F10" w:rsidRPr="009C12B3" w:rsidRDefault="004F3F10" w:rsidP="004F3F10">
            <w:pPr>
              <w:tabs>
                <w:tab w:val="decimal" w:pos="601"/>
              </w:tabs>
              <w:rPr>
                <w:b/>
                <w:color w:val="auto"/>
              </w:rPr>
            </w:pPr>
            <w:r>
              <w:rPr>
                <w:b/>
                <w:color w:val="auto"/>
              </w:rPr>
              <w:t>(6.8)</w:t>
            </w:r>
          </w:p>
        </w:tc>
        <w:tc>
          <w:tcPr>
            <w:tcW w:w="441" w:type="pct"/>
            <w:tcBorders>
              <w:top w:val="nil"/>
            </w:tcBorders>
            <w:vAlign w:val="bottom"/>
          </w:tcPr>
          <w:p w14:paraId="517825C2" w14:textId="3FB010E9" w:rsidR="004F3F10" w:rsidRPr="009C12B3" w:rsidRDefault="00BC08C4" w:rsidP="004F3F10">
            <w:pPr>
              <w:tabs>
                <w:tab w:val="decimal" w:pos="739"/>
              </w:tabs>
              <w:rPr>
                <w:b/>
                <w:color w:val="auto"/>
              </w:rPr>
            </w:pPr>
            <w:r>
              <w:rPr>
                <w:b/>
                <w:color w:val="auto"/>
              </w:rPr>
              <w:t>8</w:t>
            </w:r>
            <w:r w:rsidR="00CB199D">
              <w:rPr>
                <w:b/>
                <w:color w:val="auto"/>
              </w:rPr>
              <w:t>07.7</w:t>
            </w:r>
          </w:p>
        </w:tc>
        <w:tc>
          <w:tcPr>
            <w:tcW w:w="441" w:type="pct"/>
            <w:tcBorders>
              <w:top w:val="nil"/>
            </w:tcBorders>
            <w:shd w:val="clear" w:color="auto" w:fill="auto"/>
            <w:vAlign w:val="bottom"/>
          </w:tcPr>
          <w:p w14:paraId="094D5E25" w14:textId="6085886B" w:rsidR="004F3F10" w:rsidRPr="009C12B3" w:rsidRDefault="00BC08C4" w:rsidP="004F3F10">
            <w:pPr>
              <w:tabs>
                <w:tab w:val="decimal" w:pos="741"/>
              </w:tabs>
              <w:rPr>
                <w:b/>
                <w:color w:val="auto"/>
              </w:rPr>
            </w:pPr>
            <w:r>
              <w:rPr>
                <w:b/>
                <w:color w:val="auto"/>
              </w:rPr>
              <w:t>(</w:t>
            </w:r>
            <w:r w:rsidR="00CB199D">
              <w:rPr>
                <w:b/>
                <w:color w:val="auto"/>
              </w:rPr>
              <w:t>787.8</w:t>
            </w:r>
            <w:r w:rsidR="004F3F10" w:rsidRPr="00A06955">
              <w:rPr>
                <w:b/>
                <w:color w:val="auto"/>
              </w:rPr>
              <w:t>)</w:t>
            </w:r>
          </w:p>
        </w:tc>
        <w:tc>
          <w:tcPr>
            <w:tcW w:w="415" w:type="pct"/>
            <w:tcBorders>
              <w:top w:val="nil"/>
              <w:bottom w:val="single" w:sz="4" w:space="0" w:color="auto"/>
              <w:right w:val="single" w:sz="4" w:space="0" w:color="auto"/>
            </w:tcBorders>
            <w:shd w:val="clear" w:color="auto" w:fill="auto"/>
            <w:vAlign w:val="bottom"/>
          </w:tcPr>
          <w:p w14:paraId="78215CAC" w14:textId="45EB39B1" w:rsidR="004F3F10" w:rsidRPr="00F92D52" w:rsidRDefault="004F3F10" w:rsidP="004F3F10">
            <w:pPr>
              <w:tabs>
                <w:tab w:val="decimal" w:pos="744"/>
              </w:tabs>
              <w:rPr>
                <w:b/>
                <w:color w:val="auto"/>
              </w:rPr>
            </w:pPr>
            <w:r w:rsidRPr="00F92D52">
              <w:rPr>
                <w:b/>
                <w:color w:val="auto"/>
              </w:rPr>
              <w:t>19.9</w:t>
            </w:r>
          </w:p>
        </w:tc>
      </w:tr>
    </w:tbl>
    <w:p w14:paraId="4FA1C869" w14:textId="0263030B" w:rsidR="00DA4031" w:rsidRDefault="00495C7F" w:rsidP="00385F32">
      <w:pPr>
        <w:jc w:val="left"/>
        <w:rPr>
          <w:b/>
          <w:lang w:eastAsia="en-GB"/>
        </w:rPr>
        <w:sectPr w:rsidR="00DA4031" w:rsidSect="00385F32">
          <w:footerReference w:type="default" r:id="rId19"/>
          <w:pgSz w:w="16840" w:h="11900" w:orient="landscape" w:code="9"/>
          <w:pgMar w:top="720" w:right="720" w:bottom="720" w:left="720" w:header="284" w:footer="284" w:gutter="0"/>
          <w:cols w:space="292"/>
          <w:docGrid w:linePitch="326"/>
        </w:sectPr>
      </w:pPr>
      <w:r>
        <w:rPr>
          <w:sz w:val="20"/>
          <w:szCs w:val="20"/>
          <w:vertAlign w:val="superscript"/>
          <w:lang w:eastAsia="en-GB"/>
        </w:rPr>
        <w:t>1</w:t>
      </w:r>
      <w:r>
        <w:rPr>
          <w:sz w:val="20"/>
          <w:szCs w:val="20"/>
          <w:lang w:eastAsia="en-GB"/>
        </w:rPr>
        <w:t xml:space="preserve">Comparatives have been restated since the presentation of the Education Services Grant has changed to reflect the nonspecific nature of the </w:t>
      </w:r>
      <w:r w:rsidRPr="008C786C">
        <w:rPr>
          <w:sz w:val="20"/>
          <w:szCs w:val="20"/>
          <w:lang w:eastAsia="en-GB"/>
        </w:rPr>
        <w:t>grant</w:t>
      </w:r>
    </w:p>
    <w:p w14:paraId="0C9255E4" w14:textId="3C3F3382" w:rsidR="009622FF" w:rsidRPr="00A06955" w:rsidRDefault="00246A2C" w:rsidP="004939D0">
      <w:pPr>
        <w:pStyle w:val="Heading2"/>
      </w:pPr>
      <w:r>
        <w:lastRenderedPageBreak/>
        <w:t>13. Grant i</w:t>
      </w:r>
      <w:r w:rsidR="004939D0" w:rsidRPr="00A06955">
        <w:t>ncome</w:t>
      </w:r>
    </w:p>
    <w:p w14:paraId="64F5B4F6" w14:textId="7DCF5F89" w:rsidR="004939D0" w:rsidRDefault="004939D0" w:rsidP="004939D0">
      <w:pPr>
        <w:rPr>
          <w:lang w:eastAsia="en-GB"/>
        </w:rPr>
      </w:pPr>
      <w:r w:rsidRPr="00A06955">
        <w:rPr>
          <w:lang w:eastAsia="en-GB"/>
        </w:rPr>
        <w:t xml:space="preserve">The </w:t>
      </w:r>
      <w:r w:rsidR="00E820B6">
        <w:rPr>
          <w:lang w:eastAsia="en-GB"/>
        </w:rPr>
        <w:t>council</w:t>
      </w:r>
      <w:r w:rsidRPr="00A06955">
        <w:rPr>
          <w:lang w:eastAsia="en-GB"/>
        </w:rPr>
        <w:t xml:space="preserve"> credited the following grants to the Comprehensive Income and Expenditure Statement.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052104" w:rsidRPr="00052104" w14:paraId="3AF9C675" w14:textId="77777777" w:rsidTr="00A06955">
        <w:trPr>
          <w:trHeight w:val="369"/>
          <w:tblHeader/>
        </w:trPr>
        <w:tc>
          <w:tcPr>
            <w:tcW w:w="3105" w:type="pct"/>
            <w:shd w:val="clear" w:color="auto" w:fill="D0CECE"/>
            <w:vAlign w:val="bottom"/>
          </w:tcPr>
          <w:p w14:paraId="412C36DB" w14:textId="77777777" w:rsidR="00052104" w:rsidRPr="00747B0B" w:rsidRDefault="00052104" w:rsidP="00052104">
            <w:pPr>
              <w:jc w:val="left"/>
              <w:rPr>
                <w:color w:val="auto"/>
                <w:highlight w:val="yellow"/>
              </w:rPr>
            </w:pPr>
          </w:p>
        </w:tc>
        <w:tc>
          <w:tcPr>
            <w:tcW w:w="929" w:type="pct"/>
            <w:shd w:val="clear" w:color="auto" w:fill="D0CECE"/>
            <w:vAlign w:val="bottom"/>
          </w:tcPr>
          <w:p w14:paraId="58414234" w14:textId="77777777" w:rsidR="00052104" w:rsidRPr="00A06955" w:rsidRDefault="00052104" w:rsidP="00052104">
            <w:pPr>
              <w:jc w:val="center"/>
              <w:rPr>
                <w:b/>
                <w:color w:val="auto"/>
              </w:rPr>
            </w:pPr>
            <w:r w:rsidRPr="00A06955">
              <w:rPr>
                <w:b/>
                <w:color w:val="auto"/>
              </w:rPr>
              <w:t>2014/15</w:t>
            </w:r>
          </w:p>
        </w:tc>
        <w:tc>
          <w:tcPr>
            <w:tcW w:w="966" w:type="pct"/>
            <w:shd w:val="clear" w:color="auto" w:fill="D0CECE"/>
            <w:vAlign w:val="bottom"/>
          </w:tcPr>
          <w:p w14:paraId="5A95AC24" w14:textId="5F1F620F" w:rsidR="00052104" w:rsidRPr="00DC13D9" w:rsidRDefault="00052104" w:rsidP="00052104">
            <w:pPr>
              <w:jc w:val="center"/>
              <w:rPr>
                <w:b/>
                <w:color w:val="auto"/>
                <w:vertAlign w:val="superscript"/>
              </w:rPr>
            </w:pPr>
            <w:r w:rsidRPr="00052104">
              <w:rPr>
                <w:b/>
                <w:color w:val="auto"/>
              </w:rPr>
              <w:t>2013/14</w:t>
            </w:r>
            <w:r w:rsidR="00DC13D9">
              <w:rPr>
                <w:b/>
                <w:color w:val="auto"/>
                <w:vertAlign w:val="superscript"/>
              </w:rPr>
              <w:t>1</w:t>
            </w:r>
          </w:p>
        </w:tc>
      </w:tr>
      <w:tr w:rsidR="00052104" w:rsidRPr="00052104" w14:paraId="180C0462" w14:textId="77777777" w:rsidTr="00A06955">
        <w:trPr>
          <w:trHeight w:val="369"/>
          <w:tblHeader/>
        </w:trPr>
        <w:tc>
          <w:tcPr>
            <w:tcW w:w="3105" w:type="pct"/>
            <w:shd w:val="clear" w:color="auto" w:fill="D0CECE"/>
            <w:vAlign w:val="bottom"/>
          </w:tcPr>
          <w:p w14:paraId="1B3F4721" w14:textId="77777777" w:rsidR="00052104" w:rsidRPr="00747B0B" w:rsidRDefault="00052104" w:rsidP="00052104">
            <w:pPr>
              <w:jc w:val="left"/>
              <w:rPr>
                <w:color w:val="auto"/>
                <w:highlight w:val="yellow"/>
              </w:rPr>
            </w:pPr>
          </w:p>
        </w:tc>
        <w:tc>
          <w:tcPr>
            <w:tcW w:w="929" w:type="pct"/>
            <w:shd w:val="clear" w:color="auto" w:fill="D0CECE"/>
            <w:vAlign w:val="bottom"/>
          </w:tcPr>
          <w:p w14:paraId="6598818C" w14:textId="77777777" w:rsidR="00052104" w:rsidRPr="00A06955" w:rsidRDefault="00052104" w:rsidP="00052104">
            <w:pPr>
              <w:jc w:val="center"/>
              <w:rPr>
                <w:b/>
                <w:color w:val="auto"/>
              </w:rPr>
            </w:pPr>
            <w:r w:rsidRPr="00A06955">
              <w:rPr>
                <w:b/>
                <w:color w:val="auto"/>
              </w:rPr>
              <w:t>£m</w:t>
            </w:r>
          </w:p>
        </w:tc>
        <w:tc>
          <w:tcPr>
            <w:tcW w:w="966" w:type="pct"/>
            <w:shd w:val="clear" w:color="auto" w:fill="D0CECE"/>
            <w:vAlign w:val="bottom"/>
          </w:tcPr>
          <w:p w14:paraId="26AEB96B" w14:textId="77777777" w:rsidR="00052104" w:rsidRPr="00052104" w:rsidRDefault="00052104" w:rsidP="00052104">
            <w:pPr>
              <w:jc w:val="center"/>
              <w:rPr>
                <w:b/>
                <w:color w:val="auto"/>
              </w:rPr>
            </w:pPr>
            <w:r w:rsidRPr="00052104">
              <w:rPr>
                <w:b/>
                <w:color w:val="auto"/>
              </w:rPr>
              <w:t>£m</w:t>
            </w:r>
          </w:p>
        </w:tc>
      </w:tr>
      <w:tr w:rsidR="00052104" w:rsidRPr="00052104" w14:paraId="5364D715" w14:textId="77777777" w:rsidTr="00125CE8">
        <w:trPr>
          <w:trHeight w:val="369"/>
        </w:trPr>
        <w:tc>
          <w:tcPr>
            <w:tcW w:w="3105" w:type="pct"/>
            <w:shd w:val="clear" w:color="auto" w:fill="auto"/>
            <w:vAlign w:val="bottom"/>
          </w:tcPr>
          <w:p w14:paraId="2010D428" w14:textId="77777777" w:rsidR="00052104" w:rsidRPr="00A06955" w:rsidRDefault="007C02E2" w:rsidP="00052104">
            <w:pPr>
              <w:jc w:val="left"/>
              <w:rPr>
                <w:b/>
                <w:color w:val="auto"/>
              </w:rPr>
            </w:pPr>
            <w:r w:rsidRPr="00A06955">
              <w:rPr>
                <w:b/>
                <w:color w:val="auto"/>
              </w:rPr>
              <w:t>Credited to Taxation and Non Specific Grant Income</w:t>
            </w:r>
          </w:p>
        </w:tc>
        <w:tc>
          <w:tcPr>
            <w:tcW w:w="929" w:type="pct"/>
            <w:tcBorders>
              <w:bottom w:val="nil"/>
            </w:tcBorders>
            <w:shd w:val="clear" w:color="auto" w:fill="auto"/>
            <w:vAlign w:val="bottom"/>
          </w:tcPr>
          <w:p w14:paraId="40A7D0FB" w14:textId="77777777" w:rsidR="00052104" w:rsidRPr="00A06955" w:rsidRDefault="00052104" w:rsidP="007C02E2">
            <w:pPr>
              <w:tabs>
                <w:tab w:val="decimal" w:pos="1026"/>
              </w:tabs>
              <w:rPr>
                <w:color w:val="auto"/>
              </w:rPr>
            </w:pPr>
          </w:p>
        </w:tc>
        <w:tc>
          <w:tcPr>
            <w:tcW w:w="966" w:type="pct"/>
            <w:tcBorders>
              <w:bottom w:val="nil"/>
            </w:tcBorders>
            <w:shd w:val="clear" w:color="auto" w:fill="auto"/>
            <w:vAlign w:val="bottom"/>
          </w:tcPr>
          <w:p w14:paraId="01090DD8" w14:textId="77777777" w:rsidR="00052104" w:rsidRPr="00052104" w:rsidRDefault="00052104" w:rsidP="0035713A">
            <w:pPr>
              <w:tabs>
                <w:tab w:val="decimal" w:pos="1026"/>
              </w:tabs>
              <w:rPr>
                <w:color w:val="auto"/>
              </w:rPr>
            </w:pPr>
          </w:p>
        </w:tc>
      </w:tr>
      <w:tr w:rsidR="00052104" w:rsidRPr="00052104" w14:paraId="6462EF51" w14:textId="77777777" w:rsidTr="00125CE8">
        <w:trPr>
          <w:trHeight w:val="369"/>
        </w:trPr>
        <w:tc>
          <w:tcPr>
            <w:tcW w:w="3105" w:type="pct"/>
            <w:shd w:val="clear" w:color="auto" w:fill="auto"/>
            <w:vAlign w:val="bottom"/>
          </w:tcPr>
          <w:p w14:paraId="5E9C22A2" w14:textId="77777777" w:rsidR="00052104" w:rsidRPr="00A06955" w:rsidRDefault="007C02E2" w:rsidP="00052104">
            <w:pPr>
              <w:jc w:val="left"/>
              <w:rPr>
                <w:b/>
                <w:color w:val="auto"/>
              </w:rPr>
            </w:pPr>
            <w:r w:rsidRPr="00A06955">
              <w:rPr>
                <w:b/>
                <w:color w:val="auto"/>
              </w:rPr>
              <w:t>Capital Grants</w:t>
            </w:r>
          </w:p>
        </w:tc>
        <w:tc>
          <w:tcPr>
            <w:tcW w:w="929" w:type="pct"/>
            <w:tcBorders>
              <w:bottom w:val="nil"/>
            </w:tcBorders>
            <w:shd w:val="clear" w:color="auto" w:fill="auto"/>
            <w:vAlign w:val="bottom"/>
          </w:tcPr>
          <w:p w14:paraId="26E99CA3" w14:textId="77777777" w:rsidR="00052104" w:rsidRPr="00A06955" w:rsidRDefault="00052104" w:rsidP="007C02E2">
            <w:pPr>
              <w:tabs>
                <w:tab w:val="decimal" w:pos="1026"/>
              </w:tabs>
              <w:rPr>
                <w:color w:val="auto"/>
              </w:rPr>
            </w:pPr>
          </w:p>
        </w:tc>
        <w:tc>
          <w:tcPr>
            <w:tcW w:w="966" w:type="pct"/>
            <w:tcBorders>
              <w:bottom w:val="nil"/>
            </w:tcBorders>
            <w:shd w:val="clear" w:color="auto" w:fill="auto"/>
            <w:vAlign w:val="bottom"/>
          </w:tcPr>
          <w:p w14:paraId="6B2ACF63" w14:textId="77777777" w:rsidR="00052104" w:rsidRPr="00052104" w:rsidRDefault="00052104" w:rsidP="00C8506B">
            <w:pPr>
              <w:tabs>
                <w:tab w:val="decimal" w:pos="1435"/>
              </w:tabs>
              <w:rPr>
                <w:color w:val="auto"/>
              </w:rPr>
            </w:pPr>
          </w:p>
        </w:tc>
      </w:tr>
      <w:tr w:rsidR="00052104" w:rsidRPr="00052104" w14:paraId="489579E8" w14:textId="77777777" w:rsidTr="00125CE8">
        <w:trPr>
          <w:trHeight w:val="369"/>
        </w:trPr>
        <w:tc>
          <w:tcPr>
            <w:tcW w:w="3105" w:type="pct"/>
            <w:shd w:val="clear" w:color="auto" w:fill="auto"/>
            <w:vAlign w:val="bottom"/>
          </w:tcPr>
          <w:p w14:paraId="4283D50F" w14:textId="77777777" w:rsidR="00052104" w:rsidRPr="00A06955" w:rsidRDefault="007C02E2" w:rsidP="00052104">
            <w:pPr>
              <w:jc w:val="left"/>
              <w:rPr>
                <w:color w:val="auto"/>
              </w:rPr>
            </w:pPr>
            <w:r w:rsidRPr="00A06955">
              <w:rPr>
                <w:color w:val="auto"/>
              </w:rPr>
              <w:t>Department of Education</w:t>
            </w:r>
          </w:p>
        </w:tc>
        <w:tc>
          <w:tcPr>
            <w:tcW w:w="929" w:type="pct"/>
            <w:tcBorders>
              <w:bottom w:val="nil"/>
            </w:tcBorders>
            <w:shd w:val="clear" w:color="auto" w:fill="auto"/>
            <w:vAlign w:val="bottom"/>
          </w:tcPr>
          <w:p w14:paraId="56918A19" w14:textId="0B3EA39B" w:rsidR="00052104" w:rsidRPr="00A06955" w:rsidRDefault="009716DC" w:rsidP="00C8506B">
            <w:pPr>
              <w:tabs>
                <w:tab w:val="decimal" w:pos="1359"/>
              </w:tabs>
              <w:rPr>
                <w:color w:val="auto"/>
              </w:rPr>
            </w:pPr>
            <w:r>
              <w:rPr>
                <w:color w:val="auto"/>
              </w:rPr>
              <w:t>(</w:t>
            </w:r>
            <w:r w:rsidR="00701537" w:rsidRPr="00A06955">
              <w:rPr>
                <w:color w:val="auto"/>
              </w:rPr>
              <w:t>26.0</w:t>
            </w:r>
            <w:r>
              <w:rPr>
                <w:color w:val="auto"/>
              </w:rPr>
              <w:t>)</w:t>
            </w:r>
          </w:p>
        </w:tc>
        <w:tc>
          <w:tcPr>
            <w:tcW w:w="966" w:type="pct"/>
            <w:tcBorders>
              <w:bottom w:val="nil"/>
            </w:tcBorders>
            <w:shd w:val="clear" w:color="auto" w:fill="auto"/>
            <w:vAlign w:val="bottom"/>
          </w:tcPr>
          <w:p w14:paraId="286BBF45" w14:textId="669EA449" w:rsidR="00052104" w:rsidRPr="00052104" w:rsidRDefault="009716DC" w:rsidP="00C8506B">
            <w:pPr>
              <w:tabs>
                <w:tab w:val="decimal" w:pos="1435"/>
              </w:tabs>
              <w:rPr>
                <w:color w:val="auto"/>
              </w:rPr>
            </w:pPr>
            <w:r>
              <w:rPr>
                <w:color w:val="auto"/>
              </w:rPr>
              <w:t>(</w:t>
            </w:r>
            <w:r w:rsidR="0035713A">
              <w:rPr>
                <w:color w:val="auto"/>
              </w:rPr>
              <w:t>24.4</w:t>
            </w:r>
            <w:r>
              <w:rPr>
                <w:color w:val="auto"/>
              </w:rPr>
              <w:t>)</w:t>
            </w:r>
          </w:p>
        </w:tc>
      </w:tr>
      <w:tr w:rsidR="00052104" w:rsidRPr="00052104" w14:paraId="45F07A10" w14:textId="77777777" w:rsidTr="007C02E2">
        <w:trPr>
          <w:trHeight w:val="369"/>
        </w:trPr>
        <w:tc>
          <w:tcPr>
            <w:tcW w:w="3105" w:type="pct"/>
            <w:shd w:val="clear" w:color="auto" w:fill="auto"/>
            <w:vAlign w:val="bottom"/>
          </w:tcPr>
          <w:p w14:paraId="297289D5" w14:textId="77777777" w:rsidR="00052104" w:rsidRPr="00A06955" w:rsidRDefault="007C02E2" w:rsidP="00052104">
            <w:pPr>
              <w:jc w:val="left"/>
              <w:rPr>
                <w:color w:val="auto"/>
              </w:rPr>
            </w:pPr>
            <w:r w:rsidRPr="00A06955">
              <w:rPr>
                <w:color w:val="auto"/>
              </w:rPr>
              <w:t>Department of Transport</w:t>
            </w:r>
          </w:p>
        </w:tc>
        <w:tc>
          <w:tcPr>
            <w:tcW w:w="929" w:type="pct"/>
            <w:tcBorders>
              <w:bottom w:val="nil"/>
            </w:tcBorders>
            <w:shd w:val="clear" w:color="auto" w:fill="auto"/>
            <w:vAlign w:val="bottom"/>
          </w:tcPr>
          <w:p w14:paraId="2A1E6DF9" w14:textId="7A4477B3" w:rsidR="00052104" w:rsidRPr="00A06955" w:rsidRDefault="009716DC" w:rsidP="00C8506B">
            <w:pPr>
              <w:tabs>
                <w:tab w:val="decimal" w:pos="1359"/>
              </w:tabs>
              <w:rPr>
                <w:color w:val="auto"/>
              </w:rPr>
            </w:pPr>
            <w:r>
              <w:rPr>
                <w:color w:val="auto"/>
              </w:rPr>
              <w:t>(</w:t>
            </w:r>
            <w:r w:rsidR="00701537" w:rsidRPr="00A06955">
              <w:rPr>
                <w:color w:val="auto"/>
              </w:rPr>
              <w:t>91.9</w:t>
            </w:r>
            <w:r>
              <w:rPr>
                <w:color w:val="auto"/>
              </w:rPr>
              <w:t>)</w:t>
            </w:r>
          </w:p>
        </w:tc>
        <w:tc>
          <w:tcPr>
            <w:tcW w:w="966" w:type="pct"/>
            <w:tcBorders>
              <w:bottom w:val="nil"/>
            </w:tcBorders>
            <w:shd w:val="clear" w:color="auto" w:fill="auto"/>
            <w:vAlign w:val="bottom"/>
          </w:tcPr>
          <w:p w14:paraId="6C6DA8C5" w14:textId="08E4E8A8" w:rsidR="00052104" w:rsidRPr="00052104" w:rsidRDefault="009716DC" w:rsidP="00C8506B">
            <w:pPr>
              <w:tabs>
                <w:tab w:val="decimal" w:pos="1435"/>
              </w:tabs>
              <w:rPr>
                <w:color w:val="auto"/>
              </w:rPr>
            </w:pPr>
            <w:r>
              <w:rPr>
                <w:color w:val="auto"/>
              </w:rPr>
              <w:t>(</w:t>
            </w:r>
            <w:r w:rsidR="0035713A">
              <w:rPr>
                <w:color w:val="auto"/>
              </w:rPr>
              <w:t>55.6</w:t>
            </w:r>
            <w:r>
              <w:rPr>
                <w:color w:val="auto"/>
              </w:rPr>
              <w:t>)</w:t>
            </w:r>
          </w:p>
        </w:tc>
      </w:tr>
      <w:tr w:rsidR="00052104" w:rsidRPr="00052104" w14:paraId="46A50D7C" w14:textId="77777777" w:rsidTr="007C02E2">
        <w:trPr>
          <w:trHeight w:val="369"/>
        </w:trPr>
        <w:tc>
          <w:tcPr>
            <w:tcW w:w="3105" w:type="pct"/>
            <w:shd w:val="clear" w:color="auto" w:fill="auto"/>
            <w:vAlign w:val="bottom"/>
          </w:tcPr>
          <w:p w14:paraId="35879240" w14:textId="77777777" w:rsidR="00052104" w:rsidRPr="00A06955" w:rsidRDefault="007C02E2" w:rsidP="00052104">
            <w:pPr>
              <w:jc w:val="left"/>
              <w:rPr>
                <w:color w:val="auto"/>
              </w:rPr>
            </w:pPr>
            <w:r w:rsidRPr="00A06955">
              <w:rPr>
                <w:color w:val="auto"/>
              </w:rPr>
              <w:t>Other Grants</w:t>
            </w:r>
          </w:p>
        </w:tc>
        <w:tc>
          <w:tcPr>
            <w:tcW w:w="929" w:type="pct"/>
            <w:tcBorders>
              <w:top w:val="nil"/>
              <w:bottom w:val="single" w:sz="4" w:space="0" w:color="auto"/>
            </w:tcBorders>
            <w:shd w:val="clear" w:color="auto" w:fill="auto"/>
            <w:vAlign w:val="bottom"/>
          </w:tcPr>
          <w:p w14:paraId="2D02844F" w14:textId="33FF9161" w:rsidR="00052104" w:rsidRPr="00A06955" w:rsidRDefault="009716DC" w:rsidP="003C140F">
            <w:pPr>
              <w:tabs>
                <w:tab w:val="decimal" w:pos="1359"/>
              </w:tabs>
              <w:rPr>
                <w:color w:val="auto"/>
              </w:rPr>
            </w:pPr>
            <w:r>
              <w:rPr>
                <w:color w:val="auto"/>
              </w:rPr>
              <w:t>(</w:t>
            </w:r>
            <w:r w:rsidR="00701537" w:rsidRPr="00A06955">
              <w:rPr>
                <w:color w:val="auto"/>
              </w:rPr>
              <w:t>3</w:t>
            </w:r>
            <w:r w:rsidR="00F555F0" w:rsidRPr="00A06955">
              <w:rPr>
                <w:color w:val="auto"/>
              </w:rPr>
              <w:t>4</w:t>
            </w:r>
            <w:r w:rsidR="00701537" w:rsidRPr="00A06955">
              <w:rPr>
                <w:color w:val="auto"/>
              </w:rPr>
              <w:t>.</w:t>
            </w:r>
            <w:r w:rsidR="003C140F">
              <w:rPr>
                <w:color w:val="auto"/>
              </w:rPr>
              <w:t>3</w:t>
            </w:r>
            <w:r>
              <w:rPr>
                <w:color w:val="auto"/>
              </w:rPr>
              <w:t>)</w:t>
            </w:r>
          </w:p>
        </w:tc>
        <w:tc>
          <w:tcPr>
            <w:tcW w:w="966" w:type="pct"/>
            <w:tcBorders>
              <w:top w:val="nil"/>
              <w:bottom w:val="single" w:sz="4" w:space="0" w:color="auto"/>
            </w:tcBorders>
            <w:shd w:val="clear" w:color="auto" w:fill="auto"/>
            <w:vAlign w:val="bottom"/>
          </w:tcPr>
          <w:p w14:paraId="549A831F" w14:textId="2A24D4E6" w:rsidR="00052104" w:rsidRPr="00052104" w:rsidRDefault="009716DC" w:rsidP="00C8506B">
            <w:pPr>
              <w:tabs>
                <w:tab w:val="decimal" w:pos="1435"/>
              </w:tabs>
              <w:rPr>
                <w:color w:val="auto"/>
              </w:rPr>
            </w:pPr>
            <w:r>
              <w:rPr>
                <w:color w:val="auto"/>
              </w:rPr>
              <w:t>(</w:t>
            </w:r>
            <w:r w:rsidR="0035713A">
              <w:rPr>
                <w:color w:val="auto"/>
              </w:rPr>
              <w:t>18.1</w:t>
            </w:r>
            <w:r>
              <w:rPr>
                <w:color w:val="auto"/>
              </w:rPr>
              <w:t>)</w:t>
            </w:r>
          </w:p>
        </w:tc>
      </w:tr>
      <w:tr w:rsidR="00052104" w:rsidRPr="00052104" w14:paraId="7EFF107D" w14:textId="77777777" w:rsidTr="007C02E2">
        <w:trPr>
          <w:trHeight w:val="369"/>
        </w:trPr>
        <w:tc>
          <w:tcPr>
            <w:tcW w:w="3105" w:type="pct"/>
            <w:shd w:val="clear" w:color="auto" w:fill="auto"/>
            <w:vAlign w:val="bottom"/>
          </w:tcPr>
          <w:p w14:paraId="450323FD" w14:textId="662DF43C" w:rsidR="00052104" w:rsidRPr="00A06955" w:rsidRDefault="007C02E2" w:rsidP="0012225F">
            <w:pPr>
              <w:jc w:val="left"/>
              <w:rPr>
                <w:b/>
                <w:color w:val="auto"/>
              </w:rPr>
            </w:pPr>
            <w:r w:rsidRPr="00A06955">
              <w:rPr>
                <w:b/>
                <w:color w:val="auto"/>
              </w:rPr>
              <w:t xml:space="preserve">Total Recognised Capital Grants </w:t>
            </w:r>
          </w:p>
        </w:tc>
        <w:tc>
          <w:tcPr>
            <w:tcW w:w="929" w:type="pct"/>
            <w:tcBorders>
              <w:top w:val="single" w:sz="4" w:space="0" w:color="auto"/>
              <w:bottom w:val="nil"/>
            </w:tcBorders>
            <w:shd w:val="clear" w:color="auto" w:fill="auto"/>
            <w:vAlign w:val="bottom"/>
          </w:tcPr>
          <w:p w14:paraId="248887DD" w14:textId="320967DE" w:rsidR="00052104" w:rsidRPr="00A06955" w:rsidRDefault="009716DC" w:rsidP="00644C80">
            <w:pPr>
              <w:tabs>
                <w:tab w:val="decimal" w:pos="1359"/>
              </w:tabs>
              <w:rPr>
                <w:b/>
                <w:color w:val="auto"/>
              </w:rPr>
            </w:pPr>
            <w:r>
              <w:rPr>
                <w:b/>
                <w:color w:val="auto"/>
              </w:rPr>
              <w:t>(</w:t>
            </w:r>
            <w:r w:rsidR="00701537" w:rsidRPr="00A06955">
              <w:rPr>
                <w:b/>
                <w:color w:val="auto"/>
              </w:rPr>
              <w:t>15</w:t>
            </w:r>
            <w:r w:rsidR="00F555F0" w:rsidRPr="00A06955">
              <w:rPr>
                <w:b/>
                <w:color w:val="auto"/>
              </w:rPr>
              <w:t>2</w:t>
            </w:r>
            <w:r w:rsidR="00701537" w:rsidRPr="00A06955">
              <w:rPr>
                <w:b/>
                <w:color w:val="auto"/>
              </w:rPr>
              <w:t>.</w:t>
            </w:r>
            <w:r w:rsidR="003C140F">
              <w:rPr>
                <w:b/>
                <w:color w:val="auto"/>
              </w:rPr>
              <w:t>2</w:t>
            </w:r>
            <w:r>
              <w:rPr>
                <w:b/>
                <w:color w:val="auto"/>
              </w:rPr>
              <w:t>)</w:t>
            </w:r>
          </w:p>
        </w:tc>
        <w:tc>
          <w:tcPr>
            <w:tcW w:w="966" w:type="pct"/>
            <w:tcBorders>
              <w:top w:val="single" w:sz="4" w:space="0" w:color="auto"/>
              <w:bottom w:val="nil"/>
            </w:tcBorders>
            <w:shd w:val="clear" w:color="auto" w:fill="auto"/>
            <w:vAlign w:val="bottom"/>
          </w:tcPr>
          <w:p w14:paraId="24D0F2CB" w14:textId="74AF9623" w:rsidR="00052104" w:rsidRPr="007C02E2" w:rsidRDefault="009716DC" w:rsidP="00C8506B">
            <w:pPr>
              <w:tabs>
                <w:tab w:val="decimal" w:pos="1435"/>
              </w:tabs>
              <w:rPr>
                <w:b/>
                <w:color w:val="auto"/>
              </w:rPr>
            </w:pPr>
            <w:r>
              <w:rPr>
                <w:b/>
                <w:color w:val="auto"/>
              </w:rPr>
              <w:t>(</w:t>
            </w:r>
            <w:r w:rsidR="0035713A">
              <w:rPr>
                <w:b/>
                <w:color w:val="auto"/>
              </w:rPr>
              <w:t>98.1</w:t>
            </w:r>
            <w:r>
              <w:rPr>
                <w:b/>
                <w:color w:val="auto"/>
              </w:rPr>
              <w:t>)</w:t>
            </w:r>
          </w:p>
        </w:tc>
      </w:tr>
      <w:tr w:rsidR="007C02E2" w:rsidRPr="00052104" w14:paraId="7818C9EA" w14:textId="77777777" w:rsidTr="00125CE8">
        <w:trPr>
          <w:trHeight w:val="369"/>
        </w:trPr>
        <w:tc>
          <w:tcPr>
            <w:tcW w:w="3105" w:type="pct"/>
            <w:shd w:val="clear" w:color="auto" w:fill="auto"/>
            <w:vAlign w:val="bottom"/>
          </w:tcPr>
          <w:p w14:paraId="1A2874D6" w14:textId="77777777" w:rsidR="007C02E2" w:rsidRPr="00A06955" w:rsidRDefault="007C02E2" w:rsidP="00052104">
            <w:pPr>
              <w:jc w:val="left"/>
              <w:rPr>
                <w:b/>
                <w:color w:val="auto"/>
              </w:rPr>
            </w:pPr>
          </w:p>
        </w:tc>
        <w:tc>
          <w:tcPr>
            <w:tcW w:w="929" w:type="pct"/>
            <w:tcBorders>
              <w:bottom w:val="nil"/>
            </w:tcBorders>
            <w:shd w:val="clear" w:color="auto" w:fill="auto"/>
            <w:vAlign w:val="bottom"/>
          </w:tcPr>
          <w:p w14:paraId="1D16FF19" w14:textId="77777777" w:rsidR="007C02E2" w:rsidRPr="00A06955" w:rsidRDefault="007C02E2" w:rsidP="00C8506B">
            <w:pPr>
              <w:tabs>
                <w:tab w:val="decimal" w:pos="1359"/>
              </w:tabs>
              <w:rPr>
                <w:color w:val="auto"/>
              </w:rPr>
            </w:pPr>
          </w:p>
        </w:tc>
        <w:tc>
          <w:tcPr>
            <w:tcW w:w="966" w:type="pct"/>
            <w:tcBorders>
              <w:bottom w:val="nil"/>
            </w:tcBorders>
            <w:shd w:val="clear" w:color="auto" w:fill="auto"/>
            <w:vAlign w:val="bottom"/>
          </w:tcPr>
          <w:p w14:paraId="16453541" w14:textId="77777777" w:rsidR="007C02E2" w:rsidRPr="00052104" w:rsidRDefault="007C02E2" w:rsidP="00C8506B">
            <w:pPr>
              <w:tabs>
                <w:tab w:val="decimal" w:pos="1435"/>
              </w:tabs>
              <w:rPr>
                <w:color w:val="auto"/>
              </w:rPr>
            </w:pPr>
          </w:p>
        </w:tc>
      </w:tr>
      <w:tr w:rsidR="007C02E2" w:rsidRPr="00052104" w14:paraId="4E507BD1" w14:textId="77777777" w:rsidTr="00125CE8">
        <w:trPr>
          <w:trHeight w:val="369"/>
        </w:trPr>
        <w:tc>
          <w:tcPr>
            <w:tcW w:w="3105" w:type="pct"/>
            <w:shd w:val="clear" w:color="auto" w:fill="auto"/>
            <w:vAlign w:val="bottom"/>
          </w:tcPr>
          <w:p w14:paraId="6A0704E6" w14:textId="77777777" w:rsidR="007C02E2" w:rsidRPr="00A06955" w:rsidRDefault="007C02E2" w:rsidP="00052104">
            <w:pPr>
              <w:jc w:val="left"/>
              <w:rPr>
                <w:b/>
                <w:color w:val="auto"/>
              </w:rPr>
            </w:pPr>
            <w:r w:rsidRPr="00A06955">
              <w:rPr>
                <w:b/>
                <w:color w:val="auto"/>
              </w:rPr>
              <w:t>Credited to Services - All Services</w:t>
            </w:r>
          </w:p>
        </w:tc>
        <w:tc>
          <w:tcPr>
            <w:tcW w:w="929" w:type="pct"/>
            <w:tcBorders>
              <w:bottom w:val="nil"/>
            </w:tcBorders>
            <w:shd w:val="clear" w:color="auto" w:fill="auto"/>
            <w:vAlign w:val="bottom"/>
          </w:tcPr>
          <w:p w14:paraId="2A53E52A" w14:textId="77777777" w:rsidR="007C02E2" w:rsidRPr="00A06955" w:rsidRDefault="007C02E2" w:rsidP="00C8506B">
            <w:pPr>
              <w:tabs>
                <w:tab w:val="decimal" w:pos="1359"/>
              </w:tabs>
              <w:rPr>
                <w:color w:val="auto"/>
              </w:rPr>
            </w:pPr>
          </w:p>
        </w:tc>
        <w:tc>
          <w:tcPr>
            <w:tcW w:w="966" w:type="pct"/>
            <w:tcBorders>
              <w:bottom w:val="nil"/>
            </w:tcBorders>
            <w:shd w:val="clear" w:color="auto" w:fill="auto"/>
            <w:vAlign w:val="bottom"/>
          </w:tcPr>
          <w:p w14:paraId="6F8B4E87" w14:textId="77777777" w:rsidR="007C02E2" w:rsidRPr="00052104" w:rsidRDefault="007C02E2" w:rsidP="00C8506B">
            <w:pPr>
              <w:tabs>
                <w:tab w:val="decimal" w:pos="1435"/>
              </w:tabs>
              <w:rPr>
                <w:color w:val="auto"/>
              </w:rPr>
            </w:pPr>
          </w:p>
        </w:tc>
      </w:tr>
      <w:tr w:rsidR="007C02E2" w:rsidRPr="00052104" w14:paraId="4586FC4E" w14:textId="77777777" w:rsidTr="00125CE8">
        <w:trPr>
          <w:trHeight w:val="369"/>
        </w:trPr>
        <w:tc>
          <w:tcPr>
            <w:tcW w:w="3105" w:type="pct"/>
            <w:shd w:val="clear" w:color="auto" w:fill="auto"/>
            <w:vAlign w:val="bottom"/>
          </w:tcPr>
          <w:p w14:paraId="00AAD4A0" w14:textId="5201AF8B" w:rsidR="007C02E2" w:rsidRPr="00A06955" w:rsidRDefault="007C02E2" w:rsidP="00DC13D9">
            <w:pPr>
              <w:jc w:val="left"/>
              <w:rPr>
                <w:color w:val="auto"/>
                <w:vertAlign w:val="superscript"/>
              </w:rPr>
            </w:pPr>
            <w:r w:rsidRPr="00A06955">
              <w:rPr>
                <w:color w:val="auto"/>
              </w:rPr>
              <w:t>Department of Education</w:t>
            </w:r>
          </w:p>
        </w:tc>
        <w:tc>
          <w:tcPr>
            <w:tcW w:w="929" w:type="pct"/>
            <w:tcBorders>
              <w:bottom w:val="nil"/>
            </w:tcBorders>
            <w:shd w:val="clear" w:color="auto" w:fill="auto"/>
            <w:vAlign w:val="bottom"/>
          </w:tcPr>
          <w:p w14:paraId="34ABAD7B" w14:textId="164BAADA" w:rsidR="007C02E2" w:rsidRPr="00A06955" w:rsidRDefault="009716DC" w:rsidP="00C8506B">
            <w:pPr>
              <w:tabs>
                <w:tab w:val="decimal" w:pos="1359"/>
              </w:tabs>
              <w:rPr>
                <w:color w:val="auto"/>
              </w:rPr>
            </w:pPr>
            <w:r>
              <w:rPr>
                <w:color w:val="auto"/>
              </w:rPr>
              <w:t>(</w:t>
            </w:r>
            <w:r w:rsidR="00701537" w:rsidRPr="00A06955">
              <w:rPr>
                <w:color w:val="auto"/>
              </w:rPr>
              <w:t>8</w:t>
            </w:r>
            <w:r w:rsidR="00644C80">
              <w:rPr>
                <w:color w:val="auto"/>
              </w:rPr>
              <w:t>70.6</w:t>
            </w:r>
            <w:r>
              <w:rPr>
                <w:color w:val="auto"/>
              </w:rPr>
              <w:t>)</w:t>
            </w:r>
          </w:p>
        </w:tc>
        <w:tc>
          <w:tcPr>
            <w:tcW w:w="966" w:type="pct"/>
            <w:tcBorders>
              <w:bottom w:val="nil"/>
            </w:tcBorders>
            <w:shd w:val="clear" w:color="auto" w:fill="auto"/>
            <w:vAlign w:val="bottom"/>
          </w:tcPr>
          <w:p w14:paraId="392B19BB" w14:textId="66902FF4" w:rsidR="007C02E2" w:rsidRPr="00B402FE" w:rsidRDefault="009716DC" w:rsidP="00C8506B">
            <w:pPr>
              <w:tabs>
                <w:tab w:val="decimal" w:pos="1435"/>
              </w:tabs>
              <w:rPr>
                <w:color w:val="auto"/>
                <w:vertAlign w:val="superscript"/>
              </w:rPr>
            </w:pPr>
            <w:r>
              <w:rPr>
                <w:color w:val="auto"/>
              </w:rPr>
              <w:t>(</w:t>
            </w:r>
            <w:r w:rsidR="0035713A">
              <w:rPr>
                <w:color w:val="auto"/>
              </w:rPr>
              <w:t>8</w:t>
            </w:r>
            <w:r w:rsidR="00257F6A">
              <w:rPr>
                <w:color w:val="auto"/>
              </w:rPr>
              <w:t>34</w:t>
            </w:r>
            <w:r w:rsidR="00644C80">
              <w:rPr>
                <w:color w:val="auto"/>
              </w:rPr>
              <w:t>.</w:t>
            </w:r>
            <w:r w:rsidR="00C624A2">
              <w:rPr>
                <w:color w:val="auto"/>
              </w:rPr>
              <w:t>3</w:t>
            </w:r>
            <w:r>
              <w:rPr>
                <w:color w:val="auto"/>
              </w:rPr>
              <w:t>)</w:t>
            </w:r>
          </w:p>
        </w:tc>
      </w:tr>
      <w:tr w:rsidR="007C02E2" w:rsidRPr="00052104" w14:paraId="143C32D5" w14:textId="77777777" w:rsidTr="00125CE8">
        <w:trPr>
          <w:trHeight w:val="369"/>
        </w:trPr>
        <w:tc>
          <w:tcPr>
            <w:tcW w:w="3105" w:type="pct"/>
            <w:shd w:val="clear" w:color="auto" w:fill="auto"/>
            <w:vAlign w:val="bottom"/>
          </w:tcPr>
          <w:p w14:paraId="668A0491" w14:textId="25B83606" w:rsidR="007C02E2" w:rsidRPr="00A06955" w:rsidRDefault="007C02E2">
            <w:pPr>
              <w:jc w:val="left"/>
              <w:rPr>
                <w:color w:val="auto"/>
                <w:vertAlign w:val="superscript"/>
              </w:rPr>
            </w:pPr>
            <w:r w:rsidRPr="00A06955">
              <w:rPr>
                <w:color w:val="auto"/>
              </w:rPr>
              <w:t>Department of Health</w:t>
            </w:r>
          </w:p>
        </w:tc>
        <w:tc>
          <w:tcPr>
            <w:tcW w:w="929" w:type="pct"/>
            <w:tcBorders>
              <w:bottom w:val="nil"/>
            </w:tcBorders>
            <w:shd w:val="clear" w:color="auto" w:fill="auto"/>
            <w:vAlign w:val="bottom"/>
          </w:tcPr>
          <w:p w14:paraId="57DE0C69" w14:textId="1B93A604" w:rsidR="007C02E2" w:rsidRPr="00A06955" w:rsidRDefault="009716DC" w:rsidP="00C8506B">
            <w:pPr>
              <w:tabs>
                <w:tab w:val="decimal" w:pos="1359"/>
              </w:tabs>
              <w:rPr>
                <w:color w:val="auto"/>
              </w:rPr>
            </w:pPr>
            <w:r>
              <w:rPr>
                <w:color w:val="auto"/>
              </w:rPr>
              <w:t>(</w:t>
            </w:r>
            <w:r w:rsidR="00701537" w:rsidRPr="00A06955">
              <w:rPr>
                <w:color w:val="auto"/>
              </w:rPr>
              <w:t>60.9</w:t>
            </w:r>
            <w:r>
              <w:rPr>
                <w:color w:val="auto"/>
              </w:rPr>
              <w:t>)</w:t>
            </w:r>
          </w:p>
        </w:tc>
        <w:tc>
          <w:tcPr>
            <w:tcW w:w="966" w:type="pct"/>
            <w:tcBorders>
              <w:bottom w:val="nil"/>
            </w:tcBorders>
            <w:shd w:val="clear" w:color="auto" w:fill="auto"/>
            <w:vAlign w:val="bottom"/>
          </w:tcPr>
          <w:p w14:paraId="7C8EFAE6" w14:textId="295007F6" w:rsidR="007C02E2" w:rsidRPr="00052104" w:rsidRDefault="009716DC" w:rsidP="00C8506B">
            <w:pPr>
              <w:tabs>
                <w:tab w:val="decimal" w:pos="1435"/>
              </w:tabs>
              <w:rPr>
                <w:color w:val="auto"/>
              </w:rPr>
            </w:pPr>
            <w:r>
              <w:rPr>
                <w:color w:val="auto"/>
              </w:rPr>
              <w:t>(</w:t>
            </w:r>
            <w:r w:rsidR="0035713A">
              <w:rPr>
                <w:color w:val="auto"/>
              </w:rPr>
              <w:t>59.2</w:t>
            </w:r>
            <w:r>
              <w:rPr>
                <w:color w:val="auto"/>
              </w:rPr>
              <w:t>)</w:t>
            </w:r>
          </w:p>
        </w:tc>
      </w:tr>
      <w:tr w:rsidR="007C02E2" w:rsidRPr="00052104" w14:paraId="4784755F" w14:textId="77777777" w:rsidTr="00125CE8">
        <w:trPr>
          <w:trHeight w:val="369"/>
        </w:trPr>
        <w:tc>
          <w:tcPr>
            <w:tcW w:w="3105" w:type="pct"/>
            <w:shd w:val="clear" w:color="auto" w:fill="auto"/>
            <w:vAlign w:val="bottom"/>
          </w:tcPr>
          <w:p w14:paraId="6476D0CC" w14:textId="77777777" w:rsidR="007C02E2" w:rsidRPr="00A06955" w:rsidRDefault="007C02E2" w:rsidP="00052104">
            <w:pPr>
              <w:jc w:val="left"/>
              <w:rPr>
                <w:color w:val="auto"/>
              </w:rPr>
            </w:pPr>
            <w:r w:rsidRPr="00A06955">
              <w:rPr>
                <w:color w:val="auto"/>
              </w:rPr>
              <w:t>Other - Central Government Departments</w:t>
            </w:r>
          </w:p>
        </w:tc>
        <w:tc>
          <w:tcPr>
            <w:tcW w:w="929" w:type="pct"/>
            <w:tcBorders>
              <w:bottom w:val="nil"/>
            </w:tcBorders>
            <w:shd w:val="clear" w:color="auto" w:fill="auto"/>
            <w:vAlign w:val="bottom"/>
          </w:tcPr>
          <w:p w14:paraId="3D34FD86" w14:textId="448C9A07" w:rsidR="007C02E2" w:rsidRPr="00A06955" w:rsidRDefault="009716DC" w:rsidP="00C8506B">
            <w:pPr>
              <w:tabs>
                <w:tab w:val="decimal" w:pos="1359"/>
              </w:tabs>
              <w:rPr>
                <w:color w:val="auto"/>
              </w:rPr>
            </w:pPr>
            <w:r>
              <w:rPr>
                <w:color w:val="auto"/>
              </w:rPr>
              <w:t>(</w:t>
            </w:r>
            <w:r w:rsidR="00644C80">
              <w:rPr>
                <w:color w:val="auto"/>
              </w:rPr>
              <w:t>27.4</w:t>
            </w:r>
            <w:r>
              <w:rPr>
                <w:color w:val="auto"/>
              </w:rPr>
              <w:t>)</w:t>
            </w:r>
          </w:p>
        </w:tc>
        <w:tc>
          <w:tcPr>
            <w:tcW w:w="966" w:type="pct"/>
            <w:tcBorders>
              <w:bottom w:val="nil"/>
            </w:tcBorders>
            <w:shd w:val="clear" w:color="auto" w:fill="auto"/>
            <w:vAlign w:val="bottom"/>
          </w:tcPr>
          <w:p w14:paraId="34EEC83C" w14:textId="055779CB" w:rsidR="007C02E2" w:rsidRPr="00052104" w:rsidRDefault="009716DC">
            <w:pPr>
              <w:tabs>
                <w:tab w:val="decimal" w:pos="1435"/>
              </w:tabs>
              <w:rPr>
                <w:color w:val="auto"/>
              </w:rPr>
            </w:pPr>
            <w:r>
              <w:rPr>
                <w:color w:val="auto"/>
              </w:rPr>
              <w:t>(</w:t>
            </w:r>
            <w:r w:rsidR="00257F6A">
              <w:rPr>
                <w:color w:val="auto"/>
              </w:rPr>
              <w:t>31</w:t>
            </w:r>
            <w:r w:rsidR="00644C80">
              <w:rPr>
                <w:color w:val="auto"/>
              </w:rPr>
              <w:t>.7</w:t>
            </w:r>
            <w:r>
              <w:rPr>
                <w:color w:val="auto"/>
              </w:rPr>
              <w:t>)</w:t>
            </w:r>
          </w:p>
        </w:tc>
      </w:tr>
      <w:tr w:rsidR="007C02E2" w:rsidRPr="00052104" w14:paraId="54A7D638" w14:textId="77777777" w:rsidTr="00125CE8">
        <w:trPr>
          <w:trHeight w:val="369"/>
        </w:trPr>
        <w:tc>
          <w:tcPr>
            <w:tcW w:w="3105" w:type="pct"/>
            <w:shd w:val="clear" w:color="auto" w:fill="auto"/>
            <w:vAlign w:val="bottom"/>
          </w:tcPr>
          <w:p w14:paraId="3F97939B" w14:textId="77777777" w:rsidR="007C02E2" w:rsidRPr="00A06955" w:rsidRDefault="007C02E2" w:rsidP="00052104">
            <w:pPr>
              <w:jc w:val="left"/>
              <w:rPr>
                <w:color w:val="auto"/>
              </w:rPr>
            </w:pPr>
            <w:r w:rsidRPr="00A06955">
              <w:rPr>
                <w:color w:val="auto"/>
              </w:rPr>
              <w:t>Other Grants</w:t>
            </w:r>
          </w:p>
        </w:tc>
        <w:tc>
          <w:tcPr>
            <w:tcW w:w="929" w:type="pct"/>
            <w:tcBorders>
              <w:bottom w:val="nil"/>
            </w:tcBorders>
            <w:shd w:val="clear" w:color="auto" w:fill="auto"/>
            <w:vAlign w:val="bottom"/>
          </w:tcPr>
          <w:p w14:paraId="35066FD6" w14:textId="64865880" w:rsidR="007C02E2" w:rsidRPr="00A06955" w:rsidRDefault="009716DC" w:rsidP="00C8506B">
            <w:pPr>
              <w:tabs>
                <w:tab w:val="decimal" w:pos="1359"/>
              </w:tabs>
              <w:rPr>
                <w:color w:val="auto"/>
              </w:rPr>
            </w:pPr>
            <w:r>
              <w:rPr>
                <w:color w:val="auto"/>
              </w:rPr>
              <w:t>(</w:t>
            </w:r>
            <w:r w:rsidR="00701537" w:rsidRPr="00A06955">
              <w:rPr>
                <w:color w:val="auto"/>
              </w:rPr>
              <w:t>1.1</w:t>
            </w:r>
            <w:r>
              <w:rPr>
                <w:color w:val="auto"/>
              </w:rPr>
              <w:t>)</w:t>
            </w:r>
          </w:p>
        </w:tc>
        <w:tc>
          <w:tcPr>
            <w:tcW w:w="966" w:type="pct"/>
            <w:tcBorders>
              <w:bottom w:val="nil"/>
            </w:tcBorders>
            <w:shd w:val="clear" w:color="auto" w:fill="auto"/>
            <w:vAlign w:val="bottom"/>
          </w:tcPr>
          <w:p w14:paraId="52FD2601" w14:textId="56EBD42A" w:rsidR="007C02E2" w:rsidRPr="00052104" w:rsidRDefault="009716DC" w:rsidP="00C8506B">
            <w:pPr>
              <w:tabs>
                <w:tab w:val="decimal" w:pos="1435"/>
              </w:tabs>
              <w:rPr>
                <w:color w:val="auto"/>
              </w:rPr>
            </w:pPr>
            <w:r>
              <w:rPr>
                <w:color w:val="auto"/>
              </w:rPr>
              <w:t>(</w:t>
            </w:r>
            <w:r w:rsidR="0035713A">
              <w:rPr>
                <w:color w:val="auto"/>
              </w:rPr>
              <w:t>0.5</w:t>
            </w:r>
            <w:r>
              <w:rPr>
                <w:color w:val="auto"/>
              </w:rPr>
              <w:t>)</w:t>
            </w:r>
          </w:p>
        </w:tc>
      </w:tr>
      <w:tr w:rsidR="00702A72" w:rsidRPr="00052104" w14:paraId="21729CF3" w14:textId="77777777" w:rsidTr="00125CE8">
        <w:trPr>
          <w:trHeight w:val="369"/>
        </w:trPr>
        <w:tc>
          <w:tcPr>
            <w:tcW w:w="3105" w:type="pct"/>
            <w:shd w:val="clear" w:color="auto" w:fill="auto"/>
            <w:vAlign w:val="bottom"/>
          </w:tcPr>
          <w:p w14:paraId="621DB4D2" w14:textId="1B675346" w:rsidR="00702A72" w:rsidRPr="00A06955" w:rsidRDefault="00702A72" w:rsidP="00052104">
            <w:pPr>
              <w:jc w:val="left"/>
              <w:rPr>
                <w:color w:val="auto"/>
              </w:rPr>
            </w:pPr>
            <w:r>
              <w:rPr>
                <w:color w:val="auto"/>
              </w:rPr>
              <w:t>Contributions</w:t>
            </w:r>
          </w:p>
        </w:tc>
        <w:tc>
          <w:tcPr>
            <w:tcW w:w="929" w:type="pct"/>
            <w:tcBorders>
              <w:bottom w:val="nil"/>
            </w:tcBorders>
            <w:shd w:val="clear" w:color="auto" w:fill="auto"/>
            <w:vAlign w:val="bottom"/>
          </w:tcPr>
          <w:p w14:paraId="28AEC1AB" w14:textId="65F2640B" w:rsidR="00702A72" w:rsidRDefault="00702A72" w:rsidP="00C8506B">
            <w:pPr>
              <w:tabs>
                <w:tab w:val="decimal" w:pos="1359"/>
              </w:tabs>
              <w:rPr>
                <w:color w:val="auto"/>
              </w:rPr>
            </w:pPr>
            <w:r>
              <w:rPr>
                <w:color w:val="auto"/>
              </w:rPr>
              <w:t>(27.2)</w:t>
            </w:r>
          </w:p>
        </w:tc>
        <w:tc>
          <w:tcPr>
            <w:tcW w:w="966" w:type="pct"/>
            <w:tcBorders>
              <w:bottom w:val="nil"/>
            </w:tcBorders>
            <w:shd w:val="clear" w:color="auto" w:fill="auto"/>
            <w:vAlign w:val="bottom"/>
          </w:tcPr>
          <w:p w14:paraId="53488DBE" w14:textId="32A8DC52" w:rsidR="00702A72" w:rsidRDefault="00702A72" w:rsidP="00C8506B">
            <w:pPr>
              <w:tabs>
                <w:tab w:val="decimal" w:pos="1435"/>
              </w:tabs>
              <w:rPr>
                <w:color w:val="auto"/>
              </w:rPr>
            </w:pPr>
            <w:r>
              <w:rPr>
                <w:color w:val="auto"/>
              </w:rPr>
              <w:t>(19.8)</w:t>
            </w:r>
          </w:p>
        </w:tc>
      </w:tr>
      <w:tr w:rsidR="00052104" w:rsidRPr="00052104" w14:paraId="6C775F7E" w14:textId="77777777" w:rsidTr="00125CE8">
        <w:trPr>
          <w:trHeight w:val="369"/>
        </w:trPr>
        <w:tc>
          <w:tcPr>
            <w:tcW w:w="3105" w:type="pct"/>
            <w:shd w:val="clear" w:color="auto" w:fill="auto"/>
            <w:vAlign w:val="bottom"/>
          </w:tcPr>
          <w:p w14:paraId="163A0223" w14:textId="6158CBB4" w:rsidR="00052104" w:rsidRPr="00A06955" w:rsidRDefault="007C02E2" w:rsidP="0012225F">
            <w:pPr>
              <w:jc w:val="left"/>
              <w:rPr>
                <w:b/>
                <w:color w:val="auto"/>
              </w:rPr>
            </w:pPr>
            <w:r w:rsidRPr="00A06955">
              <w:rPr>
                <w:b/>
                <w:color w:val="auto"/>
              </w:rPr>
              <w:t>Total Grants</w:t>
            </w:r>
            <w:r w:rsidR="00A21A1F">
              <w:rPr>
                <w:b/>
                <w:color w:val="auto"/>
              </w:rPr>
              <w:t xml:space="preserve"> </w:t>
            </w:r>
            <w:r w:rsidRPr="00A06955">
              <w:rPr>
                <w:b/>
                <w:color w:val="auto"/>
              </w:rPr>
              <w:t>credited to services</w:t>
            </w:r>
          </w:p>
        </w:tc>
        <w:tc>
          <w:tcPr>
            <w:tcW w:w="929" w:type="pct"/>
            <w:tcBorders>
              <w:top w:val="single" w:sz="4" w:space="0" w:color="auto"/>
              <w:bottom w:val="single" w:sz="4" w:space="0" w:color="auto"/>
            </w:tcBorders>
            <w:shd w:val="clear" w:color="auto" w:fill="auto"/>
            <w:vAlign w:val="bottom"/>
          </w:tcPr>
          <w:p w14:paraId="4A70BBDA" w14:textId="6648342E" w:rsidR="00052104" w:rsidRPr="00A06955" w:rsidRDefault="009716DC" w:rsidP="00C8506B">
            <w:pPr>
              <w:tabs>
                <w:tab w:val="decimal" w:pos="1359"/>
              </w:tabs>
              <w:rPr>
                <w:b/>
                <w:color w:val="auto"/>
              </w:rPr>
            </w:pPr>
            <w:r>
              <w:rPr>
                <w:b/>
                <w:color w:val="auto"/>
              </w:rPr>
              <w:t>(</w:t>
            </w:r>
            <w:r w:rsidR="00701537" w:rsidRPr="00A06955">
              <w:rPr>
                <w:b/>
                <w:color w:val="auto"/>
              </w:rPr>
              <w:t>9</w:t>
            </w:r>
            <w:r w:rsidR="00702A72">
              <w:rPr>
                <w:b/>
                <w:color w:val="auto"/>
              </w:rPr>
              <w:t>87.2</w:t>
            </w:r>
            <w:r>
              <w:rPr>
                <w:b/>
                <w:color w:val="auto"/>
              </w:rPr>
              <w:t>)</w:t>
            </w:r>
          </w:p>
        </w:tc>
        <w:tc>
          <w:tcPr>
            <w:tcW w:w="966" w:type="pct"/>
            <w:tcBorders>
              <w:top w:val="single" w:sz="4" w:space="0" w:color="auto"/>
              <w:bottom w:val="single" w:sz="4" w:space="0" w:color="auto"/>
            </w:tcBorders>
            <w:shd w:val="clear" w:color="auto" w:fill="auto"/>
            <w:vAlign w:val="bottom"/>
          </w:tcPr>
          <w:p w14:paraId="61E36A71" w14:textId="4990E1A5" w:rsidR="00052104" w:rsidRPr="00052104" w:rsidRDefault="009716DC">
            <w:pPr>
              <w:tabs>
                <w:tab w:val="decimal" w:pos="1435"/>
              </w:tabs>
              <w:rPr>
                <w:b/>
                <w:color w:val="auto"/>
              </w:rPr>
            </w:pPr>
            <w:r>
              <w:rPr>
                <w:b/>
                <w:color w:val="auto"/>
              </w:rPr>
              <w:t>(</w:t>
            </w:r>
            <w:r w:rsidR="0035713A">
              <w:rPr>
                <w:b/>
                <w:color w:val="auto"/>
              </w:rPr>
              <w:t>9</w:t>
            </w:r>
            <w:r w:rsidR="00702A72">
              <w:rPr>
                <w:b/>
                <w:color w:val="auto"/>
              </w:rPr>
              <w:t>45</w:t>
            </w:r>
            <w:r w:rsidR="0035713A">
              <w:rPr>
                <w:b/>
                <w:color w:val="auto"/>
              </w:rPr>
              <w:t>.</w:t>
            </w:r>
            <w:r w:rsidR="00702A72">
              <w:rPr>
                <w:b/>
                <w:color w:val="auto"/>
              </w:rPr>
              <w:t>5</w:t>
            </w:r>
            <w:r>
              <w:rPr>
                <w:b/>
                <w:color w:val="auto"/>
              </w:rPr>
              <w:t>)</w:t>
            </w:r>
          </w:p>
        </w:tc>
      </w:tr>
    </w:tbl>
    <w:p w14:paraId="274976DE" w14:textId="3B3559CE" w:rsidR="00B402FE" w:rsidRDefault="008C377E" w:rsidP="00B402FE">
      <w:pPr>
        <w:jc w:val="left"/>
        <w:rPr>
          <w:sz w:val="20"/>
          <w:szCs w:val="20"/>
          <w:vertAlign w:val="superscript"/>
          <w:lang w:eastAsia="en-GB"/>
        </w:rPr>
      </w:pPr>
      <w:r>
        <w:rPr>
          <w:sz w:val="20"/>
          <w:szCs w:val="20"/>
          <w:vertAlign w:val="superscript"/>
          <w:lang w:eastAsia="en-GB"/>
        </w:rPr>
        <w:t>1</w:t>
      </w:r>
      <w:r w:rsidR="00B402FE">
        <w:rPr>
          <w:sz w:val="20"/>
          <w:szCs w:val="20"/>
          <w:lang w:eastAsia="en-GB"/>
        </w:rPr>
        <w:t>Comparatives have been restated since the presentation of the Education Services Grant has changed to reflect the non</w:t>
      </w:r>
      <w:r>
        <w:rPr>
          <w:sz w:val="20"/>
          <w:szCs w:val="20"/>
          <w:lang w:eastAsia="en-GB"/>
        </w:rPr>
        <w:t>-</w:t>
      </w:r>
      <w:r w:rsidR="00B402FE">
        <w:rPr>
          <w:sz w:val="20"/>
          <w:szCs w:val="20"/>
          <w:lang w:eastAsia="en-GB"/>
        </w:rPr>
        <w:t>specific nature of the grant</w:t>
      </w:r>
      <w:r w:rsidR="00644C80">
        <w:rPr>
          <w:sz w:val="20"/>
          <w:szCs w:val="20"/>
          <w:vertAlign w:val="superscript"/>
          <w:lang w:eastAsia="en-GB"/>
        </w:rPr>
        <w:t xml:space="preserve"> </w:t>
      </w:r>
      <w:r w:rsidR="00644C80">
        <w:rPr>
          <w:sz w:val="20"/>
          <w:szCs w:val="20"/>
          <w:lang w:eastAsia="en-GB"/>
        </w:rPr>
        <w:t>and, the Private Finance Initiative Special Grant has been re-class</w:t>
      </w:r>
      <w:r w:rsidR="00B9298C">
        <w:rPr>
          <w:sz w:val="20"/>
          <w:szCs w:val="20"/>
          <w:lang w:eastAsia="en-GB"/>
        </w:rPr>
        <w:t>i</w:t>
      </w:r>
      <w:r w:rsidR="00644C80">
        <w:rPr>
          <w:sz w:val="20"/>
          <w:szCs w:val="20"/>
          <w:lang w:eastAsia="en-GB"/>
        </w:rPr>
        <w:t>fied.</w:t>
      </w:r>
    </w:p>
    <w:p w14:paraId="6D125BC3" w14:textId="582FF300" w:rsidR="00702A72" w:rsidRPr="008D0533" w:rsidRDefault="00DC13D9" w:rsidP="00702A72">
      <w:pPr>
        <w:autoSpaceDE/>
        <w:autoSpaceDN/>
        <w:adjustRightInd/>
        <w:spacing w:after="0"/>
        <w:jc w:val="left"/>
        <w:rPr>
          <w:sz w:val="22"/>
        </w:rPr>
      </w:pPr>
      <w:r>
        <w:rPr>
          <w:sz w:val="22"/>
        </w:rPr>
        <w:t>The Department of Education</w:t>
      </w:r>
      <w:r w:rsidR="007D3F65">
        <w:rPr>
          <w:sz w:val="22"/>
        </w:rPr>
        <w:t xml:space="preserve"> figure</w:t>
      </w:r>
      <w:r w:rsidRPr="00701537">
        <w:rPr>
          <w:sz w:val="22"/>
        </w:rPr>
        <w:t xml:space="preserve"> includes </w:t>
      </w:r>
      <w:r w:rsidR="008C377E">
        <w:rPr>
          <w:sz w:val="22"/>
        </w:rPr>
        <w:t xml:space="preserve">the </w:t>
      </w:r>
      <w:r w:rsidRPr="00701537">
        <w:rPr>
          <w:sz w:val="22"/>
        </w:rPr>
        <w:t xml:space="preserve">Dedicated Schools Grant of </w:t>
      </w:r>
      <w:r w:rsidRPr="00A06955">
        <w:rPr>
          <w:sz w:val="22"/>
        </w:rPr>
        <w:t>£762.9m</w:t>
      </w:r>
      <w:r w:rsidRPr="0012225F">
        <w:rPr>
          <w:sz w:val="22"/>
        </w:rPr>
        <w:t xml:space="preserve"> (£7</w:t>
      </w:r>
      <w:r w:rsidRPr="00A06955">
        <w:rPr>
          <w:sz w:val="22"/>
        </w:rPr>
        <w:t>54.1m</w:t>
      </w:r>
      <w:r w:rsidRPr="0012225F">
        <w:rPr>
          <w:sz w:val="22"/>
        </w:rPr>
        <w:t xml:space="preserve"> in 201</w:t>
      </w:r>
      <w:r w:rsidRPr="00A06955">
        <w:rPr>
          <w:sz w:val="22"/>
        </w:rPr>
        <w:t>3</w:t>
      </w:r>
      <w:r w:rsidRPr="0012225F">
        <w:rPr>
          <w:sz w:val="22"/>
        </w:rPr>
        <w:t>/1</w:t>
      </w:r>
      <w:r w:rsidRPr="00A06955">
        <w:rPr>
          <w:sz w:val="22"/>
        </w:rPr>
        <w:t>4</w:t>
      </w:r>
      <w:r w:rsidRPr="0012225F">
        <w:rPr>
          <w:sz w:val="22"/>
        </w:rPr>
        <w:t>)</w:t>
      </w:r>
      <w:r w:rsidR="00644C80">
        <w:rPr>
          <w:sz w:val="22"/>
        </w:rPr>
        <w:t>, the</w:t>
      </w:r>
      <w:r>
        <w:rPr>
          <w:sz w:val="22"/>
        </w:rPr>
        <w:t xml:space="preserve"> Pupil Premium Grant </w:t>
      </w:r>
      <w:r w:rsidR="008C377E">
        <w:rPr>
          <w:sz w:val="22"/>
        </w:rPr>
        <w:t>of £4</w:t>
      </w:r>
      <w:r w:rsidR="00FE2210">
        <w:rPr>
          <w:sz w:val="22"/>
        </w:rPr>
        <w:t>6.</w:t>
      </w:r>
      <w:r w:rsidR="00EC6790">
        <w:rPr>
          <w:sz w:val="22"/>
        </w:rPr>
        <w:t>4</w:t>
      </w:r>
      <w:r w:rsidR="008C377E">
        <w:rPr>
          <w:sz w:val="22"/>
        </w:rPr>
        <w:t>m</w:t>
      </w:r>
      <w:r w:rsidR="0046220F">
        <w:rPr>
          <w:sz w:val="22"/>
        </w:rPr>
        <w:t xml:space="preserve"> (£</w:t>
      </w:r>
      <w:r w:rsidR="0046220F" w:rsidRPr="00413839">
        <w:rPr>
          <w:sz w:val="22"/>
        </w:rPr>
        <w:t>3</w:t>
      </w:r>
      <w:r w:rsidR="00EC6790" w:rsidRPr="008D0533">
        <w:rPr>
          <w:sz w:val="22"/>
        </w:rPr>
        <w:t>4.4</w:t>
      </w:r>
      <w:r w:rsidR="0046220F" w:rsidRPr="00ED1F92">
        <w:rPr>
          <w:sz w:val="22"/>
        </w:rPr>
        <w:t>m</w:t>
      </w:r>
      <w:r w:rsidR="0046220F">
        <w:rPr>
          <w:sz w:val="22"/>
        </w:rPr>
        <w:t xml:space="preserve"> in 2013/14)</w:t>
      </w:r>
      <w:r w:rsidR="00644C80">
        <w:rPr>
          <w:sz w:val="22"/>
        </w:rPr>
        <w:t xml:space="preserve"> and the Private Finance Initiative Special Grant of £2</w:t>
      </w:r>
      <w:r w:rsidR="00054752">
        <w:rPr>
          <w:sz w:val="22"/>
        </w:rPr>
        <w:t>1</w:t>
      </w:r>
      <w:r w:rsidR="00644C80">
        <w:rPr>
          <w:sz w:val="22"/>
        </w:rPr>
        <w:t>.</w:t>
      </w:r>
      <w:r w:rsidR="00054752">
        <w:rPr>
          <w:sz w:val="22"/>
        </w:rPr>
        <w:t>8</w:t>
      </w:r>
      <w:r w:rsidR="00644C80">
        <w:rPr>
          <w:sz w:val="22"/>
        </w:rPr>
        <w:t>m (£2</w:t>
      </w:r>
      <w:r w:rsidR="00054752">
        <w:rPr>
          <w:sz w:val="22"/>
        </w:rPr>
        <w:t>1</w:t>
      </w:r>
      <w:r w:rsidR="00644C80">
        <w:rPr>
          <w:sz w:val="22"/>
        </w:rPr>
        <w:t>.9m in 2013/14)</w:t>
      </w:r>
      <w:r w:rsidR="008C377E">
        <w:rPr>
          <w:sz w:val="22"/>
        </w:rPr>
        <w:t>. T</w:t>
      </w:r>
      <w:r>
        <w:rPr>
          <w:sz w:val="22"/>
        </w:rPr>
        <w:t>he Department of Health</w:t>
      </w:r>
      <w:r w:rsidR="007D3F65">
        <w:rPr>
          <w:sz w:val="22"/>
        </w:rPr>
        <w:t xml:space="preserve"> figure</w:t>
      </w:r>
      <w:r>
        <w:rPr>
          <w:sz w:val="22"/>
        </w:rPr>
        <w:t xml:space="preserve"> </w:t>
      </w:r>
      <w:r w:rsidRPr="0012225F">
        <w:rPr>
          <w:sz w:val="22"/>
        </w:rPr>
        <w:lastRenderedPageBreak/>
        <w:t xml:space="preserve">includes </w:t>
      </w:r>
      <w:r w:rsidR="008C377E">
        <w:rPr>
          <w:sz w:val="22"/>
        </w:rPr>
        <w:t xml:space="preserve">the </w:t>
      </w:r>
      <w:r w:rsidRPr="0012225F">
        <w:rPr>
          <w:sz w:val="22"/>
        </w:rPr>
        <w:t xml:space="preserve">ring fenced Public Health Grant of </w:t>
      </w:r>
      <w:r w:rsidRPr="00A06955">
        <w:rPr>
          <w:sz w:val="22"/>
        </w:rPr>
        <w:t>£59.8</w:t>
      </w:r>
      <w:r w:rsidRPr="0012225F">
        <w:rPr>
          <w:sz w:val="22"/>
        </w:rPr>
        <w:t xml:space="preserve">m </w:t>
      </w:r>
      <w:r w:rsidRPr="00701537">
        <w:rPr>
          <w:sz w:val="22"/>
        </w:rPr>
        <w:t>(£</w:t>
      </w:r>
      <w:r w:rsidRPr="00A06955">
        <w:rPr>
          <w:sz w:val="22"/>
        </w:rPr>
        <w:t>58.</w:t>
      </w:r>
      <w:r w:rsidRPr="00701537">
        <w:rPr>
          <w:sz w:val="22"/>
        </w:rPr>
        <w:t>0m in 201</w:t>
      </w:r>
      <w:r w:rsidRPr="00A06955">
        <w:rPr>
          <w:sz w:val="22"/>
        </w:rPr>
        <w:t>3</w:t>
      </w:r>
      <w:r w:rsidRPr="00701537">
        <w:rPr>
          <w:sz w:val="22"/>
        </w:rPr>
        <w:t>/1</w:t>
      </w:r>
      <w:r w:rsidRPr="00A06955">
        <w:rPr>
          <w:sz w:val="22"/>
        </w:rPr>
        <w:t>4</w:t>
      </w:r>
      <w:r w:rsidRPr="00701537">
        <w:rPr>
          <w:sz w:val="22"/>
        </w:rPr>
        <w:t>)</w:t>
      </w:r>
      <w:r w:rsidR="008C377E">
        <w:rPr>
          <w:sz w:val="22"/>
        </w:rPr>
        <w:t>.</w:t>
      </w:r>
      <w:r w:rsidR="00702A72" w:rsidRPr="00702A72">
        <w:rPr>
          <w:rFonts w:ascii="Calibri" w:hAnsi="Calibri"/>
          <w:sz w:val="22"/>
          <w:szCs w:val="22"/>
        </w:rPr>
        <w:t xml:space="preserve"> </w:t>
      </w:r>
      <w:r w:rsidR="00702A72" w:rsidRPr="008D0533">
        <w:rPr>
          <w:sz w:val="22"/>
        </w:rPr>
        <w:t>Contributions include £23.2m from NHS England for Section 256 monies (£19.8m in 2013/14).</w:t>
      </w:r>
    </w:p>
    <w:p w14:paraId="7685B146" w14:textId="61AAB6B7" w:rsidR="00DC13D9" w:rsidRDefault="00DC13D9" w:rsidP="00DC13D9">
      <w:pPr>
        <w:jc w:val="left"/>
        <w:rPr>
          <w:sz w:val="22"/>
        </w:rPr>
      </w:pPr>
    </w:p>
    <w:p w14:paraId="1318F3FC" w14:textId="77777777" w:rsidR="00702A72" w:rsidRDefault="00702A72" w:rsidP="00DC13D9">
      <w:pPr>
        <w:jc w:val="left"/>
        <w:rPr>
          <w:sz w:val="22"/>
        </w:rPr>
      </w:pPr>
    </w:p>
    <w:p w14:paraId="3F54B4E2" w14:textId="77777777" w:rsidR="00702A72" w:rsidRPr="00DC13D9" w:rsidRDefault="00702A72" w:rsidP="00DC13D9">
      <w:pPr>
        <w:jc w:val="left"/>
        <w:rPr>
          <w:sz w:val="22"/>
        </w:rPr>
        <w:sectPr w:rsidR="00702A72" w:rsidRPr="00DC13D9" w:rsidSect="0027316E">
          <w:footerReference w:type="default" r:id="rId20"/>
          <w:pgSz w:w="11900" w:h="16840" w:code="9"/>
          <w:pgMar w:top="720" w:right="720" w:bottom="720" w:left="720" w:header="284" w:footer="284" w:gutter="0"/>
          <w:cols w:space="292"/>
          <w:docGrid w:linePitch="326"/>
        </w:sectPr>
      </w:pPr>
    </w:p>
    <w:p w14:paraId="6867F333" w14:textId="5FA7E594" w:rsidR="0035713A" w:rsidRPr="00A06955" w:rsidRDefault="0035713A" w:rsidP="0035713A">
      <w:pPr>
        <w:pStyle w:val="Heading2"/>
      </w:pPr>
      <w:r w:rsidRPr="00A06955">
        <w:lastRenderedPageBreak/>
        <w:t>14. Dedicated Schools</w:t>
      </w:r>
      <w:r w:rsidR="00246A2C">
        <w:t>'</w:t>
      </w:r>
      <w:r w:rsidRPr="00A06955">
        <w:t xml:space="preserve"> Grant</w:t>
      </w:r>
    </w:p>
    <w:p w14:paraId="76E9E98E" w14:textId="471F596C" w:rsidR="0035713A" w:rsidRPr="00A06955" w:rsidRDefault="002172E4" w:rsidP="0035713A">
      <w:pPr>
        <w:rPr>
          <w:lang w:eastAsia="en-GB"/>
        </w:rPr>
      </w:pPr>
      <w:r w:rsidRPr="00A06955">
        <w:rPr>
          <w:lang w:eastAsia="en-GB"/>
        </w:rPr>
        <w:t>Our spending on schools is funded by the Dedicated Schools</w:t>
      </w:r>
      <w:r w:rsidR="00246A2C">
        <w:rPr>
          <w:lang w:eastAsia="en-GB"/>
        </w:rPr>
        <w:t>'</w:t>
      </w:r>
      <w:r w:rsidRPr="00A06955">
        <w:rPr>
          <w:lang w:eastAsia="en-GB"/>
        </w:rPr>
        <w:t xml:space="preserve"> Grant (DSG)</w:t>
      </w:r>
      <w:r w:rsidR="007B39CC" w:rsidRPr="00A06955">
        <w:rPr>
          <w:lang w:eastAsia="en-GB"/>
        </w:rPr>
        <w:t>,</w:t>
      </w:r>
      <w:r w:rsidRPr="00A06955">
        <w:rPr>
          <w:lang w:eastAsia="en-GB"/>
        </w:rPr>
        <w:t xml:space="preserve"> a grant provided by the Department for </w:t>
      </w:r>
      <w:r w:rsidR="00CE69E0" w:rsidRPr="00A06955">
        <w:rPr>
          <w:lang w:eastAsia="en-GB"/>
        </w:rPr>
        <w:t>Education</w:t>
      </w:r>
      <w:r w:rsidRPr="00A06955">
        <w:rPr>
          <w:lang w:eastAsia="en-GB"/>
        </w:rPr>
        <w:t>. DSG can only be used for spending which has been properly included in the schools budget.</w:t>
      </w:r>
    </w:p>
    <w:p w14:paraId="06B1DA5C" w14:textId="70177757" w:rsidR="002172E4" w:rsidRPr="00A06955" w:rsidRDefault="002172E4" w:rsidP="0035713A">
      <w:pPr>
        <w:rPr>
          <w:lang w:eastAsia="en-GB"/>
        </w:rPr>
      </w:pPr>
      <w:r w:rsidRPr="00A06955">
        <w:rPr>
          <w:lang w:eastAsia="en-GB"/>
        </w:rPr>
        <w:t>This includes</w:t>
      </w:r>
      <w:r w:rsidR="007B39CC" w:rsidRPr="00A06955">
        <w:rPr>
          <w:lang w:eastAsia="en-GB"/>
        </w:rPr>
        <w:t>;</w:t>
      </w:r>
    </w:p>
    <w:p w14:paraId="7012B2F1" w14:textId="77777777" w:rsidR="002172E4" w:rsidRPr="00A06955" w:rsidRDefault="002172E4" w:rsidP="00E82A30">
      <w:pPr>
        <w:numPr>
          <w:ilvl w:val="0"/>
          <w:numId w:val="33"/>
        </w:numPr>
        <w:jc w:val="left"/>
        <w:rPr>
          <w:lang w:eastAsia="en-GB"/>
        </w:rPr>
      </w:pPr>
      <w:r w:rsidRPr="00A06955">
        <w:rPr>
          <w:lang w:eastAsia="en-GB"/>
        </w:rPr>
        <w:t>parts of a restricted range of services which we provide across the county (central services);</w:t>
      </w:r>
    </w:p>
    <w:p w14:paraId="1867B83F" w14:textId="18B66B57" w:rsidR="002172E4" w:rsidRPr="00A06955" w:rsidRDefault="002172E4" w:rsidP="00E82A30">
      <w:pPr>
        <w:numPr>
          <w:ilvl w:val="0"/>
          <w:numId w:val="33"/>
        </w:numPr>
        <w:jc w:val="left"/>
        <w:rPr>
          <w:lang w:eastAsia="en-GB"/>
        </w:rPr>
      </w:pPr>
      <w:r w:rsidRPr="00A06955">
        <w:rPr>
          <w:lang w:eastAsia="en-GB"/>
        </w:rPr>
        <w:t>the individual budget, which is divided into a budget share for each school.</w:t>
      </w:r>
    </w:p>
    <w:p w14:paraId="40D9410B" w14:textId="343CCFDF" w:rsidR="002172E4" w:rsidRPr="00747B0B" w:rsidRDefault="002172E4" w:rsidP="002172E4">
      <w:pPr>
        <w:rPr>
          <w:highlight w:val="yellow"/>
          <w:lang w:eastAsia="en-GB"/>
        </w:rPr>
      </w:pPr>
      <w:r w:rsidRPr="00A06955">
        <w:rPr>
          <w:lang w:eastAsia="en-GB"/>
        </w:rPr>
        <w:t>The following table shows how DSG was used for 201</w:t>
      </w:r>
      <w:r w:rsidR="00A01D15" w:rsidRPr="00A06955">
        <w:rPr>
          <w:lang w:eastAsia="en-GB"/>
        </w:rPr>
        <w:t>4</w:t>
      </w:r>
      <w:r w:rsidRPr="00A06955">
        <w:rPr>
          <w:lang w:eastAsia="en-GB"/>
        </w:rPr>
        <w:t>/1</w:t>
      </w:r>
      <w:r w:rsidR="00A01D15" w:rsidRPr="00A06955">
        <w:rPr>
          <w:lang w:eastAsia="en-GB"/>
        </w:rPr>
        <w:t>5</w:t>
      </w:r>
      <w:r w:rsidRPr="00A06955">
        <w:rPr>
          <w:lang w:eastAsia="en-GB"/>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23"/>
        <w:gridCol w:w="1603"/>
        <w:gridCol w:w="2069"/>
        <w:gridCol w:w="1455"/>
      </w:tblGrid>
      <w:tr w:rsidR="00A01D15" w:rsidRPr="00747B0B" w14:paraId="6DD16E72" w14:textId="77777777" w:rsidTr="007161FF">
        <w:trPr>
          <w:trHeight w:val="369"/>
          <w:tblHeader/>
        </w:trPr>
        <w:tc>
          <w:tcPr>
            <w:tcW w:w="2547" w:type="pct"/>
            <w:shd w:val="clear" w:color="auto" w:fill="D0CECE"/>
            <w:vAlign w:val="bottom"/>
          </w:tcPr>
          <w:p w14:paraId="0A56200C" w14:textId="77777777" w:rsidR="00A01D15" w:rsidRPr="00747B0B" w:rsidRDefault="00A01D15" w:rsidP="003A0737">
            <w:pPr>
              <w:jc w:val="left"/>
              <w:rPr>
                <w:color w:val="auto"/>
                <w:highlight w:val="yellow"/>
              </w:rPr>
            </w:pPr>
          </w:p>
        </w:tc>
        <w:tc>
          <w:tcPr>
            <w:tcW w:w="767" w:type="pct"/>
            <w:shd w:val="clear" w:color="auto" w:fill="D0CECE"/>
          </w:tcPr>
          <w:p w14:paraId="2518271B" w14:textId="77777777" w:rsidR="00A01D15" w:rsidRPr="00A06955" w:rsidRDefault="00A01D15" w:rsidP="003A0737">
            <w:pPr>
              <w:jc w:val="center"/>
              <w:rPr>
                <w:b/>
                <w:color w:val="auto"/>
              </w:rPr>
            </w:pPr>
            <w:r w:rsidRPr="00A06955">
              <w:rPr>
                <w:b/>
                <w:color w:val="auto"/>
              </w:rPr>
              <w:t>Capital Expenditure</w:t>
            </w:r>
          </w:p>
        </w:tc>
        <w:tc>
          <w:tcPr>
            <w:tcW w:w="990" w:type="pct"/>
            <w:shd w:val="clear" w:color="auto" w:fill="D0CECE"/>
            <w:vAlign w:val="bottom"/>
          </w:tcPr>
          <w:p w14:paraId="2AA0F9DF" w14:textId="77777777" w:rsidR="00A01D15" w:rsidRPr="00A06955" w:rsidRDefault="00A01D15" w:rsidP="003A0737">
            <w:pPr>
              <w:jc w:val="center"/>
              <w:rPr>
                <w:b/>
                <w:color w:val="auto"/>
              </w:rPr>
            </w:pPr>
            <w:r w:rsidRPr="00A06955">
              <w:rPr>
                <w:b/>
                <w:color w:val="auto"/>
              </w:rPr>
              <w:t>Individual Schools</w:t>
            </w:r>
            <w:r w:rsidR="00CE69E0" w:rsidRPr="00A06955">
              <w:rPr>
                <w:b/>
                <w:color w:val="auto"/>
              </w:rPr>
              <w:t>'</w:t>
            </w:r>
            <w:r w:rsidRPr="00A06955">
              <w:rPr>
                <w:b/>
                <w:color w:val="auto"/>
              </w:rPr>
              <w:t xml:space="preserve"> Budget</w:t>
            </w:r>
          </w:p>
        </w:tc>
        <w:tc>
          <w:tcPr>
            <w:tcW w:w="696" w:type="pct"/>
            <w:shd w:val="clear" w:color="auto" w:fill="D0CECE"/>
            <w:vAlign w:val="bottom"/>
          </w:tcPr>
          <w:p w14:paraId="7C9EA94A" w14:textId="77777777" w:rsidR="00A01D15" w:rsidRPr="00A06955" w:rsidRDefault="00A01D15" w:rsidP="003A0737">
            <w:pPr>
              <w:jc w:val="center"/>
              <w:rPr>
                <w:b/>
                <w:color w:val="auto"/>
              </w:rPr>
            </w:pPr>
            <w:r w:rsidRPr="00A06955">
              <w:rPr>
                <w:b/>
                <w:color w:val="auto"/>
              </w:rPr>
              <w:t>Total</w:t>
            </w:r>
          </w:p>
        </w:tc>
      </w:tr>
      <w:tr w:rsidR="00A01D15" w:rsidRPr="00747B0B" w14:paraId="5D9993F8" w14:textId="77777777" w:rsidTr="007161FF">
        <w:trPr>
          <w:trHeight w:val="369"/>
          <w:tblHeader/>
        </w:trPr>
        <w:tc>
          <w:tcPr>
            <w:tcW w:w="2547" w:type="pct"/>
            <w:shd w:val="clear" w:color="auto" w:fill="D0CECE"/>
            <w:vAlign w:val="bottom"/>
          </w:tcPr>
          <w:p w14:paraId="16870147" w14:textId="77777777" w:rsidR="00A01D15" w:rsidRPr="00747B0B" w:rsidRDefault="00A01D15" w:rsidP="003A0737">
            <w:pPr>
              <w:jc w:val="left"/>
              <w:rPr>
                <w:color w:val="auto"/>
                <w:highlight w:val="yellow"/>
              </w:rPr>
            </w:pPr>
          </w:p>
        </w:tc>
        <w:tc>
          <w:tcPr>
            <w:tcW w:w="767" w:type="pct"/>
            <w:shd w:val="clear" w:color="auto" w:fill="D0CECE"/>
          </w:tcPr>
          <w:p w14:paraId="5448CFFE" w14:textId="77777777" w:rsidR="00A01D15" w:rsidRPr="00A06955" w:rsidRDefault="00A01D15" w:rsidP="003A0737">
            <w:pPr>
              <w:jc w:val="center"/>
              <w:rPr>
                <w:b/>
                <w:color w:val="auto"/>
              </w:rPr>
            </w:pPr>
            <w:r w:rsidRPr="00A06955">
              <w:rPr>
                <w:b/>
                <w:color w:val="auto"/>
              </w:rPr>
              <w:t>£m</w:t>
            </w:r>
          </w:p>
        </w:tc>
        <w:tc>
          <w:tcPr>
            <w:tcW w:w="990" w:type="pct"/>
            <w:shd w:val="clear" w:color="auto" w:fill="D0CECE"/>
            <w:vAlign w:val="bottom"/>
          </w:tcPr>
          <w:p w14:paraId="08601CE4" w14:textId="77777777" w:rsidR="00A01D15" w:rsidRPr="00A06955" w:rsidRDefault="00A01D15" w:rsidP="003A0737">
            <w:pPr>
              <w:jc w:val="center"/>
              <w:rPr>
                <w:b/>
                <w:color w:val="auto"/>
              </w:rPr>
            </w:pPr>
            <w:r w:rsidRPr="00A06955">
              <w:rPr>
                <w:b/>
                <w:color w:val="auto"/>
              </w:rPr>
              <w:t>£m</w:t>
            </w:r>
          </w:p>
        </w:tc>
        <w:tc>
          <w:tcPr>
            <w:tcW w:w="696" w:type="pct"/>
            <w:shd w:val="clear" w:color="auto" w:fill="D0CECE"/>
            <w:vAlign w:val="bottom"/>
          </w:tcPr>
          <w:p w14:paraId="6A411398" w14:textId="77777777" w:rsidR="00A01D15" w:rsidRPr="00A06955" w:rsidRDefault="00A01D15" w:rsidP="003A0737">
            <w:pPr>
              <w:jc w:val="center"/>
              <w:rPr>
                <w:b/>
                <w:color w:val="auto"/>
              </w:rPr>
            </w:pPr>
            <w:r w:rsidRPr="00A06955">
              <w:rPr>
                <w:b/>
                <w:color w:val="auto"/>
              </w:rPr>
              <w:t>£m</w:t>
            </w:r>
          </w:p>
        </w:tc>
      </w:tr>
      <w:tr w:rsidR="00A01D15" w:rsidRPr="00747B0B" w14:paraId="05225CE4" w14:textId="77777777" w:rsidTr="007161FF">
        <w:trPr>
          <w:trHeight w:val="369"/>
        </w:trPr>
        <w:tc>
          <w:tcPr>
            <w:tcW w:w="2547" w:type="pct"/>
            <w:shd w:val="clear" w:color="auto" w:fill="auto"/>
            <w:vAlign w:val="bottom"/>
          </w:tcPr>
          <w:p w14:paraId="67CE848E" w14:textId="77777777" w:rsidR="00A01D15" w:rsidRPr="00747B0B" w:rsidRDefault="00A01D15" w:rsidP="003A0737">
            <w:pPr>
              <w:jc w:val="left"/>
              <w:rPr>
                <w:color w:val="auto"/>
                <w:highlight w:val="yellow"/>
              </w:rPr>
            </w:pPr>
            <w:r w:rsidRPr="00A06955">
              <w:rPr>
                <w:color w:val="auto"/>
              </w:rPr>
              <w:t>Final DSG for 2014/15 before academy recoupment</w:t>
            </w:r>
          </w:p>
        </w:tc>
        <w:tc>
          <w:tcPr>
            <w:tcW w:w="767" w:type="pct"/>
            <w:tcBorders>
              <w:bottom w:val="nil"/>
            </w:tcBorders>
            <w:vAlign w:val="bottom"/>
          </w:tcPr>
          <w:p w14:paraId="78C03843" w14:textId="77777777" w:rsidR="00A01D15" w:rsidRPr="00A06955" w:rsidRDefault="00CE093C" w:rsidP="00CE093C">
            <w:pPr>
              <w:tabs>
                <w:tab w:val="decimal" w:pos="787"/>
              </w:tabs>
              <w:rPr>
                <w:color w:val="auto"/>
              </w:rPr>
            </w:pPr>
            <w:r w:rsidRPr="00A06955">
              <w:rPr>
                <w:color w:val="auto"/>
              </w:rPr>
              <w:t>-</w:t>
            </w:r>
          </w:p>
        </w:tc>
        <w:tc>
          <w:tcPr>
            <w:tcW w:w="990" w:type="pct"/>
            <w:tcBorders>
              <w:bottom w:val="nil"/>
            </w:tcBorders>
            <w:shd w:val="clear" w:color="auto" w:fill="auto"/>
            <w:vAlign w:val="bottom"/>
          </w:tcPr>
          <w:p w14:paraId="013B6C23" w14:textId="77777777" w:rsidR="00A01D15" w:rsidRPr="00A06955" w:rsidRDefault="00CE093C" w:rsidP="00CE093C">
            <w:pPr>
              <w:tabs>
                <w:tab w:val="decimal" w:pos="1026"/>
              </w:tabs>
              <w:rPr>
                <w:color w:val="auto"/>
              </w:rPr>
            </w:pPr>
            <w:r w:rsidRPr="00A06955">
              <w:rPr>
                <w:color w:val="auto"/>
              </w:rPr>
              <w:t>-</w:t>
            </w:r>
          </w:p>
        </w:tc>
        <w:tc>
          <w:tcPr>
            <w:tcW w:w="696" w:type="pct"/>
            <w:tcBorders>
              <w:bottom w:val="nil"/>
            </w:tcBorders>
            <w:shd w:val="clear" w:color="auto" w:fill="auto"/>
            <w:vAlign w:val="bottom"/>
          </w:tcPr>
          <w:p w14:paraId="5FB02FB0" w14:textId="4F4A305A" w:rsidR="00A01D15" w:rsidRPr="00747B0B" w:rsidRDefault="00523EE0" w:rsidP="009D7933">
            <w:pPr>
              <w:tabs>
                <w:tab w:val="decimal" w:pos="744"/>
              </w:tabs>
              <w:rPr>
                <w:color w:val="auto"/>
                <w:highlight w:val="yellow"/>
              </w:rPr>
            </w:pPr>
            <w:r w:rsidRPr="00A06955">
              <w:rPr>
                <w:color w:val="auto"/>
              </w:rPr>
              <w:t>(84</w:t>
            </w:r>
            <w:r>
              <w:rPr>
                <w:color w:val="auto"/>
              </w:rPr>
              <w:t>5</w:t>
            </w:r>
            <w:r w:rsidRPr="00A06955">
              <w:rPr>
                <w:color w:val="auto"/>
              </w:rPr>
              <w:t>.9)</w:t>
            </w:r>
          </w:p>
        </w:tc>
      </w:tr>
      <w:tr w:rsidR="00A01D15" w:rsidRPr="00747B0B" w14:paraId="48C41593" w14:textId="77777777" w:rsidTr="007161FF">
        <w:trPr>
          <w:trHeight w:val="369"/>
        </w:trPr>
        <w:tc>
          <w:tcPr>
            <w:tcW w:w="2547" w:type="pct"/>
            <w:shd w:val="clear" w:color="auto" w:fill="auto"/>
            <w:vAlign w:val="bottom"/>
          </w:tcPr>
          <w:p w14:paraId="12524FA0" w14:textId="77777777" w:rsidR="00A01D15" w:rsidRPr="00A06955" w:rsidRDefault="00A01D15" w:rsidP="003A0737">
            <w:pPr>
              <w:jc w:val="left"/>
              <w:rPr>
                <w:color w:val="auto"/>
              </w:rPr>
            </w:pPr>
            <w:r w:rsidRPr="00A06955">
              <w:rPr>
                <w:color w:val="auto"/>
              </w:rPr>
              <w:t>Academy figure recouped for 2014/15</w:t>
            </w:r>
          </w:p>
        </w:tc>
        <w:tc>
          <w:tcPr>
            <w:tcW w:w="767" w:type="pct"/>
            <w:tcBorders>
              <w:top w:val="nil"/>
              <w:bottom w:val="single" w:sz="4" w:space="0" w:color="auto"/>
            </w:tcBorders>
            <w:vAlign w:val="bottom"/>
          </w:tcPr>
          <w:p w14:paraId="7AC57AD3" w14:textId="77777777" w:rsidR="00A01D15" w:rsidRPr="00A06955" w:rsidRDefault="00CE093C" w:rsidP="00CE093C">
            <w:pPr>
              <w:tabs>
                <w:tab w:val="decimal" w:pos="787"/>
              </w:tabs>
              <w:rPr>
                <w:color w:val="auto"/>
              </w:rPr>
            </w:pPr>
            <w:r w:rsidRPr="00A06955">
              <w:rPr>
                <w:color w:val="auto"/>
              </w:rPr>
              <w:t>-</w:t>
            </w:r>
          </w:p>
        </w:tc>
        <w:tc>
          <w:tcPr>
            <w:tcW w:w="990" w:type="pct"/>
            <w:tcBorders>
              <w:top w:val="nil"/>
              <w:bottom w:val="single" w:sz="4" w:space="0" w:color="auto"/>
            </w:tcBorders>
            <w:shd w:val="clear" w:color="auto" w:fill="auto"/>
            <w:vAlign w:val="bottom"/>
          </w:tcPr>
          <w:p w14:paraId="0505D85B" w14:textId="77777777" w:rsidR="00A01D15" w:rsidRPr="00A06955" w:rsidRDefault="00CE093C" w:rsidP="00CE093C">
            <w:pPr>
              <w:tabs>
                <w:tab w:val="decimal" w:pos="1026"/>
              </w:tabs>
              <w:rPr>
                <w:color w:val="auto"/>
              </w:rPr>
            </w:pPr>
            <w:r w:rsidRPr="00A06955">
              <w:rPr>
                <w:color w:val="auto"/>
              </w:rPr>
              <w:t>-</w:t>
            </w:r>
          </w:p>
        </w:tc>
        <w:tc>
          <w:tcPr>
            <w:tcW w:w="696" w:type="pct"/>
            <w:tcBorders>
              <w:top w:val="nil"/>
              <w:bottom w:val="single" w:sz="4" w:space="0" w:color="auto"/>
            </w:tcBorders>
            <w:shd w:val="clear" w:color="auto" w:fill="auto"/>
            <w:vAlign w:val="bottom"/>
          </w:tcPr>
          <w:p w14:paraId="4C49DD85" w14:textId="4FB47268" w:rsidR="00A01D15" w:rsidRPr="00A06955" w:rsidRDefault="00523EE0" w:rsidP="00CE093C">
            <w:pPr>
              <w:tabs>
                <w:tab w:val="decimal" w:pos="744"/>
              </w:tabs>
              <w:rPr>
                <w:color w:val="auto"/>
              </w:rPr>
            </w:pPr>
            <w:r w:rsidRPr="00A06955">
              <w:rPr>
                <w:color w:val="auto"/>
              </w:rPr>
              <w:t>83</w:t>
            </w:r>
            <w:r w:rsidR="00742BE9">
              <w:rPr>
                <w:color w:val="auto"/>
              </w:rPr>
              <w:t>.0</w:t>
            </w:r>
          </w:p>
        </w:tc>
      </w:tr>
      <w:tr w:rsidR="00A01D15" w:rsidRPr="00747B0B" w14:paraId="383AA284" w14:textId="77777777" w:rsidTr="007161FF">
        <w:trPr>
          <w:trHeight w:val="369"/>
        </w:trPr>
        <w:tc>
          <w:tcPr>
            <w:tcW w:w="2547" w:type="pct"/>
            <w:shd w:val="clear" w:color="auto" w:fill="auto"/>
            <w:vAlign w:val="bottom"/>
          </w:tcPr>
          <w:p w14:paraId="257C9593" w14:textId="77777777" w:rsidR="00A01D15" w:rsidRPr="00747B0B" w:rsidRDefault="00A01D15" w:rsidP="003A0737">
            <w:pPr>
              <w:jc w:val="left"/>
              <w:rPr>
                <w:color w:val="auto"/>
                <w:highlight w:val="yellow"/>
              </w:rPr>
            </w:pPr>
            <w:r w:rsidRPr="00A06955">
              <w:rPr>
                <w:color w:val="auto"/>
              </w:rPr>
              <w:t>Total DSG after Academy recoupment for 2014/15</w:t>
            </w:r>
          </w:p>
        </w:tc>
        <w:tc>
          <w:tcPr>
            <w:tcW w:w="767" w:type="pct"/>
            <w:tcBorders>
              <w:top w:val="single" w:sz="4" w:space="0" w:color="auto"/>
              <w:bottom w:val="nil"/>
            </w:tcBorders>
            <w:vAlign w:val="bottom"/>
          </w:tcPr>
          <w:p w14:paraId="3782F4D4" w14:textId="345139FE" w:rsidR="00A01D15" w:rsidRPr="00A06955" w:rsidRDefault="00523EE0" w:rsidP="00CE093C">
            <w:pPr>
              <w:tabs>
                <w:tab w:val="decimal" w:pos="787"/>
              </w:tabs>
              <w:rPr>
                <w:color w:val="auto"/>
              </w:rPr>
            </w:pPr>
            <w:r w:rsidRPr="00A06955">
              <w:rPr>
                <w:color w:val="auto"/>
              </w:rPr>
              <w:t>-</w:t>
            </w:r>
          </w:p>
        </w:tc>
        <w:tc>
          <w:tcPr>
            <w:tcW w:w="990" w:type="pct"/>
            <w:tcBorders>
              <w:top w:val="single" w:sz="4" w:space="0" w:color="auto"/>
              <w:bottom w:val="nil"/>
            </w:tcBorders>
            <w:shd w:val="clear" w:color="auto" w:fill="auto"/>
            <w:vAlign w:val="bottom"/>
          </w:tcPr>
          <w:p w14:paraId="35F74D58" w14:textId="2B2A9838" w:rsidR="00A01D15" w:rsidRPr="00A06955" w:rsidRDefault="00523EE0" w:rsidP="00CE093C">
            <w:pPr>
              <w:tabs>
                <w:tab w:val="decimal" w:pos="1026"/>
              </w:tabs>
              <w:rPr>
                <w:color w:val="auto"/>
              </w:rPr>
            </w:pPr>
            <w:r w:rsidRPr="00A06955">
              <w:rPr>
                <w:color w:val="auto"/>
              </w:rPr>
              <w:t>-</w:t>
            </w:r>
          </w:p>
        </w:tc>
        <w:tc>
          <w:tcPr>
            <w:tcW w:w="696" w:type="pct"/>
            <w:tcBorders>
              <w:top w:val="single" w:sz="4" w:space="0" w:color="auto"/>
              <w:bottom w:val="nil"/>
            </w:tcBorders>
            <w:shd w:val="clear" w:color="auto" w:fill="auto"/>
            <w:vAlign w:val="bottom"/>
          </w:tcPr>
          <w:p w14:paraId="6B5F0B1F" w14:textId="1C1E791C" w:rsidR="00A01D15" w:rsidRPr="00747B0B" w:rsidRDefault="00523EE0" w:rsidP="00CE093C">
            <w:pPr>
              <w:tabs>
                <w:tab w:val="decimal" w:pos="744"/>
              </w:tabs>
              <w:rPr>
                <w:color w:val="auto"/>
                <w:highlight w:val="yellow"/>
              </w:rPr>
            </w:pPr>
            <w:r w:rsidRPr="00A06955">
              <w:rPr>
                <w:color w:val="auto"/>
              </w:rPr>
              <w:t>(762.9)</w:t>
            </w:r>
          </w:p>
        </w:tc>
      </w:tr>
      <w:tr w:rsidR="00A01D15" w:rsidRPr="00747B0B" w14:paraId="288DA720" w14:textId="77777777" w:rsidTr="007161FF">
        <w:trPr>
          <w:trHeight w:val="430"/>
        </w:trPr>
        <w:tc>
          <w:tcPr>
            <w:tcW w:w="2547" w:type="pct"/>
            <w:shd w:val="clear" w:color="auto" w:fill="auto"/>
            <w:vAlign w:val="bottom"/>
          </w:tcPr>
          <w:p w14:paraId="3C797E57" w14:textId="77777777" w:rsidR="00A01D15" w:rsidRPr="00A06955" w:rsidRDefault="00A01D15" w:rsidP="003A0737">
            <w:pPr>
              <w:jc w:val="left"/>
              <w:rPr>
                <w:color w:val="auto"/>
              </w:rPr>
            </w:pPr>
            <w:r w:rsidRPr="00A06955">
              <w:rPr>
                <w:color w:val="auto"/>
              </w:rPr>
              <w:t>Brought forward from 2013/14</w:t>
            </w:r>
          </w:p>
        </w:tc>
        <w:tc>
          <w:tcPr>
            <w:tcW w:w="767" w:type="pct"/>
            <w:tcBorders>
              <w:top w:val="nil"/>
              <w:bottom w:val="single" w:sz="4" w:space="0" w:color="auto"/>
            </w:tcBorders>
            <w:vAlign w:val="bottom"/>
          </w:tcPr>
          <w:p w14:paraId="1BF0A806" w14:textId="77777777" w:rsidR="00A01D15" w:rsidRPr="00A06955" w:rsidRDefault="00CE093C" w:rsidP="00CE093C">
            <w:pPr>
              <w:tabs>
                <w:tab w:val="decimal" w:pos="787"/>
              </w:tabs>
              <w:rPr>
                <w:color w:val="auto"/>
              </w:rPr>
            </w:pPr>
            <w:r w:rsidRPr="00A06955">
              <w:rPr>
                <w:color w:val="auto"/>
              </w:rPr>
              <w:t>-</w:t>
            </w:r>
          </w:p>
        </w:tc>
        <w:tc>
          <w:tcPr>
            <w:tcW w:w="990" w:type="pct"/>
            <w:tcBorders>
              <w:top w:val="nil"/>
              <w:bottom w:val="single" w:sz="4" w:space="0" w:color="auto"/>
            </w:tcBorders>
            <w:shd w:val="clear" w:color="auto" w:fill="auto"/>
            <w:vAlign w:val="bottom"/>
          </w:tcPr>
          <w:p w14:paraId="7A6AAE8A" w14:textId="77777777" w:rsidR="00A01D15" w:rsidRPr="00A06955" w:rsidRDefault="00A01D15" w:rsidP="00CE093C">
            <w:pPr>
              <w:tabs>
                <w:tab w:val="decimal" w:pos="1026"/>
              </w:tabs>
              <w:rPr>
                <w:color w:val="auto"/>
              </w:rPr>
            </w:pPr>
            <w:r w:rsidRPr="00A06955">
              <w:rPr>
                <w:color w:val="auto"/>
              </w:rPr>
              <w:t>-</w:t>
            </w:r>
          </w:p>
        </w:tc>
        <w:tc>
          <w:tcPr>
            <w:tcW w:w="696" w:type="pct"/>
            <w:tcBorders>
              <w:top w:val="nil"/>
              <w:bottom w:val="single" w:sz="4" w:space="0" w:color="auto"/>
            </w:tcBorders>
            <w:shd w:val="clear" w:color="auto" w:fill="auto"/>
            <w:vAlign w:val="bottom"/>
          </w:tcPr>
          <w:p w14:paraId="69B6E575" w14:textId="5818D5B4" w:rsidR="00A01D15" w:rsidRPr="00A06955" w:rsidRDefault="00523EE0" w:rsidP="00CE093C">
            <w:pPr>
              <w:tabs>
                <w:tab w:val="decimal" w:pos="744"/>
              </w:tabs>
              <w:rPr>
                <w:color w:val="auto"/>
              </w:rPr>
            </w:pPr>
            <w:r w:rsidRPr="00A06955">
              <w:rPr>
                <w:color w:val="auto"/>
              </w:rPr>
              <w:t>(22.9)</w:t>
            </w:r>
          </w:p>
        </w:tc>
      </w:tr>
      <w:tr w:rsidR="00A01D15" w:rsidRPr="00747B0B" w14:paraId="07E6FCC7" w14:textId="77777777" w:rsidTr="008D0533">
        <w:trPr>
          <w:trHeight w:val="369"/>
        </w:trPr>
        <w:tc>
          <w:tcPr>
            <w:tcW w:w="2547" w:type="pct"/>
            <w:shd w:val="clear" w:color="auto" w:fill="auto"/>
            <w:vAlign w:val="bottom"/>
          </w:tcPr>
          <w:p w14:paraId="5D51467F" w14:textId="77777777" w:rsidR="00A01D15" w:rsidRPr="00A06955" w:rsidRDefault="00A01D15" w:rsidP="003A0737">
            <w:pPr>
              <w:jc w:val="left"/>
              <w:rPr>
                <w:color w:val="auto"/>
              </w:rPr>
            </w:pPr>
            <w:r w:rsidRPr="00A06955">
              <w:rPr>
                <w:color w:val="auto"/>
              </w:rPr>
              <w:t>Agreed initial budgeted distribution in 2014/15</w:t>
            </w:r>
          </w:p>
        </w:tc>
        <w:tc>
          <w:tcPr>
            <w:tcW w:w="767" w:type="pct"/>
            <w:tcBorders>
              <w:top w:val="single" w:sz="4" w:space="0" w:color="auto"/>
              <w:bottom w:val="nil"/>
            </w:tcBorders>
            <w:vAlign w:val="bottom"/>
          </w:tcPr>
          <w:p w14:paraId="120A681B" w14:textId="428A27E2" w:rsidR="00A01D15" w:rsidRPr="00A06955" w:rsidRDefault="00523EE0" w:rsidP="00EC57B0">
            <w:pPr>
              <w:tabs>
                <w:tab w:val="decimal" w:pos="787"/>
              </w:tabs>
              <w:rPr>
                <w:color w:val="auto"/>
              </w:rPr>
            </w:pPr>
            <w:r w:rsidRPr="00A06955">
              <w:rPr>
                <w:color w:val="auto"/>
              </w:rPr>
              <w:t>(</w:t>
            </w:r>
            <w:r w:rsidR="00EC57B0">
              <w:rPr>
                <w:color w:val="auto"/>
              </w:rPr>
              <w:t>58.5</w:t>
            </w:r>
            <w:r w:rsidRPr="00A06955">
              <w:rPr>
                <w:color w:val="auto"/>
              </w:rPr>
              <w:t>)</w:t>
            </w:r>
          </w:p>
        </w:tc>
        <w:tc>
          <w:tcPr>
            <w:tcW w:w="990" w:type="pct"/>
            <w:tcBorders>
              <w:top w:val="single" w:sz="4" w:space="0" w:color="auto"/>
              <w:bottom w:val="nil"/>
            </w:tcBorders>
            <w:shd w:val="clear" w:color="auto" w:fill="auto"/>
            <w:vAlign w:val="bottom"/>
          </w:tcPr>
          <w:p w14:paraId="344891DA" w14:textId="4928DD9F" w:rsidR="00A01D15" w:rsidRPr="00A06955" w:rsidRDefault="00523EE0" w:rsidP="00EC57B0">
            <w:pPr>
              <w:tabs>
                <w:tab w:val="decimal" w:pos="1026"/>
              </w:tabs>
              <w:rPr>
                <w:color w:val="auto"/>
              </w:rPr>
            </w:pPr>
            <w:r w:rsidRPr="00A06955">
              <w:rPr>
                <w:color w:val="auto"/>
              </w:rPr>
              <w:t>(72</w:t>
            </w:r>
            <w:r w:rsidR="00EC57B0">
              <w:rPr>
                <w:color w:val="auto"/>
              </w:rPr>
              <w:t>7.3</w:t>
            </w:r>
            <w:r w:rsidRPr="00A06955">
              <w:rPr>
                <w:color w:val="auto"/>
              </w:rPr>
              <w:t>)</w:t>
            </w:r>
          </w:p>
        </w:tc>
        <w:tc>
          <w:tcPr>
            <w:tcW w:w="696" w:type="pct"/>
            <w:tcBorders>
              <w:top w:val="single" w:sz="4" w:space="0" w:color="auto"/>
              <w:bottom w:val="nil"/>
            </w:tcBorders>
            <w:shd w:val="clear" w:color="auto" w:fill="auto"/>
            <w:vAlign w:val="bottom"/>
          </w:tcPr>
          <w:p w14:paraId="5F101AF4" w14:textId="1EA08376" w:rsidR="00A01D15" w:rsidRPr="00A06955" w:rsidRDefault="00523EE0">
            <w:pPr>
              <w:tabs>
                <w:tab w:val="decimal" w:pos="744"/>
              </w:tabs>
              <w:rPr>
                <w:color w:val="auto"/>
              </w:rPr>
            </w:pPr>
            <w:r w:rsidRPr="00A06955">
              <w:rPr>
                <w:color w:val="auto"/>
              </w:rPr>
              <w:t>(785.8)</w:t>
            </w:r>
          </w:p>
        </w:tc>
      </w:tr>
      <w:tr w:rsidR="00EC57B0" w:rsidRPr="00747B0B" w14:paraId="7C509432" w14:textId="77777777" w:rsidTr="008D0533">
        <w:trPr>
          <w:trHeight w:val="369"/>
        </w:trPr>
        <w:tc>
          <w:tcPr>
            <w:tcW w:w="2547" w:type="pct"/>
            <w:shd w:val="clear" w:color="auto" w:fill="auto"/>
            <w:vAlign w:val="bottom"/>
          </w:tcPr>
          <w:p w14:paraId="18322D1F" w14:textId="27E0A78A" w:rsidR="00EC57B0" w:rsidRPr="00A06955" w:rsidRDefault="00EC57B0" w:rsidP="003A0737">
            <w:pPr>
              <w:jc w:val="left"/>
              <w:rPr>
                <w:color w:val="auto"/>
              </w:rPr>
            </w:pPr>
            <w:r>
              <w:rPr>
                <w:color w:val="auto"/>
              </w:rPr>
              <w:t>In year adjustments</w:t>
            </w:r>
          </w:p>
        </w:tc>
        <w:tc>
          <w:tcPr>
            <w:tcW w:w="767" w:type="pct"/>
            <w:tcBorders>
              <w:top w:val="nil"/>
              <w:bottom w:val="single" w:sz="4" w:space="0" w:color="auto"/>
            </w:tcBorders>
            <w:vAlign w:val="bottom"/>
          </w:tcPr>
          <w:p w14:paraId="57F9B4A9" w14:textId="599E3AAC" w:rsidR="00EC57B0" w:rsidRPr="00A06955" w:rsidRDefault="00EC57B0" w:rsidP="00EC57B0">
            <w:pPr>
              <w:tabs>
                <w:tab w:val="decimal" w:pos="787"/>
              </w:tabs>
              <w:rPr>
                <w:color w:val="auto"/>
              </w:rPr>
            </w:pPr>
            <w:r>
              <w:rPr>
                <w:color w:val="auto"/>
              </w:rPr>
              <w:t>-</w:t>
            </w:r>
          </w:p>
        </w:tc>
        <w:tc>
          <w:tcPr>
            <w:tcW w:w="990" w:type="pct"/>
            <w:tcBorders>
              <w:top w:val="nil"/>
              <w:bottom w:val="single" w:sz="4" w:space="0" w:color="auto"/>
            </w:tcBorders>
            <w:shd w:val="clear" w:color="auto" w:fill="auto"/>
            <w:vAlign w:val="bottom"/>
          </w:tcPr>
          <w:p w14:paraId="21948C4A" w14:textId="37B8E35C" w:rsidR="00EC57B0" w:rsidRPr="00A06955" w:rsidRDefault="00EC57B0" w:rsidP="00EC57B0">
            <w:pPr>
              <w:tabs>
                <w:tab w:val="decimal" w:pos="1026"/>
              </w:tabs>
              <w:rPr>
                <w:color w:val="auto"/>
              </w:rPr>
            </w:pPr>
            <w:r>
              <w:rPr>
                <w:color w:val="auto"/>
              </w:rPr>
              <w:t>5.1</w:t>
            </w:r>
          </w:p>
        </w:tc>
        <w:tc>
          <w:tcPr>
            <w:tcW w:w="696" w:type="pct"/>
            <w:tcBorders>
              <w:top w:val="nil"/>
              <w:bottom w:val="single" w:sz="4" w:space="0" w:color="auto"/>
            </w:tcBorders>
            <w:shd w:val="clear" w:color="auto" w:fill="auto"/>
            <w:vAlign w:val="bottom"/>
          </w:tcPr>
          <w:p w14:paraId="5AD6C501" w14:textId="6ABABB69" w:rsidR="00EC57B0" w:rsidRPr="00A06955" w:rsidRDefault="00EC57B0">
            <w:pPr>
              <w:tabs>
                <w:tab w:val="decimal" w:pos="744"/>
              </w:tabs>
              <w:rPr>
                <w:color w:val="auto"/>
              </w:rPr>
            </w:pPr>
            <w:r>
              <w:rPr>
                <w:color w:val="auto"/>
              </w:rPr>
              <w:t>5.1</w:t>
            </w:r>
          </w:p>
        </w:tc>
      </w:tr>
      <w:tr w:rsidR="00A01D15" w:rsidRPr="00747B0B" w14:paraId="32C50B8E" w14:textId="77777777" w:rsidTr="008D0533">
        <w:trPr>
          <w:trHeight w:val="369"/>
        </w:trPr>
        <w:tc>
          <w:tcPr>
            <w:tcW w:w="2547" w:type="pct"/>
            <w:shd w:val="clear" w:color="auto" w:fill="auto"/>
            <w:vAlign w:val="bottom"/>
          </w:tcPr>
          <w:p w14:paraId="437C149E" w14:textId="77777777" w:rsidR="00A01D15" w:rsidRPr="00A06955" w:rsidRDefault="00A01D15" w:rsidP="003A0737">
            <w:pPr>
              <w:jc w:val="left"/>
              <w:rPr>
                <w:color w:val="auto"/>
              </w:rPr>
            </w:pPr>
            <w:r w:rsidRPr="00A06955">
              <w:rPr>
                <w:color w:val="auto"/>
              </w:rPr>
              <w:t>Final budgeted distribution for 2014/15</w:t>
            </w:r>
          </w:p>
        </w:tc>
        <w:tc>
          <w:tcPr>
            <w:tcW w:w="767" w:type="pct"/>
            <w:tcBorders>
              <w:top w:val="single" w:sz="4" w:space="0" w:color="auto"/>
              <w:bottom w:val="nil"/>
            </w:tcBorders>
            <w:vAlign w:val="bottom"/>
          </w:tcPr>
          <w:p w14:paraId="0A2FBF54" w14:textId="3FCAF268" w:rsidR="00A01D15" w:rsidRPr="00A06955" w:rsidRDefault="00523EE0" w:rsidP="00EC57B0">
            <w:pPr>
              <w:tabs>
                <w:tab w:val="decimal" w:pos="787"/>
              </w:tabs>
              <w:rPr>
                <w:color w:val="auto"/>
              </w:rPr>
            </w:pPr>
            <w:r w:rsidRPr="00A06955">
              <w:rPr>
                <w:color w:val="auto"/>
              </w:rPr>
              <w:t>(</w:t>
            </w:r>
            <w:r w:rsidR="00EC57B0">
              <w:rPr>
                <w:color w:val="auto"/>
              </w:rPr>
              <w:t>58.5</w:t>
            </w:r>
            <w:r w:rsidRPr="00A06955">
              <w:rPr>
                <w:color w:val="auto"/>
              </w:rPr>
              <w:t>)</w:t>
            </w:r>
          </w:p>
        </w:tc>
        <w:tc>
          <w:tcPr>
            <w:tcW w:w="990" w:type="pct"/>
            <w:tcBorders>
              <w:top w:val="single" w:sz="4" w:space="0" w:color="auto"/>
              <w:bottom w:val="nil"/>
            </w:tcBorders>
            <w:shd w:val="clear" w:color="auto" w:fill="auto"/>
            <w:vAlign w:val="bottom"/>
          </w:tcPr>
          <w:p w14:paraId="64CBA965" w14:textId="456708DC" w:rsidR="00A01D15" w:rsidRPr="00A06955" w:rsidRDefault="00523EE0" w:rsidP="00CE093C">
            <w:pPr>
              <w:tabs>
                <w:tab w:val="decimal" w:pos="1026"/>
              </w:tabs>
              <w:rPr>
                <w:color w:val="auto"/>
              </w:rPr>
            </w:pPr>
            <w:r w:rsidRPr="00A06955">
              <w:rPr>
                <w:color w:val="auto"/>
              </w:rPr>
              <w:t>(722.2)</w:t>
            </w:r>
          </w:p>
        </w:tc>
        <w:tc>
          <w:tcPr>
            <w:tcW w:w="696" w:type="pct"/>
            <w:tcBorders>
              <w:top w:val="single" w:sz="4" w:space="0" w:color="auto"/>
              <w:bottom w:val="nil"/>
            </w:tcBorders>
            <w:shd w:val="clear" w:color="auto" w:fill="auto"/>
            <w:vAlign w:val="bottom"/>
          </w:tcPr>
          <w:p w14:paraId="742E6426" w14:textId="67C24ADB" w:rsidR="00A01D15" w:rsidRPr="00A06955" w:rsidRDefault="00523EE0" w:rsidP="00EC57B0">
            <w:pPr>
              <w:tabs>
                <w:tab w:val="decimal" w:pos="744"/>
              </w:tabs>
              <w:rPr>
                <w:color w:val="auto"/>
              </w:rPr>
            </w:pPr>
            <w:r w:rsidRPr="00A06955">
              <w:rPr>
                <w:color w:val="auto"/>
              </w:rPr>
              <w:t>(78</w:t>
            </w:r>
            <w:r w:rsidR="00EC57B0">
              <w:rPr>
                <w:color w:val="auto"/>
              </w:rPr>
              <w:t>0.7</w:t>
            </w:r>
            <w:r w:rsidRPr="00A06955">
              <w:rPr>
                <w:color w:val="auto"/>
              </w:rPr>
              <w:t>)</w:t>
            </w:r>
          </w:p>
        </w:tc>
      </w:tr>
      <w:tr w:rsidR="00A01D15" w:rsidRPr="00747B0B" w14:paraId="19B82B4E" w14:textId="77777777" w:rsidTr="008D0533">
        <w:trPr>
          <w:trHeight w:val="369"/>
        </w:trPr>
        <w:tc>
          <w:tcPr>
            <w:tcW w:w="2547" w:type="pct"/>
            <w:shd w:val="clear" w:color="auto" w:fill="auto"/>
            <w:vAlign w:val="bottom"/>
          </w:tcPr>
          <w:p w14:paraId="4C5902E7" w14:textId="4E68C219" w:rsidR="00A01D15" w:rsidRPr="00A06955" w:rsidRDefault="00A01D15" w:rsidP="003A0737">
            <w:pPr>
              <w:jc w:val="left"/>
              <w:rPr>
                <w:color w:val="auto"/>
              </w:rPr>
            </w:pPr>
            <w:r w:rsidRPr="00A06955">
              <w:rPr>
                <w:color w:val="auto"/>
              </w:rPr>
              <w:t>Less</w:t>
            </w:r>
            <w:r w:rsidR="00523EE0" w:rsidRPr="00A06955">
              <w:rPr>
                <w:color w:val="auto"/>
              </w:rPr>
              <w:t>:</w:t>
            </w:r>
            <w:r w:rsidRPr="00A06955">
              <w:rPr>
                <w:color w:val="auto"/>
              </w:rPr>
              <w:t xml:space="preserve"> </w:t>
            </w:r>
            <w:r w:rsidR="00523EE0" w:rsidRPr="00A06955">
              <w:rPr>
                <w:color w:val="auto"/>
              </w:rPr>
              <w:t>A</w:t>
            </w:r>
            <w:r w:rsidRPr="00A06955">
              <w:rPr>
                <w:color w:val="auto"/>
              </w:rPr>
              <w:t>ctual central expenditure</w:t>
            </w:r>
          </w:p>
        </w:tc>
        <w:tc>
          <w:tcPr>
            <w:tcW w:w="767" w:type="pct"/>
            <w:tcBorders>
              <w:top w:val="nil"/>
              <w:bottom w:val="nil"/>
            </w:tcBorders>
            <w:vAlign w:val="bottom"/>
          </w:tcPr>
          <w:p w14:paraId="0DD13A3A" w14:textId="23BEB3EA" w:rsidR="00A01D15" w:rsidRPr="00A06955" w:rsidRDefault="00523EE0" w:rsidP="00EC57B0">
            <w:pPr>
              <w:tabs>
                <w:tab w:val="decimal" w:pos="787"/>
              </w:tabs>
              <w:rPr>
                <w:color w:val="auto"/>
              </w:rPr>
            </w:pPr>
            <w:r w:rsidRPr="00A06955">
              <w:rPr>
                <w:color w:val="auto"/>
              </w:rPr>
              <w:t>3</w:t>
            </w:r>
            <w:r w:rsidR="00EC57B0">
              <w:rPr>
                <w:color w:val="auto"/>
              </w:rPr>
              <w:t>0.6</w:t>
            </w:r>
          </w:p>
        </w:tc>
        <w:tc>
          <w:tcPr>
            <w:tcW w:w="990" w:type="pct"/>
            <w:tcBorders>
              <w:top w:val="nil"/>
              <w:bottom w:val="nil"/>
            </w:tcBorders>
            <w:shd w:val="clear" w:color="auto" w:fill="auto"/>
            <w:vAlign w:val="bottom"/>
          </w:tcPr>
          <w:p w14:paraId="2EB38289" w14:textId="77777777" w:rsidR="00A01D15" w:rsidRPr="00A06955" w:rsidRDefault="00CE093C" w:rsidP="00CE093C">
            <w:pPr>
              <w:tabs>
                <w:tab w:val="decimal" w:pos="1026"/>
              </w:tabs>
              <w:rPr>
                <w:color w:val="auto"/>
              </w:rPr>
            </w:pPr>
            <w:r w:rsidRPr="00A06955">
              <w:rPr>
                <w:color w:val="auto"/>
              </w:rPr>
              <w:t>-</w:t>
            </w:r>
          </w:p>
        </w:tc>
        <w:tc>
          <w:tcPr>
            <w:tcW w:w="696" w:type="pct"/>
            <w:tcBorders>
              <w:top w:val="nil"/>
              <w:bottom w:val="nil"/>
            </w:tcBorders>
            <w:shd w:val="clear" w:color="auto" w:fill="auto"/>
            <w:vAlign w:val="bottom"/>
          </w:tcPr>
          <w:p w14:paraId="37A395D7" w14:textId="7B507BC2" w:rsidR="00A01D15" w:rsidRPr="00A06955" w:rsidRDefault="00523EE0" w:rsidP="00EC57B0">
            <w:pPr>
              <w:tabs>
                <w:tab w:val="decimal" w:pos="744"/>
              </w:tabs>
              <w:rPr>
                <w:color w:val="auto"/>
              </w:rPr>
            </w:pPr>
            <w:r w:rsidRPr="00A06955">
              <w:rPr>
                <w:color w:val="auto"/>
              </w:rPr>
              <w:t>3</w:t>
            </w:r>
            <w:r w:rsidR="00EC57B0">
              <w:rPr>
                <w:color w:val="auto"/>
              </w:rPr>
              <w:t>0.6</w:t>
            </w:r>
          </w:p>
        </w:tc>
      </w:tr>
      <w:tr w:rsidR="00A01D15" w:rsidRPr="00747B0B" w14:paraId="2C0A2E97" w14:textId="77777777" w:rsidTr="007161FF">
        <w:trPr>
          <w:trHeight w:val="369"/>
        </w:trPr>
        <w:tc>
          <w:tcPr>
            <w:tcW w:w="2547" w:type="pct"/>
            <w:shd w:val="clear" w:color="auto" w:fill="auto"/>
            <w:vAlign w:val="bottom"/>
          </w:tcPr>
          <w:p w14:paraId="49620CC7" w14:textId="77B39884" w:rsidR="00A01D15" w:rsidRPr="00A06955" w:rsidRDefault="00A01D15" w:rsidP="009D7933">
            <w:pPr>
              <w:jc w:val="left"/>
              <w:rPr>
                <w:color w:val="auto"/>
              </w:rPr>
            </w:pPr>
            <w:r w:rsidRPr="00A06955">
              <w:rPr>
                <w:color w:val="auto"/>
              </w:rPr>
              <w:lastRenderedPageBreak/>
              <w:t>Less</w:t>
            </w:r>
            <w:r w:rsidR="00523EE0" w:rsidRPr="00A06955">
              <w:rPr>
                <w:color w:val="auto"/>
              </w:rPr>
              <w:t>:</w:t>
            </w:r>
            <w:r w:rsidRPr="00A06955">
              <w:rPr>
                <w:color w:val="auto"/>
              </w:rPr>
              <w:t xml:space="preserve"> </w:t>
            </w:r>
            <w:r w:rsidR="00523EE0" w:rsidRPr="00A06955">
              <w:rPr>
                <w:color w:val="auto"/>
              </w:rPr>
              <w:t>A</w:t>
            </w:r>
            <w:r w:rsidRPr="00A06955">
              <w:rPr>
                <w:color w:val="auto"/>
              </w:rPr>
              <w:t>ctual ISB deployed to schools</w:t>
            </w:r>
          </w:p>
        </w:tc>
        <w:tc>
          <w:tcPr>
            <w:tcW w:w="767" w:type="pct"/>
            <w:tcBorders>
              <w:top w:val="nil"/>
              <w:bottom w:val="single" w:sz="4" w:space="0" w:color="auto"/>
            </w:tcBorders>
            <w:vAlign w:val="bottom"/>
          </w:tcPr>
          <w:p w14:paraId="51910609" w14:textId="77777777" w:rsidR="00A01D15" w:rsidRPr="00A06955" w:rsidRDefault="00CE093C" w:rsidP="00CE093C">
            <w:pPr>
              <w:tabs>
                <w:tab w:val="decimal" w:pos="787"/>
              </w:tabs>
              <w:rPr>
                <w:color w:val="auto"/>
              </w:rPr>
            </w:pPr>
            <w:r w:rsidRPr="00A06955">
              <w:rPr>
                <w:color w:val="auto"/>
              </w:rPr>
              <w:t>-</w:t>
            </w:r>
          </w:p>
        </w:tc>
        <w:tc>
          <w:tcPr>
            <w:tcW w:w="990" w:type="pct"/>
            <w:tcBorders>
              <w:top w:val="nil"/>
              <w:bottom w:val="single" w:sz="4" w:space="0" w:color="auto"/>
            </w:tcBorders>
            <w:shd w:val="clear" w:color="auto" w:fill="auto"/>
            <w:vAlign w:val="bottom"/>
          </w:tcPr>
          <w:p w14:paraId="43A155A5" w14:textId="3FEEE867" w:rsidR="00A01D15" w:rsidRPr="00A06955" w:rsidRDefault="00BD7E7E" w:rsidP="009D7933">
            <w:pPr>
              <w:tabs>
                <w:tab w:val="decimal" w:pos="1026"/>
              </w:tabs>
              <w:rPr>
                <w:color w:val="auto"/>
              </w:rPr>
            </w:pPr>
            <w:r w:rsidRPr="00A06955">
              <w:rPr>
                <w:color w:val="auto"/>
              </w:rPr>
              <w:t>722.2</w:t>
            </w:r>
          </w:p>
        </w:tc>
        <w:tc>
          <w:tcPr>
            <w:tcW w:w="696" w:type="pct"/>
            <w:tcBorders>
              <w:top w:val="nil"/>
              <w:bottom w:val="single" w:sz="4" w:space="0" w:color="auto"/>
            </w:tcBorders>
            <w:shd w:val="clear" w:color="auto" w:fill="auto"/>
            <w:vAlign w:val="bottom"/>
          </w:tcPr>
          <w:p w14:paraId="1F5F74A2" w14:textId="4B569959" w:rsidR="00A01D15" w:rsidRPr="00A06955" w:rsidRDefault="00BD7E7E" w:rsidP="00CE093C">
            <w:pPr>
              <w:tabs>
                <w:tab w:val="decimal" w:pos="744"/>
              </w:tabs>
              <w:rPr>
                <w:color w:val="auto"/>
              </w:rPr>
            </w:pPr>
            <w:r w:rsidRPr="00A06955">
              <w:rPr>
                <w:color w:val="auto"/>
              </w:rPr>
              <w:t>722.2</w:t>
            </w:r>
          </w:p>
        </w:tc>
      </w:tr>
      <w:tr w:rsidR="00A01D15" w:rsidRPr="00052104" w14:paraId="60C66F77" w14:textId="77777777" w:rsidTr="007161FF">
        <w:trPr>
          <w:trHeight w:val="369"/>
        </w:trPr>
        <w:tc>
          <w:tcPr>
            <w:tcW w:w="2547" w:type="pct"/>
            <w:shd w:val="clear" w:color="auto" w:fill="auto"/>
            <w:vAlign w:val="bottom"/>
          </w:tcPr>
          <w:p w14:paraId="1DAA1220" w14:textId="77777777" w:rsidR="00A01D15" w:rsidRPr="00A06955" w:rsidRDefault="00A01D15" w:rsidP="003A0737">
            <w:pPr>
              <w:jc w:val="left"/>
              <w:rPr>
                <w:b/>
                <w:color w:val="auto"/>
              </w:rPr>
            </w:pPr>
            <w:r w:rsidRPr="00A06955">
              <w:rPr>
                <w:b/>
                <w:color w:val="auto"/>
              </w:rPr>
              <w:t>Carry forward to 2015/16</w:t>
            </w:r>
          </w:p>
        </w:tc>
        <w:tc>
          <w:tcPr>
            <w:tcW w:w="767" w:type="pct"/>
            <w:tcBorders>
              <w:top w:val="single" w:sz="4" w:space="0" w:color="auto"/>
            </w:tcBorders>
            <w:vAlign w:val="bottom"/>
          </w:tcPr>
          <w:p w14:paraId="2086231A" w14:textId="5445D4AE" w:rsidR="00A01D15" w:rsidRPr="00A06955" w:rsidRDefault="00BD7E7E" w:rsidP="00CE093C">
            <w:pPr>
              <w:tabs>
                <w:tab w:val="decimal" w:pos="787"/>
              </w:tabs>
              <w:rPr>
                <w:b/>
                <w:color w:val="auto"/>
              </w:rPr>
            </w:pPr>
            <w:r w:rsidRPr="00A06955">
              <w:rPr>
                <w:b/>
                <w:color w:val="auto"/>
              </w:rPr>
              <w:t>(27.9)</w:t>
            </w:r>
          </w:p>
        </w:tc>
        <w:tc>
          <w:tcPr>
            <w:tcW w:w="990" w:type="pct"/>
            <w:tcBorders>
              <w:top w:val="single" w:sz="4" w:space="0" w:color="auto"/>
              <w:bottom w:val="single" w:sz="4" w:space="0" w:color="auto"/>
            </w:tcBorders>
            <w:shd w:val="clear" w:color="auto" w:fill="auto"/>
            <w:vAlign w:val="bottom"/>
          </w:tcPr>
          <w:p w14:paraId="54FD6F3D" w14:textId="77777777" w:rsidR="00A01D15" w:rsidRPr="00A06955" w:rsidRDefault="00CE093C" w:rsidP="00CE093C">
            <w:pPr>
              <w:tabs>
                <w:tab w:val="decimal" w:pos="1026"/>
              </w:tabs>
              <w:rPr>
                <w:b/>
                <w:color w:val="auto"/>
              </w:rPr>
            </w:pPr>
            <w:r w:rsidRPr="00A06955">
              <w:rPr>
                <w:b/>
                <w:color w:val="auto"/>
              </w:rPr>
              <w:t>-</w:t>
            </w:r>
          </w:p>
        </w:tc>
        <w:tc>
          <w:tcPr>
            <w:tcW w:w="696" w:type="pct"/>
            <w:tcBorders>
              <w:top w:val="single" w:sz="4" w:space="0" w:color="auto"/>
              <w:bottom w:val="single" w:sz="4" w:space="0" w:color="auto"/>
            </w:tcBorders>
            <w:shd w:val="clear" w:color="auto" w:fill="auto"/>
            <w:vAlign w:val="bottom"/>
          </w:tcPr>
          <w:p w14:paraId="19A16C5A" w14:textId="15FCFFE3" w:rsidR="00A01D15" w:rsidRPr="009D7933" w:rsidRDefault="00BD7E7E" w:rsidP="00CE093C">
            <w:pPr>
              <w:tabs>
                <w:tab w:val="decimal" w:pos="744"/>
              </w:tabs>
              <w:rPr>
                <w:b/>
                <w:color w:val="auto"/>
              </w:rPr>
            </w:pPr>
            <w:r w:rsidRPr="009D7933">
              <w:rPr>
                <w:b/>
                <w:color w:val="auto"/>
              </w:rPr>
              <w:t>(27.9)</w:t>
            </w:r>
          </w:p>
        </w:tc>
      </w:tr>
    </w:tbl>
    <w:p w14:paraId="37AF1FF7" w14:textId="428ED841" w:rsidR="002172E4" w:rsidRDefault="002172E4" w:rsidP="002172E4">
      <w:pPr>
        <w:rPr>
          <w:lang w:eastAsia="en-GB"/>
        </w:rPr>
      </w:pPr>
    </w:p>
    <w:p w14:paraId="546A2A9C" w14:textId="77777777" w:rsidR="00233C18" w:rsidRDefault="00233C18" w:rsidP="002172E4">
      <w:pPr>
        <w:rPr>
          <w:lang w:eastAsia="en-GB"/>
        </w:rPr>
      </w:pPr>
      <w:r>
        <w:rPr>
          <w:lang w:eastAsia="en-GB"/>
        </w:rPr>
        <w:t>Comparative data for 2013/14 can be seen below:</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24"/>
        <w:gridCol w:w="1603"/>
        <w:gridCol w:w="2069"/>
        <w:gridCol w:w="1454"/>
      </w:tblGrid>
      <w:tr w:rsidR="00106ABF" w:rsidRPr="00052104" w14:paraId="0E4A59A3" w14:textId="77777777" w:rsidTr="00A06955">
        <w:trPr>
          <w:trHeight w:val="369"/>
          <w:tblHeader/>
        </w:trPr>
        <w:tc>
          <w:tcPr>
            <w:tcW w:w="2553" w:type="pct"/>
            <w:shd w:val="clear" w:color="auto" w:fill="D0CECE"/>
            <w:vAlign w:val="bottom"/>
          </w:tcPr>
          <w:p w14:paraId="07F18163" w14:textId="77777777" w:rsidR="00106ABF" w:rsidRPr="00052104" w:rsidRDefault="00106ABF" w:rsidP="003A0737">
            <w:pPr>
              <w:jc w:val="left"/>
              <w:rPr>
                <w:color w:val="auto"/>
              </w:rPr>
            </w:pPr>
          </w:p>
        </w:tc>
        <w:tc>
          <w:tcPr>
            <w:tcW w:w="751" w:type="pct"/>
            <w:shd w:val="clear" w:color="auto" w:fill="D0CECE"/>
          </w:tcPr>
          <w:p w14:paraId="56FD56DB" w14:textId="77777777" w:rsidR="00106ABF" w:rsidRPr="00052104" w:rsidRDefault="00106ABF" w:rsidP="003A0737">
            <w:pPr>
              <w:jc w:val="center"/>
              <w:rPr>
                <w:b/>
                <w:color w:val="auto"/>
              </w:rPr>
            </w:pPr>
            <w:r>
              <w:rPr>
                <w:b/>
                <w:color w:val="auto"/>
              </w:rPr>
              <w:t>Capital Expenditure</w:t>
            </w:r>
          </w:p>
        </w:tc>
        <w:tc>
          <w:tcPr>
            <w:tcW w:w="995" w:type="pct"/>
            <w:shd w:val="clear" w:color="auto" w:fill="D0CECE"/>
            <w:vAlign w:val="bottom"/>
          </w:tcPr>
          <w:p w14:paraId="4FF9E99F" w14:textId="77777777" w:rsidR="00106ABF" w:rsidRPr="00052104" w:rsidRDefault="00106ABF" w:rsidP="003A0737">
            <w:pPr>
              <w:jc w:val="center"/>
              <w:rPr>
                <w:b/>
                <w:color w:val="auto"/>
              </w:rPr>
            </w:pPr>
            <w:r>
              <w:rPr>
                <w:b/>
                <w:color w:val="auto"/>
              </w:rPr>
              <w:t>Individual Schools</w:t>
            </w:r>
            <w:r w:rsidR="00CE69E0">
              <w:rPr>
                <w:b/>
                <w:color w:val="auto"/>
              </w:rPr>
              <w:t>'</w:t>
            </w:r>
            <w:r>
              <w:rPr>
                <w:b/>
                <w:color w:val="auto"/>
              </w:rPr>
              <w:t xml:space="preserve"> Budget</w:t>
            </w:r>
          </w:p>
        </w:tc>
        <w:tc>
          <w:tcPr>
            <w:tcW w:w="701" w:type="pct"/>
            <w:shd w:val="clear" w:color="auto" w:fill="D0CECE"/>
            <w:vAlign w:val="bottom"/>
          </w:tcPr>
          <w:p w14:paraId="41845F57" w14:textId="77777777" w:rsidR="00106ABF" w:rsidRPr="00052104" w:rsidRDefault="00106ABF" w:rsidP="003A0737">
            <w:pPr>
              <w:jc w:val="center"/>
              <w:rPr>
                <w:b/>
                <w:color w:val="auto"/>
              </w:rPr>
            </w:pPr>
            <w:r>
              <w:rPr>
                <w:b/>
                <w:color w:val="auto"/>
              </w:rPr>
              <w:t>Total</w:t>
            </w:r>
          </w:p>
        </w:tc>
      </w:tr>
      <w:tr w:rsidR="00106ABF" w:rsidRPr="00052104" w14:paraId="72A8B369" w14:textId="77777777" w:rsidTr="00A06955">
        <w:trPr>
          <w:trHeight w:val="369"/>
          <w:tblHeader/>
        </w:trPr>
        <w:tc>
          <w:tcPr>
            <w:tcW w:w="2553" w:type="pct"/>
            <w:shd w:val="clear" w:color="auto" w:fill="D0CECE"/>
            <w:vAlign w:val="bottom"/>
          </w:tcPr>
          <w:p w14:paraId="555D6B33" w14:textId="77777777" w:rsidR="00106ABF" w:rsidRPr="00052104" w:rsidRDefault="00106ABF" w:rsidP="003A0737">
            <w:pPr>
              <w:jc w:val="left"/>
              <w:rPr>
                <w:color w:val="auto"/>
              </w:rPr>
            </w:pPr>
          </w:p>
        </w:tc>
        <w:tc>
          <w:tcPr>
            <w:tcW w:w="751" w:type="pct"/>
            <w:shd w:val="clear" w:color="auto" w:fill="D0CECE"/>
          </w:tcPr>
          <w:p w14:paraId="7BE66B13" w14:textId="77777777" w:rsidR="00106ABF" w:rsidRPr="00052104" w:rsidRDefault="00106ABF" w:rsidP="003A0737">
            <w:pPr>
              <w:jc w:val="center"/>
              <w:rPr>
                <w:b/>
                <w:color w:val="auto"/>
              </w:rPr>
            </w:pPr>
            <w:r w:rsidRPr="00A01D15">
              <w:rPr>
                <w:b/>
                <w:color w:val="auto"/>
              </w:rPr>
              <w:t>£m</w:t>
            </w:r>
          </w:p>
        </w:tc>
        <w:tc>
          <w:tcPr>
            <w:tcW w:w="995" w:type="pct"/>
            <w:shd w:val="clear" w:color="auto" w:fill="D0CECE"/>
            <w:vAlign w:val="bottom"/>
          </w:tcPr>
          <w:p w14:paraId="51A6B927" w14:textId="77777777" w:rsidR="00106ABF" w:rsidRPr="00052104" w:rsidRDefault="00106ABF" w:rsidP="003A0737">
            <w:pPr>
              <w:jc w:val="center"/>
              <w:rPr>
                <w:b/>
                <w:color w:val="auto"/>
              </w:rPr>
            </w:pPr>
            <w:r w:rsidRPr="00052104">
              <w:rPr>
                <w:b/>
                <w:color w:val="auto"/>
              </w:rPr>
              <w:t>£m</w:t>
            </w:r>
          </w:p>
        </w:tc>
        <w:tc>
          <w:tcPr>
            <w:tcW w:w="701" w:type="pct"/>
            <w:shd w:val="clear" w:color="auto" w:fill="D0CECE"/>
            <w:vAlign w:val="bottom"/>
          </w:tcPr>
          <w:p w14:paraId="0419F3C0" w14:textId="77777777" w:rsidR="00106ABF" w:rsidRPr="00052104" w:rsidRDefault="00106ABF" w:rsidP="003A0737">
            <w:pPr>
              <w:jc w:val="center"/>
              <w:rPr>
                <w:b/>
                <w:color w:val="auto"/>
              </w:rPr>
            </w:pPr>
            <w:r w:rsidRPr="00052104">
              <w:rPr>
                <w:b/>
                <w:color w:val="auto"/>
              </w:rPr>
              <w:t>£m</w:t>
            </w:r>
          </w:p>
        </w:tc>
      </w:tr>
      <w:tr w:rsidR="00106ABF" w:rsidRPr="00052104" w14:paraId="792A21E6" w14:textId="77777777" w:rsidTr="003A0737">
        <w:trPr>
          <w:trHeight w:val="369"/>
        </w:trPr>
        <w:tc>
          <w:tcPr>
            <w:tcW w:w="2553" w:type="pct"/>
            <w:shd w:val="clear" w:color="auto" w:fill="auto"/>
            <w:vAlign w:val="bottom"/>
          </w:tcPr>
          <w:p w14:paraId="4CF7B8DB" w14:textId="77777777" w:rsidR="00106ABF" w:rsidRPr="00A01D15" w:rsidRDefault="00106ABF" w:rsidP="00106ABF">
            <w:pPr>
              <w:jc w:val="left"/>
              <w:rPr>
                <w:color w:val="auto"/>
              </w:rPr>
            </w:pPr>
            <w:r>
              <w:rPr>
                <w:color w:val="auto"/>
              </w:rPr>
              <w:t>Final DSG for 2013/14 before academy recoupment</w:t>
            </w:r>
          </w:p>
        </w:tc>
        <w:tc>
          <w:tcPr>
            <w:tcW w:w="751" w:type="pct"/>
            <w:tcBorders>
              <w:bottom w:val="nil"/>
            </w:tcBorders>
            <w:vAlign w:val="bottom"/>
          </w:tcPr>
          <w:p w14:paraId="567B912F" w14:textId="77777777" w:rsidR="00106ABF" w:rsidRPr="00052104" w:rsidRDefault="00106ABF" w:rsidP="003A0737">
            <w:pPr>
              <w:tabs>
                <w:tab w:val="decimal" w:pos="787"/>
              </w:tabs>
              <w:rPr>
                <w:color w:val="auto"/>
              </w:rPr>
            </w:pPr>
            <w:r>
              <w:rPr>
                <w:color w:val="auto"/>
              </w:rPr>
              <w:t>-</w:t>
            </w:r>
          </w:p>
        </w:tc>
        <w:tc>
          <w:tcPr>
            <w:tcW w:w="995" w:type="pct"/>
            <w:tcBorders>
              <w:bottom w:val="nil"/>
            </w:tcBorders>
            <w:shd w:val="clear" w:color="auto" w:fill="auto"/>
            <w:vAlign w:val="bottom"/>
          </w:tcPr>
          <w:p w14:paraId="5D7D99EE" w14:textId="77777777" w:rsidR="00106ABF" w:rsidRPr="00052104" w:rsidRDefault="00106ABF" w:rsidP="003A0737">
            <w:pPr>
              <w:tabs>
                <w:tab w:val="decimal" w:pos="1026"/>
              </w:tabs>
              <w:rPr>
                <w:color w:val="auto"/>
              </w:rPr>
            </w:pPr>
            <w:r>
              <w:rPr>
                <w:color w:val="auto"/>
              </w:rPr>
              <w:t>-</w:t>
            </w:r>
          </w:p>
        </w:tc>
        <w:tc>
          <w:tcPr>
            <w:tcW w:w="701" w:type="pct"/>
            <w:tcBorders>
              <w:bottom w:val="nil"/>
            </w:tcBorders>
            <w:shd w:val="clear" w:color="auto" w:fill="auto"/>
            <w:vAlign w:val="bottom"/>
          </w:tcPr>
          <w:p w14:paraId="368721D8" w14:textId="77777777" w:rsidR="00106ABF" w:rsidRPr="00052104" w:rsidRDefault="00106ABF" w:rsidP="003A0737">
            <w:pPr>
              <w:tabs>
                <w:tab w:val="decimal" w:pos="744"/>
              </w:tabs>
              <w:rPr>
                <w:color w:val="auto"/>
              </w:rPr>
            </w:pPr>
            <w:r>
              <w:rPr>
                <w:color w:val="auto"/>
              </w:rPr>
              <w:t>(831.7)</w:t>
            </w:r>
          </w:p>
        </w:tc>
      </w:tr>
      <w:tr w:rsidR="00106ABF" w:rsidRPr="00052104" w14:paraId="171DF2A7" w14:textId="77777777" w:rsidTr="003A0737">
        <w:trPr>
          <w:trHeight w:val="369"/>
        </w:trPr>
        <w:tc>
          <w:tcPr>
            <w:tcW w:w="2553" w:type="pct"/>
            <w:shd w:val="clear" w:color="auto" w:fill="auto"/>
            <w:vAlign w:val="bottom"/>
          </w:tcPr>
          <w:p w14:paraId="60636ADD" w14:textId="77777777" w:rsidR="00106ABF" w:rsidRPr="00A01D15" w:rsidRDefault="00106ABF" w:rsidP="00106ABF">
            <w:pPr>
              <w:jc w:val="left"/>
              <w:rPr>
                <w:color w:val="auto"/>
              </w:rPr>
            </w:pPr>
            <w:r>
              <w:rPr>
                <w:color w:val="auto"/>
              </w:rPr>
              <w:t>Academy figure recouped for 2013/14</w:t>
            </w:r>
          </w:p>
        </w:tc>
        <w:tc>
          <w:tcPr>
            <w:tcW w:w="751" w:type="pct"/>
            <w:tcBorders>
              <w:top w:val="nil"/>
              <w:bottom w:val="single" w:sz="4" w:space="0" w:color="auto"/>
            </w:tcBorders>
            <w:vAlign w:val="bottom"/>
          </w:tcPr>
          <w:p w14:paraId="6107994B" w14:textId="77777777" w:rsidR="00106ABF" w:rsidRPr="00052104" w:rsidRDefault="00106ABF" w:rsidP="003A0737">
            <w:pPr>
              <w:tabs>
                <w:tab w:val="decimal" w:pos="787"/>
              </w:tabs>
              <w:rPr>
                <w:color w:val="auto"/>
              </w:rPr>
            </w:pPr>
            <w:r>
              <w:rPr>
                <w:color w:val="auto"/>
              </w:rPr>
              <w:t>-</w:t>
            </w:r>
          </w:p>
        </w:tc>
        <w:tc>
          <w:tcPr>
            <w:tcW w:w="995" w:type="pct"/>
            <w:tcBorders>
              <w:top w:val="nil"/>
              <w:bottom w:val="single" w:sz="4" w:space="0" w:color="auto"/>
            </w:tcBorders>
            <w:shd w:val="clear" w:color="auto" w:fill="auto"/>
            <w:vAlign w:val="bottom"/>
          </w:tcPr>
          <w:p w14:paraId="7B90B97E" w14:textId="77777777" w:rsidR="00106ABF" w:rsidRPr="00052104" w:rsidRDefault="00106ABF" w:rsidP="003A0737">
            <w:pPr>
              <w:tabs>
                <w:tab w:val="decimal" w:pos="1026"/>
              </w:tabs>
              <w:rPr>
                <w:color w:val="auto"/>
              </w:rPr>
            </w:pPr>
            <w:r>
              <w:rPr>
                <w:color w:val="auto"/>
              </w:rPr>
              <w:t>-</w:t>
            </w:r>
          </w:p>
        </w:tc>
        <w:tc>
          <w:tcPr>
            <w:tcW w:w="701" w:type="pct"/>
            <w:tcBorders>
              <w:top w:val="nil"/>
              <w:bottom w:val="single" w:sz="4" w:space="0" w:color="auto"/>
            </w:tcBorders>
            <w:shd w:val="clear" w:color="auto" w:fill="auto"/>
            <w:vAlign w:val="bottom"/>
          </w:tcPr>
          <w:p w14:paraId="7A292283" w14:textId="77777777" w:rsidR="00106ABF" w:rsidRPr="00052104" w:rsidRDefault="00106ABF" w:rsidP="003A0737">
            <w:pPr>
              <w:tabs>
                <w:tab w:val="decimal" w:pos="744"/>
              </w:tabs>
              <w:rPr>
                <w:color w:val="auto"/>
              </w:rPr>
            </w:pPr>
            <w:r>
              <w:rPr>
                <w:color w:val="auto"/>
              </w:rPr>
              <w:t>77.6</w:t>
            </w:r>
          </w:p>
        </w:tc>
      </w:tr>
      <w:tr w:rsidR="00106ABF" w:rsidRPr="00052104" w14:paraId="7DE618B8" w14:textId="77777777" w:rsidTr="003A0737">
        <w:trPr>
          <w:trHeight w:val="369"/>
        </w:trPr>
        <w:tc>
          <w:tcPr>
            <w:tcW w:w="2553" w:type="pct"/>
            <w:shd w:val="clear" w:color="auto" w:fill="auto"/>
            <w:vAlign w:val="bottom"/>
          </w:tcPr>
          <w:p w14:paraId="72F2BC45" w14:textId="77777777" w:rsidR="00106ABF" w:rsidRPr="00A01D15" w:rsidRDefault="00106ABF" w:rsidP="00106ABF">
            <w:pPr>
              <w:jc w:val="left"/>
              <w:rPr>
                <w:color w:val="auto"/>
              </w:rPr>
            </w:pPr>
            <w:r>
              <w:rPr>
                <w:color w:val="auto"/>
              </w:rPr>
              <w:t>Total DSG after Academy recoupment for 2013/14</w:t>
            </w:r>
          </w:p>
        </w:tc>
        <w:tc>
          <w:tcPr>
            <w:tcW w:w="751" w:type="pct"/>
            <w:tcBorders>
              <w:top w:val="single" w:sz="4" w:space="0" w:color="auto"/>
              <w:bottom w:val="nil"/>
            </w:tcBorders>
            <w:vAlign w:val="bottom"/>
          </w:tcPr>
          <w:p w14:paraId="652D8778" w14:textId="77777777" w:rsidR="00106ABF" w:rsidRPr="00052104" w:rsidRDefault="00106ABF" w:rsidP="003A0737">
            <w:pPr>
              <w:tabs>
                <w:tab w:val="decimal" w:pos="787"/>
              </w:tabs>
              <w:rPr>
                <w:color w:val="auto"/>
              </w:rPr>
            </w:pPr>
            <w:r>
              <w:rPr>
                <w:color w:val="auto"/>
              </w:rPr>
              <w:t>-</w:t>
            </w:r>
          </w:p>
        </w:tc>
        <w:tc>
          <w:tcPr>
            <w:tcW w:w="995" w:type="pct"/>
            <w:tcBorders>
              <w:top w:val="single" w:sz="4" w:space="0" w:color="auto"/>
              <w:bottom w:val="nil"/>
            </w:tcBorders>
            <w:shd w:val="clear" w:color="auto" w:fill="auto"/>
            <w:vAlign w:val="bottom"/>
          </w:tcPr>
          <w:p w14:paraId="1EB2EFB8" w14:textId="77777777" w:rsidR="00106ABF" w:rsidRPr="00052104" w:rsidRDefault="00106ABF" w:rsidP="003A0737">
            <w:pPr>
              <w:tabs>
                <w:tab w:val="decimal" w:pos="1026"/>
              </w:tabs>
              <w:rPr>
                <w:color w:val="auto"/>
              </w:rPr>
            </w:pPr>
            <w:r w:rsidRPr="00052104">
              <w:rPr>
                <w:color w:val="auto"/>
              </w:rPr>
              <w:t>-</w:t>
            </w:r>
          </w:p>
        </w:tc>
        <w:tc>
          <w:tcPr>
            <w:tcW w:w="701" w:type="pct"/>
            <w:tcBorders>
              <w:top w:val="single" w:sz="4" w:space="0" w:color="auto"/>
              <w:bottom w:val="nil"/>
            </w:tcBorders>
            <w:shd w:val="clear" w:color="auto" w:fill="auto"/>
            <w:vAlign w:val="bottom"/>
          </w:tcPr>
          <w:p w14:paraId="51A3399D" w14:textId="77777777" w:rsidR="00106ABF" w:rsidRPr="00052104" w:rsidRDefault="00106ABF" w:rsidP="003A0737">
            <w:pPr>
              <w:tabs>
                <w:tab w:val="decimal" w:pos="744"/>
              </w:tabs>
              <w:rPr>
                <w:color w:val="auto"/>
              </w:rPr>
            </w:pPr>
            <w:r>
              <w:rPr>
                <w:color w:val="auto"/>
              </w:rPr>
              <w:t>(754.1)</w:t>
            </w:r>
          </w:p>
        </w:tc>
      </w:tr>
      <w:tr w:rsidR="00106ABF" w:rsidRPr="00052104" w14:paraId="4F230DB7" w14:textId="77777777" w:rsidTr="003A0737">
        <w:trPr>
          <w:trHeight w:val="430"/>
        </w:trPr>
        <w:tc>
          <w:tcPr>
            <w:tcW w:w="2553" w:type="pct"/>
            <w:shd w:val="clear" w:color="auto" w:fill="auto"/>
            <w:vAlign w:val="bottom"/>
          </w:tcPr>
          <w:p w14:paraId="7F4F3F21" w14:textId="77777777" w:rsidR="00106ABF" w:rsidRPr="00A01D15" w:rsidRDefault="00106ABF" w:rsidP="00106ABF">
            <w:pPr>
              <w:jc w:val="left"/>
              <w:rPr>
                <w:color w:val="auto"/>
              </w:rPr>
            </w:pPr>
            <w:r>
              <w:rPr>
                <w:color w:val="auto"/>
              </w:rPr>
              <w:t>Brought forward from 2012/13</w:t>
            </w:r>
          </w:p>
        </w:tc>
        <w:tc>
          <w:tcPr>
            <w:tcW w:w="751" w:type="pct"/>
            <w:tcBorders>
              <w:top w:val="nil"/>
              <w:bottom w:val="single" w:sz="4" w:space="0" w:color="auto"/>
            </w:tcBorders>
            <w:vAlign w:val="bottom"/>
          </w:tcPr>
          <w:p w14:paraId="1E35D199" w14:textId="77777777" w:rsidR="00106ABF" w:rsidRPr="00052104" w:rsidRDefault="00106ABF" w:rsidP="003A0737">
            <w:pPr>
              <w:tabs>
                <w:tab w:val="decimal" w:pos="787"/>
              </w:tabs>
              <w:rPr>
                <w:color w:val="auto"/>
              </w:rPr>
            </w:pPr>
            <w:r>
              <w:rPr>
                <w:color w:val="auto"/>
              </w:rPr>
              <w:t>-</w:t>
            </w:r>
          </w:p>
        </w:tc>
        <w:tc>
          <w:tcPr>
            <w:tcW w:w="995" w:type="pct"/>
            <w:tcBorders>
              <w:top w:val="nil"/>
              <w:bottom w:val="single" w:sz="4" w:space="0" w:color="auto"/>
            </w:tcBorders>
            <w:shd w:val="clear" w:color="auto" w:fill="auto"/>
            <w:vAlign w:val="bottom"/>
          </w:tcPr>
          <w:p w14:paraId="11B690C2" w14:textId="77777777" w:rsidR="00106ABF" w:rsidRPr="00052104" w:rsidRDefault="00106ABF" w:rsidP="003A0737">
            <w:pPr>
              <w:tabs>
                <w:tab w:val="decimal" w:pos="1026"/>
              </w:tabs>
              <w:rPr>
                <w:color w:val="auto"/>
              </w:rPr>
            </w:pPr>
            <w:r w:rsidRPr="00052104">
              <w:rPr>
                <w:color w:val="auto"/>
              </w:rPr>
              <w:t>-</w:t>
            </w:r>
          </w:p>
        </w:tc>
        <w:tc>
          <w:tcPr>
            <w:tcW w:w="701" w:type="pct"/>
            <w:tcBorders>
              <w:top w:val="nil"/>
              <w:bottom w:val="single" w:sz="4" w:space="0" w:color="auto"/>
            </w:tcBorders>
            <w:shd w:val="clear" w:color="auto" w:fill="auto"/>
            <w:vAlign w:val="bottom"/>
          </w:tcPr>
          <w:p w14:paraId="23DC2278" w14:textId="77777777" w:rsidR="00106ABF" w:rsidRPr="00052104" w:rsidRDefault="00106ABF" w:rsidP="003A0737">
            <w:pPr>
              <w:tabs>
                <w:tab w:val="decimal" w:pos="744"/>
              </w:tabs>
              <w:rPr>
                <w:color w:val="auto"/>
              </w:rPr>
            </w:pPr>
            <w:r>
              <w:rPr>
                <w:color w:val="auto"/>
              </w:rPr>
              <w:t>(18.5)</w:t>
            </w:r>
          </w:p>
        </w:tc>
      </w:tr>
      <w:tr w:rsidR="00106ABF" w:rsidRPr="00052104" w14:paraId="2074C6DF" w14:textId="77777777" w:rsidTr="003A0737">
        <w:trPr>
          <w:trHeight w:val="369"/>
        </w:trPr>
        <w:tc>
          <w:tcPr>
            <w:tcW w:w="2553" w:type="pct"/>
            <w:shd w:val="clear" w:color="auto" w:fill="auto"/>
            <w:vAlign w:val="bottom"/>
          </w:tcPr>
          <w:p w14:paraId="0ED20132" w14:textId="77777777" w:rsidR="00106ABF" w:rsidRPr="00A01D15" w:rsidRDefault="00106ABF" w:rsidP="00106ABF">
            <w:pPr>
              <w:jc w:val="left"/>
              <w:rPr>
                <w:color w:val="auto"/>
              </w:rPr>
            </w:pPr>
            <w:r>
              <w:rPr>
                <w:color w:val="auto"/>
              </w:rPr>
              <w:t>Agreed initial budgeted distribution in 2013/14</w:t>
            </w:r>
          </w:p>
        </w:tc>
        <w:tc>
          <w:tcPr>
            <w:tcW w:w="751" w:type="pct"/>
            <w:tcBorders>
              <w:top w:val="single" w:sz="4" w:space="0" w:color="auto"/>
              <w:bottom w:val="single" w:sz="4" w:space="0" w:color="auto"/>
            </w:tcBorders>
            <w:vAlign w:val="bottom"/>
          </w:tcPr>
          <w:p w14:paraId="29849B3B" w14:textId="77777777" w:rsidR="00106ABF" w:rsidRPr="00052104" w:rsidRDefault="00106ABF" w:rsidP="00106ABF">
            <w:pPr>
              <w:tabs>
                <w:tab w:val="decimal" w:pos="787"/>
              </w:tabs>
              <w:rPr>
                <w:color w:val="auto"/>
              </w:rPr>
            </w:pPr>
            <w:r>
              <w:rPr>
                <w:color w:val="auto"/>
              </w:rPr>
              <w:t>(61.4)</w:t>
            </w:r>
          </w:p>
        </w:tc>
        <w:tc>
          <w:tcPr>
            <w:tcW w:w="995" w:type="pct"/>
            <w:tcBorders>
              <w:top w:val="single" w:sz="4" w:space="0" w:color="auto"/>
              <w:bottom w:val="single" w:sz="4" w:space="0" w:color="auto"/>
            </w:tcBorders>
            <w:shd w:val="clear" w:color="auto" w:fill="auto"/>
            <w:vAlign w:val="bottom"/>
          </w:tcPr>
          <w:p w14:paraId="5F43E586" w14:textId="77777777" w:rsidR="00106ABF" w:rsidRPr="00052104" w:rsidRDefault="00106ABF" w:rsidP="003A0737">
            <w:pPr>
              <w:tabs>
                <w:tab w:val="decimal" w:pos="1026"/>
              </w:tabs>
              <w:rPr>
                <w:color w:val="auto"/>
              </w:rPr>
            </w:pPr>
            <w:r>
              <w:rPr>
                <w:color w:val="auto"/>
              </w:rPr>
              <w:t>(711.2)</w:t>
            </w:r>
          </w:p>
        </w:tc>
        <w:tc>
          <w:tcPr>
            <w:tcW w:w="701" w:type="pct"/>
            <w:tcBorders>
              <w:top w:val="single" w:sz="4" w:space="0" w:color="auto"/>
              <w:bottom w:val="single" w:sz="4" w:space="0" w:color="auto"/>
            </w:tcBorders>
            <w:shd w:val="clear" w:color="auto" w:fill="auto"/>
            <w:vAlign w:val="bottom"/>
          </w:tcPr>
          <w:p w14:paraId="4AC91D45" w14:textId="77777777" w:rsidR="00106ABF" w:rsidRPr="00052104" w:rsidRDefault="00106ABF" w:rsidP="003A0737">
            <w:pPr>
              <w:tabs>
                <w:tab w:val="decimal" w:pos="744"/>
              </w:tabs>
              <w:rPr>
                <w:color w:val="auto"/>
              </w:rPr>
            </w:pPr>
            <w:r>
              <w:rPr>
                <w:color w:val="auto"/>
              </w:rPr>
              <w:t>(772.6)</w:t>
            </w:r>
          </w:p>
        </w:tc>
      </w:tr>
      <w:tr w:rsidR="00106ABF" w:rsidRPr="00052104" w14:paraId="52BDA799" w14:textId="77777777" w:rsidTr="003A0737">
        <w:trPr>
          <w:trHeight w:val="369"/>
        </w:trPr>
        <w:tc>
          <w:tcPr>
            <w:tcW w:w="2553" w:type="pct"/>
            <w:shd w:val="clear" w:color="auto" w:fill="auto"/>
            <w:vAlign w:val="bottom"/>
          </w:tcPr>
          <w:p w14:paraId="3AFE1495" w14:textId="77777777" w:rsidR="00106ABF" w:rsidRPr="00A01D15" w:rsidRDefault="00106ABF" w:rsidP="00106ABF">
            <w:pPr>
              <w:jc w:val="left"/>
              <w:rPr>
                <w:color w:val="auto"/>
              </w:rPr>
            </w:pPr>
            <w:r>
              <w:rPr>
                <w:color w:val="auto"/>
              </w:rPr>
              <w:t>Final budgeted distribution for 2013/14</w:t>
            </w:r>
          </w:p>
        </w:tc>
        <w:tc>
          <w:tcPr>
            <w:tcW w:w="751" w:type="pct"/>
            <w:tcBorders>
              <w:top w:val="single" w:sz="4" w:space="0" w:color="auto"/>
              <w:bottom w:val="single" w:sz="4" w:space="0" w:color="auto"/>
            </w:tcBorders>
            <w:vAlign w:val="bottom"/>
          </w:tcPr>
          <w:p w14:paraId="40685B1D" w14:textId="77777777" w:rsidR="00106ABF" w:rsidRPr="00A01D15" w:rsidRDefault="00106ABF" w:rsidP="003A0737">
            <w:pPr>
              <w:tabs>
                <w:tab w:val="decimal" w:pos="787"/>
              </w:tabs>
              <w:rPr>
                <w:color w:val="auto"/>
              </w:rPr>
            </w:pPr>
            <w:r>
              <w:rPr>
                <w:color w:val="auto"/>
              </w:rPr>
              <w:t>(61.4)</w:t>
            </w:r>
          </w:p>
        </w:tc>
        <w:tc>
          <w:tcPr>
            <w:tcW w:w="995" w:type="pct"/>
            <w:tcBorders>
              <w:top w:val="single" w:sz="4" w:space="0" w:color="auto"/>
              <w:bottom w:val="single" w:sz="4" w:space="0" w:color="auto"/>
            </w:tcBorders>
            <w:shd w:val="clear" w:color="auto" w:fill="auto"/>
            <w:vAlign w:val="bottom"/>
          </w:tcPr>
          <w:p w14:paraId="7E7C5035" w14:textId="77777777" w:rsidR="00106ABF" w:rsidRPr="00A01D15" w:rsidRDefault="00106ABF" w:rsidP="003A0737">
            <w:pPr>
              <w:tabs>
                <w:tab w:val="decimal" w:pos="1026"/>
              </w:tabs>
              <w:rPr>
                <w:color w:val="auto"/>
              </w:rPr>
            </w:pPr>
            <w:r>
              <w:rPr>
                <w:color w:val="auto"/>
              </w:rPr>
              <w:t>(711.2)</w:t>
            </w:r>
          </w:p>
        </w:tc>
        <w:tc>
          <w:tcPr>
            <w:tcW w:w="701" w:type="pct"/>
            <w:tcBorders>
              <w:top w:val="single" w:sz="4" w:space="0" w:color="auto"/>
              <w:bottom w:val="single" w:sz="4" w:space="0" w:color="auto"/>
            </w:tcBorders>
            <w:shd w:val="clear" w:color="auto" w:fill="auto"/>
            <w:vAlign w:val="bottom"/>
          </w:tcPr>
          <w:p w14:paraId="021DF7F2" w14:textId="77777777" w:rsidR="00106ABF" w:rsidRPr="00A01D15" w:rsidRDefault="00106ABF" w:rsidP="003A0737">
            <w:pPr>
              <w:tabs>
                <w:tab w:val="decimal" w:pos="744"/>
              </w:tabs>
              <w:rPr>
                <w:color w:val="auto"/>
              </w:rPr>
            </w:pPr>
            <w:r>
              <w:rPr>
                <w:color w:val="auto"/>
              </w:rPr>
              <w:t>(772.6)</w:t>
            </w:r>
          </w:p>
        </w:tc>
      </w:tr>
      <w:tr w:rsidR="00106ABF" w:rsidRPr="00A01D15" w14:paraId="24F2174E" w14:textId="77777777" w:rsidTr="003A0737">
        <w:trPr>
          <w:trHeight w:val="369"/>
        </w:trPr>
        <w:tc>
          <w:tcPr>
            <w:tcW w:w="2553" w:type="pct"/>
            <w:shd w:val="clear" w:color="auto" w:fill="auto"/>
            <w:vAlign w:val="bottom"/>
          </w:tcPr>
          <w:p w14:paraId="50D38AA0" w14:textId="25F177CA" w:rsidR="00106ABF" w:rsidRPr="00A01D15" w:rsidRDefault="00106ABF" w:rsidP="003A0737">
            <w:pPr>
              <w:jc w:val="left"/>
              <w:rPr>
                <w:color w:val="auto"/>
              </w:rPr>
            </w:pPr>
            <w:r w:rsidRPr="00A01D15">
              <w:rPr>
                <w:color w:val="auto"/>
              </w:rPr>
              <w:t>Less</w:t>
            </w:r>
            <w:r w:rsidR="00BD7E7E">
              <w:rPr>
                <w:color w:val="auto"/>
              </w:rPr>
              <w:t>:</w:t>
            </w:r>
            <w:r w:rsidRPr="00A01D15">
              <w:rPr>
                <w:color w:val="auto"/>
              </w:rPr>
              <w:t xml:space="preserve"> </w:t>
            </w:r>
            <w:r w:rsidR="00BD7E7E">
              <w:rPr>
                <w:color w:val="auto"/>
              </w:rPr>
              <w:t>A</w:t>
            </w:r>
            <w:r w:rsidRPr="00A01D15">
              <w:rPr>
                <w:color w:val="auto"/>
              </w:rPr>
              <w:t>ctual central expenditure</w:t>
            </w:r>
          </w:p>
        </w:tc>
        <w:tc>
          <w:tcPr>
            <w:tcW w:w="751" w:type="pct"/>
            <w:tcBorders>
              <w:top w:val="single" w:sz="4" w:space="0" w:color="auto"/>
              <w:bottom w:val="nil"/>
            </w:tcBorders>
            <w:vAlign w:val="bottom"/>
          </w:tcPr>
          <w:p w14:paraId="5E79F823" w14:textId="77777777" w:rsidR="00106ABF" w:rsidRPr="00A01D15" w:rsidRDefault="00106ABF" w:rsidP="003A0737">
            <w:pPr>
              <w:tabs>
                <w:tab w:val="decimal" w:pos="787"/>
              </w:tabs>
              <w:rPr>
                <w:color w:val="auto"/>
              </w:rPr>
            </w:pPr>
            <w:r>
              <w:rPr>
                <w:color w:val="auto"/>
              </w:rPr>
              <w:t>38.5</w:t>
            </w:r>
          </w:p>
        </w:tc>
        <w:tc>
          <w:tcPr>
            <w:tcW w:w="995" w:type="pct"/>
            <w:tcBorders>
              <w:top w:val="single" w:sz="4" w:space="0" w:color="auto"/>
              <w:bottom w:val="nil"/>
            </w:tcBorders>
            <w:shd w:val="clear" w:color="auto" w:fill="auto"/>
            <w:vAlign w:val="bottom"/>
          </w:tcPr>
          <w:p w14:paraId="083132A8" w14:textId="77777777" w:rsidR="00106ABF" w:rsidRPr="00A01D15" w:rsidRDefault="00106ABF" w:rsidP="003A0737">
            <w:pPr>
              <w:tabs>
                <w:tab w:val="decimal" w:pos="1026"/>
              </w:tabs>
              <w:rPr>
                <w:color w:val="auto"/>
              </w:rPr>
            </w:pPr>
            <w:r>
              <w:rPr>
                <w:color w:val="auto"/>
              </w:rPr>
              <w:t>-</w:t>
            </w:r>
          </w:p>
        </w:tc>
        <w:tc>
          <w:tcPr>
            <w:tcW w:w="701" w:type="pct"/>
            <w:tcBorders>
              <w:top w:val="single" w:sz="4" w:space="0" w:color="auto"/>
              <w:bottom w:val="nil"/>
            </w:tcBorders>
            <w:shd w:val="clear" w:color="auto" w:fill="auto"/>
            <w:vAlign w:val="bottom"/>
          </w:tcPr>
          <w:p w14:paraId="627105A3" w14:textId="77777777" w:rsidR="00106ABF" w:rsidRPr="00A01D15" w:rsidRDefault="00106ABF" w:rsidP="003A0737">
            <w:pPr>
              <w:tabs>
                <w:tab w:val="decimal" w:pos="744"/>
              </w:tabs>
              <w:rPr>
                <w:color w:val="auto"/>
              </w:rPr>
            </w:pPr>
            <w:r>
              <w:rPr>
                <w:color w:val="auto"/>
              </w:rPr>
              <w:t>38.5</w:t>
            </w:r>
          </w:p>
        </w:tc>
      </w:tr>
      <w:tr w:rsidR="00106ABF" w:rsidRPr="00A01D15" w14:paraId="5CF52EA9" w14:textId="77777777" w:rsidTr="003A0737">
        <w:trPr>
          <w:trHeight w:val="369"/>
        </w:trPr>
        <w:tc>
          <w:tcPr>
            <w:tcW w:w="2553" w:type="pct"/>
            <w:shd w:val="clear" w:color="auto" w:fill="auto"/>
            <w:vAlign w:val="bottom"/>
          </w:tcPr>
          <w:p w14:paraId="7674E40C" w14:textId="3B8D4F6F" w:rsidR="00106ABF" w:rsidRPr="00A01D15" w:rsidRDefault="00106ABF" w:rsidP="003A0737">
            <w:pPr>
              <w:jc w:val="left"/>
              <w:rPr>
                <w:color w:val="auto"/>
              </w:rPr>
            </w:pPr>
            <w:r w:rsidRPr="00A01D15">
              <w:rPr>
                <w:color w:val="auto"/>
              </w:rPr>
              <w:t>Less</w:t>
            </w:r>
            <w:r w:rsidR="00BD7E7E">
              <w:rPr>
                <w:color w:val="auto"/>
              </w:rPr>
              <w:t>:</w:t>
            </w:r>
            <w:r w:rsidRPr="00A01D15">
              <w:rPr>
                <w:color w:val="auto"/>
              </w:rPr>
              <w:t xml:space="preserve"> </w:t>
            </w:r>
            <w:r w:rsidR="00BD7E7E">
              <w:rPr>
                <w:color w:val="auto"/>
              </w:rPr>
              <w:t>A</w:t>
            </w:r>
            <w:r w:rsidRPr="00A01D15">
              <w:rPr>
                <w:color w:val="auto"/>
              </w:rPr>
              <w:t>ctual ISB deployed to schools</w:t>
            </w:r>
          </w:p>
        </w:tc>
        <w:tc>
          <w:tcPr>
            <w:tcW w:w="751" w:type="pct"/>
            <w:tcBorders>
              <w:top w:val="nil"/>
              <w:bottom w:val="single" w:sz="4" w:space="0" w:color="auto"/>
            </w:tcBorders>
            <w:vAlign w:val="bottom"/>
          </w:tcPr>
          <w:p w14:paraId="7D5DA2F5" w14:textId="77777777" w:rsidR="00106ABF" w:rsidRPr="00A01D15" w:rsidRDefault="00106ABF" w:rsidP="003A0737">
            <w:pPr>
              <w:tabs>
                <w:tab w:val="decimal" w:pos="787"/>
              </w:tabs>
              <w:rPr>
                <w:color w:val="auto"/>
              </w:rPr>
            </w:pPr>
            <w:r>
              <w:rPr>
                <w:color w:val="auto"/>
              </w:rPr>
              <w:t>-</w:t>
            </w:r>
          </w:p>
        </w:tc>
        <w:tc>
          <w:tcPr>
            <w:tcW w:w="995" w:type="pct"/>
            <w:tcBorders>
              <w:top w:val="nil"/>
              <w:bottom w:val="single" w:sz="4" w:space="0" w:color="auto"/>
            </w:tcBorders>
            <w:shd w:val="clear" w:color="auto" w:fill="auto"/>
            <w:vAlign w:val="bottom"/>
          </w:tcPr>
          <w:p w14:paraId="0C4181ED" w14:textId="77777777" w:rsidR="00106ABF" w:rsidRPr="00A01D15" w:rsidRDefault="00106ABF" w:rsidP="003A0737">
            <w:pPr>
              <w:tabs>
                <w:tab w:val="decimal" w:pos="1026"/>
              </w:tabs>
              <w:rPr>
                <w:color w:val="auto"/>
              </w:rPr>
            </w:pPr>
            <w:r>
              <w:rPr>
                <w:color w:val="auto"/>
              </w:rPr>
              <w:t>711.2</w:t>
            </w:r>
          </w:p>
        </w:tc>
        <w:tc>
          <w:tcPr>
            <w:tcW w:w="701" w:type="pct"/>
            <w:tcBorders>
              <w:top w:val="nil"/>
              <w:bottom w:val="single" w:sz="4" w:space="0" w:color="auto"/>
            </w:tcBorders>
            <w:shd w:val="clear" w:color="auto" w:fill="auto"/>
            <w:vAlign w:val="bottom"/>
          </w:tcPr>
          <w:p w14:paraId="48220A62" w14:textId="77777777" w:rsidR="00106ABF" w:rsidRPr="00A01D15" w:rsidRDefault="00106ABF" w:rsidP="003A0737">
            <w:pPr>
              <w:tabs>
                <w:tab w:val="decimal" w:pos="744"/>
              </w:tabs>
              <w:rPr>
                <w:color w:val="auto"/>
              </w:rPr>
            </w:pPr>
            <w:r>
              <w:rPr>
                <w:color w:val="auto"/>
              </w:rPr>
              <w:t>711.2</w:t>
            </w:r>
          </w:p>
        </w:tc>
      </w:tr>
      <w:tr w:rsidR="00106ABF" w:rsidRPr="00052104" w14:paraId="593A4577" w14:textId="77777777" w:rsidTr="003A0737">
        <w:trPr>
          <w:trHeight w:val="369"/>
        </w:trPr>
        <w:tc>
          <w:tcPr>
            <w:tcW w:w="2553" w:type="pct"/>
            <w:shd w:val="clear" w:color="auto" w:fill="auto"/>
            <w:vAlign w:val="bottom"/>
          </w:tcPr>
          <w:p w14:paraId="450BFA29" w14:textId="77777777" w:rsidR="00106ABF" w:rsidRPr="007C02E2" w:rsidRDefault="00106ABF" w:rsidP="00106ABF">
            <w:pPr>
              <w:jc w:val="left"/>
              <w:rPr>
                <w:b/>
                <w:color w:val="auto"/>
              </w:rPr>
            </w:pPr>
            <w:r>
              <w:rPr>
                <w:b/>
                <w:color w:val="auto"/>
              </w:rPr>
              <w:t>Carry forward to 2014/15</w:t>
            </w:r>
          </w:p>
        </w:tc>
        <w:tc>
          <w:tcPr>
            <w:tcW w:w="751" w:type="pct"/>
            <w:tcBorders>
              <w:top w:val="single" w:sz="4" w:space="0" w:color="auto"/>
            </w:tcBorders>
            <w:vAlign w:val="bottom"/>
          </w:tcPr>
          <w:p w14:paraId="7788DEE4" w14:textId="77777777" w:rsidR="00106ABF" w:rsidRPr="00CE093C" w:rsidRDefault="00106ABF" w:rsidP="003A0737">
            <w:pPr>
              <w:tabs>
                <w:tab w:val="decimal" w:pos="787"/>
              </w:tabs>
              <w:rPr>
                <w:b/>
                <w:color w:val="auto"/>
              </w:rPr>
            </w:pPr>
            <w:r>
              <w:rPr>
                <w:b/>
                <w:color w:val="auto"/>
              </w:rPr>
              <w:t>(22.9)</w:t>
            </w:r>
          </w:p>
        </w:tc>
        <w:tc>
          <w:tcPr>
            <w:tcW w:w="995" w:type="pct"/>
            <w:tcBorders>
              <w:top w:val="single" w:sz="4" w:space="0" w:color="auto"/>
              <w:bottom w:val="single" w:sz="4" w:space="0" w:color="auto"/>
            </w:tcBorders>
            <w:shd w:val="clear" w:color="auto" w:fill="auto"/>
            <w:vAlign w:val="bottom"/>
          </w:tcPr>
          <w:p w14:paraId="58DBD586" w14:textId="77777777" w:rsidR="00106ABF" w:rsidRPr="00CE093C" w:rsidRDefault="00106ABF" w:rsidP="003A0737">
            <w:pPr>
              <w:tabs>
                <w:tab w:val="decimal" w:pos="1026"/>
              </w:tabs>
              <w:rPr>
                <w:b/>
                <w:color w:val="auto"/>
              </w:rPr>
            </w:pPr>
            <w:r>
              <w:rPr>
                <w:b/>
                <w:color w:val="auto"/>
              </w:rPr>
              <w:t>-</w:t>
            </w:r>
          </w:p>
        </w:tc>
        <w:tc>
          <w:tcPr>
            <w:tcW w:w="701" w:type="pct"/>
            <w:tcBorders>
              <w:top w:val="single" w:sz="4" w:space="0" w:color="auto"/>
              <w:bottom w:val="single" w:sz="4" w:space="0" w:color="auto"/>
            </w:tcBorders>
            <w:shd w:val="clear" w:color="auto" w:fill="auto"/>
            <w:vAlign w:val="bottom"/>
          </w:tcPr>
          <w:p w14:paraId="049B69E6" w14:textId="77777777" w:rsidR="00106ABF" w:rsidRPr="00CE093C" w:rsidRDefault="00106ABF" w:rsidP="003A0737">
            <w:pPr>
              <w:tabs>
                <w:tab w:val="decimal" w:pos="744"/>
              </w:tabs>
              <w:rPr>
                <w:b/>
                <w:color w:val="auto"/>
              </w:rPr>
            </w:pPr>
            <w:r>
              <w:rPr>
                <w:b/>
                <w:color w:val="auto"/>
              </w:rPr>
              <w:t>(22.9)</w:t>
            </w:r>
          </w:p>
        </w:tc>
      </w:tr>
    </w:tbl>
    <w:p w14:paraId="2E685067" w14:textId="77777777" w:rsidR="00B9298C" w:rsidRDefault="00B9298C" w:rsidP="00A87041">
      <w:pPr>
        <w:pStyle w:val="Heading2"/>
      </w:pPr>
    </w:p>
    <w:p w14:paraId="542FBE24" w14:textId="2E54A771" w:rsidR="00A87041" w:rsidRPr="00A06955" w:rsidRDefault="00246A2C" w:rsidP="00A87041">
      <w:pPr>
        <w:pStyle w:val="Heading2"/>
      </w:pPr>
      <w:r>
        <w:t>15. Pooled b</w:t>
      </w:r>
      <w:r w:rsidR="00A87041" w:rsidRPr="00A06955">
        <w:t>udgets</w:t>
      </w:r>
    </w:p>
    <w:p w14:paraId="469E3E79" w14:textId="1C7A6984" w:rsidR="00A87041" w:rsidRPr="00A06955" w:rsidRDefault="00A87041" w:rsidP="00A87041">
      <w:pPr>
        <w:rPr>
          <w:lang w:eastAsia="en-GB"/>
        </w:rPr>
      </w:pPr>
      <w:r w:rsidRPr="00A06955">
        <w:rPr>
          <w:lang w:eastAsia="en-GB"/>
        </w:rPr>
        <w:t>Councils and Clinical Commissioning Groups (CCGs) are allowed to pool funds for a particular service or initiative. We contribute to several pooled funds as described below:</w:t>
      </w:r>
    </w:p>
    <w:p w14:paraId="3FCF882A" w14:textId="65E01191" w:rsidR="00A87041" w:rsidRPr="009D7933" w:rsidRDefault="00A87041" w:rsidP="00A87041">
      <w:pPr>
        <w:rPr>
          <w:lang w:eastAsia="en-GB"/>
        </w:rPr>
      </w:pPr>
      <w:r w:rsidRPr="00A06955">
        <w:rPr>
          <w:lang w:eastAsia="en-GB"/>
        </w:rPr>
        <w:t>Three Pooled Funds exist: 1. East Lanc</w:t>
      </w:r>
      <w:r w:rsidR="007B39CC" w:rsidRPr="00A06955">
        <w:rPr>
          <w:lang w:eastAsia="en-GB"/>
        </w:rPr>
        <w:t>ashire</w:t>
      </w:r>
      <w:r w:rsidRPr="00A06955">
        <w:rPr>
          <w:lang w:eastAsia="en-GB"/>
        </w:rPr>
        <w:t xml:space="preserve"> CCG with LCC. 2. Chorley South Ribble</w:t>
      </w:r>
      <w:r w:rsidR="007B39CC" w:rsidRPr="00A06955">
        <w:rPr>
          <w:lang w:eastAsia="en-GB"/>
        </w:rPr>
        <w:t xml:space="preserve"> </w:t>
      </w:r>
      <w:r w:rsidRPr="00A06955">
        <w:rPr>
          <w:lang w:eastAsia="en-GB"/>
        </w:rPr>
        <w:t>CCG, Preston CCG, and West Lanc</w:t>
      </w:r>
      <w:r w:rsidR="007B39CC" w:rsidRPr="00A06955">
        <w:rPr>
          <w:lang w:eastAsia="en-GB"/>
        </w:rPr>
        <w:t>ashire</w:t>
      </w:r>
      <w:r w:rsidRPr="00A06955">
        <w:rPr>
          <w:lang w:eastAsia="en-GB"/>
        </w:rPr>
        <w:t xml:space="preserve"> CCG grouped together with LCC. 3. North Lanc</w:t>
      </w:r>
      <w:r w:rsidR="007B39CC" w:rsidRPr="00A06955">
        <w:rPr>
          <w:lang w:eastAsia="en-GB"/>
        </w:rPr>
        <w:t>a</w:t>
      </w:r>
      <w:r w:rsidRPr="00A06955">
        <w:rPr>
          <w:lang w:eastAsia="en-GB"/>
        </w:rPr>
        <w:t>s</w:t>
      </w:r>
      <w:r w:rsidR="007B39CC" w:rsidRPr="00A06955">
        <w:rPr>
          <w:lang w:eastAsia="en-GB"/>
        </w:rPr>
        <w:t>hire</w:t>
      </w:r>
      <w:r w:rsidRPr="00A06955">
        <w:rPr>
          <w:lang w:eastAsia="en-GB"/>
        </w:rPr>
        <w:t xml:space="preserve"> CCG, Fylde &amp; Wyre CCG, Blackpool CCG and G</w:t>
      </w:r>
      <w:r w:rsidR="007B39CC" w:rsidRPr="00A06955">
        <w:rPr>
          <w:lang w:eastAsia="en-GB"/>
        </w:rPr>
        <w:t>rea</w:t>
      </w:r>
      <w:r w:rsidRPr="00A06955">
        <w:rPr>
          <w:lang w:eastAsia="en-GB"/>
        </w:rPr>
        <w:t>t</w:t>
      </w:r>
      <w:r w:rsidR="007B39CC" w:rsidRPr="00A06955">
        <w:rPr>
          <w:lang w:eastAsia="en-GB"/>
        </w:rPr>
        <w:t>e</w:t>
      </w:r>
      <w:r w:rsidRPr="00A06955">
        <w:rPr>
          <w:lang w:eastAsia="en-GB"/>
        </w:rPr>
        <w:t xml:space="preserve">r Preston CCG grouped together with LCC. </w:t>
      </w:r>
      <w:r w:rsidR="007B39CC" w:rsidRPr="00A06955">
        <w:rPr>
          <w:lang w:eastAsia="en-GB"/>
        </w:rPr>
        <w:t xml:space="preserve"> </w:t>
      </w:r>
      <w:r w:rsidRPr="00A06955">
        <w:rPr>
          <w:lang w:eastAsia="en-GB"/>
        </w:rPr>
        <w:t>All exist for the integrated commissioning of services for adults with learning disabilities.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A87041" w:rsidRPr="004B5121" w14:paraId="28DDDC9C" w14:textId="77777777" w:rsidTr="00A06955">
        <w:trPr>
          <w:trHeight w:val="369"/>
          <w:tblHeader/>
        </w:trPr>
        <w:tc>
          <w:tcPr>
            <w:tcW w:w="3105" w:type="pct"/>
            <w:shd w:val="clear" w:color="auto" w:fill="D0CECE"/>
            <w:vAlign w:val="bottom"/>
          </w:tcPr>
          <w:p w14:paraId="17A795CB" w14:textId="77777777" w:rsidR="00A87041" w:rsidRPr="00A06955" w:rsidRDefault="00A87041" w:rsidP="003A0737">
            <w:pPr>
              <w:jc w:val="left"/>
              <w:rPr>
                <w:color w:val="auto"/>
              </w:rPr>
            </w:pPr>
          </w:p>
        </w:tc>
        <w:tc>
          <w:tcPr>
            <w:tcW w:w="929" w:type="pct"/>
            <w:shd w:val="clear" w:color="auto" w:fill="D0CECE"/>
            <w:vAlign w:val="bottom"/>
          </w:tcPr>
          <w:p w14:paraId="132A3AC1" w14:textId="77777777" w:rsidR="00A87041" w:rsidRPr="00A06955" w:rsidRDefault="00A87041" w:rsidP="003A0737">
            <w:pPr>
              <w:jc w:val="center"/>
              <w:rPr>
                <w:b/>
                <w:color w:val="auto"/>
              </w:rPr>
            </w:pPr>
            <w:r w:rsidRPr="00A06955">
              <w:rPr>
                <w:b/>
                <w:color w:val="auto"/>
              </w:rPr>
              <w:t>2014/15</w:t>
            </w:r>
          </w:p>
        </w:tc>
        <w:tc>
          <w:tcPr>
            <w:tcW w:w="966" w:type="pct"/>
            <w:shd w:val="clear" w:color="auto" w:fill="D0CECE"/>
            <w:vAlign w:val="bottom"/>
          </w:tcPr>
          <w:p w14:paraId="561CC5D2" w14:textId="77777777" w:rsidR="00A87041" w:rsidRPr="009D7933" w:rsidRDefault="00A87041" w:rsidP="003A0737">
            <w:pPr>
              <w:jc w:val="center"/>
              <w:rPr>
                <w:b/>
                <w:color w:val="auto"/>
              </w:rPr>
            </w:pPr>
            <w:r w:rsidRPr="009D7933">
              <w:rPr>
                <w:b/>
                <w:color w:val="auto"/>
              </w:rPr>
              <w:t>2013/14</w:t>
            </w:r>
          </w:p>
        </w:tc>
      </w:tr>
      <w:tr w:rsidR="00A87041" w:rsidRPr="004B5121" w14:paraId="0FD3D28A" w14:textId="77777777" w:rsidTr="00A06955">
        <w:trPr>
          <w:trHeight w:val="369"/>
          <w:tblHeader/>
        </w:trPr>
        <w:tc>
          <w:tcPr>
            <w:tcW w:w="3105" w:type="pct"/>
            <w:shd w:val="clear" w:color="auto" w:fill="D0CECE"/>
            <w:vAlign w:val="bottom"/>
          </w:tcPr>
          <w:p w14:paraId="626525E9" w14:textId="77777777" w:rsidR="00A87041" w:rsidRPr="00A06955" w:rsidRDefault="00A87041" w:rsidP="003A0737">
            <w:pPr>
              <w:jc w:val="left"/>
              <w:rPr>
                <w:color w:val="auto"/>
              </w:rPr>
            </w:pPr>
          </w:p>
        </w:tc>
        <w:tc>
          <w:tcPr>
            <w:tcW w:w="929" w:type="pct"/>
            <w:shd w:val="clear" w:color="auto" w:fill="D0CECE"/>
            <w:vAlign w:val="bottom"/>
          </w:tcPr>
          <w:p w14:paraId="5D6C424B" w14:textId="77777777" w:rsidR="00A87041" w:rsidRPr="00A06955" w:rsidRDefault="00A87041" w:rsidP="003A0737">
            <w:pPr>
              <w:jc w:val="center"/>
              <w:rPr>
                <w:b/>
                <w:color w:val="auto"/>
              </w:rPr>
            </w:pPr>
            <w:r w:rsidRPr="00A06955">
              <w:rPr>
                <w:b/>
                <w:color w:val="auto"/>
              </w:rPr>
              <w:t>£m</w:t>
            </w:r>
          </w:p>
        </w:tc>
        <w:tc>
          <w:tcPr>
            <w:tcW w:w="966" w:type="pct"/>
            <w:shd w:val="clear" w:color="auto" w:fill="D0CECE"/>
            <w:vAlign w:val="bottom"/>
          </w:tcPr>
          <w:p w14:paraId="1D38319B" w14:textId="77777777" w:rsidR="00A87041" w:rsidRPr="009D7933" w:rsidRDefault="00A87041" w:rsidP="003A0737">
            <w:pPr>
              <w:jc w:val="center"/>
              <w:rPr>
                <w:b/>
                <w:color w:val="auto"/>
              </w:rPr>
            </w:pPr>
            <w:r w:rsidRPr="009D7933">
              <w:rPr>
                <w:b/>
                <w:color w:val="auto"/>
              </w:rPr>
              <w:t>£m</w:t>
            </w:r>
          </w:p>
        </w:tc>
      </w:tr>
      <w:tr w:rsidR="00A87041" w:rsidRPr="004B5121" w14:paraId="07215BC5" w14:textId="77777777" w:rsidTr="003A0737">
        <w:trPr>
          <w:trHeight w:val="369"/>
        </w:trPr>
        <w:tc>
          <w:tcPr>
            <w:tcW w:w="3105" w:type="pct"/>
            <w:shd w:val="clear" w:color="auto" w:fill="auto"/>
            <w:vAlign w:val="bottom"/>
          </w:tcPr>
          <w:p w14:paraId="4C40B9B2" w14:textId="77777777" w:rsidR="00A87041" w:rsidRPr="00A06955" w:rsidRDefault="00A87041" w:rsidP="003A0737">
            <w:pPr>
              <w:jc w:val="left"/>
              <w:rPr>
                <w:b/>
                <w:color w:val="auto"/>
              </w:rPr>
            </w:pPr>
            <w:r w:rsidRPr="00A06955">
              <w:rPr>
                <w:b/>
                <w:color w:val="auto"/>
              </w:rPr>
              <w:t>Funding provided to the Pooled Budget</w:t>
            </w:r>
          </w:p>
        </w:tc>
        <w:tc>
          <w:tcPr>
            <w:tcW w:w="929" w:type="pct"/>
            <w:tcBorders>
              <w:bottom w:val="nil"/>
            </w:tcBorders>
            <w:shd w:val="clear" w:color="auto" w:fill="auto"/>
            <w:vAlign w:val="bottom"/>
          </w:tcPr>
          <w:p w14:paraId="6A20B907" w14:textId="77777777" w:rsidR="00A87041" w:rsidRPr="00A06955" w:rsidRDefault="00A87041" w:rsidP="003A0737">
            <w:pPr>
              <w:tabs>
                <w:tab w:val="decimal" w:pos="1026"/>
              </w:tabs>
              <w:rPr>
                <w:b/>
                <w:color w:val="auto"/>
              </w:rPr>
            </w:pPr>
          </w:p>
        </w:tc>
        <w:tc>
          <w:tcPr>
            <w:tcW w:w="966" w:type="pct"/>
            <w:tcBorders>
              <w:bottom w:val="nil"/>
            </w:tcBorders>
            <w:shd w:val="clear" w:color="auto" w:fill="auto"/>
            <w:vAlign w:val="bottom"/>
          </w:tcPr>
          <w:p w14:paraId="046739CF" w14:textId="77777777" w:rsidR="00A87041" w:rsidRPr="009D7933" w:rsidRDefault="00A87041" w:rsidP="003A0737">
            <w:pPr>
              <w:tabs>
                <w:tab w:val="decimal" w:pos="1026"/>
              </w:tabs>
              <w:rPr>
                <w:b/>
                <w:color w:val="auto"/>
              </w:rPr>
            </w:pPr>
          </w:p>
        </w:tc>
      </w:tr>
      <w:tr w:rsidR="00A87041" w:rsidRPr="004B5121" w14:paraId="79B662BE" w14:textId="77777777" w:rsidTr="003A0737">
        <w:trPr>
          <w:trHeight w:val="369"/>
        </w:trPr>
        <w:tc>
          <w:tcPr>
            <w:tcW w:w="3105" w:type="pct"/>
            <w:shd w:val="clear" w:color="auto" w:fill="auto"/>
            <w:vAlign w:val="bottom"/>
          </w:tcPr>
          <w:p w14:paraId="25CA566E" w14:textId="77777777" w:rsidR="00A87041" w:rsidRPr="00A06955" w:rsidRDefault="00185CA5" w:rsidP="003A0737">
            <w:pPr>
              <w:jc w:val="left"/>
              <w:rPr>
                <w:color w:val="auto"/>
              </w:rPr>
            </w:pPr>
            <w:r w:rsidRPr="00A06955">
              <w:rPr>
                <w:color w:val="auto"/>
              </w:rPr>
              <w:t>The council</w:t>
            </w:r>
          </w:p>
        </w:tc>
        <w:tc>
          <w:tcPr>
            <w:tcW w:w="929" w:type="pct"/>
            <w:tcBorders>
              <w:bottom w:val="nil"/>
            </w:tcBorders>
            <w:shd w:val="clear" w:color="auto" w:fill="auto"/>
            <w:vAlign w:val="bottom"/>
          </w:tcPr>
          <w:p w14:paraId="5E6286D6" w14:textId="59A8B6D0" w:rsidR="00A87041" w:rsidRPr="00A06955" w:rsidRDefault="009716DC" w:rsidP="003A0737">
            <w:pPr>
              <w:tabs>
                <w:tab w:val="decimal" w:pos="1026"/>
              </w:tabs>
              <w:rPr>
                <w:color w:val="auto"/>
              </w:rPr>
            </w:pPr>
            <w:r>
              <w:rPr>
                <w:color w:val="auto"/>
              </w:rPr>
              <w:t>(</w:t>
            </w:r>
            <w:r w:rsidR="009F727E" w:rsidRPr="00A06955">
              <w:rPr>
                <w:color w:val="auto"/>
              </w:rPr>
              <w:t>1</w:t>
            </w:r>
            <w:r w:rsidR="00F410F6">
              <w:rPr>
                <w:color w:val="auto"/>
              </w:rPr>
              <w:t>05.3</w:t>
            </w:r>
            <w:r>
              <w:rPr>
                <w:color w:val="auto"/>
              </w:rPr>
              <w:t>)</w:t>
            </w:r>
          </w:p>
        </w:tc>
        <w:tc>
          <w:tcPr>
            <w:tcW w:w="966" w:type="pct"/>
            <w:tcBorders>
              <w:bottom w:val="nil"/>
            </w:tcBorders>
            <w:shd w:val="clear" w:color="auto" w:fill="auto"/>
            <w:vAlign w:val="bottom"/>
          </w:tcPr>
          <w:p w14:paraId="04DBA786" w14:textId="0EEE450B" w:rsidR="00A87041" w:rsidRPr="009D7933" w:rsidRDefault="009716DC" w:rsidP="003A0737">
            <w:pPr>
              <w:tabs>
                <w:tab w:val="decimal" w:pos="1026"/>
              </w:tabs>
              <w:rPr>
                <w:color w:val="auto"/>
              </w:rPr>
            </w:pPr>
            <w:r>
              <w:rPr>
                <w:color w:val="auto"/>
              </w:rPr>
              <w:t>(</w:t>
            </w:r>
            <w:r w:rsidR="00185CA5" w:rsidRPr="009D7933">
              <w:rPr>
                <w:color w:val="auto"/>
              </w:rPr>
              <w:t>105.3</w:t>
            </w:r>
            <w:r>
              <w:rPr>
                <w:color w:val="auto"/>
              </w:rPr>
              <w:t>)</w:t>
            </w:r>
          </w:p>
        </w:tc>
      </w:tr>
      <w:tr w:rsidR="00A87041" w:rsidRPr="004B5121" w14:paraId="624B9695" w14:textId="77777777" w:rsidTr="003A0737">
        <w:trPr>
          <w:trHeight w:val="369"/>
        </w:trPr>
        <w:tc>
          <w:tcPr>
            <w:tcW w:w="3105" w:type="pct"/>
            <w:shd w:val="clear" w:color="auto" w:fill="auto"/>
            <w:vAlign w:val="bottom"/>
          </w:tcPr>
          <w:p w14:paraId="64F71386" w14:textId="36A05763" w:rsidR="00A87041" w:rsidRPr="00A06955" w:rsidRDefault="00185CA5" w:rsidP="007B39CC">
            <w:pPr>
              <w:jc w:val="left"/>
              <w:rPr>
                <w:color w:val="auto"/>
              </w:rPr>
            </w:pPr>
            <w:r w:rsidRPr="00A06955">
              <w:rPr>
                <w:color w:val="auto"/>
              </w:rPr>
              <w:t>The CCGs</w:t>
            </w:r>
          </w:p>
        </w:tc>
        <w:tc>
          <w:tcPr>
            <w:tcW w:w="929" w:type="pct"/>
            <w:tcBorders>
              <w:bottom w:val="nil"/>
            </w:tcBorders>
            <w:shd w:val="clear" w:color="auto" w:fill="auto"/>
            <w:vAlign w:val="bottom"/>
          </w:tcPr>
          <w:p w14:paraId="75B4E94C" w14:textId="387A34C9" w:rsidR="00A87041" w:rsidRPr="00A06955" w:rsidRDefault="009716DC" w:rsidP="003A0737">
            <w:pPr>
              <w:tabs>
                <w:tab w:val="decimal" w:pos="1026"/>
              </w:tabs>
              <w:rPr>
                <w:color w:val="auto"/>
              </w:rPr>
            </w:pPr>
            <w:r>
              <w:rPr>
                <w:color w:val="auto"/>
              </w:rPr>
              <w:t>(</w:t>
            </w:r>
            <w:r w:rsidR="009F727E" w:rsidRPr="00A06955">
              <w:rPr>
                <w:color w:val="auto"/>
              </w:rPr>
              <w:t>9.</w:t>
            </w:r>
            <w:r w:rsidR="00F410F6">
              <w:rPr>
                <w:color w:val="auto"/>
              </w:rPr>
              <w:t>3</w:t>
            </w:r>
            <w:r>
              <w:rPr>
                <w:color w:val="auto"/>
              </w:rPr>
              <w:t>)</w:t>
            </w:r>
          </w:p>
        </w:tc>
        <w:tc>
          <w:tcPr>
            <w:tcW w:w="966" w:type="pct"/>
            <w:tcBorders>
              <w:bottom w:val="nil"/>
            </w:tcBorders>
            <w:shd w:val="clear" w:color="auto" w:fill="auto"/>
            <w:vAlign w:val="bottom"/>
          </w:tcPr>
          <w:p w14:paraId="3866FED9" w14:textId="2F9E7DF7" w:rsidR="00185CA5" w:rsidRPr="009D7933" w:rsidRDefault="009716DC" w:rsidP="003A0737">
            <w:pPr>
              <w:tabs>
                <w:tab w:val="decimal" w:pos="1026"/>
              </w:tabs>
              <w:rPr>
                <w:color w:val="auto"/>
              </w:rPr>
            </w:pPr>
            <w:r>
              <w:rPr>
                <w:color w:val="auto"/>
              </w:rPr>
              <w:t>(</w:t>
            </w:r>
            <w:r w:rsidR="00185CA5" w:rsidRPr="009D7933">
              <w:rPr>
                <w:color w:val="auto"/>
              </w:rPr>
              <w:t>9.3</w:t>
            </w:r>
            <w:r>
              <w:rPr>
                <w:color w:val="auto"/>
              </w:rPr>
              <w:t>)</w:t>
            </w:r>
          </w:p>
        </w:tc>
      </w:tr>
      <w:tr w:rsidR="00A87041" w:rsidRPr="004B5121" w14:paraId="7CB8C9BF" w14:textId="77777777" w:rsidTr="003A0737">
        <w:trPr>
          <w:trHeight w:val="369"/>
        </w:trPr>
        <w:tc>
          <w:tcPr>
            <w:tcW w:w="3105" w:type="pct"/>
            <w:shd w:val="clear" w:color="auto" w:fill="auto"/>
            <w:vAlign w:val="bottom"/>
          </w:tcPr>
          <w:p w14:paraId="08DCC479" w14:textId="77777777" w:rsidR="00A87041" w:rsidRPr="00A06955" w:rsidRDefault="00185CA5" w:rsidP="003A0737">
            <w:pPr>
              <w:jc w:val="left"/>
              <w:rPr>
                <w:color w:val="auto"/>
              </w:rPr>
            </w:pPr>
            <w:r w:rsidRPr="00A06955">
              <w:rPr>
                <w:color w:val="auto"/>
              </w:rPr>
              <w:t>Other</w:t>
            </w:r>
          </w:p>
        </w:tc>
        <w:tc>
          <w:tcPr>
            <w:tcW w:w="929" w:type="pct"/>
            <w:tcBorders>
              <w:top w:val="nil"/>
              <w:bottom w:val="single" w:sz="4" w:space="0" w:color="auto"/>
            </w:tcBorders>
            <w:shd w:val="clear" w:color="auto" w:fill="auto"/>
            <w:vAlign w:val="bottom"/>
          </w:tcPr>
          <w:p w14:paraId="186A107B" w14:textId="4347DA16" w:rsidR="00A87041" w:rsidRPr="00A06955" w:rsidRDefault="009716DC" w:rsidP="003A0737">
            <w:pPr>
              <w:tabs>
                <w:tab w:val="decimal" w:pos="1026"/>
              </w:tabs>
              <w:rPr>
                <w:color w:val="auto"/>
              </w:rPr>
            </w:pPr>
            <w:r>
              <w:rPr>
                <w:color w:val="auto"/>
              </w:rPr>
              <w:t>(</w:t>
            </w:r>
            <w:r w:rsidR="00F410F6">
              <w:rPr>
                <w:color w:val="auto"/>
              </w:rPr>
              <w:t>8.9</w:t>
            </w:r>
            <w:r>
              <w:rPr>
                <w:color w:val="auto"/>
              </w:rPr>
              <w:t>)</w:t>
            </w:r>
          </w:p>
        </w:tc>
        <w:tc>
          <w:tcPr>
            <w:tcW w:w="966" w:type="pct"/>
            <w:tcBorders>
              <w:top w:val="nil"/>
              <w:bottom w:val="single" w:sz="4" w:space="0" w:color="auto"/>
            </w:tcBorders>
            <w:shd w:val="clear" w:color="auto" w:fill="auto"/>
            <w:vAlign w:val="bottom"/>
          </w:tcPr>
          <w:p w14:paraId="3806ECD7" w14:textId="07ED2D13" w:rsidR="00A87041" w:rsidRPr="009D7933" w:rsidRDefault="009716DC" w:rsidP="003A0737">
            <w:pPr>
              <w:tabs>
                <w:tab w:val="decimal" w:pos="1026"/>
              </w:tabs>
              <w:rPr>
                <w:color w:val="auto"/>
              </w:rPr>
            </w:pPr>
            <w:r>
              <w:rPr>
                <w:color w:val="auto"/>
              </w:rPr>
              <w:t>(</w:t>
            </w:r>
            <w:r w:rsidR="00185CA5" w:rsidRPr="009D7933">
              <w:rPr>
                <w:color w:val="auto"/>
              </w:rPr>
              <w:t>8.7</w:t>
            </w:r>
            <w:r>
              <w:rPr>
                <w:color w:val="auto"/>
              </w:rPr>
              <w:t>)</w:t>
            </w:r>
          </w:p>
        </w:tc>
      </w:tr>
      <w:tr w:rsidR="00A87041" w:rsidRPr="004B5121" w14:paraId="1EAE868A" w14:textId="77777777" w:rsidTr="00185CA5">
        <w:trPr>
          <w:trHeight w:val="369"/>
        </w:trPr>
        <w:tc>
          <w:tcPr>
            <w:tcW w:w="3105" w:type="pct"/>
            <w:shd w:val="clear" w:color="auto" w:fill="auto"/>
            <w:vAlign w:val="bottom"/>
          </w:tcPr>
          <w:p w14:paraId="582095D4" w14:textId="77777777" w:rsidR="00A87041" w:rsidRPr="00A06955" w:rsidRDefault="00A87041" w:rsidP="003A0737">
            <w:pPr>
              <w:jc w:val="left"/>
              <w:rPr>
                <w:b/>
                <w:color w:val="auto"/>
              </w:rPr>
            </w:pPr>
          </w:p>
        </w:tc>
        <w:tc>
          <w:tcPr>
            <w:tcW w:w="929" w:type="pct"/>
            <w:tcBorders>
              <w:top w:val="single" w:sz="4" w:space="0" w:color="auto"/>
              <w:bottom w:val="nil"/>
            </w:tcBorders>
            <w:shd w:val="clear" w:color="auto" w:fill="auto"/>
            <w:vAlign w:val="bottom"/>
          </w:tcPr>
          <w:p w14:paraId="7520C027" w14:textId="36865A61" w:rsidR="00A87041" w:rsidRPr="00A06955" w:rsidRDefault="009716DC" w:rsidP="003A0737">
            <w:pPr>
              <w:tabs>
                <w:tab w:val="decimal" w:pos="1026"/>
              </w:tabs>
              <w:rPr>
                <w:b/>
                <w:color w:val="auto"/>
              </w:rPr>
            </w:pPr>
            <w:r>
              <w:rPr>
                <w:b/>
                <w:color w:val="auto"/>
              </w:rPr>
              <w:t>(</w:t>
            </w:r>
            <w:r w:rsidR="004B5121" w:rsidRPr="00A06955">
              <w:rPr>
                <w:b/>
                <w:color w:val="auto"/>
              </w:rPr>
              <w:t>1</w:t>
            </w:r>
            <w:r w:rsidR="00F410F6">
              <w:rPr>
                <w:b/>
                <w:color w:val="auto"/>
              </w:rPr>
              <w:t>23.5</w:t>
            </w:r>
            <w:r>
              <w:rPr>
                <w:b/>
                <w:color w:val="auto"/>
              </w:rPr>
              <w:t>)</w:t>
            </w:r>
          </w:p>
        </w:tc>
        <w:tc>
          <w:tcPr>
            <w:tcW w:w="966" w:type="pct"/>
            <w:tcBorders>
              <w:top w:val="single" w:sz="4" w:space="0" w:color="auto"/>
              <w:bottom w:val="nil"/>
            </w:tcBorders>
            <w:shd w:val="clear" w:color="auto" w:fill="auto"/>
            <w:vAlign w:val="bottom"/>
          </w:tcPr>
          <w:p w14:paraId="047885B8" w14:textId="240916C7" w:rsidR="00A87041" w:rsidRPr="009D7933" w:rsidRDefault="009716DC" w:rsidP="003A0737">
            <w:pPr>
              <w:tabs>
                <w:tab w:val="decimal" w:pos="1026"/>
              </w:tabs>
              <w:rPr>
                <w:b/>
                <w:color w:val="auto"/>
              </w:rPr>
            </w:pPr>
            <w:r>
              <w:rPr>
                <w:b/>
                <w:color w:val="auto"/>
              </w:rPr>
              <w:t>(</w:t>
            </w:r>
            <w:r w:rsidR="00185CA5" w:rsidRPr="009D7933">
              <w:rPr>
                <w:b/>
                <w:color w:val="auto"/>
              </w:rPr>
              <w:t>123.3</w:t>
            </w:r>
            <w:r>
              <w:rPr>
                <w:b/>
                <w:color w:val="auto"/>
              </w:rPr>
              <w:t>)</w:t>
            </w:r>
          </w:p>
        </w:tc>
      </w:tr>
      <w:tr w:rsidR="00A87041" w:rsidRPr="004B5121" w14:paraId="624363FD" w14:textId="77777777" w:rsidTr="00185CA5">
        <w:trPr>
          <w:trHeight w:val="369"/>
        </w:trPr>
        <w:tc>
          <w:tcPr>
            <w:tcW w:w="3105" w:type="pct"/>
            <w:shd w:val="clear" w:color="auto" w:fill="auto"/>
            <w:vAlign w:val="bottom"/>
          </w:tcPr>
          <w:p w14:paraId="286C136F" w14:textId="77777777" w:rsidR="00A87041" w:rsidRPr="00A06955" w:rsidRDefault="00185CA5" w:rsidP="003A0737">
            <w:pPr>
              <w:jc w:val="left"/>
              <w:rPr>
                <w:b/>
                <w:color w:val="auto"/>
              </w:rPr>
            </w:pPr>
            <w:r w:rsidRPr="00A06955">
              <w:rPr>
                <w:b/>
                <w:color w:val="auto"/>
              </w:rPr>
              <w:t>Expenditure met from the Pooled Budget</w:t>
            </w:r>
          </w:p>
        </w:tc>
        <w:tc>
          <w:tcPr>
            <w:tcW w:w="929" w:type="pct"/>
            <w:tcBorders>
              <w:top w:val="nil"/>
              <w:bottom w:val="nil"/>
            </w:tcBorders>
            <w:shd w:val="clear" w:color="auto" w:fill="auto"/>
            <w:vAlign w:val="bottom"/>
          </w:tcPr>
          <w:p w14:paraId="55323EBF" w14:textId="77777777" w:rsidR="00A87041" w:rsidRPr="00A06955" w:rsidRDefault="00A87041" w:rsidP="003A0737">
            <w:pPr>
              <w:tabs>
                <w:tab w:val="decimal" w:pos="1026"/>
              </w:tabs>
              <w:rPr>
                <w:b/>
                <w:color w:val="auto"/>
              </w:rPr>
            </w:pPr>
          </w:p>
        </w:tc>
        <w:tc>
          <w:tcPr>
            <w:tcW w:w="966" w:type="pct"/>
            <w:tcBorders>
              <w:top w:val="nil"/>
              <w:bottom w:val="nil"/>
            </w:tcBorders>
            <w:shd w:val="clear" w:color="auto" w:fill="auto"/>
            <w:vAlign w:val="bottom"/>
          </w:tcPr>
          <w:p w14:paraId="039E12C9" w14:textId="77777777" w:rsidR="00A87041" w:rsidRPr="009D7933" w:rsidRDefault="00A87041" w:rsidP="003A0737">
            <w:pPr>
              <w:tabs>
                <w:tab w:val="decimal" w:pos="1026"/>
              </w:tabs>
              <w:rPr>
                <w:b/>
                <w:color w:val="auto"/>
              </w:rPr>
            </w:pPr>
          </w:p>
        </w:tc>
      </w:tr>
      <w:tr w:rsidR="00185CA5" w:rsidRPr="004B5121" w14:paraId="41BE0C48" w14:textId="77777777" w:rsidTr="00185CA5">
        <w:trPr>
          <w:trHeight w:val="369"/>
        </w:trPr>
        <w:tc>
          <w:tcPr>
            <w:tcW w:w="3105" w:type="pct"/>
            <w:shd w:val="clear" w:color="auto" w:fill="auto"/>
            <w:vAlign w:val="bottom"/>
          </w:tcPr>
          <w:p w14:paraId="4E5FB8E0" w14:textId="77777777" w:rsidR="00185CA5" w:rsidRPr="00A06955" w:rsidRDefault="00185CA5" w:rsidP="003A0737">
            <w:pPr>
              <w:jc w:val="left"/>
              <w:rPr>
                <w:color w:val="auto"/>
              </w:rPr>
            </w:pPr>
            <w:r w:rsidRPr="00A06955">
              <w:rPr>
                <w:color w:val="auto"/>
              </w:rPr>
              <w:t>The council</w:t>
            </w:r>
          </w:p>
        </w:tc>
        <w:tc>
          <w:tcPr>
            <w:tcW w:w="929" w:type="pct"/>
            <w:tcBorders>
              <w:top w:val="nil"/>
              <w:bottom w:val="nil"/>
            </w:tcBorders>
            <w:shd w:val="clear" w:color="auto" w:fill="auto"/>
            <w:vAlign w:val="bottom"/>
          </w:tcPr>
          <w:p w14:paraId="49444CA8" w14:textId="5B4613A7" w:rsidR="00185CA5" w:rsidRPr="00A06955" w:rsidRDefault="004B5121" w:rsidP="003A0737">
            <w:pPr>
              <w:tabs>
                <w:tab w:val="decimal" w:pos="1026"/>
              </w:tabs>
              <w:rPr>
                <w:color w:val="auto"/>
              </w:rPr>
            </w:pPr>
            <w:r w:rsidRPr="00A06955">
              <w:rPr>
                <w:color w:val="auto"/>
              </w:rPr>
              <w:t>1</w:t>
            </w:r>
            <w:r w:rsidR="00F410F6">
              <w:rPr>
                <w:color w:val="auto"/>
              </w:rPr>
              <w:t>25.4</w:t>
            </w:r>
          </w:p>
        </w:tc>
        <w:tc>
          <w:tcPr>
            <w:tcW w:w="966" w:type="pct"/>
            <w:tcBorders>
              <w:top w:val="nil"/>
              <w:bottom w:val="nil"/>
            </w:tcBorders>
            <w:shd w:val="clear" w:color="auto" w:fill="auto"/>
            <w:vAlign w:val="bottom"/>
          </w:tcPr>
          <w:p w14:paraId="5C3D965B" w14:textId="77777777" w:rsidR="00185CA5" w:rsidRPr="009D7933" w:rsidRDefault="00185CA5" w:rsidP="003A0737">
            <w:pPr>
              <w:tabs>
                <w:tab w:val="decimal" w:pos="1026"/>
              </w:tabs>
              <w:rPr>
                <w:color w:val="auto"/>
              </w:rPr>
            </w:pPr>
            <w:r w:rsidRPr="009D7933">
              <w:rPr>
                <w:color w:val="auto"/>
              </w:rPr>
              <w:t>122.5</w:t>
            </w:r>
          </w:p>
        </w:tc>
      </w:tr>
      <w:tr w:rsidR="00185CA5" w:rsidRPr="004B5121" w14:paraId="1DE3DC15" w14:textId="77777777" w:rsidTr="00185CA5">
        <w:trPr>
          <w:trHeight w:val="369"/>
        </w:trPr>
        <w:tc>
          <w:tcPr>
            <w:tcW w:w="3105" w:type="pct"/>
            <w:shd w:val="clear" w:color="auto" w:fill="auto"/>
            <w:vAlign w:val="bottom"/>
          </w:tcPr>
          <w:p w14:paraId="32E9FD39" w14:textId="5EB639BD" w:rsidR="00185CA5" w:rsidRPr="00A06955" w:rsidRDefault="00185CA5" w:rsidP="007B39CC">
            <w:pPr>
              <w:jc w:val="left"/>
              <w:rPr>
                <w:color w:val="auto"/>
              </w:rPr>
            </w:pPr>
            <w:r w:rsidRPr="00A06955">
              <w:rPr>
                <w:color w:val="auto"/>
              </w:rPr>
              <w:t>The CCGs</w:t>
            </w:r>
          </w:p>
        </w:tc>
        <w:tc>
          <w:tcPr>
            <w:tcW w:w="929" w:type="pct"/>
            <w:tcBorders>
              <w:top w:val="nil"/>
              <w:bottom w:val="single" w:sz="4" w:space="0" w:color="auto"/>
            </w:tcBorders>
            <w:shd w:val="clear" w:color="auto" w:fill="auto"/>
            <w:vAlign w:val="bottom"/>
          </w:tcPr>
          <w:p w14:paraId="55A45018" w14:textId="2A6CD465" w:rsidR="00185CA5" w:rsidRPr="00A06955" w:rsidRDefault="004B5121" w:rsidP="003A0737">
            <w:pPr>
              <w:tabs>
                <w:tab w:val="decimal" w:pos="1026"/>
              </w:tabs>
              <w:rPr>
                <w:color w:val="auto"/>
              </w:rPr>
            </w:pPr>
            <w:r w:rsidRPr="00A06955">
              <w:rPr>
                <w:color w:val="auto"/>
              </w:rPr>
              <w:t>10.</w:t>
            </w:r>
            <w:r w:rsidR="00F410F6">
              <w:rPr>
                <w:color w:val="auto"/>
              </w:rPr>
              <w:t>1</w:t>
            </w:r>
          </w:p>
        </w:tc>
        <w:tc>
          <w:tcPr>
            <w:tcW w:w="966" w:type="pct"/>
            <w:tcBorders>
              <w:top w:val="nil"/>
              <w:bottom w:val="single" w:sz="4" w:space="0" w:color="auto"/>
            </w:tcBorders>
            <w:shd w:val="clear" w:color="auto" w:fill="auto"/>
            <w:vAlign w:val="bottom"/>
          </w:tcPr>
          <w:p w14:paraId="1BA18123" w14:textId="77777777" w:rsidR="00185CA5" w:rsidRPr="009D7933" w:rsidRDefault="00185CA5" w:rsidP="003A0737">
            <w:pPr>
              <w:tabs>
                <w:tab w:val="decimal" w:pos="1026"/>
              </w:tabs>
              <w:rPr>
                <w:color w:val="auto"/>
              </w:rPr>
            </w:pPr>
            <w:r w:rsidRPr="009D7933">
              <w:rPr>
                <w:color w:val="auto"/>
              </w:rPr>
              <w:t>9.8</w:t>
            </w:r>
          </w:p>
        </w:tc>
      </w:tr>
      <w:tr w:rsidR="00185CA5" w:rsidRPr="004B5121" w14:paraId="3A5DE02B" w14:textId="77777777" w:rsidTr="00185CA5">
        <w:trPr>
          <w:trHeight w:val="369"/>
        </w:trPr>
        <w:tc>
          <w:tcPr>
            <w:tcW w:w="3105" w:type="pct"/>
            <w:shd w:val="clear" w:color="auto" w:fill="auto"/>
            <w:vAlign w:val="bottom"/>
          </w:tcPr>
          <w:p w14:paraId="497EC63A" w14:textId="77777777" w:rsidR="00185CA5" w:rsidRPr="00A06955" w:rsidRDefault="00185CA5" w:rsidP="003A0737">
            <w:pPr>
              <w:jc w:val="left"/>
              <w:rPr>
                <w:b/>
                <w:color w:val="auto"/>
              </w:rPr>
            </w:pPr>
          </w:p>
        </w:tc>
        <w:tc>
          <w:tcPr>
            <w:tcW w:w="929" w:type="pct"/>
            <w:tcBorders>
              <w:top w:val="single" w:sz="4" w:space="0" w:color="auto"/>
              <w:bottom w:val="nil"/>
            </w:tcBorders>
            <w:shd w:val="clear" w:color="auto" w:fill="auto"/>
            <w:vAlign w:val="bottom"/>
          </w:tcPr>
          <w:p w14:paraId="1F878C8B" w14:textId="2C1D01A8" w:rsidR="00185CA5" w:rsidRPr="00A06955" w:rsidRDefault="004B5121" w:rsidP="003A0737">
            <w:pPr>
              <w:tabs>
                <w:tab w:val="decimal" w:pos="1026"/>
              </w:tabs>
              <w:rPr>
                <w:b/>
                <w:color w:val="auto"/>
              </w:rPr>
            </w:pPr>
            <w:r w:rsidRPr="00A06955">
              <w:rPr>
                <w:b/>
                <w:color w:val="auto"/>
              </w:rPr>
              <w:t>1</w:t>
            </w:r>
            <w:r w:rsidR="00F410F6">
              <w:rPr>
                <w:b/>
                <w:color w:val="auto"/>
              </w:rPr>
              <w:t>35.5</w:t>
            </w:r>
          </w:p>
        </w:tc>
        <w:tc>
          <w:tcPr>
            <w:tcW w:w="966" w:type="pct"/>
            <w:tcBorders>
              <w:top w:val="single" w:sz="4" w:space="0" w:color="auto"/>
              <w:bottom w:val="nil"/>
            </w:tcBorders>
            <w:shd w:val="clear" w:color="auto" w:fill="auto"/>
            <w:vAlign w:val="bottom"/>
          </w:tcPr>
          <w:p w14:paraId="2E27726F" w14:textId="77777777" w:rsidR="00185CA5" w:rsidRPr="009D7933" w:rsidRDefault="00185CA5" w:rsidP="003A0737">
            <w:pPr>
              <w:tabs>
                <w:tab w:val="decimal" w:pos="1026"/>
              </w:tabs>
              <w:rPr>
                <w:b/>
                <w:color w:val="auto"/>
              </w:rPr>
            </w:pPr>
            <w:r w:rsidRPr="009D7933">
              <w:rPr>
                <w:b/>
                <w:color w:val="auto"/>
              </w:rPr>
              <w:t>132.3</w:t>
            </w:r>
          </w:p>
        </w:tc>
      </w:tr>
      <w:tr w:rsidR="00185CA5" w:rsidRPr="004B5121" w14:paraId="4694CF78" w14:textId="77777777" w:rsidTr="00185CA5">
        <w:trPr>
          <w:trHeight w:val="369"/>
        </w:trPr>
        <w:tc>
          <w:tcPr>
            <w:tcW w:w="3105" w:type="pct"/>
            <w:shd w:val="clear" w:color="auto" w:fill="auto"/>
            <w:vAlign w:val="bottom"/>
          </w:tcPr>
          <w:p w14:paraId="3E6DB547" w14:textId="77777777" w:rsidR="00185CA5" w:rsidRPr="00A06955" w:rsidRDefault="00185CA5" w:rsidP="003A0737">
            <w:pPr>
              <w:jc w:val="left"/>
              <w:rPr>
                <w:color w:val="auto"/>
              </w:rPr>
            </w:pPr>
          </w:p>
        </w:tc>
        <w:tc>
          <w:tcPr>
            <w:tcW w:w="929" w:type="pct"/>
            <w:tcBorders>
              <w:top w:val="nil"/>
              <w:bottom w:val="nil"/>
            </w:tcBorders>
            <w:shd w:val="clear" w:color="auto" w:fill="auto"/>
            <w:vAlign w:val="bottom"/>
          </w:tcPr>
          <w:p w14:paraId="11D02E9A" w14:textId="77777777" w:rsidR="00185CA5" w:rsidRPr="00A06955" w:rsidRDefault="00185CA5" w:rsidP="003A0737">
            <w:pPr>
              <w:tabs>
                <w:tab w:val="decimal" w:pos="1026"/>
              </w:tabs>
              <w:rPr>
                <w:color w:val="auto"/>
              </w:rPr>
            </w:pPr>
          </w:p>
        </w:tc>
        <w:tc>
          <w:tcPr>
            <w:tcW w:w="966" w:type="pct"/>
            <w:tcBorders>
              <w:top w:val="nil"/>
              <w:bottom w:val="nil"/>
            </w:tcBorders>
            <w:shd w:val="clear" w:color="auto" w:fill="auto"/>
            <w:vAlign w:val="bottom"/>
          </w:tcPr>
          <w:p w14:paraId="7A987A32" w14:textId="77777777" w:rsidR="00185CA5" w:rsidRPr="009D7933" w:rsidRDefault="00185CA5" w:rsidP="003A0737">
            <w:pPr>
              <w:tabs>
                <w:tab w:val="decimal" w:pos="1026"/>
              </w:tabs>
              <w:rPr>
                <w:color w:val="auto"/>
              </w:rPr>
            </w:pPr>
          </w:p>
        </w:tc>
      </w:tr>
      <w:tr w:rsidR="00185CA5" w:rsidRPr="004B5121" w14:paraId="5E2A7537" w14:textId="77777777" w:rsidTr="00185CA5">
        <w:trPr>
          <w:trHeight w:val="369"/>
        </w:trPr>
        <w:tc>
          <w:tcPr>
            <w:tcW w:w="3105" w:type="pct"/>
            <w:shd w:val="clear" w:color="auto" w:fill="auto"/>
            <w:vAlign w:val="bottom"/>
          </w:tcPr>
          <w:p w14:paraId="55E7F972" w14:textId="77777777" w:rsidR="00185CA5" w:rsidRPr="00A06955" w:rsidRDefault="00185CA5" w:rsidP="003A0737">
            <w:pPr>
              <w:jc w:val="left"/>
              <w:rPr>
                <w:b/>
                <w:color w:val="auto"/>
              </w:rPr>
            </w:pPr>
            <w:r w:rsidRPr="00A06955">
              <w:rPr>
                <w:b/>
                <w:color w:val="auto"/>
              </w:rPr>
              <w:t>Net Surplus/(Deficit) arising on the Pooled Budget during the year</w:t>
            </w:r>
          </w:p>
        </w:tc>
        <w:tc>
          <w:tcPr>
            <w:tcW w:w="929" w:type="pct"/>
            <w:tcBorders>
              <w:top w:val="nil"/>
              <w:bottom w:val="nil"/>
            </w:tcBorders>
            <w:shd w:val="clear" w:color="auto" w:fill="auto"/>
            <w:vAlign w:val="bottom"/>
          </w:tcPr>
          <w:p w14:paraId="3F5975DD" w14:textId="6FD55123" w:rsidR="00185CA5" w:rsidRPr="00A06955" w:rsidRDefault="004B5121" w:rsidP="003A0737">
            <w:pPr>
              <w:tabs>
                <w:tab w:val="decimal" w:pos="1026"/>
              </w:tabs>
              <w:rPr>
                <w:b/>
                <w:color w:val="auto"/>
              </w:rPr>
            </w:pPr>
            <w:r w:rsidRPr="00A06955">
              <w:rPr>
                <w:b/>
                <w:color w:val="auto"/>
              </w:rPr>
              <w:t>(1</w:t>
            </w:r>
            <w:r w:rsidR="00F410F6">
              <w:rPr>
                <w:b/>
                <w:color w:val="auto"/>
              </w:rPr>
              <w:t>2.0</w:t>
            </w:r>
            <w:r w:rsidRPr="00A06955">
              <w:rPr>
                <w:b/>
                <w:color w:val="auto"/>
              </w:rPr>
              <w:t>)</w:t>
            </w:r>
          </w:p>
        </w:tc>
        <w:tc>
          <w:tcPr>
            <w:tcW w:w="966" w:type="pct"/>
            <w:tcBorders>
              <w:top w:val="nil"/>
              <w:bottom w:val="nil"/>
            </w:tcBorders>
            <w:shd w:val="clear" w:color="auto" w:fill="auto"/>
            <w:vAlign w:val="bottom"/>
          </w:tcPr>
          <w:p w14:paraId="660B64E4" w14:textId="77777777" w:rsidR="00185CA5" w:rsidRPr="009D7933" w:rsidRDefault="00185CA5" w:rsidP="003A0737">
            <w:pPr>
              <w:tabs>
                <w:tab w:val="decimal" w:pos="1026"/>
              </w:tabs>
              <w:rPr>
                <w:b/>
                <w:color w:val="auto"/>
              </w:rPr>
            </w:pPr>
            <w:r w:rsidRPr="009D7933">
              <w:rPr>
                <w:b/>
                <w:color w:val="auto"/>
              </w:rPr>
              <w:t>(9.0)</w:t>
            </w:r>
          </w:p>
        </w:tc>
      </w:tr>
      <w:tr w:rsidR="00185CA5" w:rsidRPr="004B5121" w14:paraId="5AD406E4" w14:textId="77777777" w:rsidTr="00185CA5">
        <w:trPr>
          <w:trHeight w:val="369"/>
        </w:trPr>
        <w:tc>
          <w:tcPr>
            <w:tcW w:w="3105" w:type="pct"/>
            <w:shd w:val="clear" w:color="auto" w:fill="auto"/>
            <w:vAlign w:val="bottom"/>
          </w:tcPr>
          <w:p w14:paraId="1DDF9886" w14:textId="77777777" w:rsidR="00185CA5" w:rsidRPr="00A06955" w:rsidRDefault="00185CA5" w:rsidP="003A0737">
            <w:pPr>
              <w:jc w:val="left"/>
              <w:rPr>
                <w:color w:val="auto"/>
              </w:rPr>
            </w:pPr>
          </w:p>
        </w:tc>
        <w:tc>
          <w:tcPr>
            <w:tcW w:w="929" w:type="pct"/>
            <w:tcBorders>
              <w:top w:val="nil"/>
              <w:bottom w:val="nil"/>
            </w:tcBorders>
            <w:shd w:val="clear" w:color="auto" w:fill="auto"/>
            <w:vAlign w:val="bottom"/>
          </w:tcPr>
          <w:p w14:paraId="25EB027B" w14:textId="77777777" w:rsidR="00185CA5" w:rsidRPr="00A06955" w:rsidRDefault="00185CA5" w:rsidP="003A0737">
            <w:pPr>
              <w:tabs>
                <w:tab w:val="decimal" w:pos="1026"/>
              </w:tabs>
              <w:rPr>
                <w:color w:val="auto"/>
              </w:rPr>
            </w:pPr>
          </w:p>
        </w:tc>
        <w:tc>
          <w:tcPr>
            <w:tcW w:w="966" w:type="pct"/>
            <w:tcBorders>
              <w:top w:val="nil"/>
              <w:bottom w:val="nil"/>
            </w:tcBorders>
            <w:shd w:val="clear" w:color="auto" w:fill="auto"/>
            <w:vAlign w:val="bottom"/>
          </w:tcPr>
          <w:p w14:paraId="43CAEC32" w14:textId="77777777" w:rsidR="00185CA5" w:rsidRPr="009D7933" w:rsidRDefault="00185CA5" w:rsidP="003A0737">
            <w:pPr>
              <w:tabs>
                <w:tab w:val="decimal" w:pos="1026"/>
              </w:tabs>
              <w:rPr>
                <w:color w:val="auto"/>
              </w:rPr>
            </w:pPr>
          </w:p>
        </w:tc>
      </w:tr>
      <w:tr w:rsidR="00A87041" w:rsidRPr="00185CA5" w14:paraId="2C31D0F1" w14:textId="77777777" w:rsidTr="00185CA5">
        <w:trPr>
          <w:trHeight w:val="369"/>
        </w:trPr>
        <w:tc>
          <w:tcPr>
            <w:tcW w:w="3105" w:type="pct"/>
            <w:shd w:val="clear" w:color="auto" w:fill="auto"/>
            <w:vAlign w:val="bottom"/>
          </w:tcPr>
          <w:p w14:paraId="131932AC" w14:textId="77777777" w:rsidR="00A87041" w:rsidRPr="00A06955" w:rsidRDefault="00185CA5" w:rsidP="003A0737">
            <w:pPr>
              <w:jc w:val="left"/>
              <w:rPr>
                <w:b/>
                <w:color w:val="auto"/>
              </w:rPr>
            </w:pPr>
            <w:r w:rsidRPr="00A06955">
              <w:rPr>
                <w:b/>
                <w:color w:val="auto"/>
              </w:rPr>
              <w:t>Council Share of the Net Surplus/(Deficit)</w:t>
            </w:r>
          </w:p>
        </w:tc>
        <w:tc>
          <w:tcPr>
            <w:tcW w:w="929" w:type="pct"/>
            <w:tcBorders>
              <w:top w:val="nil"/>
              <w:bottom w:val="single" w:sz="4" w:space="0" w:color="auto"/>
            </w:tcBorders>
            <w:shd w:val="clear" w:color="auto" w:fill="auto"/>
            <w:vAlign w:val="bottom"/>
          </w:tcPr>
          <w:p w14:paraId="48B99BCB" w14:textId="65969403" w:rsidR="00A87041" w:rsidRPr="00A06955" w:rsidRDefault="004B5121" w:rsidP="00F410F6">
            <w:pPr>
              <w:tabs>
                <w:tab w:val="decimal" w:pos="1026"/>
              </w:tabs>
              <w:rPr>
                <w:b/>
                <w:color w:val="auto"/>
              </w:rPr>
            </w:pPr>
            <w:r w:rsidRPr="00A06955">
              <w:rPr>
                <w:b/>
                <w:color w:val="auto"/>
              </w:rPr>
              <w:t>(11.</w:t>
            </w:r>
            <w:r w:rsidR="00F410F6">
              <w:rPr>
                <w:b/>
                <w:color w:val="auto"/>
              </w:rPr>
              <w:t>1</w:t>
            </w:r>
            <w:r w:rsidRPr="00A06955">
              <w:rPr>
                <w:b/>
                <w:color w:val="auto"/>
              </w:rPr>
              <w:t>)</w:t>
            </w:r>
          </w:p>
        </w:tc>
        <w:tc>
          <w:tcPr>
            <w:tcW w:w="966" w:type="pct"/>
            <w:tcBorders>
              <w:top w:val="nil"/>
              <w:bottom w:val="single" w:sz="4" w:space="0" w:color="auto"/>
            </w:tcBorders>
            <w:shd w:val="clear" w:color="auto" w:fill="auto"/>
            <w:vAlign w:val="bottom"/>
          </w:tcPr>
          <w:p w14:paraId="139A9423" w14:textId="77777777" w:rsidR="00A87041" w:rsidRPr="00185CA5" w:rsidRDefault="00185CA5" w:rsidP="003A0737">
            <w:pPr>
              <w:tabs>
                <w:tab w:val="decimal" w:pos="1026"/>
              </w:tabs>
              <w:rPr>
                <w:b/>
                <w:color w:val="auto"/>
              </w:rPr>
            </w:pPr>
            <w:r w:rsidRPr="009D7933">
              <w:rPr>
                <w:b/>
                <w:color w:val="auto"/>
              </w:rPr>
              <w:t>(8.5)</w:t>
            </w:r>
          </w:p>
        </w:tc>
      </w:tr>
    </w:tbl>
    <w:p w14:paraId="0E29794F" w14:textId="77777777" w:rsidR="00A87041" w:rsidRDefault="00A87041" w:rsidP="00A87041">
      <w:pPr>
        <w:rPr>
          <w:lang w:eastAsia="en-GB"/>
        </w:rPr>
      </w:pPr>
    </w:p>
    <w:p w14:paraId="681F7150" w14:textId="77777777" w:rsidR="0041714E" w:rsidRDefault="0041714E" w:rsidP="00A87041">
      <w:pPr>
        <w:rPr>
          <w:lang w:eastAsia="en-GB"/>
        </w:rPr>
      </w:pPr>
    </w:p>
    <w:p w14:paraId="194AEAF3" w14:textId="5625A985" w:rsidR="00185CA5" w:rsidRPr="00A06955" w:rsidRDefault="00246A2C" w:rsidP="0075798A">
      <w:pPr>
        <w:pStyle w:val="Heading2"/>
      </w:pPr>
      <w:r>
        <w:t>16. External a</w:t>
      </w:r>
      <w:r w:rsidR="0075798A" w:rsidRPr="00A06955">
        <w:t>udit costs</w:t>
      </w:r>
    </w:p>
    <w:p w14:paraId="6A241A6E" w14:textId="43DCC65A" w:rsidR="0075798A" w:rsidRPr="00A06955" w:rsidRDefault="0075798A" w:rsidP="0075798A">
      <w:pPr>
        <w:rPr>
          <w:lang w:eastAsia="en-GB"/>
        </w:rPr>
      </w:pPr>
      <w:r w:rsidRPr="00A06955">
        <w:rPr>
          <w:lang w:eastAsia="en-GB"/>
        </w:rPr>
        <w:t>The total amount payable for external audit services carried out by the appointed auditor in 201</w:t>
      </w:r>
      <w:r w:rsidR="003408DA" w:rsidRPr="00A06955">
        <w:rPr>
          <w:lang w:eastAsia="en-GB"/>
        </w:rPr>
        <w:t>4</w:t>
      </w:r>
      <w:r w:rsidRPr="00A06955">
        <w:rPr>
          <w:lang w:eastAsia="en-GB"/>
        </w:rPr>
        <w:t>/1</w:t>
      </w:r>
      <w:r w:rsidR="003408DA" w:rsidRPr="00A06955">
        <w:rPr>
          <w:lang w:eastAsia="en-GB"/>
        </w:rPr>
        <w:t>5</w:t>
      </w:r>
      <w:r w:rsidRPr="00A06955">
        <w:rPr>
          <w:lang w:eastAsia="en-GB"/>
        </w:rPr>
        <w:t xml:space="preserve"> was £0.1</w:t>
      </w:r>
      <w:r w:rsidR="00693D94">
        <w:rPr>
          <w:lang w:eastAsia="en-GB"/>
        </w:rPr>
        <w:t>6</w:t>
      </w:r>
      <w:r w:rsidRPr="00A06955">
        <w:rPr>
          <w:lang w:eastAsia="en-GB"/>
        </w:rPr>
        <w:t>m (£0.15m in 201</w:t>
      </w:r>
      <w:r w:rsidR="003408DA" w:rsidRPr="00A06955">
        <w:rPr>
          <w:lang w:eastAsia="en-GB"/>
        </w:rPr>
        <w:t>3</w:t>
      </w:r>
      <w:r w:rsidRPr="00A06955">
        <w:rPr>
          <w:lang w:eastAsia="en-GB"/>
        </w:rPr>
        <w:t>/1</w:t>
      </w:r>
      <w:r w:rsidR="003408DA" w:rsidRPr="00A06955">
        <w:rPr>
          <w:lang w:eastAsia="en-GB"/>
        </w:rPr>
        <w:t>4</w:t>
      </w:r>
      <w:r w:rsidRPr="00A06955">
        <w:rPr>
          <w:lang w:eastAsia="en-GB"/>
        </w:rPr>
        <w:t>). This figure includes a total of £</w:t>
      </w:r>
      <w:r w:rsidR="00693D94" w:rsidRPr="00A06955">
        <w:rPr>
          <w:lang w:eastAsia="en-GB"/>
        </w:rPr>
        <w:t>2,800</w:t>
      </w:r>
      <w:r w:rsidRPr="00A06955">
        <w:rPr>
          <w:lang w:eastAsia="en-GB"/>
        </w:rPr>
        <w:t xml:space="preserve"> in respect of grant certification (£3,700 in 2013</w:t>
      </w:r>
      <w:r w:rsidR="00D51CD6">
        <w:rPr>
          <w:lang w:eastAsia="en-GB"/>
        </w:rPr>
        <w:t>/14</w:t>
      </w:r>
      <w:r w:rsidRPr="00A06955">
        <w:rPr>
          <w:lang w:eastAsia="en-GB"/>
        </w:rPr>
        <w:t>)</w:t>
      </w:r>
      <w:r w:rsidR="00693D94" w:rsidRPr="00A06955">
        <w:rPr>
          <w:lang w:eastAsia="en-GB"/>
        </w:rPr>
        <w:t xml:space="preserve"> and £4,200 for a Reasonable Assurance Report on the Teachers' Pension return</w:t>
      </w:r>
      <w:r w:rsidR="00C36D09">
        <w:rPr>
          <w:lang w:eastAsia="en-GB"/>
        </w:rPr>
        <w:t xml:space="preserve"> (£4,200 in 2013/14)</w:t>
      </w:r>
      <w:r w:rsidR="00693D94" w:rsidRPr="00A06955">
        <w:rPr>
          <w:lang w:eastAsia="en-GB"/>
        </w:rPr>
        <w:t>.</w:t>
      </w:r>
    </w:p>
    <w:p w14:paraId="381A9A2C" w14:textId="2AFBAB2A" w:rsidR="007B39CC" w:rsidRPr="00A06955" w:rsidRDefault="007B39CC" w:rsidP="0075798A">
      <w:pPr>
        <w:rPr>
          <w:lang w:eastAsia="en-GB"/>
        </w:rPr>
      </w:pPr>
    </w:p>
    <w:p w14:paraId="6F9963F8" w14:textId="5F498EE7" w:rsidR="0075798A" w:rsidRPr="00A06955" w:rsidRDefault="00246A2C" w:rsidP="0075798A">
      <w:pPr>
        <w:pStyle w:val="Heading2"/>
      </w:pPr>
      <w:r>
        <w:t>17. Members' a</w:t>
      </w:r>
      <w:r w:rsidR="0075798A" w:rsidRPr="00A06955">
        <w:t>llowances</w:t>
      </w:r>
    </w:p>
    <w:p w14:paraId="29F08853" w14:textId="47A51444" w:rsidR="007B39CC" w:rsidRPr="00747B0B" w:rsidRDefault="0075798A" w:rsidP="0075798A">
      <w:pPr>
        <w:rPr>
          <w:highlight w:val="yellow"/>
          <w:lang w:eastAsia="en-GB"/>
        </w:rPr>
      </w:pPr>
      <w:r w:rsidRPr="00A06955">
        <w:rPr>
          <w:lang w:eastAsia="en-GB"/>
        </w:rPr>
        <w:t>The total amount of members' allowances paid in 201</w:t>
      </w:r>
      <w:r w:rsidR="009A1135" w:rsidRPr="00A06955">
        <w:rPr>
          <w:lang w:eastAsia="en-GB"/>
        </w:rPr>
        <w:t>4</w:t>
      </w:r>
      <w:r w:rsidRPr="00A06955">
        <w:rPr>
          <w:lang w:eastAsia="en-GB"/>
        </w:rPr>
        <w:t>/1</w:t>
      </w:r>
      <w:r w:rsidR="009A1135" w:rsidRPr="00A06955">
        <w:rPr>
          <w:lang w:eastAsia="en-GB"/>
        </w:rPr>
        <w:t>5</w:t>
      </w:r>
      <w:r w:rsidRPr="00A06955">
        <w:rPr>
          <w:lang w:eastAsia="en-GB"/>
        </w:rPr>
        <w:t xml:space="preserve"> was £1.</w:t>
      </w:r>
      <w:r w:rsidR="00644C80">
        <w:rPr>
          <w:lang w:eastAsia="en-GB"/>
        </w:rPr>
        <w:t>2</w:t>
      </w:r>
      <w:r w:rsidRPr="00A06955">
        <w:rPr>
          <w:lang w:eastAsia="en-GB"/>
        </w:rPr>
        <w:t>m (£1.</w:t>
      </w:r>
      <w:r w:rsidR="009A1135" w:rsidRPr="00A06955">
        <w:rPr>
          <w:lang w:eastAsia="en-GB"/>
        </w:rPr>
        <w:t>3</w:t>
      </w:r>
      <w:r w:rsidRPr="00A06955">
        <w:rPr>
          <w:lang w:eastAsia="en-GB"/>
        </w:rPr>
        <w:t>m in 201</w:t>
      </w:r>
      <w:r w:rsidR="009A1135" w:rsidRPr="00A06955">
        <w:rPr>
          <w:lang w:eastAsia="en-GB"/>
        </w:rPr>
        <w:t>3</w:t>
      </w:r>
      <w:r w:rsidRPr="00A06955">
        <w:rPr>
          <w:lang w:eastAsia="en-GB"/>
        </w:rPr>
        <w:t>/1</w:t>
      </w:r>
      <w:r w:rsidR="009A1135" w:rsidRPr="00A06955">
        <w:rPr>
          <w:lang w:eastAsia="en-GB"/>
        </w:rPr>
        <w:t>4</w:t>
      </w:r>
      <w:r w:rsidRPr="00A06955">
        <w:rPr>
          <w:lang w:eastAsia="en-GB"/>
        </w:rPr>
        <w:t xml:space="preserve">). Details of the allowances paid can be found via the council's website: </w:t>
      </w:r>
      <w:hyperlink r:id="rId21" w:history="1">
        <w:r w:rsidRPr="00A06955">
          <w:rPr>
            <w:lang w:eastAsia="en-GB"/>
          </w:rPr>
          <w:t>www.lancashire.gov.uk</w:t>
        </w:r>
      </w:hyperlink>
    </w:p>
    <w:p w14:paraId="1909040D" w14:textId="39E5A236" w:rsidR="000D2C8B" w:rsidRDefault="000D2C8B" w:rsidP="0075798A">
      <w:pPr>
        <w:pStyle w:val="Heading2"/>
        <w:sectPr w:rsidR="000D2C8B" w:rsidSect="00771B22">
          <w:footerReference w:type="default" r:id="rId22"/>
          <w:pgSz w:w="11900" w:h="16840" w:code="9"/>
          <w:pgMar w:top="720" w:right="720" w:bottom="720" w:left="720" w:header="284" w:footer="284" w:gutter="0"/>
          <w:cols w:space="292"/>
          <w:docGrid w:linePitch="326"/>
        </w:sectPr>
      </w:pPr>
    </w:p>
    <w:p w14:paraId="0BAAA721" w14:textId="585A91C5" w:rsidR="0075798A" w:rsidRPr="00A06955" w:rsidRDefault="00246A2C" w:rsidP="0075798A">
      <w:pPr>
        <w:pStyle w:val="Heading2"/>
      </w:pPr>
      <w:r>
        <w:lastRenderedPageBreak/>
        <w:t>18. Senior officers' remuneration</w:t>
      </w:r>
    </w:p>
    <w:p w14:paraId="2CDA61B3" w14:textId="77777777" w:rsidR="00642E92" w:rsidRPr="00A06955" w:rsidRDefault="00642E92" w:rsidP="00642E92">
      <w:pPr>
        <w:rPr>
          <w:b/>
          <w:lang w:eastAsia="en-GB"/>
        </w:rPr>
      </w:pPr>
      <w:r w:rsidRPr="00A06955">
        <w:rPr>
          <w:b/>
          <w:lang w:eastAsia="en-GB"/>
        </w:rPr>
        <w:t>Disclosure of senior officers' remuneration 2014/15: Salaries over £150k</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1"/>
        <w:gridCol w:w="1740"/>
        <w:gridCol w:w="1740"/>
        <w:gridCol w:w="1740"/>
        <w:gridCol w:w="1583"/>
        <w:gridCol w:w="1897"/>
        <w:gridCol w:w="1823"/>
        <w:gridCol w:w="1896"/>
      </w:tblGrid>
      <w:tr w:rsidR="000D2C8B" w:rsidRPr="00747B0B" w14:paraId="2142DC7C" w14:textId="77777777" w:rsidTr="00A06955">
        <w:trPr>
          <w:trHeight w:val="369"/>
          <w:tblHeader/>
        </w:trPr>
        <w:tc>
          <w:tcPr>
            <w:tcW w:w="965" w:type="pct"/>
            <w:shd w:val="clear" w:color="auto" w:fill="D0CECE"/>
            <w:vAlign w:val="bottom"/>
          </w:tcPr>
          <w:p w14:paraId="50E2D928" w14:textId="77777777" w:rsidR="000D2C8B" w:rsidRPr="00747B0B" w:rsidRDefault="000D2C8B" w:rsidP="005B29BD">
            <w:pPr>
              <w:jc w:val="center"/>
              <w:rPr>
                <w:b/>
                <w:color w:val="auto"/>
                <w:sz w:val="20"/>
                <w:szCs w:val="20"/>
                <w:highlight w:val="yellow"/>
              </w:rPr>
            </w:pPr>
            <w:r w:rsidRPr="00A06955">
              <w:rPr>
                <w:b/>
                <w:color w:val="auto"/>
                <w:sz w:val="20"/>
                <w:szCs w:val="20"/>
              </w:rPr>
              <w:t>Post, Title and Name</w:t>
            </w:r>
          </w:p>
        </w:tc>
        <w:tc>
          <w:tcPr>
            <w:tcW w:w="565" w:type="pct"/>
            <w:shd w:val="clear" w:color="auto" w:fill="D0CECE"/>
          </w:tcPr>
          <w:p w14:paraId="61B711BB" w14:textId="77777777" w:rsidR="000D2C8B" w:rsidRDefault="000D2C8B" w:rsidP="005B29BD">
            <w:pPr>
              <w:jc w:val="center"/>
              <w:rPr>
                <w:b/>
                <w:color w:val="auto"/>
                <w:sz w:val="20"/>
                <w:szCs w:val="20"/>
              </w:rPr>
            </w:pPr>
          </w:p>
          <w:p w14:paraId="1AAE8ADC" w14:textId="77777777" w:rsidR="000D2C8B" w:rsidRDefault="000D2C8B" w:rsidP="005B29BD">
            <w:pPr>
              <w:jc w:val="center"/>
              <w:rPr>
                <w:b/>
                <w:color w:val="auto"/>
                <w:sz w:val="20"/>
                <w:szCs w:val="20"/>
              </w:rPr>
            </w:pPr>
          </w:p>
          <w:p w14:paraId="2108EFFB" w14:textId="47301550" w:rsidR="000D2C8B" w:rsidRPr="000D2C8B" w:rsidRDefault="000D2C8B" w:rsidP="005B29BD">
            <w:pPr>
              <w:jc w:val="center"/>
              <w:rPr>
                <w:b/>
                <w:color w:val="auto"/>
                <w:sz w:val="20"/>
                <w:szCs w:val="20"/>
              </w:rPr>
            </w:pPr>
            <w:r>
              <w:rPr>
                <w:b/>
                <w:color w:val="auto"/>
                <w:sz w:val="20"/>
                <w:szCs w:val="20"/>
              </w:rPr>
              <w:t>WTE Salary as Chief Executive</w:t>
            </w:r>
          </w:p>
        </w:tc>
        <w:tc>
          <w:tcPr>
            <w:tcW w:w="565" w:type="pct"/>
            <w:shd w:val="clear" w:color="auto" w:fill="D0CECE"/>
          </w:tcPr>
          <w:p w14:paraId="13124E6A" w14:textId="77777777" w:rsidR="000D2C8B" w:rsidRDefault="000D2C8B" w:rsidP="005B29BD">
            <w:pPr>
              <w:jc w:val="center"/>
              <w:rPr>
                <w:b/>
                <w:color w:val="auto"/>
                <w:sz w:val="20"/>
                <w:szCs w:val="20"/>
              </w:rPr>
            </w:pPr>
          </w:p>
          <w:p w14:paraId="4056FBA5" w14:textId="77777777" w:rsidR="000D2C8B" w:rsidRDefault="000D2C8B" w:rsidP="005B29BD">
            <w:pPr>
              <w:jc w:val="center"/>
              <w:rPr>
                <w:b/>
                <w:color w:val="auto"/>
                <w:sz w:val="20"/>
                <w:szCs w:val="20"/>
              </w:rPr>
            </w:pPr>
          </w:p>
          <w:p w14:paraId="3358C89C" w14:textId="6400B930" w:rsidR="000D2C8B" w:rsidRPr="000D2C8B" w:rsidRDefault="000D2C8B" w:rsidP="005B29BD">
            <w:pPr>
              <w:jc w:val="center"/>
              <w:rPr>
                <w:b/>
                <w:color w:val="auto"/>
                <w:sz w:val="20"/>
                <w:szCs w:val="20"/>
              </w:rPr>
            </w:pPr>
            <w:r>
              <w:rPr>
                <w:b/>
                <w:color w:val="auto"/>
                <w:sz w:val="20"/>
                <w:szCs w:val="20"/>
              </w:rPr>
              <w:t>Period Salary Paid in Months</w:t>
            </w:r>
          </w:p>
        </w:tc>
        <w:tc>
          <w:tcPr>
            <w:tcW w:w="565" w:type="pct"/>
            <w:shd w:val="clear" w:color="auto" w:fill="D0CECE"/>
            <w:vAlign w:val="bottom"/>
          </w:tcPr>
          <w:p w14:paraId="29B1B829" w14:textId="79D67523" w:rsidR="000D2C8B" w:rsidRPr="00747B0B" w:rsidRDefault="000D2C8B" w:rsidP="005B29BD">
            <w:pPr>
              <w:jc w:val="center"/>
              <w:rPr>
                <w:b/>
                <w:color w:val="auto"/>
                <w:sz w:val="20"/>
                <w:szCs w:val="20"/>
                <w:highlight w:val="yellow"/>
              </w:rPr>
            </w:pPr>
            <w:r w:rsidRPr="00A06955">
              <w:rPr>
                <w:b/>
                <w:color w:val="auto"/>
                <w:sz w:val="20"/>
                <w:szCs w:val="20"/>
              </w:rPr>
              <w:t>Salary (including fees and allowances)</w:t>
            </w:r>
          </w:p>
        </w:tc>
        <w:tc>
          <w:tcPr>
            <w:tcW w:w="514" w:type="pct"/>
            <w:shd w:val="clear" w:color="auto" w:fill="D0CECE"/>
            <w:vAlign w:val="bottom"/>
          </w:tcPr>
          <w:p w14:paraId="21F2D490" w14:textId="6F429A4C" w:rsidR="000D2C8B" w:rsidRPr="00747B0B" w:rsidRDefault="000D2C8B" w:rsidP="00EC22C9">
            <w:pPr>
              <w:jc w:val="center"/>
              <w:rPr>
                <w:b/>
                <w:color w:val="auto"/>
                <w:sz w:val="20"/>
                <w:szCs w:val="20"/>
                <w:highlight w:val="yellow"/>
                <w:vertAlign w:val="superscript"/>
              </w:rPr>
            </w:pPr>
            <w:r w:rsidRPr="00A06955">
              <w:rPr>
                <w:b/>
                <w:color w:val="auto"/>
                <w:sz w:val="20"/>
                <w:szCs w:val="20"/>
              </w:rPr>
              <w:t xml:space="preserve"> Benefits In Kind</w:t>
            </w:r>
          </w:p>
        </w:tc>
        <w:tc>
          <w:tcPr>
            <w:tcW w:w="616" w:type="pct"/>
            <w:shd w:val="clear" w:color="auto" w:fill="D0CECE"/>
            <w:vAlign w:val="bottom"/>
          </w:tcPr>
          <w:p w14:paraId="7BD15FB7" w14:textId="34B52029" w:rsidR="000D2C8B" w:rsidRPr="00747B0B" w:rsidRDefault="000D2C8B" w:rsidP="005B29BD">
            <w:pPr>
              <w:jc w:val="center"/>
              <w:rPr>
                <w:b/>
                <w:color w:val="auto"/>
                <w:sz w:val="20"/>
                <w:szCs w:val="20"/>
                <w:highlight w:val="yellow"/>
              </w:rPr>
            </w:pPr>
            <w:r w:rsidRPr="00A06955">
              <w:rPr>
                <w:b/>
                <w:color w:val="auto"/>
                <w:sz w:val="20"/>
                <w:szCs w:val="20"/>
              </w:rPr>
              <w:t xml:space="preserve">Total Remuneration </w:t>
            </w:r>
            <w:r>
              <w:rPr>
                <w:b/>
                <w:color w:val="auto"/>
                <w:sz w:val="20"/>
                <w:szCs w:val="20"/>
              </w:rPr>
              <w:t>(</w:t>
            </w:r>
            <w:r w:rsidRPr="00A06955">
              <w:rPr>
                <w:b/>
                <w:color w:val="auto"/>
                <w:sz w:val="20"/>
                <w:szCs w:val="20"/>
              </w:rPr>
              <w:t>excluding pension contributions</w:t>
            </w:r>
            <w:r>
              <w:rPr>
                <w:b/>
                <w:color w:val="auto"/>
                <w:sz w:val="20"/>
                <w:szCs w:val="20"/>
              </w:rPr>
              <w:t>)</w:t>
            </w:r>
          </w:p>
        </w:tc>
        <w:tc>
          <w:tcPr>
            <w:tcW w:w="592" w:type="pct"/>
            <w:shd w:val="clear" w:color="auto" w:fill="D0CECE"/>
            <w:vAlign w:val="bottom"/>
          </w:tcPr>
          <w:p w14:paraId="2A51F3A8" w14:textId="77777777" w:rsidR="000D2C8B" w:rsidRPr="00747B0B" w:rsidRDefault="000D2C8B" w:rsidP="005B29BD">
            <w:pPr>
              <w:jc w:val="center"/>
              <w:rPr>
                <w:b/>
                <w:color w:val="auto"/>
                <w:sz w:val="20"/>
                <w:szCs w:val="20"/>
                <w:highlight w:val="yellow"/>
              </w:rPr>
            </w:pPr>
            <w:r w:rsidRPr="00A06955">
              <w:rPr>
                <w:b/>
                <w:color w:val="auto"/>
                <w:sz w:val="20"/>
                <w:szCs w:val="20"/>
              </w:rPr>
              <w:t>Pension Contributions</w:t>
            </w:r>
          </w:p>
        </w:tc>
        <w:tc>
          <w:tcPr>
            <w:tcW w:w="616" w:type="pct"/>
            <w:shd w:val="clear" w:color="auto" w:fill="D0CECE"/>
            <w:vAlign w:val="bottom"/>
          </w:tcPr>
          <w:p w14:paraId="24FD3765" w14:textId="0A46CA79" w:rsidR="000D2C8B" w:rsidRPr="00747B0B" w:rsidRDefault="000D2C8B" w:rsidP="005B29BD">
            <w:pPr>
              <w:jc w:val="center"/>
              <w:rPr>
                <w:b/>
                <w:color w:val="auto"/>
                <w:sz w:val="20"/>
                <w:szCs w:val="20"/>
                <w:highlight w:val="yellow"/>
              </w:rPr>
            </w:pPr>
            <w:r w:rsidRPr="00A06955">
              <w:rPr>
                <w:b/>
                <w:color w:val="auto"/>
                <w:sz w:val="20"/>
                <w:szCs w:val="20"/>
              </w:rPr>
              <w:t xml:space="preserve">Total Remuneration </w:t>
            </w:r>
            <w:r w:rsidR="004D7DC4">
              <w:rPr>
                <w:b/>
                <w:color w:val="auto"/>
                <w:sz w:val="20"/>
                <w:szCs w:val="20"/>
              </w:rPr>
              <w:t>(</w:t>
            </w:r>
            <w:r w:rsidRPr="00A06955">
              <w:rPr>
                <w:b/>
                <w:color w:val="auto"/>
                <w:sz w:val="20"/>
                <w:szCs w:val="20"/>
              </w:rPr>
              <w:t>including pension contributions</w:t>
            </w:r>
            <w:r w:rsidR="004D7DC4">
              <w:rPr>
                <w:b/>
                <w:color w:val="auto"/>
                <w:sz w:val="20"/>
                <w:szCs w:val="20"/>
              </w:rPr>
              <w:t>)</w:t>
            </w:r>
          </w:p>
        </w:tc>
      </w:tr>
      <w:tr w:rsidR="000D2C8B" w:rsidRPr="00747B0B" w14:paraId="71B69A52" w14:textId="77777777" w:rsidTr="00A06955">
        <w:trPr>
          <w:trHeight w:val="369"/>
          <w:tblHeader/>
        </w:trPr>
        <w:tc>
          <w:tcPr>
            <w:tcW w:w="965" w:type="pct"/>
            <w:shd w:val="clear" w:color="auto" w:fill="D0CECE"/>
            <w:vAlign w:val="bottom"/>
          </w:tcPr>
          <w:p w14:paraId="1D113CC4" w14:textId="77777777" w:rsidR="000D2C8B" w:rsidRPr="00A06955" w:rsidRDefault="000D2C8B" w:rsidP="005B29BD">
            <w:pPr>
              <w:jc w:val="left"/>
              <w:rPr>
                <w:color w:val="auto"/>
                <w:sz w:val="20"/>
                <w:szCs w:val="20"/>
              </w:rPr>
            </w:pPr>
          </w:p>
        </w:tc>
        <w:tc>
          <w:tcPr>
            <w:tcW w:w="565" w:type="pct"/>
            <w:shd w:val="clear" w:color="auto" w:fill="D0CECE"/>
          </w:tcPr>
          <w:p w14:paraId="4DE37AA5" w14:textId="3511E9DF" w:rsidR="000D2C8B" w:rsidRPr="000D2C8B" w:rsidRDefault="000D2C8B" w:rsidP="005B29BD">
            <w:pPr>
              <w:jc w:val="center"/>
              <w:rPr>
                <w:b/>
                <w:color w:val="auto"/>
                <w:sz w:val="20"/>
                <w:szCs w:val="20"/>
              </w:rPr>
            </w:pPr>
            <w:r>
              <w:rPr>
                <w:b/>
                <w:color w:val="auto"/>
                <w:sz w:val="20"/>
                <w:szCs w:val="20"/>
              </w:rPr>
              <w:t>£</w:t>
            </w:r>
          </w:p>
        </w:tc>
        <w:tc>
          <w:tcPr>
            <w:tcW w:w="565" w:type="pct"/>
            <w:shd w:val="clear" w:color="auto" w:fill="D0CECE"/>
          </w:tcPr>
          <w:p w14:paraId="6B739692" w14:textId="77777777" w:rsidR="000D2C8B" w:rsidRPr="000D2C8B" w:rsidRDefault="000D2C8B" w:rsidP="005B29BD">
            <w:pPr>
              <w:jc w:val="center"/>
              <w:rPr>
                <w:b/>
                <w:color w:val="auto"/>
                <w:sz w:val="20"/>
                <w:szCs w:val="20"/>
              </w:rPr>
            </w:pPr>
          </w:p>
        </w:tc>
        <w:tc>
          <w:tcPr>
            <w:tcW w:w="565" w:type="pct"/>
            <w:shd w:val="clear" w:color="auto" w:fill="D0CECE"/>
            <w:vAlign w:val="bottom"/>
          </w:tcPr>
          <w:p w14:paraId="3954FC20" w14:textId="7014DD1D" w:rsidR="000D2C8B" w:rsidRPr="00A06955" w:rsidRDefault="000D2C8B" w:rsidP="005B29BD">
            <w:pPr>
              <w:jc w:val="center"/>
              <w:rPr>
                <w:b/>
                <w:color w:val="auto"/>
                <w:sz w:val="20"/>
                <w:szCs w:val="20"/>
              </w:rPr>
            </w:pPr>
            <w:r w:rsidRPr="00A06955">
              <w:rPr>
                <w:b/>
                <w:color w:val="auto"/>
                <w:sz w:val="20"/>
                <w:szCs w:val="20"/>
              </w:rPr>
              <w:t>£</w:t>
            </w:r>
          </w:p>
        </w:tc>
        <w:tc>
          <w:tcPr>
            <w:tcW w:w="514" w:type="pct"/>
            <w:shd w:val="clear" w:color="auto" w:fill="D0CECE"/>
            <w:vAlign w:val="bottom"/>
          </w:tcPr>
          <w:p w14:paraId="0C593810" w14:textId="77777777" w:rsidR="000D2C8B" w:rsidRPr="00A06955" w:rsidRDefault="000D2C8B" w:rsidP="005B29BD">
            <w:pPr>
              <w:jc w:val="center"/>
              <w:rPr>
                <w:b/>
                <w:color w:val="auto"/>
                <w:sz w:val="20"/>
                <w:szCs w:val="20"/>
              </w:rPr>
            </w:pPr>
            <w:r w:rsidRPr="00A06955">
              <w:rPr>
                <w:b/>
                <w:color w:val="auto"/>
                <w:sz w:val="20"/>
                <w:szCs w:val="20"/>
              </w:rPr>
              <w:t>£</w:t>
            </w:r>
          </w:p>
        </w:tc>
        <w:tc>
          <w:tcPr>
            <w:tcW w:w="616" w:type="pct"/>
            <w:shd w:val="clear" w:color="auto" w:fill="D0CECE"/>
            <w:vAlign w:val="bottom"/>
          </w:tcPr>
          <w:p w14:paraId="55C86885" w14:textId="77777777" w:rsidR="000D2C8B" w:rsidRPr="00A06955" w:rsidRDefault="000D2C8B" w:rsidP="005B29BD">
            <w:pPr>
              <w:jc w:val="center"/>
              <w:rPr>
                <w:b/>
                <w:color w:val="auto"/>
                <w:sz w:val="20"/>
                <w:szCs w:val="20"/>
              </w:rPr>
            </w:pPr>
            <w:r w:rsidRPr="00A06955">
              <w:rPr>
                <w:b/>
                <w:color w:val="auto"/>
                <w:sz w:val="20"/>
                <w:szCs w:val="20"/>
              </w:rPr>
              <w:t>£</w:t>
            </w:r>
          </w:p>
        </w:tc>
        <w:tc>
          <w:tcPr>
            <w:tcW w:w="592" w:type="pct"/>
            <w:shd w:val="clear" w:color="auto" w:fill="D0CECE"/>
            <w:vAlign w:val="bottom"/>
          </w:tcPr>
          <w:p w14:paraId="045EA4B1" w14:textId="77777777" w:rsidR="000D2C8B" w:rsidRPr="00A06955" w:rsidRDefault="000D2C8B" w:rsidP="005B29BD">
            <w:pPr>
              <w:jc w:val="center"/>
              <w:rPr>
                <w:b/>
                <w:color w:val="auto"/>
                <w:sz w:val="20"/>
                <w:szCs w:val="20"/>
              </w:rPr>
            </w:pPr>
            <w:r w:rsidRPr="00A06955">
              <w:rPr>
                <w:b/>
                <w:color w:val="auto"/>
                <w:sz w:val="20"/>
                <w:szCs w:val="20"/>
              </w:rPr>
              <w:t>£</w:t>
            </w:r>
          </w:p>
        </w:tc>
        <w:tc>
          <w:tcPr>
            <w:tcW w:w="616" w:type="pct"/>
            <w:shd w:val="clear" w:color="auto" w:fill="D0CECE"/>
            <w:vAlign w:val="bottom"/>
          </w:tcPr>
          <w:p w14:paraId="3DE0BCC5" w14:textId="77777777" w:rsidR="000D2C8B" w:rsidRPr="00A06955" w:rsidRDefault="000D2C8B" w:rsidP="005B29BD">
            <w:pPr>
              <w:jc w:val="center"/>
              <w:rPr>
                <w:b/>
                <w:color w:val="auto"/>
                <w:sz w:val="20"/>
                <w:szCs w:val="20"/>
              </w:rPr>
            </w:pPr>
            <w:r w:rsidRPr="00A06955">
              <w:rPr>
                <w:b/>
                <w:color w:val="auto"/>
                <w:sz w:val="20"/>
                <w:szCs w:val="20"/>
              </w:rPr>
              <w:t>£</w:t>
            </w:r>
          </w:p>
        </w:tc>
      </w:tr>
      <w:tr w:rsidR="000D2C8B" w:rsidRPr="00747B0B" w14:paraId="0DEE422D" w14:textId="77777777" w:rsidTr="00A06955">
        <w:trPr>
          <w:trHeight w:val="369"/>
        </w:trPr>
        <w:tc>
          <w:tcPr>
            <w:tcW w:w="965" w:type="pct"/>
            <w:shd w:val="clear" w:color="auto" w:fill="auto"/>
            <w:vAlign w:val="center"/>
          </w:tcPr>
          <w:p w14:paraId="054B23F1" w14:textId="77777777" w:rsidR="000D2C8B" w:rsidRPr="00A06955" w:rsidRDefault="000D2C8B" w:rsidP="00A06955">
            <w:pPr>
              <w:jc w:val="center"/>
              <w:rPr>
                <w:color w:val="auto"/>
                <w:sz w:val="20"/>
                <w:szCs w:val="20"/>
              </w:rPr>
            </w:pPr>
            <w:r w:rsidRPr="00A06955">
              <w:rPr>
                <w:color w:val="auto"/>
                <w:sz w:val="20"/>
                <w:szCs w:val="20"/>
              </w:rPr>
              <w:t>Chief Executive - J Turton</w:t>
            </w:r>
          </w:p>
        </w:tc>
        <w:tc>
          <w:tcPr>
            <w:tcW w:w="565" w:type="pct"/>
          </w:tcPr>
          <w:p w14:paraId="29364801" w14:textId="0B45E296" w:rsidR="000D2C8B" w:rsidRPr="000D2C8B" w:rsidDel="00C868B0" w:rsidRDefault="000D2C8B">
            <w:pPr>
              <w:tabs>
                <w:tab w:val="decimal" w:pos="743"/>
              </w:tabs>
              <w:jc w:val="center"/>
              <w:rPr>
                <w:color w:val="auto"/>
                <w:sz w:val="20"/>
                <w:szCs w:val="20"/>
              </w:rPr>
            </w:pPr>
            <w:r>
              <w:rPr>
                <w:color w:val="auto"/>
                <w:sz w:val="20"/>
                <w:szCs w:val="20"/>
              </w:rPr>
              <w:t>170,000</w:t>
            </w:r>
          </w:p>
        </w:tc>
        <w:tc>
          <w:tcPr>
            <w:tcW w:w="565" w:type="pct"/>
          </w:tcPr>
          <w:p w14:paraId="40143160" w14:textId="0ACD54E3" w:rsidR="000D2C8B" w:rsidRPr="000D2C8B" w:rsidDel="00C868B0" w:rsidRDefault="000D2C8B" w:rsidP="000D2C8B">
            <w:pPr>
              <w:tabs>
                <w:tab w:val="decimal" w:pos="279"/>
              </w:tabs>
              <w:jc w:val="center"/>
              <w:rPr>
                <w:color w:val="auto"/>
                <w:sz w:val="20"/>
                <w:szCs w:val="20"/>
              </w:rPr>
            </w:pPr>
            <w:r>
              <w:rPr>
                <w:color w:val="auto"/>
                <w:sz w:val="20"/>
                <w:szCs w:val="20"/>
              </w:rPr>
              <w:t>12</w:t>
            </w:r>
          </w:p>
        </w:tc>
        <w:tc>
          <w:tcPr>
            <w:tcW w:w="565" w:type="pct"/>
            <w:shd w:val="clear" w:color="auto" w:fill="auto"/>
            <w:vAlign w:val="center"/>
          </w:tcPr>
          <w:p w14:paraId="2EAE9A9C" w14:textId="3100EBDD" w:rsidR="000D2C8B" w:rsidRPr="00A06955" w:rsidRDefault="000D2C8B" w:rsidP="00A06955">
            <w:pPr>
              <w:tabs>
                <w:tab w:val="decimal" w:pos="743"/>
              </w:tabs>
              <w:jc w:val="center"/>
              <w:rPr>
                <w:color w:val="auto"/>
                <w:sz w:val="20"/>
                <w:szCs w:val="20"/>
              </w:rPr>
            </w:pPr>
            <w:r w:rsidRPr="00A06955">
              <w:rPr>
                <w:color w:val="auto"/>
                <w:sz w:val="20"/>
                <w:szCs w:val="20"/>
              </w:rPr>
              <w:t>170,000</w:t>
            </w:r>
          </w:p>
        </w:tc>
        <w:tc>
          <w:tcPr>
            <w:tcW w:w="514" w:type="pct"/>
            <w:vAlign w:val="center"/>
          </w:tcPr>
          <w:p w14:paraId="7B6E2624" w14:textId="0B653F86" w:rsidR="000D2C8B" w:rsidRPr="00A06955" w:rsidRDefault="000D2C8B" w:rsidP="00A06955">
            <w:pPr>
              <w:tabs>
                <w:tab w:val="decimal" w:pos="744"/>
              </w:tabs>
              <w:jc w:val="center"/>
              <w:rPr>
                <w:color w:val="auto"/>
                <w:sz w:val="20"/>
                <w:szCs w:val="20"/>
              </w:rPr>
            </w:pPr>
            <w:r w:rsidRPr="00A06955">
              <w:rPr>
                <w:color w:val="auto"/>
                <w:sz w:val="20"/>
                <w:szCs w:val="20"/>
              </w:rPr>
              <w:t>5,848</w:t>
            </w:r>
          </w:p>
        </w:tc>
        <w:tc>
          <w:tcPr>
            <w:tcW w:w="616" w:type="pct"/>
            <w:vAlign w:val="center"/>
          </w:tcPr>
          <w:p w14:paraId="4BBA1A41" w14:textId="4642C109" w:rsidR="000D2C8B" w:rsidRPr="00A06955" w:rsidRDefault="000D2C8B" w:rsidP="00A06955">
            <w:pPr>
              <w:tabs>
                <w:tab w:val="decimal" w:pos="767"/>
              </w:tabs>
              <w:jc w:val="center"/>
              <w:rPr>
                <w:color w:val="auto"/>
                <w:sz w:val="20"/>
                <w:szCs w:val="20"/>
              </w:rPr>
            </w:pPr>
            <w:r w:rsidRPr="00A06955">
              <w:rPr>
                <w:color w:val="auto"/>
                <w:sz w:val="20"/>
                <w:szCs w:val="20"/>
              </w:rPr>
              <w:t>175,848</w:t>
            </w:r>
          </w:p>
        </w:tc>
        <w:tc>
          <w:tcPr>
            <w:tcW w:w="592" w:type="pct"/>
            <w:shd w:val="clear" w:color="auto" w:fill="auto"/>
            <w:vAlign w:val="center"/>
          </w:tcPr>
          <w:p w14:paraId="3D8E0E19" w14:textId="09F44972" w:rsidR="000D2C8B" w:rsidRPr="00A06955" w:rsidRDefault="000D2C8B" w:rsidP="00A06955">
            <w:pPr>
              <w:tabs>
                <w:tab w:val="decimal" w:pos="785"/>
              </w:tabs>
              <w:jc w:val="center"/>
              <w:rPr>
                <w:color w:val="auto"/>
                <w:sz w:val="20"/>
                <w:szCs w:val="20"/>
              </w:rPr>
            </w:pPr>
            <w:r w:rsidRPr="00A06955">
              <w:rPr>
                <w:color w:val="auto"/>
                <w:sz w:val="20"/>
                <w:szCs w:val="20"/>
              </w:rPr>
              <w:t>21,420</w:t>
            </w:r>
          </w:p>
        </w:tc>
        <w:tc>
          <w:tcPr>
            <w:tcW w:w="616" w:type="pct"/>
            <w:shd w:val="clear" w:color="auto" w:fill="auto"/>
            <w:vAlign w:val="center"/>
          </w:tcPr>
          <w:p w14:paraId="0DBFB0CC" w14:textId="7BB23F5A" w:rsidR="000D2C8B" w:rsidRPr="00A06955" w:rsidRDefault="000D2C8B" w:rsidP="00A06955">
            <w:pPr>
              <w:tabs>
                <w:tab w:val="decimal" w:pos="884"/>
              </w:tabs>
              <w:jc w:val="center"/>
              <w:rPr>
                <w:color w:val="auto"/>
                <w:sz w:val="20"/>
                <w:szCs w:val="20"/>
              </w:rPr>
            </w:pPr>
            <w:r w:rsidRPr="00A06955">
              <w:rPr>
                <w:color w:val="auto"/>
                <w:sz w:val="20"/>
                <w:szCs w:val="20"/>
              </w:rPr>
              <w:t>197,268</w:t>
            </w:r>
          </w:p>
        </w:tc>
      </w:tr>
    </w:tbl>
    <w:p w14:paraId="6A8BDB47" w14:textId="77777777" w:rsidR="00642E92" w:rsidRDefault="00642E92" w:rsidP="0075798A">
      <w:pPr>
        <w:rPr>
          <w:b/>
          <w:szCs w:val="22"/>
        </w:rPr>
      </w:pPr>
    </w:p>
    <w:p w14:paraId="12681999" w14:textId="77777777" w:rsidR="00642E92" w:rsidRPr="00A06955" w:rsidRDefault="00642E92" w:rsidP="0075798A">
      <w:pPr>
        <w:rPr>
          <w:b/>
          <w:szCs w:val="22"/>
        </w:rPr>
      </w:pPr>
      <w:r w:rsidRPr="00A06955">
        <w:rPr>
          <w:b/>
          <w:szCs w:val="22"/>
        </w:rPr>
        <w:t>Disclosure of senior officers' remuneration 2013/14: Salaries over £150k</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1"/>
        <w:gridCol w:w="1740"/>
        <w:gridCol w:w="1740"/>
        <w:gridCol w:w="1740"/>
        <w:gridCol w:w="1583"/>
        <w:gridCol w:w="1897"/>
        <w:gridCol w:w="1823"/>
        <w:gridCol w:w="1896"/>
      </w:tblGrid>
      <w:tr w:rsidR="00ED10E0" w:rsidRPr="001378E8" w14:paraId="74F7108A" w14:textId="77777777" w:rsidTr="00A06955">
        <w:trPr>
          <w:trHeight w:val="369"/>
          <w:tblHeader/>
        </w:trPr>
        <w:tc>
          <w:tcPr>
            <w:tcW w:w="965" w:type="pct"/>
            <w:shd w:val="clear" w:color="auto" w:fill="D0CECE"/>
            <w:vAlign w:val="bottom"/>
          </w:tcPr>
          <w:p w14:paraId="3EAABE27" w14:textId="77777777" w:rsidR="00ED10E0" w:rsidRPr="001378E8" w:rsidRDefault="00ED10E0" w:rsidP="005B29BD">
            <w:pPr>
              <w:jc w:val="center"/>
              <w:rPr>
                <w:b/>
                <w:color w:val="auto"/>
                <w:sz w:val="20"/>
                <w:szCs w:val="20"/>
                <w:highlight w:val="yellow"/>
              </w:rPr>
            </w:pPr>
            <w:r w:rsidRPr="00A06955">
              <w:rPr>
                <w:b/>
                <w:color w:val="auto"/>
                <w:sz w:val="20"/>
                <w:szCs w:val="20"/>
              </w:rPr>
              <w:t>Post, Title and Name</w:t>
            </w:r>
          </w:p>
        </w:tc>
        <w:tc>
          <w:tcPr>
            <w:tcW w:w="565" w:type="pct"/>
            <w:shd w:val="clear" w:color="auto" w:fill="D0CECE"/>
          </w:tcPr>
          <w:p w14:paraId="411AE368" w14:textId="77777777" w:rsidR="00ED10E0" w:rsidRDefault="00ED10E0" w:rsidP="005B29BD">
            <w:pPr>
              <w:jc w:val="center"/>
              <w:rPr>
                <w:b/>
                <w:color w:val="auto"/>
                <w:sz w:val="20"/>
                <w:szCs w:val="20"/>
              </w:rPr>
            </w:pPr>
          </w:p>
          <w:p w14:paraId="3F92E32D" w14:textId="77777777" w:rsidR="00ED10E0" w:rsidRDefault="00ED10E0" w:rsidP="005B29BD">
            <w:pPr>
              <w:jc w:val="center"/>
              <w:rPr>
                <w:b/>
                <w:color w:val="auto"/>
                <w:sz w:val="20"/>
                <w:szCs w:val="20"/>
              </w:rPr>
            </w:pPr>
          </w:p>
          <w:p w14:paraId="3B4F14F6" w14:textId="0121F963" w:rsidR="00ED10E0" w:rsidRPr="00ED10E0" w:rsidRDefault="00ED10E0" w:rsidP="005B29BD">
            <w:pPr>
              <w:jc w:val="center"/>
              <w:rPr>
                <w:b/>
                <w:color w:val="auto"/>
                <w:sz w:val="20"/>
                <w:szCs w:val="20"/>
              </w:rPr>
            </w:pPr>
            <w:r>
              <w:rPr>
                <w:b/>
                <w:color w:val="auto"/>
                <w:sz w:val="20"/>
                <w:szCs w:val="20"/>
              </w:rPr>
              <w:t>WTE Salary as Chief Executive</w:t>
            </w:r>
          </w:p>
        </w:tc>
        <w:tc>
          <w:tcPr>
            <w:tcW w:w="565" w:type="pct"/>
            <w:shd w:val="clear" w:color="auto" w:fill="D0CECE"/>
          </w:tcPr>
          <w:p w14:paraId="0F68FBBF" w14:textId="77777777" w:rsidR="00ED10E0" w:rsidRDefault="00ED10E0" w:rsidP="005B29BD">
            <w:pPr>
              <w:jc w:val="center"/>
              <w:rPr>
                <w:b/>
                <w:color w:val="auto"/>
                <w:sz w:val="20"/>
                <w:szCs w:val="20"/>
              </w:rPr>
            </w:pPr>
          </w:p>
          <w:p w14:paraId="498E8B61" w14:textId="77777777" w:rsidR="00ED10E0" w:rsidRDefault="00ED10E0" w:rsidP="005B29BD">
            <w:pPr>
              <w:jc w:val="center"/>
              <w:rPr>
                <w:b/>
                <w:color w:val="auto"/>
                <w:sz w:val="20"/>
                <w:szCs w:val="20"/>
              </w:rPr>
            </w:pPr>
          </w:p>
          <w:p w14:paraId="47F7CA23" w14:textId="7C85E808" w:rsidR="00ED10E0" w:rsidRPr="00ED10E0" w:rsidRDefault="00ED10E0" w:rsidP="005B29BD">
            <w:pPr>
              <w:jc w:val="center"/>
              <w:rPr>
                <w:b/>
                <w:color w:val="auto"/>
                <w:sz w:val="20"/>
                <w:szCs w:val="20"/>
              </w:rPr>
            </w:pPr>
            <w:r>
              <w:rPr>
                <w:b/>
                <w:color w:val="auto"/>
                <w:sz w:val="20"/>
                <w:szCs w:val="20"/>
              </w:rPr>
              <w:t>Period Salary Paid in Months</w:t>
            </w:r>
          </w:p>
        </w:tc>
        <w:tc>
          <w:tcPr>
            <w:tcW w:w="565" w:type="pct"/>
            <w:shd w:val="clear" w:color="auto" w:fill="D0CECE"/>
            <w:vAlign w:val="bottom"/>
          </w:tcPr>
          <w:p w14:paraId="374DA128" w14:textId="23BA9521" w:rsidR="00ED10E0" w:rsidRPr="001378E8" w:rsidRDefault="00ED10E0" w:rsidP="005B29BD">
            <w:pPr>
              <w:jc w:val="center"/>
              <w:rPr>
                <w:b/>
                <w:color w:val="auto"/>
                <w:sz w:val="20"/>
                <w:szCs w:val="20"/>
                <w:highlight w:val="yellow"/>
              </w:rPr>
            </w:pPr>
            <w:r w:rsidRPr="00A06955">
              <w:rPr>
                <w:b/>
                <w:color w:val="auto"/>
                <w:sz w:val="20"/>
                <w:szCs w:val="20"/>
              </w:rPr>
              <w:t>Salary (including fees and allowances)</w:t>
            </w:r>
          </w:p>
        </w:tc>
        <w:tc>
          <w:tcPr>
            <w:tcW w:w="514" w:type="pct"/>
            <w:shd w:val="clear" w:color="auto" w:fill="D0CECE"/>
            <w:vAlign w:val="bottom"/>
          </w:tcPr>
          <w:p w14:paraId="382C3DD8" w14:textId="1814CA1B" w:rsidR="00ED10E0" w:rsidRPr="00A06955" w:rsidRDefault="00ED10E0" w:rsidP="00C868B0">
            <w:pPr>
              <w:jc w:val="center"/>
              <w:rPr>
                <w:b/>
                <w:color w:val="auto"/>
                <w:sz w:val="20"/>
                <w:szCs w:val="20"/>
                <w:vertAlign w:val="superscript"/>
              </w:rPr>
            </w:pPr>
            <w:r w:rsidRPr="00A06955">
              <w:rPr>
                <w:b/>
                <w:color w:val="auto"/>
                <w:sz w:val="20"/>
                <w:szCs w:val="20"/>
              </w:rPr>
              <w:t xml:space="preserve"> Benefits In Kind</w:t>
            </w:r>
            <w:r w:rsidRPr="00A06955">
              <w:rPr>
                <w:b/>
                <w:color w:val="auto"/>
                <w:sz w:val="20"/>
                <w:szCs w:val="20"/>
                <w:vertAlign w:val="superscript"/>
              </w:rPr>
              <w:t>1</w:t>
            </w:r>
          </w:p>
        </w:tc>
        <w:tc>
          <w:tcPr>
            <w:tcW w:w="616" w:type="pct"/>
            <w:shd w:val="clear" w:color="auto" w:fill="D0CECE"/>
            <w:vAlign w:val="bottom"/>
          </w:tcPr>
          <w:p w14:paraId="144D57CB" w14:textId="24B0F6F7" w:rsidR="00ED10E0" w:rsidRPr="00A06955" w:rsidRDefault="00ED10E0" w:rsidP="005B29BD">
            <w:pPr>
              <w:jc w:val="center"/>
              <w:rPr>
                <w:b/>
                <w:color w:val="auto"/>
                <w:sz w:val="20"/>
                <w:szCs w:val="20"/>
              </w:rPr>
            </w:pPr>
            <w:r w:rsidRPr="00A06955">
              <w:rPr>
                <w:b/>
                <w:color w:val="auto"/>
                <w:sz w:val="20"/>
                <w:szCs w:val="20"/>
              </w:rPr>
              <w:t xml:space="preserve">Total Remuneration </w:t>
            </w:r>
            <w:r>
              <w:rPr>
                <w:b/>
                <w:color w:val="auto"/>
                <w:sz w:val="20"/>
                <w:szCs w:val="20"/>
              </w:rPr>
              <w:t>(</w:t>
            </w:r>
            <w:r w:rsidRPr="00A06955">
              <w:rPr>
                <w:b/>
                <w:color w:val="auto"/>
                <w:sz w:val="20"/>
                <w:szCs w:val="20"/>
              </w:rPr>
              <w:t>excluding pension contributions</w:t>
            </w:r>
            <w:r>
              <w:rPr>
                <w:b/>
                <w:color w:val="auto"/>
                <w:sz w:val="20"/>
                <w:szCs w:val="20"/>
              </w:rPr>
              <w:t>)</w:t>
            </w:r>
          </w:p>
        </w:tc>
        <w:tc>
          <w:tcPr>
            <w:tcW w:w="592" w:type="pct"/>
            <w:shd w:val="clear" w:color="auto" w:fill="D0CECE"/>
            <w:vAlign w:val="bottom"/>
          </w:tcPr>
          <w:p w14:paraId="762DD5CB" w14:textId="77777777" w:rsidR="00ED10E0" w:rsidRPr="00A06955" w:rsidRDefault="00ED10E0" w:rsidP="005B29BD">
            <w:pPr>
              <w:jc w:val="center"/>
              <w:rPr>
                <w:b/>
                <w:color w:val="auto"/>
                <w:sz w:val="20"/>
                <w:szCs w:val="20"/>
              </w:rPr>
            </w:pPr>
            <w:r w:rsidRPr="00A06955">
              <w:rPr>
                <w:b/>
                <w:color w:val="auto"/>
                <w:sz w:val="20"/>
                <w:szCs w:val="20"/>
              </w:rPr>
              <w:t>Pension Contributions</w:t>
            </w:r>
          </w:p>
        </w:tc>
        <w:tc>
          <w:tcPr>
            <w:tcW w:w="616" w:type="pct"/>
            <w:shd w:val="clear" w:color="auto" w:fill="D0CECE"/>
            <w:vAlign w:val="bottom"/>
          </w:tcPr>
          <w:p w14:paraId="576FBEC9" w14:textId="5E1F29EE" w:rsidR="00ED10E0" w:rsidRPr="00A06955" w:rsidRDefault="00ED10E0" w:rsidP="005B29BD">
            <w:pPr>
              <w:jc w:val="center"/>
              <w:rPr>
                <w:b/>
                <w:color w:val="auto"/>
                <w:sz w:val="20"/>
                <w:szCs w:val="20"/>
              </w:rPr>
            </w:pPr>
            <w:r w:rsidRPr="00A06955">
              <w:rPr>
                <w:b/>
                <w:color w:val="auto"/>
                <w:sz w:val="20"/>
                <w:szCs w:val="20"/>
              </w:rPr>
              <w:t xml:space="preserve">Total Remuneration </w:t>
            </w:r>
            <w:r>
              <w:rPr>
                <w:b/>
                <w:color w:val="auto"/>
                <w:sz w:val="20"/>
                <w:szCs w:val="20"/>
              </w:rPr>
              <w:t>(</w:t>
            </w:r>
            <w:r w:rsidRPr="00A06955">
              <w:rPr>
                <w:b/>
                <w:color w:val="auto"/>
                <w:sz w:val="20"/>
                <w:szCs w:val="20"/>
              </w:rPr>
              <w:t>including pension contributions</w:t>
            </w:r>
            <w:r>
              <w:rPr>
                <w:b/>
                <w:color w:val="auto"/>
                <w:sz w:val="20"/>
                <w:szCs w:val="20"/>
              </w:rPr>
              <w:t>)</w:t>
            </w:r>
          </w:p>
        </w:tc>
      </w:tr>
      <w:tr w:rsidR="00ED10E0" w:rsidRPr="001378E8" w14:paraId="065F5303" w14:textId="77777777" w:rsidTr="00A06955">
        <w:trPr>
          <w:trHeight w:val="369"/>
          <w:tblHeader/>
        </w:trPr>
        <w:tc>
          <w:tcPr>
            <w:tcW w:w="965" w:type="pct"/>
            <w:shd w:val="clear" w:color="auto" w:fill="D0CECE"/>
            <w:vAlign w:val="bottom"/>
          </w:tcPr>
          <w:p w14:paraId="45427113" w14:textId="77777777" w:rsidR="00ED10E0" w:rsidRPr="001378E8" w:rsidRDefault="00ED10E0" w:rsidP="005B29BD">
            <w:pPr>
              <w:jc w:val="left"/>
              <w:rPr>
                <w:color w:val="auto"/>
                <w:sz w:val="20"/>
                <w:szCs w:val="20"/>
                <w:highlight w:val="yellow"/>
              </w:rPr>
            </w:pPr>
          </w:p>
        </w:tc>
        <w:tc>
          <w:tcPr>
            <w:tcW w:w="565" w:type="pct"/>
            <w:shd w:val="clear" w:color="auto" w:fill="D0CECE"/>
          </w:tcPr>
          <w:p w14:paraId="39829073" w14:textId="382370B2" w:rsidR="00ED10E0" w:rsidRPr="00ED10E0" w:rsidRDefault="00ED10E0" w:rsidP="005B29BD">
            <w:pPr>
              <w:jc w:val="center"/>
              <w:rPr>
                <w:b/>
                <w:color w:val="auto"/>
                <w:sz w:val="20"/>
                <w:szCs w:val="20"/>
              </w:rPr>
            </w:pPr>
            <w:r>
              <w:rPr>
                <w:b/>
                <w:color w:val="auto"/>
                <w:sz w:val="20"/>
                <w:szCs w:val="20"/>
              </w:rPr>
              <w:t>£</w:t>
            </w:r>
          </w:p>
        </w:tc>
        <w:tc>
          <w:tcPr>
            <w:tcW w:w="565" w:type="pct"/>
            <w:shd w:val="clear" w:color="auto" w:fill="D0CECE"/>
          </w:tcPr>
          <w:p w14:paraId="46287FF3" w14:textId="66AD7767" w:rsidR="00ED10E0" w:rsidRPr="00ED10E0" w:rsidRDefault="00ED10E0" w:rsidP="005B29BD">
            <w:pPr>
              <w:jc w:val="center"/>
              <w:rPr>
                <w:b/>
                <w:color w:val="auto"/>
                <w:sz w:val="20"/>
                <w:szCs w:val="20"/>
              </w:rPr>
            </w:pPr>
          </w:p>
        </w:tc>
        <w:tc>
          <w:tcPr>
            <w:tcW w:w="565" w:type="pct"/>
            <w:shd w:val="clear" w:color="auto" w:fill="D0CECE"/>
            <w:vAlign w:val="bottom"/>
          </w:tcPr>
          <w:p w14:paraId="20F8B1F5" w14:textId="08126E92" w:rsidR="00ED10E0" w:rsidRPr="00A06955" w:rsidRDefault="00ED10E0" w:rsidP="005B29BD">
            <w:pPr>
              <w:jc w:val="center"/>
              <w:rPr>
                <w:b/>
                <w:color w:val="auto"/>
                <w:sz w:val="20"/>
                <w:szCs w:val="20"/>
              </w:rPr>
            </w:pPr>
            <w:r w:rsidRPr="00A06955">
              <w:rPr>
                <w:b/>
                <w:color w:val="auto"/>
                <w:sz w:val="20"/>
                <w:szCs w:val="20"/>
              </w:rPr>
              <w:t>£</w:t>
            </w:r>
          </w:p>
        </w:tc>
        <w:tc>
          <w:tcPr>
            <w:tcW w:w="514" w:type="pct"/>
            <w:shd w:val="clear" w:color="auto" w:fill="D0CECE"/>
            <w:vAlign w:val="bottom"/>
          </w:tcPr>
          <w:p w14:paraId="7FCFC57D" w14:textId="77777777" w:rsidR="00ED10E0" w:rsidRPr="00A06955" w:rsidRDefault="00ED10E0" w:rsidP="005B29BD">
            <w:pPr>
              <w:jc w:val="center"/>
              <w:rPr>
                <w:b/>
                <w:color w:val="auto"/>
                <w:sz w:val="20"/>
                <w:szCs w:val="20"/>
              </w:rPr>
            </w:pPr>
            <w:r w:rsidRPr="00A06955">
              <w:rPr>
                <w:b/>
                <w:color w:val="auto"/>
                <w:sz w:val="20"/>
                <w:szCs w:val="20"/>
              </w:rPr>
              <w:t>£</w:t>
            </w:r>
          </w:p>
        </w:tc>
        <w:tc>
          <w:tcPr>
            <w:tcW w:w="616" w:type="pct"/>
            <w:shd w:val="clear" w:color="auto" w:fill="D0CECE"/>
            <w:vAlign w:val="bottom"/>
          </w:tcPr>
          <w:p w14:paraId="60D8432B" w14:textId="77777777" w:rsidR="00ED10E0" w:rsidRPr="00A06955" w:rsidRDefault="00ED10E0" w:rsidP="005B29BD">
            <w:pPr>
              <w:jc w:val="center"/>
              <w:rPr>
                <w:b/>
                <w:color w:val="auto"/>
                <w:sz w:val="20"/>
                <w:szCs w:val="20"/>
              </w:rPr>
            </w:pPr>
            <w:r w:rsidRPr="00A06955">
              <w:rPr>
                <w:b/>
                <w:color w:val="auto"/>
                <w:sz w:val="20"/>
                <w:szCs w:val="20"/>
              </w:rPr>
              <w:t>£</w:t>
            </w:r>
          </w:p>
        </w:tc>
        <w:tc>
          <w:tcPr>
            <w:tcW w:w="592" w:type="pct"/>
            <w:shd w:val="clear" w:color="auto" w:fill="D0CECE"/>
            <w:vAlign w:val="bottom"/>
          </w:tcPr>
          <w:p w14:paraId="6395C513" w14:textId="77777777" w:rsidR="00ED10E0" w:rsidRPr="00A06955" w:rsidRDefault="00ED10E0" w:rsidP="005B29BD">
            <w:pPr>
              <w:jc w:val="center"/>
              <w:rPr>
                <w:b/>
                <w:color w:val="auto"/>
                <w:sz w:val="20"/>
                <w:szCs w:val="20"/>
              </w:rPr>
            </w:pPr>
            <w:r w:rsidRPr="00A06955">
              <w:rPr>
                <w:b/>
                <w:color w:val="auto"/>
                <w:sz w:val="20"/>
                <w:szCs w:val="20"/>
              </w:rPr>
              <w:t>£</w:t>
            </w:r>
          </w:p>
        </w:tc>
        <w:tc>
          <w:tcPr>
            <w:tcW w:w="616" w:type="pct"/>
            <w:shd w:val="clear" w:color="auto" w:fill="D0CECE"/>
            <w:vAlign w:val="bottom"/>
          </w:tcPr>
          <w:p w14:paraId="03B65ECB" w14:textId="77777777" w:rsidR="00ED10E0" w:rsidRPr="00A06955" w:rsidRDefault="00ED10E0" w:rsidP="005B29BD">
            <w:pPr>
              <w:jc w:val="center"/>
              <w:rPr>
                <w:b/>
                <w:color w:val="auto"/>
                <w:sz w:val="20"/>
                <w:szCs w:val="20"/>
              </w:rPr>
            </w:pPr>
            <w:r w:rsidRPr="00A06955">
              <w:rPr>
                <w:b/>
                <w:color w:val="auto"/>
                <w:sz w:val="20"/>
                <w:szCs w:val="20"/>
              </w:rPr>
              <w:t>£</w:t>
            </w:r>
          </w:p>
        </w:tc>
      </w:tr>
      <w:tr w:rsidR="00ED10E0" w:rsidRPr="001378E8" w14:paraId="652825D2" w14:textId="77777777" w:rsidTr="00A06955">
        <w:trPr>
          <w:trHeight w:val="369"/>
        </w:trPr>
        <w:tc>
          <w:tcPr>
            <w:tcW w:w="965" w:type="pct"/>
            <w:shd w:val="clear" w:color="auto" w:fill="auto"/>
            <w:vAlign w:val="center"/>
          </w:tcPr>
          <w:p w14:paraId="12005596" w14:textId="77777777" w:rsidR="00ED10E0" w:rsidRPr="001378E8" w:rsidRDefault="00ED10E0">
            <w:pPr>
              <w:jc w:val="left"/>
              <w:rPr>
                <w:color w:val="auto"/>
                <w:sz w:val="20"/>
                <w:szCs w:val="20"/>
                <w:highlight w:val="yellow"/>
                <w:vertAlign w:val="superscript"/>
              </w:rPr>
            </w:pPr>
            <w:r w:rsidRPr="00A06955">
              <w:rPr>
                <w:color w:val="auto"/>
                <w:sz w:val="20"/>
                <w:szCs w:val="20"/>
              </w:rPr>
              <w:t>Chief Executive - J Turton</w:t>
            </w:r>
            <w:r w:rsidRPr="00A06955">
              <w:rPr>
                <w:color w:val="auto"/>
                <w:sz w:val="20"/>
                <w:szCs w:val="20"/>
                <w:vertAlign w:val="superscript"/>
              </w:rPr>
              <w:t>2</w:t>
            </w:r>
          </w:p>
        </w:tc>
        <w:tc>
          <w:tcPr>
            <w:tcW w:w="565" w:type="pct"/>
          </w:tcPr>
          <w:p w14:paraId="64379BC8" w14:textId="6C987882" w:rsidR="00ED10E0" w:rsidRPr="00ED10E0" w:rsidRDefault="00ED10E0">
            <w:pPr>
              <w:tabs>
                <w:tab w:val="decimal" w:pos="1027"/>
              </w:tabs>
              <w:jc w:val="left"/>
              <w:rPr>
                <w:color w:val="auto"/>
                <w:sz w:val="20"/>
                <w:szCs w:val="20"/>
              </w:rPr>
            </w:pPr>
            <w:r>
              <w:rPr>
                <w:color w:val="auto"/>
                <w:sz w:val="20"/>
                <w:szCs w:val="20"/>
              </w:rPr>
              <w:t>170,000</w:t>
            </w:r>
          </w:p>
        </w:tc>
        <w:tc>
          <w:tcPr>
            <w:tcW w:w="565" w:type="pct"/>
          </w:tcPr>
          <w:p w14:paraId="09A06FEF" w14:textId="30540665" w:rsidR="00ED10E0" w:rsidRPr="00ED10E0" w:rsidRDefault="00ED10E0">
            <w:pPr>
              <w:tabs>
                <w:tab w:val="decimal" w:pos="1027"/>
              </w:tabs>
              <w:jc w:val="left"/>
              <w:rPr>
                <w:color w:val="auto"/>
                <w:sz w:val="20"/>
                <w:szCs w:val="20"/>
              </w:rPr>
            </w:pPr>
            <w:r>
              <w:rPr>
                <w:color w:val="auto"/>
                <w:sz w:val="20"/>
                <w:szCs w:val="20"/>
              </w:rPr>
              <w:t>12</w:t>
            </w:r>
          </w:p>
        </w:tc>
        <w:tc>
          <w:tcPr>
            <w:tcW w:w="565" w:type="pct"/>
            <w:shd w:val="clear" w:color="auto" w:fill="auto"/>
            <w:vAlign w:val="center"/>
          </w:tcPr>
          <w:p w14:paraId="31E01783" w14:textId="1AC16DDD" w:rsidR="00ED10E0" w:rsidRPr="00A06955" w:rsidRDefault="00ED10E0" w:rsidP="00A06955">
            <w:pPr>
              <w:tabs>
                <w:tab w:val="decimal" w:pos="1027"/>
              </w:tabs>
              <w:jc w:val="left"/>
              <w:rPr>
                <w:color w:val="auto"/>
                <w:sz w:val="20"/>
                <w:szCs w:val="20"/>
              </w:rPr>
            </w:pPr>
            <w:r w:rsidRPr="00A06955">
              <w:rPr>
                <w:color w:val="auto"/>
                <w:sz w:val="20"/>
                <w:szCs w:val="20"/>
              </w:rPr>
              <w:t>169,242</w:t>
            </w:r>
          </w:p>
        </w:tc>
        <w:tc>
          <w:tcPr>
            <w:tcW w:w="514" w:type="pct"/>
            <w:vAlign w:val="center"/>
          </w:tcPr>
          <w:p w14:paraId="7CF2C305" w14:textId="77777777" w:rsidR="00ED10E0" w:rsidRPr="00A06955" w:rsidRDefault="00ED10E0" w:rsidP="00A06955">
            <w:pPr>
              <w:tabs>
                <w:tab w:val="decimal" w:pos="885"/>
              </w:tabs>
              <w:jc w:val="left"/>
              <w:rPr>
                <w:color w:val="auto"/>
                <w:sz w:val="20"/>
                <w:szCs w:val="20"/>
              </w:rPr>
            </w:pPr>
            <w:r w:rsidRPr="00A06955">
              <w:rPr>
                <w:color w:val="auto"/>
                <w:sz w:val="20"/>
                <w:szCs w:val="20"/>
              </w:rPr>
              <w:t>5,300</w:t>
            </w:r>
          </w:p>
        </w:tc>
        <w:tc>
          <w:tcPr>
            <w:tcW w:w="616" w:type="pct"/>
            <w:vAlign w:val="center"/>
          </w:tcPr>
          <w:p w14:paraId="08308D22" w14:textId="77777777" w:rsidR="00ED10E0" w:rsidRPr="00A06955" w:rsidRDefault="00ED10E0" w:rsidP="00A06955">
            <w:pPr>
              <w:tabs>
                <w:tab w:val="decimal" w:pos="1168"/>
              </w:tabs>
              <w:jc w:val="left"/>
              <w:rPr>
                <w:color w:val="auto"/>
                <w:sz w:val="20"/>
                <w:szCs w:val="20"/>
              </w:rPr>
            </w:pPr>
            <w:r w:rsidRPr="00A06955">
              <w:rPr>
                <w:color w:val="auto"/>
                <w:sz w:val="20"/>
                <w:szCs w:val="20"/>
              </w:rPr>
              <w:t>174,542</w:t>
            </w:r>
          </w:p>
        </w:tc>
        <w:tc>
          <w:tcPr>
            <w:tcW w:w="592" w:type="pct"/>
            <w:shd w:val="clear" w:color="auto" w:fill="auto"/>
            <w:vAlign w:val="center"/>
          </w:tcPr>
          <w:p w14:paraId="49A2FDA2" w14:textId="77777777" w:rsidR="00ED10E0" w:rsidRPr="00A06955" w:rsidRDefault="00ED10E0" w:rsidP="00A06955">
            <w:pPr>
              <w:tabs>
                <w:tab w:val="decimal" w:pos="1026"/>
              </w:tabs>
              <w:jc w:val="left"/>
              <w:rPr>
                <w:color w:val="auto"/>
                <w:sz w:val="20"/>
                <w:szCs w:val="20"/>
              </w:rPr>
            </w:pPr>
            <w:r w:rsidRPr="00A06955">
              <w:rPr>
                <w:color w:val="auto"/>
                <w:sz w:val="20"/>
                <w:szCs w:val="20"/>
              </w:rPr>
              <w:t>32,326</w:t>
            </w:r>
          </w:p>
        </w:tc>
        <w:tc>
          <w:tcPr>
            <w:tcW w:w="616" w:type="pct"/>
            <w:shd w:val="clear" w:color="auto" w:fill="auto"/>
            <w:vAlign w:val="center"/>
          </w:tcPr>
          <w:p w14:paraId="0CE9171B" w14:textId="77777777" w:rsidR="00ED10E0" w:rsidRPr="00A06955" w:rsidRDefault="00ED10E0" w:rsidP="00A06955">
            <w:pPr>
              <w:tabs>
                <w:tab w:val="decimal" w:pos="1168"/>
              </w:tabs>
              <w:jc w:val="left"/>
              <w:rPr>
                <w:color w:val="auto"/>
                <w:sz w:val="20"/>
                <w:szCs w:val="20"/>
              </w:rPr>
            </w:pPr>
            <w:r w:rsidRPr="00A06955">
              <w:rPr>
                <w:color w:val="auto"/>
                <w:sz w:val="20"/>
                <w:szCs w:val="20"/>
              </w:rPr>
              <w:t>206,868</w:t>
            </w:r>
          </w:p>
        </w:tc>
      </w:tr>
      <w:tr w:rsidR="00980C49" w:rsidRPr="001378E8" w14:paraId="523E5EDF" w14:textId="77777777" w:rsidTr="00A06955">
        <w:trPr>
          <w:trHeight w:val="369"/>
        </w:trPr>
        <w:tc>
          <w:tcPr>
            <w:tcW w:w="965" w:type="pct"/>
            <w:shd w:val="clear" w:color="auto" w:fill="auto"/>
            <w:vAlign w:val="center"/>
          </w:tcPr>
          <w:p w14:paraId="3929EE93" w14:textId="3BD340AD" w:rsidR="00980C49" w:rsidRPr="00980C49" w:rsidRDefault="00980C49">
            <w:pPr>
              <w:jc w:val="left"/>
              <w:rPr>
                <w:color w:val="auto"/>
                <w:sz w:val="20"/>
                <w:szCs w:val="20"/>
                <w:vertAlign w:val="superscript"/>
              </w:rPr>
            </w:pPr>
            <w:r>
              <w:rPr>
                <w:color w:val="auto"/>
                <w:sz w:val="20"/>
                <w:szCs w:val="20"/>
              </w:rPr>
              <w:t>Chief Executive – P Halsall</w:t>
            </w:r>
            <w:r>
              <w:rPr>
                <w:color w:val="auto"/>
                <w:sz w:val="20"/>
                <w:szCs w:val="20"/>
                <w:vertAlign w:val="superscript"/>
              </w:rPr>
              <w:t>3</w:t>
            </w:r>
          </w:p>
        </w:tc>
        <w:tc>
          <w:tcPr>
            <w:tcW w:w="565" w:type="pct"/>
          </w:tcPr>
          <w:p w14:paraId="18B24842" w14:textId="3264F8E7" w:rsidR="00980C49" w:rsidRDefault="00980C49">
            <w:pPr>
              <w:tabs>
                <w:tab w:val="decimal" w:pos="1027"/>
              </w:tabs>
              <w:jc w:val="left"/>
              <w:rPr>
                <w:color w:val="auto"/>
                <w:sz w:val="20"/>
                <w:szCs w:val="20"/>
              </w:rPr>
            </w:pPr>
            <w:r>
              <w:rPr>
                <w:color w:val="auto"/>
                <w:sz w:val="20"/>
                <w:szCs w:val="20"/>
              </w:rPr>
              <w:t>194,655</w:t>
            </w:r>
          </w:p>
        </w:tc>
        <w:tc>
          <w:tcPr>
            <w:tcW w:w="565" w:type="pct"/>
          </w:tcPr>
          <w:p w14:paraId="0A8AD110" w14:textId="27CAA12E" w:rsidR="00980C49" w:rsidRDefault="00980C49">
            <w:pPr>
              <w:tabs>
                <w:tab w:val="decimal" w:pos="1027"/>
              </w:tabs>
              <w:jc w:val="left"/>
              <w:rPr>
                <w:color w:val="auto"/>
                <w:sz w:val="20"/>
                <w:szCs w:val="20"/>
              </w:rPr>
            </w:pPr>
            <w:r>
              <w:rPr>
                <w:color w:val="auto"/>
                <w:sz w:val="20"/>
                <w:szCs w:val="20"/>
              </w:rPr>
              <w:t>7</w:t>
            </w:r>
          </w:p>
        </w:tc>
        <w:tc>
          <w:tcPr>
            <w:tcW w:w="565" w:type="pct"/>
            <w:shd w:val="clear" w:color="auto" w:fill="auto"/>
            <w:vAlign w:val="center"/>
          </w:tcPr>
          <w:p w14:paraId="0A83186D" w14:textId="239637BB" w:rsidR="00980C49" w:rsidRPr="00A06955" w:rsidRDefault="00980C49" w:rsidP="00A06955">
            <w:pPr>
              <w:tabs>
                <w:tab w:val="decimal" w:pos="1027"/>
              </w:tabs>
              <w:jc w:val="left"/>
              <w:rPr>
                <w:color w:val="auto"/>
                <w:sz w:val="20"/>
                <w:szCs w:val="20"/>
              </w:rPr>
            </w:pPr>
            <w:r>
              <w:rPr>
                <w:color w:val="auto"/>
                <w:sz w:val="20"/>
                <w:szCs w:val="20"/>
              </w:rPr>
              <w:t>162,213</w:t>
            </w:r>
          </w:p>
        </w:tc>
        <w:tc>
          <w:tcPr>
            <w:tcW w:w="514" w:type="pct"/>
            <w:vAlign w:val="center"/>
          </w:tcPr>
          <w:p w14:paraId="624CB742" w14:textId="54E4C87D" w:rsidR="00980C49" w:rsidRPr="00A06955" w:rsidRDefault="00980C49" w:rsidP="00A06955">
            <w:pPr>
              <w:tabs>
                <w:tab w:val="decimal" w:pos="885"/>
              </w:tabs>
              <w:jc w:val="left"/>
              <w:rPr>
                <w:color w:val="auto"/>
                <w:sz w:val="20"/>
                <w:szCs w:val="20"/>
              </w:rPr>
            </w:pPr>
            <w:r>
              <w:rPr>
                <w:color w:val="auto"/>
                <w:sz w:val="20"/>
                <w:szCs w:val="20"/>
              </w:rPr>
              <w:t>3,091</w:t>
            </w:r>
          </w:p>
        </w:tc>
        <w:tc>
          <w:tcPr>
            <w:tcW w:w="616" w:type="pct"/>
            <w:vAlign w:val="center"/>
          </w:tcPr>
          <w:p w14:paraId="341F3884" w14:textId="67EC4F28" w:rsidR="00980C49" w:rsidRPr="00A06955" w:rsidRDefault="00980C49" w:rsidP="00A06955">
            <w:pPr>
              <w:tabs>
                <w:tab w:val="decimal" w:pos="1168"/>
              </w:tabs>
              <w:jc w:val="left"/>
              <w:rPr>
                <w:color w:val="auto"/>
                <w:sz w:val="20"/>
                <w:szCs w:val="20"/>
              </w:rPr>
            </w:pPr>
            <w:r>
              <w:rPr>
                <w:color w:val="auto"/>
                <w:sz w:val="20"/>
                <w:szCs w:val="20"/>
              </w:rPr>
              <w:t>165,304</w:t>
            </w:r>
          </w:p>
        </w:tc>
        <w:tc>
          <w:tcPr>
            <w:tcW w:w="592" w:type="pct"/>
            <w:shd w:val="clear" w:color="auto" w:fill="auto"/>
            <w:vAlign w:val="center"/>
          </w:tcPr>
          <w:p w14:paraId="2CC7FC1E" w14:textId="6FA59303" w:rsidR="00980C49" w:rsidRPr="00A06955" w:rsidRDefault="00980C49" w:rsidP="00A06955">
            <w:pPr>
              <w:tabs>
                <w:tab w:val="decimal" w:pos="1026"/>
              </w:tabs>
              <w:jc w:val="left"/>
              <w:rPr>
                <w:color w:val="auto"/>
                <w:sz w:val="20"/>
                <w:szCs w:val="20"/>
              </w:rPr>
            </w:pPr>
            <w:r>
              <w:rPr>
                <w:color w:val="auto"/>
                <w:sz w:val="20"/>
                <w:szCs w:val="20"/>
              </w:rPr>
              <w:t>21,688</w:t>
            </w:r>
          </w:p>
        </w:tc>
        <w:tc>
          <w:tcPr>
            <w:tcW w:w="616" w:type="pct"/>
            <w:shd w:val="clear" w:color="auto" w:fill="auto"/>
            <w:vAlign w:val="center"/>
          </w:tcPr>
          <w:p w14:paraId="0F1FCE6A" w14:textId="3E05BFFE" w:rsidR="00980C49" w:rsidRPr="00A06955" w:rsidRDefault="00980C49" w:rsidP="00A06955">
            <w:pPr>
              <w:tabs>
                <w:tab w:val="decimal" w:pos="1168"/>
              </w:tabs>
              <w:jc w:val="left"/>
              <w:rPr>
                <w:color w:val="auto"/>
                <w:sz w:val="20"/>
                <w:szCs w:val="20"/>
              </w:rPr>
            </w:pPr>
            <w:r>
              <w:rPr>
                <w:color w:val="auto"/>
                <w:sz w:val="20"/>
                <w:szCs w:val="20"/>
              </w:rPr>
              <w:t>186,992</w:t>
            </w:r>
          </w:p>
        </w:tc>
      </w:tr>
    </w:tbl>
    <w:p w14:paraId="04B70113" w14:textId="6AFB08C3" w:rsidR="00642E92" w:rsidRPr="00A06955" w:rsidRDefault="00642E92" w:rsidP="0075798A">
      <w:pPr>
        <w:rPr>
          <w:sz w:val="20"/>
          <w:szCs w:val="20"/>
          <w:lang w:eastAsia="en-GB"/>
        </w:rPr>
      </w:pPr>
      <w:r w:rsidRPr="00A06955">
        <w:rPr>
          <w:sz w:val="20"/>
          <w:szCs w:val="20"/>
          <w:vertAlign w:val="superscript"/>
          <w:lang w:eastAsia="en-GB"/>
        </w:rPr>
        <w:t xml:space="preserve">1 </w:t>
      </w:r>
      <w:r w:rsidRPr="002A61A5">
        <w:rPr>
          <w:sz w:val="20"/>
          <w:szCs w:val="20"/>
          <w:lang w:eastAsia="en-GB"/>
        </w:rPr>
        <w:t xml:space="preserve">Benefits </w:t>
      </w:r>
      <w:r w:rsidR="00A57C56" w:rsidRPr="002A61A5">
        <w:rPr>
          <w:sz w:val="20"/>
          <w:szCs w:val="20"/>
          <w:lang w:eastAsia="en-GB"/>
        </w:rPr>
        <w:t xml:space="preserve">In Kind </w:t>
      </w:r>
      <w:r w:rsidRPr="002A61A5">
        <w:rPr>
          <w:sz w:val="20"/>
          <w:szCs w:val="20"/>
          <w:lang w:eastAsia="en-GB"/>
        </w:rPr>
        <w:t>relate to lease car payments</w:t>
      </w:r>
      <w:r w:rsidR="000E2DE1" w:rsidRPr="002A61A5">
        <w:rPr>
          <w:sz w:val="20"/>
          <w:szCs w:val="20"/>
          <w:lang w:eastAsia="en-GB"/>
        </w:rPr>
        <w:t xml:space="preserve"> </w:t>
      </w:r>
      <w:r w:rsidR="00EC22C9" w:rsidRPr="002A61A5">
        <w:rPr>
          <w:sz w:val="20"/>
          <w:szCs w:val="20"/>
          <w:lang w:eastAsia="en-GB"/>
        </w:rPr>
        <w:t>and/</w:t>
      </w:r>
      <w:r w:rsidR="000E2DE1" w:rsidRPr="002A61A5">
        <w:rPr>
          <w:sz w:val="20"/>
          <w:szCs w:val="20"/>
          <w:lang w:eastAsia="en-GB"/>
        </w:rPr>
        <w:t>o</w:t>
      </w:r>
      <w:r w:rsidR="00EC22C9" w:rsidRPr="002A61A5">
        <w:rPr>
          <w:sz w:val="20"/>
          <w:szCs w:val="20"/>
          <w:lang w:eastAsia="en-GB"/>
        </w:rPr>
        <w:t>r excess mileage.</w:t>
      </w:r>
    </w:p>
    <w:p w14:paraId="7BB0F8EC" w14:textId="77777777" w:rsidR="00642E92" w:rsidRPr="00A06955" w:rsidRDefault="00642E92" w:rsidP="0075798A">
      <w:pPr>
        <w:rPr>
          <w:sz w:val="20"/>
          <w:szCs w:val="20"/>
          <w:lang w:eastAsia="en-GB"/>
        </w:rPr>
      </w:pPr>
      <w:r w:rsidRPr="00A06955">
        <w:rPr>
          <w:sz w:val="20"/>
          <w:szCs w:val="20"/>
          <w:vertAlign w:val="superscript"/>
          <w:lang w:eastAsia="en-GB"/>
        </w:rPr>
        <w:t xml:space="preserve">2 </w:t>
      </w:r>
      <w:r w:rsidRPr="00A06955">
        <w:rPr>
          <w:sz w:val="20"/>
          <w:szCs w:val="20"/>
          <w:lang w:eastAsia="en-GB"/>
        </w:rPr>
        <w:t>Jo Turton held the post of Executive Director for the Environment until 5th August 2013 and then acted up to the post of Interim Chief Executive from 6th August 2013. She was subsequently appointed Chief Executive on 20th February 2014 on an annual salary of £170,000.</w:t>
      </w:r>
    </w:p>
    <w:p w14:paraId="7DA34E4F" w14:textId="18CD9ADF" w:rsidR="00980C49" w:rsidRPr="00980C49" w:rsidRDefault="00980C49" w:rsidP="00E82A30">
      <w:pPr>
        <w:jc w:val="left"/>
        <w:rPr>
          <w:sz w:val="20"/>
          <w:szCs w:val="20"/>
          <w:lang w:eastAsia="en-GB"/>
        </w:rPr>
        <w:sectPr w:rsidR="00980C49" w:rsidRPr="00980C49" w:rsidSect="00A06955">
          <w:pgSz w:w="16840" w:h="11900" w:orient="landscape" w:code="9"/>
          <w:pgMar w:top="720" w:right="720" w:bottom="720" w:left="720" w:header="284" w:footer="284" w:gutter="0"/>
          <w:cols w:space="292"/>
          <w:docGrid w:linePitch="326"/>
        </w:sectPr>
      </w:pPr>
      <w:r>
        <w:rPr>
          <w:vertAlign w:val="superscript"/>
          <w:lang w:eastAsia="en-GB"/>
        </w:rPr>
        <w:t>3</w:t>
      </w:r>
      <w:r>
        <w:rPr>
          <w:lang w:eastAsia="en-GB"/>
        </w:rPr>
        <w:t xml:space="preserve"> </w:t>
      </w:r>
      <w:r w:rsidRPr="00980C49">
        <w:rPr>
          <w:sz w:val="20"/>
          <w:szCs w:val="20"/>
          <w:lang w:eastAsia="en-GB"/>
        </w:rPr>
        <w:t>Phil Halsall held the post of Chief Executive until 31</w:t>
      </w:r>
      <w:r w:rsidRPr="00980C49">
        <w:rPr>
          <w:sz w:val="20"/>
          <w:szCs w:val="20"/>
          <w:vertAlign w:val="superscript"/>
          <w:lang w:eastAsia="en-GB"/>
        </w:rPr>
        <w:t>st</w:t>
      </w:r>
      <w:r w:rsidRPr="00980C49">
        <w:rPr>
          <w:sz w:val="20"/>
          <w:szCs w:val="20"/>
          <w:lang w:eastAsia="en-GB"/>
        </w:rPr>
        <w:t xml:space="preserve"> October 2013 on an annual salary of £194,655.  His salary included payment in lieu of </w:t>
      </w:r>
      <w:r w:rsidR="00424AFC">
        <w:rPr>
          <w:sz w:val="20"/>
          <w:szCs w:val="20"/>
          <w:lang w:eastAsia="en-GB"/>
        </w:rPr>
        <w:t xml:space="preserve">3 months' </w:t>
      </w:r>
      <w:r w:rsidRPr="00980C49">
        <w:rPr>
          <w:sz w:val="20"/>
          <w:szCs w:val="20"/>
          <w:lang w:eastAsia="en-GB"/>
        </w:rPr>
        <w:t>notice.</w:t>
      </w:r>
    </w:p>
    <w:p w14:paraId="47DAD2BA" w14:textId="77777777" w:rsidR="00F649E6" w:rsidRPr="00A06955" w:rsidRDefault="00F649E6" w:rsidP="00642E92">
      <w:pPr>
        <w:rPr>
          <w:b/>
          <w:lang w:eastAsia="en-GB"/>
        </w:rPr>
      </w:pPr>
      <w:r w:rsidRPr="00A06955">
        <w:rPr>
          <w:b/>
          <w:lang w:eastAsia="en-GB"/>
        </w:rPr>
        <w:lastRenderedPageBreak/>
        <w:t>Disclosure of senior officers' remuneration 2014/15: Remuneration £50k to £150k</w:t>
      </w:r>
    </w:p>
    <w:tbl>
      <w:tblPr>
        <w:tblW w:w="4978"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8"/>
        <w:gridCol w:w="1418"/>
        <w:gridCol w:w="1134"/>
        <w:gridCol w:w="1417"/>
        <w:gridCol w:w="1700"/>
        <w:gridCol w:w="1559"/>
        <w:gridCol w:w="1338"/>
      </w:tblGrid>
      <w:tr w:rsidR="0010377F" w:rsidRPr="003C0F16" w14:paraId="0F3F4457" w14:textId="77777777" w:rsidTr="00A06955">
        <w:trPr>
          <w:trHeight w:val="369"/>
          <w:tblHeader/>
        </w:trPr>
        <w:tc>
          <w:tcPr>
            <w:tcW w:w="883" w:type="pct"/>
            <w:shd w:val="clear" w:color="auto" w:fill="D0CECE"/>
            <w:vAlign w:val="bottom"/>
          </w:tcPr>
          <w:p w14:paraId="30D31086" w14:textId="519C2834" w:rsidR="0010377F" w:rsidRPr="00A06955" w:rsidRDefault="0010377F" w:rsidP="00F649E6">
            <w:pPr>
              <w:jc w:val="center"/>
              <w:rPr>
                <w:b/>
                <w:color w:val="auto"/>
                <w:sz w:val="20"/>
                <w:szCs w:val="20"/>
              </w:rPr>
            </w:pPr>
            <w:r w:rsidRPr="00A06955">
              <w:rPr>
                <w:b/>
                <w:color w:val="auto"/>
                <w:sz w:val="20"/>
                <w:szCs w:val="20"/>
              </w:rPr>
              <w:t>Post</w:t>
            </w:r>
          </w:p>
        </w:tc>
        <w:tc>
          <w:tcPr>
            <w:tcW w:w="681" w:type="pct"/>
            <w:shd w:val="clear" w:color="auto" w:fill="D0CECE"/>
            <w:vAlign w:val="bottom"/>
          </w:tcPr>
          <w:p w14:paraId="6F80222E" w14:textId="7BCACC25" w:rsidR="0010377F" w:rsidRPr="00A06955" w:rsidRDefault="0010377F" w:rsidP="005B29BD">
            <w:pPr>
              <w:jc w:val="center"/>
              <w:rPr>
                <w:b/>
                <w:color w:val="auto"/>
                <w:sz w:val="20"/>
                <w:szCs w:val="20"/>
              </w:rPr>
            </w:pPr>
            <w:r w:rsidRPr="00A06955">
              <w:rPr>
                <w:b/>
                <w:color w:val="auto"/>
                <w:sz w:val="20"/>
                <w:szCs w:val="20"/>
              </w:rPr>
              <w:t>Salary (including fees and allowances)</w:t>
            </w:r>
          </w:p>
        </w:tc>
        <w:tc>
          <w:tcPr>
            <w:tcW w:w="545" w:type="pct"/>
            <w:shd w:val="clear" w:color="auto" w:fill="D0CECE"/>
            <w:vAlign w:val="bottom"/>
          </w:tcPr>
          <w:p w14:paraId="21AC2823" w14:textId="3457B4BE" w:rsidR="0010377F" w:rsidRPr="00A06955" w:rsidRDefault="0010377F" w:rsidP="00CC528B">
            <w:pPr>
              <w:jc w:val="center"/>
              <w:rPr>
                <w:b/>
                <w:color w:val="auto"/>
                <w:sz w:val="20"/>
                <w:szCs w:val="20"/>
                <w:vertAlign w:val="superscript"/>
              </w:rPr>
            </w:pPr>
            <w:r w:rsidRPr="00A06955">
              <w:rPr>
                <w:b/>
                <w:color w:val="auto"/>
                <w:sz w:val="20"/>
                <w:szCs w:val="20"/>
              </w:rPr>
              <w:t xml:space="preserve"> Benefits In Kind</w:t>
            </w:r>
            <w:r w:rsidRPr="00A06955">
              <w:rPr>
                <w:b/>
                <w:color w:val="auto"/>
                <w:sz w:val="20"/>
                <w:szCs w:val="20"/>
                <w:vertAlign w:val="superscript"/>
              </w:rPr>
              <w:t>1</w:t>
            </w:r>
          </w:p>
        </w:tc>
        <w:tc>
          <w:tcPr>
            <w:tcW w:w="681" w:type="pct"/>
            <w:shd w:val="clear" w:color="auto" w:fill="D0CECE"/>
          </w:tcPr>
          <w:p w14:paraId="648C9011" w14:textId="77777777" w:rsidR="0010377F" w:rsidRPr="00A06955" w:rsidRDefault="0010377F" w:rsidP="005B29BD">
            <w:pPr>
              <w:jc w:val="center"/>
              <w:rPr>
                <w:b/>
                <w:color w:val="auto"/>
                <w:sz w:val="20"/>
                <w:szCs w:val="20"/>
              </w:rPr>
            </w:pPr>
          </w:p>
          <w:p w14:paraId="7F7FD5B5" w14:textId="77777777" w:rsidR="0010377F" w:rsidRPr="00A06955" w:rsidRDefault="0010377F" w:rsidP="005B29BD">
            <w:pPr>
              <w:jc w:val="center"/>
              <w:rPr>
                <w:b/>
                <w:color w:val="auto"/>
                <w:sz w:val="20"/>
                <w:szCs w:val="20"/>
              </w:rPr>
            </w:pPr>
          </w:p>
          <w:p w14:paraId="75CD2488" w14:textId="77777777" w:rsidR="00ED10E0" w:rsidRDefault="00ED10E0" w:rsidP="005B29BD">
            <w:pPr>
              <w:jc w:val="center"/>
              <w:rPr>
                <w:b/>
                <w:color w:val="auto"/>
                <w:sz w:val="20"/>
                <w:szCs w:val="20"/>
              </w:rPr>
            </w:pPr>
          </w:p>
          <w:p w14:paraId="59FF5A8F" w14:textId="77777777" w:rsidR="00ED10E0" w:rsidRDefault="00ED10E0" w:rsidP="005B29BD">
            <w:pPr>
              <w:jc w:val="center"/>
              <w:rPr>
                <w:b/>
                <w:color w:val="auto"/>
                <w:sz w:val="20"/>
                <w:szCs w:val="20"/>
              </w:rPr>
            </w:pPr>
          </w:p>
          <w:p w14:paraId="6636726B" w14:textId="77777777" w:rsidR="0010377F" w:rsidRPr="00A06955" w:rsidRDefault="0010377F" w:rsidP="005B29BD">
            <w:pPr>
              <w:jc w:val="center"/>
              <w:rPr>
                <w:b/>
                <w:color w:val="auto"/>
                <w:sz w:val="20"/>
                <w:szCs w:val="20"/>
              </w:rPr>
            </w:pPr>
            <w:r w:rsidRPr="00A06955">
              <w:rPr>
                <w:b/>
                <w:color w:val="auto"/>
                <w:sz w:val="20"/>
                <w:szCs w:val="20"/>
              </w:rPr>
              <w:t>Redundancy Payments</w:t>
            </w:r>
          </w:p>
        </w:tc>
        <w:tc>
          <w:tcPr>
            <w:tcW w:w="817" w:type="pct"/>
            <w:shd w:val="clear" w:color="auto" w:fill="D0CECE"/>
            <w:vAlign w:val="bottom"/>
          </w:tcPr>
          <w:p w14:paraId="51D061D7" w14:textId="635A7D91" w:rsidR="0010377F" w:rsidRPr="00A06955" w:rsidRDefault="0010377F" w:rsidP="005B29BD">
            <w:pPr>
              <w:jc w:val="center"/>
              <w:rPr>
                <w:b/>
                <w:color w:val="auto"/>
                <w:sz w:val="20"/>
                <w:szCs w:val="20"/>
              </w:rPr>
            </w:pPr>
            <w:r w:rsidRPr="00A06955">
              <w:rPr>
                <w:b/>
                <w:color w:val="auto"/>
                <w:sz w:val="20"/>
                <w:szCs w:val="20"/>
              </w:rPr>
              <w:t xml:space="preserve">Total Remuneration </w:t>
            </w:r>
            <w:r w:rsidR="00ED10E0">
              <w:rPr>
                <w:b/>
                <w:color w:val="auto"/>
                <w:sz w:val="20"/>
                <w:szCs w:val="20"/>
              </w:rPr>
              <w:t>(</w:t>
            </w:r>
            <w:r w:rsidRPr="00A06955">
              <w:rPr>
                <w:b/>
                <w:color w:val="auto"/>
                <w:sz w:val="20"/>
                <w:szCs w:val="20"/>
              </w:rPr>
              <w:t>excluding pension contributions</w:t>
            </w:r>
            <w:r w:rsidR="00ED10E0">
              <w:rPr>
                <w:b/>
                <w:color w:val="auto"/>
                <w:sz w:val="20"/>
                <w:szCs w:val="20"/>
              </w:rPr>
              <w:t>)</w:t>
            </w:r>
          </w:p>
        </w:tc>
        <w:tc>
          <w:tcPr>
            <w:tcW w:w="749" w:type="pct"/>
            <w:shd w:val="clear" w:color="auto" w:fill="D0CECE"/>
            <w:vAlign w:val="bottom"/>
          </w:tcPr>
          <w:p w14:paraId="42464F52" w14:textId="2ADE5635" w:rsidR="0010377F" w:rsidRPr="00A06955" w:rsidRDefault="0010377F" w:rsidP="005B29BD">
            <w:pPr>
              <w:jc w:val="center"/>
              <w:rPr>
                <w:b/>
                <w:color w:val="auto"/>
                <w:sz w:val="20"/>
                <w:szCs w:val="20"/>
              </w:rPr>
            </w:pPr>
            <w:r w:rsidRPr="00A06955">
              <w:rPr>
                <w:b/>
                <w:color w:val="auto"/>
                <w:sz w:val="20"/>
                <w:szCs w:val="20"/>
              </w:rPr>
              <w:t>Pension Contributions</w:t>
            </w:r>
          </w:p>
        </w:tc>
        <w:tc>
          <w:tcPr>
            <w:tcW w:w="643" w:type="pct"/>
            <w:shd w:val="clear" w:color="auto" w:fill="D0CECE"/>
            <w:vAlign w:val="bottom"/>
          </w:tcPr>
          <w:p w14:paraId="1E5DCAF1" w14:textId="23BDBB49" w:rsidR="0010377F" w:rsidRPr="00A06955" w:rsidRDefault="0010377F">
            <w:pPr>
              <w:jc w:val="center"/>
              <w:rPr>
                <w:b/>
                <w:color w:val="auto"/>
                <w:sz w:val="20"/>
                <w:szCs w:val="20"/>
              </w:rPr>
            </w:pPr>
            <w:r w:rsidRPr="00A06955">
              <w:rPr>
                <w:b/>
                <w:color w:val="auto"/>
                <w:sz w:val="20"/>
                <w:szCs w:val="20"/>
              </w:rPr>
              <w:t>Total Remuneration (inc</w:t>
            </w:r>
            <w:r w:rsidR="003B34F6">
              <w:rPr>
                <w:b/>
                <w:color w:val="auto"/>
                <w:sz w:val="20"/>
                <w:szCs w:val="20"/>
              </w:rPr>
              <w:t>luding</w:t>
            </w:r>
            <w:r w:rsidRPr="00A06955">
              <w:rPr>
                <w:b/>
                <w:color w:val="auto"/>
                <w:sz w:val="20"/>
                <w:szCs w:val="20"/>
              </w:rPr>
              <w:t xml:space="preserve"> pension contributions</w:t>
            </w:r>
          </w:p>
        </w:tc>
      </w:tr>
      <w:tr w:rsidR="0010377F" w:rsidRPr="003C0F16" w14:paraId="0728E911" w14:textId="77777777" w:rsidTr="00A06955">
        <w:trPr>
          <w:trHeight w:val="369"/>
          <w:tblHeader/>
        </w:trPr>
        <w:tc>
          <w:tcPr>
            <w:tcW w:w="883" w:type="pct"/>
            <w:shd w:val="clear" w:color="auto" w:fill="D0CECE"/>
            <w:vAlign w:val="bottom"/>
          </w:tcPr>
          <w:p w14:paraId="092D6758" w14:textId="77777777" w:rsidR="0010377F" w:rsidRPr="00A06955" w:rsidRDefault="0010377F" w:rsidP="005B29BD">
            <w:pPr>
              <w:jc w:val="left"/>
              <w:rPr>
                <w:color w:val="auto"/>
                <w:sz w:val="20"/>
                <w:szCs w:val="20"/>
              </w:rPr>
            </w:pPr>
          </w:p>
        </w:tc>
        <w:tc>
          <w:tcPr>
            <w:tcW w:w="681" w:type="pct"/>
            <w:shd w:val="clear" w:color="auto" w:fill="D0CECE"/>
            <w:vAlign w:val="bottom"/>
          </w:tcPr>
          <w:p w14:paraId="5EE81193" w14:textId="77777777" w:rsidR="0010377F" w:rsidRPr="00A06955" w:rsidRDefault="0010377F" w:rsidP="005B29BD">
            <w:pPr>
              <w:jc w:val="center"/>
              <w:rPr>
                <w:b/>
                <w:color w:val="auto"/>
                <w:sz w:val="20"/>
                <w:szCs w:val="20"/>
              </w:rPr>
            </w:pPr>
            <w:r w:rsidRPr="00A06955">
              <w:rPr>
                <w:b/>
                <w:color w:val="auto"/>
                <w:sz w:val="20"/>
                <w:szCs w:val="20"/>
              </w:rPr>
              <w:t>£</w:t>
            </w:r>
          </w:p>
        </w:tc>
        <w:tc>
          <w:tcPr>
            <w:tcW w:w="545" w:type="pct"/>
            <w:shd w:val="clear" w:color="auto" w:fill="D0CECE"/>
            <w:vAlign w:val="bottom"/>
          </w:tcPr>
          <w:p w14:paraId="07F71EA8" w14:textId="77777777" w:rsidR="0010377F" w:rsidRPr="00A06955" w:rsidRDefault="0010377F" w:rsidP="005B29BD">
            <w:pPr>
              <w:jc w:val="center"/>
              <w:rPr>
                <w:b/>
                <w:color w:val="auto"/>
                <w:sz w:val="20"/>
                <w:szCs w:val="20"/>
              </w:rPr>
            </w:pPr>
            <w:r w:rsidRPr="00A06955">
              <w:rPr>
                <w:b/>
                <w:color w:val="auto"/>
                <w:sz w:val="20"/>
                <w:szCs w:val="20"/>
              </w:rPr>
              <w:t>£</w:t>
            </w:r>
          </w:p>
        </w:tc>
        <w:tc>
          <w:tcPr>
            <w:tcW w:w="681" w:type="pct"/>
            <w:shd w:val="clear" w:color="auto" w:fill="D0CECE"/>
          </w:tcPr>
          <w:p w14:paraId="2E5FB5E0" w14:textId="77777777" w:rsidR="0010377F" w:rsidRPr="00A06955" w:rsidRDefault="0010377F" w:rsidP="005B29BD">
            <w:pPr>
              <w:jc w:val="center"/>
              <w:rPr>
                <w:b/>
                <w:color w:val="auto"/>
                <w:sz w:val="20"/>
                <w:szCs w:val="20"/>
              </w:rPr>
            </w:pPr>
            <w:r w:rsidRPr="00A06955">
              <w:rPr>
                <w:b/>
                <w:color w:val="auto"/>
                <w:sz w:val="20"/>
                <w:szCs w:val="20"/>
              </w:rPr>
              <w:t>£</w:t>
            </w:r>
          </w:p>
        </w:tc>
        <w:tc>
          <w:tcPr>
            <w:tcW w:w="817" w:type="pct"/>
            <w:shd w:val="clear" w:color="auto" w:fill="D0CECE"/>
            <w:vAlign w:val="bottom"/>
          </w:tcPr>
          <w:p w14:paraId="28D1179C" w14:textId="77777777" w:rsidR="0010377F" w:rsidRPr="00A06955" w:rsidRDefault="0010377F" w:rsidP="005B29BD">
            <w:pPr>
              <w:jc w:val="center"/>
              <w:rPr>
                <w:b/>
                <w:color w:val="auto"/>
                <w:sz w:val="20"/>
                <w:szCs w:val="20"/>
              </w:rPr>
            </w:pPr>
            <w:r w:rsidRPr="00A06955">
              <w:rPr>
                <w:b/>
                <w:color w:val="auto"/>
                <w:sz w:val="20"/>
                <w:szCs w:val="20"/>
              </w:rPr>
              <w:t>£</w:t>
            </w:r>
          </w:p>
        </w:tc>
        <w:tc>
          <w:tcPr>
            <w:tcW w:w="749" w:type="pct"/>
            <w:shd w:val="clear" w:color="auto" w:fill="D0CECE"/>
            <w:vAlign w:val="bottom"/>
          </w:tcPr>
          <w:p w14:paraId="78838F37" w14:textId="77777777" w:rsidR="0010377F" w:rsidRPr="00A06955" w:rsidRDefault="0010377F" w:rsidP="005B29BD">
            <w:pPr>
              <w:jc w:val="center"/>
              <w:rPr>
                <w:b/>
                <w:color w:val="auto"/>
                <w:sz w:val="20"/>
                <w:szCs w:val="20"/>
              </w:rPr>
            </w:pPr>
            <w:r w:rsidRPr="00A06955">
              <w:rPr>
                <w:b/>
                <w:color w:val="auto"/>
                <w:sz w:val="20"/>
                <w:szCs w:val="20"/>
              </w:rPr>
              <w:t>£</w:t>
            </w:r>
          </w:p>
        </w:tc>
        <w:tc>
          <w:tcPr>
            <w:tcW w:w="643" w:type="pct"/>
            <w:shd w:val="clear" w:color="auto" w:fill="D0CECE"/>
            <w:vAlign w:val="bottom"/>
          </w:tcPr>
          <w:p w14:paraId="6A1A1F1F" w14:textId="6EBF320C" w:rsidR="0010377F" w:rsidRPr="00A06955" w:rsidRDefault="0010377F" w:rsidP="005B29BD">
            <w:pPr>
              <w:jc w:val="center"/>
              <w:rPr>
                <w:b/>
                <w:color w:val="auto"/>
                <w:sz w:val="20"/>
                <w:szCs w:val="20"/>
              </w:rPr>
            </w:pPr>
            <w:r w:rsidRPr="00A06955">
              <w:rPr>
                <w:b/>
                <w:color w:val="auto"/>
                <w:sz w:val="20"/>
                <w:szCs w:val="20"/>
              </w:rPr>
              <w:t>£</w:t>
            </w:r>
          </w:p>
        </w:tc>
      </w:tr>
      <w:tr w:rsidR="0010377F" w:rsidRPr="003C0F16" w14:paraId="697D89AF" w14:textId="77777777" w:rsidTr="00A06955">
        <w:trPr>
          <w:trHeight w:val="369"/>
        </w:trPr>
        <w:tc>
          <w:tcPr>
            <w:tcW w:w="883" w:type="pct"/>
            <w:shd w:val="clear" w:color="auto" w:fill="auto"/>
            <w:vAlign w:val="center"/>
          </w:tcPr>
          <w:p w14:paraId="6B59E295" w14:textId="77777777" w:rsidR="0010377F" w:rsidRPr="00A06955" w:rsidRDefault="0010377F">
            <w:pPr>
              <w:jc w:val="left"/>
              <w:rPr>
                <w:color w:val="auto"/>
                <w:sz w:val="20"/>
                <w:szCs w:val="20"/>
              </w:rPr>
            </w:pPr>
            <w:r w:rsidRPr="00A06955">
              <w:rPr>
                <w:color w:val="auto"/>
                <w:sz w:val="20"/>
                <w:szCs w:val="20"/>
              </w:rPr>
              <w:t>Interim Executive Director for Children &amp; Young People</w:t>
            </w:r>
          </w:p>
        </w:tc>
        <w:tc>
          <w:tcPr>
            <w:tcW w:w="681" w:type="pct"/>
            <w:shd w:val="clear" w:color="auto" w:fill="auto"/>
            <w:vAlign w:val="center"/>
          </w:tcPr>
          <w:p w14:paraId="76CE1BE7" w14:textId="43127327" w:rsidR="0010377F" w:rsidRPr="00A06955" w:rsidRDefault="0010377F">
            <w:pPr>
              <w:tabs>
                <w:tab w:val="decimal" w:pos="1027"/>
              </w:tabs>
              <w:jc w:val="left"/>
              <w:rPr>
                <w:color w:val="auto"/>
                <w:sz w:val="20"/>
                <w:szCs w:val="20"/>
              </w:rPr>
            </w:pPr>
            <w:r w:rsidRPr="00A06955">
              <w:rPr>
                <w:color w:val="auto"/>
                <w:sz w:val="20"/>
                <w:szCs w:val="20"/>
              </w:rPr>
              <w:t>125,37</w:t>
            </w:r>
            <w:r w:rsidR="00A65B8D">
              <w:rPr>
                <w:color w:val="auto"/>
                <w:sz w:val="20"/>
                <w:szCs w:val="20"/>
              </w:rPr>
              <w:t>8</w:t>
            </w:r>
          </w:p>
        </w:tc>
        <w:tc>
          <w:tcPr>
            <w:tcW w:w="545" w:type="pct"/>
            <w:vAlign w:val="center"/>
          </w:tcPr>
          <w:p w14:paraId="5C115A3D" w14:textId="1FE7B0F2" w:rsidR="0010377F" w:rsidRPr="00A06955" w:rsidRDefault="0010377F" w:rsidP="00A06955">
            <w:pPr>
              <w:tabs>
                <w:tab w:val="decimal" w:pos="743"/>
              </w:tabs>
              <w:jc w:val="left"/>
              <w:rPr>
                <w:color w:val="auto"/>
                <w:sz w:val="20"/>
                <w:szCs w:val="20"/>
              </w:rPr>
            </w:pPr>
            <w:r w:rsidRPr="00A06955">
              <w:rPr>
                <w:color w:val="auto"/>
                <w:sz w:val="20"/>
                <w:szCs w:val="20"/>
              </w:rPr>
              <w:t>3,881</w:t>
            </w:r>
          </w:p>
        </w:tc>
        <w:tc>
          <w:tcPr>
            <w:tcW w:w="681" w:type="pct"/>
            <w:vAlign w:val="center"/>
          </w:tcPr>
          <w:p w14:paraId="53790C00" w14:textId="77777777" w:rsidR="0010377F" w:rsidRPr="00A06955" w:rsidRDefault="0010377F" w:rsidP="00A06955">
            <w:pPr>
              <w:tabs>
                <w:tab w:val="decimal" w:pos="599"/>
              </w:tabs>
              <w:rPr>
                <w:color w:val="auto"/>
                <w:sz w:val="20"/>
                <w:szCs w:val="20"/>
              </w:rPr>
            </w:pPr>
            <w:r w:rsidRPr="00A06955">
              <w:rPr>
                <w:color w:val="auto"/>
                <w:sz w:val="20"/>
                <w:szCs w:val="20"/>
              </w:rPr>
              <w:t>-</w:t>
            </w:r>
          </w:p>
        </w:tc>
        <w:tc>
          <w:tcPr>
            <w:tcW w:w="817" w:type="pct"/>
            <w:vAlign w:val="center"/>
          </w:tcPr>
          <w:p w14:paraId="65CE2D4C" w14:textId="167BF1E2" w:rsidR="0010377F" w:rsidRPr="00A06955" w:rsidRDefault="0010377F" w:rsidP="00A06955">
            <w:pPr>
              <w:tabs>
                <w:tab w:val="decimal" w:pos="1168"/>
              </w:tabs>
              <w:jc w:val="left"/>
              <w:rPr>
                <w:color w:val="auto"/>
                <w:sz w:val="20"/>
                <w:szCs w:val="20"/>
              </w:rPr>
            </w:pPr>
            <w:r w:rsidRPr="00A06955">
              <w:rPr>
                <w:color w:val="auto"/>
                <w:sz w:val="20"/>
                <w:szCs w:val="20"/>
              </w:rPr>
              <w:t>129,259</w:t>
            </w:r>
          </w:p>
        </w:tc>
        <w:tc>
          <w:tcPr>
            <w:tcW w:w="749" w:type="pct"/>
            <w:shd w:val="clear" w:color="auto" w:fill="auto"/>
            <w:vAlign w:val="center"/>
          </w:tcPr>
          <w:p w14:paraId="31AC9986" w14:textId="2BFB26E5" w:rsidR="0010377F" w:rsidRPr="00A06955" w:rsidRDefault="0010377F" w:rsidP="00A06955">
            <w:pPr>
              <w:tabs>
                <w:tab w:val="decimal" w:pos="1026"/>
              </w:tabs>
              <w:jc w:val="left"/>
              <w:rPr>
                <w:color w:val="auto"/>
                <w:sz w:val="20"/>
                <w:szCs w:val="20"/>
              </w:rPr>
            </w:pPr>
            <w:r w:rsidRPr="00A06955">
              <w:rPr>
                <w:color w:val="auto"/>
                <w:sz w:val="20"/>
                <w:szCs w:val="20"/>
              </w:rPr>
              <w:t>15,798</w:t>
            </w:r>
          </w:p>
        </w:tc>
        <w:tc>
          <w:tcPr>
            <w:tcW w:w="643" w:type="pct"/>
            <w:shd w:val="clear" w:color="auto" w:fill="auto"/>
            <w:vAlign w:val="center"/>
          </w:tcPr>
          <w:p w14:paraId="458A6626" w14:textId="5D0FF715" w:rsidR="0010377F" w:rsidRPr="00A06955" w:rsidRDefault="0010377F" w:rsidP="00A06955">
            <w:pPr>
              <w:tabs>
                <w:tab w:val="decimal" w:pos="1168"/>
              </w:tabs>
              <w:jc w:val="left"/>
              <w:rPr>
                <w:color w:val="auto"/>
                <w:sz w:val="20"/>
                <w:szCs w:val="20"/>
              </w:rPr>
            </w:pPr>
            <w:r w:rsidRPr="00A06955">
              <w:rPr>
                <w:color w:val="auto"/>
                <w:sz w:val="20"/>
                <w:szCs w:val="20"/>
              </w:rPr>
              <w:t>145,057</w:t>
            </w:r>
          </w:p>
        </w:tc>
      </w:tr>
      <w:tr w:rsidR="0010377F" w:rsidRPr="003C0F16" w14:paraId="490873E3" w14:textId="77777777" w:rsidTr="00A06955">
        <w:trPr>
          <w:trHeight w:val="369"/>
        </w:trPr>
        <w:tc>
          <w:tcPr>
            <w:tcW w:w="883" w:type="pct"/>
            <w:shd w:val="clear" w:color="auto" w:fill="auto"/>
            <w:vAlign w:val="center"/>
          </w:tcPr>
          <w:p w14:paraId="1017DC2A" w14:textId="31E0A988" w:rsidR="0010377F" w:rsidRPr="00A06955" w:rsidRDefault="0010377F">
            <w:pPr>
              <w:jc w:val="left"/>
              <w:rPr>
                <w:color w:val="auto"/>
                <w:sz w:val="20"/>
                <w:szCs w:val="20"/>
                <w:vertAlign w:val="superscript"/>
              </w:rPr>
            </w:pPr>
            <w:r w:rsidRPr="00A06955">
              <w:rPr>
                <w:color w:val="auto"/>
                <w:sz w:val="20"/>
                <w:szCs w:val="20"/>
              </w:rPr>
              <w:t>County Treasurer</w:t>
            </w:r>
            <w:r>
              <w:rPr>
                <w:color w:val="auto"/>
                <w:sz w:val="20"/>
                <w:szCs w:val="20"/>
                <w:vertAlign w:val="superscript"/>
              </w:rPr>
              <w:t>2</w:t>
            </w:r>
          </w:p>
        </w:tc>
        <w:tc>
          <w:tcPr>
            <w:tcW w:w="681" w:type="pct"/>
            <w:shd w:val="clear" w:color="auto" w:fill="auto"/>
            <w:vAlign w:val="center"/>
          </w:tcPr>
          <w:p w14:paraId="262A68A3" w14:textId="4886BCF1" w:rsidR="0010377F" w:rsidRPr="00A06955" w:rsidRDefault="0010377F" w:rsidP="00A06955">
            <w:pPr>
              <w:tabs>
                <w:tab w:val="decimal" w:pos="1027"/>
              </w:tabs>
              <w:jc w:val="left"/>
              <w:rPr>
                <w:color w:val="auto"/>
                <w:sz w:val="20"/>
                <w:szCs w:val="20"/>
              </w:rPr>
            </w:pPr>
            <w:r w:rsidRPr="00A06955">
              <w:rPr>
                <w:color w:val="auto"/>
                <w:sz w:val="20"/>
                <w:szCs w:val="20"/>
              </w:rPr>
              <w:t>115,000</w:t>
            </w:r>
          </w:p>
        </w:tc>
        <w:tc>
          <w:tcPr>
            <w:tcW w:w="545" w:type="pct"/>
            <w:vAlign w:val="center"/>
          </w:tcPr>
          <w:p w14:paraId="43FCEFE2" w14:textId="740B3AFF" w:rsidR="0010377F" w:rsidRPr="00A06955" w:rsidRDefault="0010377F" w:rsidP="00A06955">
            <w:pPr>
              <w:tabs>
                <w:tab w:val="decimal" w:pos="743"/>
              </w:tabs>
              <w:jc w:val="left"/>
              <w:rPr>
                <w:color w:val="auto"/>
                <w:sz w:val="20"/>
                <w:szCs w:val="20"/>
              </w:rPr>
            </w:pPr>
            <w:r w:rsidRPr="00A06955">
              <w:rPr>
                <w:color w:val="auto"/>
                <w:sz w:val="20"/>
                <w:szCs w:val="20"/>
              </w:rPr>
              <w:t>5,563</w:t>
            </w:r>
          </w:p>
        </w:tc>
        <w:tc>
          <w:tcPr>
            <w:tcW w:w="681" w:type="pct"/>
            <w:vAlign w:val="center"/>
          </w:tcPr>
          <w:p w14:paraId="598B938E" w14:textId="77777777" w:rsidR="0010377F" w:rsidRPr="00A06955" w:rsidRDefault="0010377F" w:rsidP="00A06955">
            <w:pPr>
              <w:tabs>
                <w:tab w:val="decimal" w:pos="883"/>
                <w:tab w:val="decimal" w:pos="1025"/>
              </w:tabs>
              <w:jc w:val="center"/>
              <w:rPr>
                <w:color w:val="auto"/>
                <w:sz w:val="20"/>
                <w:szCs w:val="20"/>
              </w:rPr>
            </w:pPr>
            <w:r w:rsidRPr="00A06955">
              <w:rPr>
                <w:color w:val="auto"/>
                <w:sz w:val="20"/>
                <w:szCs w:val="20"/>
              </w:rPr>
              <w:t>81,162</w:t>
            </w:r>
          </w:p>
        </w:tc>
        <w:tc>
          <w:tcPr>
            <w:tcW w:w="817" w:type="pct"/>
            <w:vAlign w:val="center"/>
          </w:tcPr>
          <w:p w14:paraId="5AA8A259" w14:textId="6DE3337B" w:rsidR="0010377F" w:rsidRPr="00A06955" w:rsidRDefault="0010377F" w:rsidP="00A06955">
            <w:pPr>
              <w:tabs>
                <w:tab w:val="decimal" w:pos="1168"/>
              </w:tabs>
              <w:jc w:val="left"/>
              <w:rPr>
                <w:color w:val="auto"/>
                <w:sz w:val="20"/>
                <w:szCs w:val="20"/>
              </w:rPr>
            </w:pPr>
            <w:r w:rsidRPr="00A06955">
              <w:rPr>
                <w:color w:val="auto"/>
                <w:sz w:val="20"/>
                <w:szCs w:val="20"/>
              </w:rPr>
              <w:t>201,725</w:t>
            </w:r>
          </w:p>
        </w:tc>
        <w:tc>
          <w:tcPr>
            <w:tcW w:w="749" w:type="pct"/>
            <w:shd w:val="clear" w:color="auto" w:fill="auto"/>
            <w:vAlign w:val="center"/>
          </w:tcPr>
          <w:p w14:paraId="12692287" w14:textId="403AF6C9" w:rsidR="0010377F" w:rsidRPr="00A06955" w:rsidRDefault="0010377F" w:rsidP="00A06955">
            <w:pPr>
              <w:tabs>
                <w:tab w:val="decimal" w:pos="1026"/>
              </w:tabs>
              <w:jc w:val="left"/>
              <w:rPr>
                <w:color w:val="auto"/>
                <w:sz w:val="20"/>
                <w:szCs w:val="20"/>
              </w:rPr>
            </w:pPr>
            <w:r w:rsidRPr="00A06955">
              <w:rPr>
                <w:color w:val="auto"/>
                <w:sz w:val="20"/>
                <w:szCs w:val="20"/>
              </w:rPr>
              <w:t>14,490</w:t>
            </w:r>
          </w:p>
        </w:tc>
        <w:tc>
          <w:tcPr>
            <w:tcW w:w="643" w:type="pct"/>
            <w:shd w:val="clear" w:color="auto" w:fill="auto"/>
            <w:vAlign w:val="center"/>
          </w:tcPr>
          <w:p w14:paraId="665E41A0" w14:textId="311A55A9" w:rsidR="0010377F" w:rsidRPr="00A06955" w:rsidRDefault="0010377F" w:rsidP="00A06955">
            <w:pPr>
              <w:tabs>
                <w:tab w:val="decimal" w:pos="1168"/>
              </w:tabs>
              <w:jc w:val="left"/>
              <w:rPr>
                <w:color w:val="auto"/>
                <w:sz w:val="20"/>
                <w:szCs w:val="20"/>
              </w:rPr>
            </w:pPr>
            <w:r w:rsidRPr="00A06955">
              <w:rPr>
                <w:color w:val="auto"/>
                <w:sz w:val="20"/>
                <w:szCs w:val="20"/>
              </w:rPr>
              <w:t>216,215</w:t>
            </w:r>
          </w:p>
        </w:tc>
      </w:tr>
      <w:tr w:rsidR="0010377F" w:rsidRPr="003C0F16" w14:paraId="63AC2BC4" w14:textId="77777777" w:rsidTr="00A06955">
        <w:trPr>
          <w:trHeight w:val="369"/>
        </w:trPr>
        <w:tc>
          <w:tcPr>
            <w:tcW w:w="883" w:type="pct"/>
            <w:shd w:val="clear" w:color="auto" w:fill="auto"/>
            <w:vAlign w:val="center"/>
          </w:tcPr>
          <w:p w14:paraId="6452A05B" w14:textId="77777777" w:rsidR="0010377F" w:rsidRPr="00A06955" w:rsidRDefault="0010377F">
            <w:pPr>
              <w:jc w:val="left"/>
              <w:rPr>
                <w:color w:val="auto"/>
                <w:sz w:val="20"/>
                <w:szCs w:val="20"/>
              </w:rPr>
            </w:pPr>
            <w:r w:rsidRPr="00A06955">
              <w:rPr>
                <w:color w:val="auto"/>
                <w:sz w:val="20"/>
                <w:szCs w:val="20"/>
              </w:rPr>
              <w:t>Executive Director for Adult Services, Health &amp; Wellbeing</w:t>
            </w:r>
          </w:p>
        </w:tc>
        <w:tc>
          <w:tcPr>
            <w:tcW w:w="681" w:type="pct"/>
            <w:shd w:val="clear" w:color="auto" w:fill="auto"/>
            <w:vAlign w:val="center"/>
          </w:tcPr>
          <w:p w14:paraId="0BCDA056" w14:textId="5A5509A9" w:rsidR="0010377F" w:rsidRPr="00A06955" w:rsidRDefault="0010377F" w:rsidP="00A06955">
            <w:pPr>
              <w:tabs>
                <w:tab w:val="decimal" w:pos="1027"/>
              </w:tabs>
              <w:jc w:val="left"/>
              <w:rPr>
                <w:color w:val="auto"/>
                <w:sz w:val="20"/>
                <w:szCs w:val="20"/>
              </w:rPr>
            </w:pPr>
            <w:r w:rsidRPr="00A06955">
              <w:rPr>
                <w:color w:val="auto"/>
                <w:sz w:val="20"/>
                <w:szCs w:val="20"/>
              </w:rPr>
              <w:t>121,467</w:t>
            </w:r>
          </w:p>
        </w:tc>
        <w:tc>
          <w:tcPr>
            <w:tcW w:w="545" w:type="pct"/>
            <w:vAlign w:val="center"/>
          </w:tcPr>
          <w:p w14:paraId="6A8CB8BD" w14:textId="0B608D5C" w:rsidR="0010377F" w:rsidRPr="00A06955" w:rsidRDefault="0010377F" w:rsidP="00A06955">
            <w:pPr>
              <w:tabs>
                <w:tab w:val="decimal" w:pos="743"/>
              </w:tabs>
              <w:jc w:val="left"/>
              <w:rPr>
                <w:color w:val="auto"/>
                <w:sz w:val="20"/>
                <w:szCs w:val="20"/>
              </w:rPr>
            </w:pPr>
            <w:r w:rsidRPr="00A06955">
              <w:rPr>
                <w:color w:val="auto"/>
                <w:sz w:val="20"/>
                <w:szCs w:val="20"/>
              </w:rPr>
              <w:t>7,121</w:t>
            </w:r>
          </w:p>
        </w:tc>
        <w:tc>
          <w:tcPr>
            <w:tcW w:w="681" w:type="pct"/>
            <w:vAlign w:val="center"/>
          </w:tcPr>
          <w:p w14:paraId="33981F06" w14:textId="3FDAAABB" w:rsidR="0010377F" w:rsidRPr="00A06955" w:rsidRDefault="003B34F6" w:rsidP="00A06955">
            <w:pPr>
              <w:tabs>
                <w:tab w:val="decimal" w:pos="599"/>
              </w:tabs>
              <w:jc w:val="left"/>
              <w:rPr>
                <w:color w:val="auto"/>
                <w:sz w:val="20"/>
                <w:szCs w:val="20"/>
              </w:rPr>
            </w:pPr>
            <w:r>
              <w:rPr>
                <w:color w:val="auto"/>
                <w:sz w:val="20"/>
                <w:szCs w:val="20"/>
              </w:rPr>
              <w:t>-</w:t>
            </w:r>
          </w:p>
        </w:tc>
        <w:tc>
          <w:tcPr>
            <w:tcW w:w="817" w:type="pct"/>
            <w:vAlign w:val="center"/>
          </w:tcPr>
          <w:p w14:paraId="6DEB0663" w14:textId="121BCAA8" w:rsidR="0010377F" w:rsidRPr="00A06955" w:rsidRDefault="0010377F" w:rsidP="00A06955">
            <w:pPr>
              <w:tabs>
                <w:tab w:val="decimal" w:pos="1168"/>
              </w:tabs>
              <w:jc w:val="left"/>
              <w:rPr>
                <w:color w:val="auto"/>
                <w:sz w:val="20"/>
                <w:szCs w:val="20"/>
              </w:rPr>
            </w:pPr>
            <w:r w:rsidRPr="00A06955">
              <w:rPr>
                <w:color w:val="auto"/>
                <w:sz w:val="20"/>
                <w:szCs w:val="20"/>
              </w:rPr>
              <w:t>128,588</w:t>
            </w:r>
          </w:p>
        </w:tc>
        <w:tc>
          <w:tcPr>
            <w:tcW w:w="749" w:type="pct"/>
            <w:shd w:val="clear" w:color="auto" w:fill="auto"/>
            <w:vAlign w:val="center"/>
          </w:tcPr>
          <w:p w14:paraId="6C6102AB" w14:textId="4F3A4667" w:rsidR="0010377F" w:rsidRPr="00A06955" w:rsidRDefault="0010377F" w:rsidP="00A06955">
            <w:pPr>
              <w:tabs>
                <w:tab w:val="decimal" w:pos="1026"/>
              </w:tabs>
              <w:jc w:val="left"/>
              <w:rPr>
                <w:color w:val="auto"/>
                <w:sz w:val="20"/>
                <w:szCs w:val="20"/>
              </w:rPr>
            </w:pPr>
            <w:r w:rsidRPr="00A06955">
              <w:rPr>
                <w:color w:val="auto"/>
                <w:sz w:val="20"/>
                <w:szCs w:val="20"/>
              </w:rPr>
              <w:t>15,305</w:t>
            </w:r>
          </w:p>
        </w:tc>
        <w:tc>
          <w:tcPr>
            <w:tcW w:w="643" w:type="pct"/>
            <w:shd w:val="clear" w:color="auto" w:fill="auto"/>
            <w:vAlign w:val="center"/>
          </w:tcPr>
          <w:p w14:paraId="60B039F4" w14:textId="09ABC02D" w:rsidR="0010377F" w:rsidRPr="00A06955" w:rsidRDefault="0010377F" w:rsidP="00A06955">
            <w:pPr>
              <w:tabs>
                <w:tab w:val="decimal" w:pos="1168"/>
              </w:tabs>
              <w:jc w:val="left"/>
              <w:rPr>
                <w:color w:val="auto"/>
                <w:sz w:val="20"/>
                <w:szCs w:val="20"/>
              </w:rPr>
            </w:pPr>
            <w:r w:rsidRPr="00A06955">
              <w:rPr>
                <w:color w:val="auto"/>
                <w:sz w:val="20"/>
                <w:szCs w:val="20"/>
              </w:rPr>
              <w:t>143,893</w:t>
            </w:r>
          </w:p>
        </w:tc>
      </w:tr>
      <w:tr w:rsidR="0010377F" w:rsidRPr="003C0F16" w14:paraId="5E32B9B3" w14:textId="77777777" w:rsidTr="00A06955">
        <w:trPr>
          <w:trHeight w:val="369"/>
        </w:trPr>
        <w:tc>
          <w:tcPr>
            <w:tcW w:w="883" w:type="pct"/>
            <w:shd w:val="clear" w:color="auto" w:fill="auto"/>
            <w:vAlign w:val="center"/>
          </w:tcPr>
          <w:p w14:paraId="5F17EE25" w14:textId="77777777" w:rsidR="0010377F" w:rsidRPr="00A06955" w:rsidRDefault="0010377F">
            <w:pPr>
              <w:jc w:val="left"/>
              <w:rPr>
                <w:color w:val="auto"/>
                <w:sz w:val="20"/>
                <w:szCs w:val="20"/>
              </w:rPr>
            </w:pPr>
            <w:r w:rsidRPr="00A06955">
              <w:rPr>
                <w:color w:val="auto"/>
                <w:sz w:val="20"/>
                <w:szCs w:val="20"/>
              </w:rPr>
              <w:t>Interim Executive Director for the Environment</w:t>
            </w:r>
          </w:p>
        </w:tc>
        <w:tc>
          <w:tcPr>
            <w:tcW w:w="681" w:type="pct"/>
            <w:shd w:val="clear" w:color="auto" w:fill="auto"/>
            <w:vAlign w:val="center"/>
          </w:tcPr>
          <w:p w14:paraId="14665242" w14:textId="1CF84143" w:rsidR="0010377F" w:rsidRPr="00A06955" w:rsidRDefault="0010377F" w:rsidP="00A06955">
            <w:pPr>
              <w:tabs>
                <w:tab w:val="decimal" w:pos="1027"/>
              </w:tabs>
              <w:jc w:val="left"/>
              <w:rPr>
                <w:color w:val="auto"/>
                <w:sz w:val="20"/>
                <w:szCs w:val="20"/>
              </w:rPr>
            </w:pPr>
            <w:r w:rsidRPr="00A06955">
              <w:rPr>
                <w:color w:val="auto"/>
                <w:sz w:val="20"/>
                <w:szCs w:val="20"/>
              </w:rPr>
              <w:t>121,369</w:t>
            </w:r>
          </w:p>
        </w:tc>
        <w:tc>
          <w:tcPr>
            <w:tcW w:w="545" w:type="pct"/>
            <w:vAlign w:val="center"/>
          </w:tcPr>
          <w:p w14:paraId="346E77A2" w14:textId="7AEC62AE" w:rsidR="0010377F" w:rsidRPr="00A06955" w:rsidRDefault="0010377F" w:rsidP="00A06955">
            <w:pPr>
              <w:tabs>
                <w:tab w:val="decimal" w:pos="743"/>
              </w:tabs>
              <w:jc w:val="left"/>
              <w:rPr>
                <w:color w:val="auto"/>
                <w:sz w:val="20"/>
                <w:szCs w:val="20"/>
              </w:rPr>
            </w:pPr>
            <w:r w:rsidRPr="00A06955">
              <w:rPr>
                <w:color w:val="auto"/>
                <w:sz w:val="20"/>
                <w:szCs w:val="20"/>
              </w:rPr>
              <w:t>6,708</w:t>
            </w:r>
          </w:p>
        </w:tc>
        <w:tc>
          <w:tcPr>
            <w:tcW w:w="681" w:type="pct"/>
            <w:vAlign w:val="center"/>
          </w:tcPr>
          <w:p w14:paraId="0CF04A89" w14:textId="42D48BD2" w:rsidR="0010377F" w:rsidRPr="00A06955" w:rsidRDefault="003B34F6" w:rsidP="00A06955">
            <w:pPr>
              <w:tabs>
                <w:tab w:val="decimal" w:pos="599"/>
              </w:tabs>
              <w:jc w:val="left"/>
              <w:rPr>
                <w:color w:val="auto"/>
                <w:sz w:val="20"/>
                <w:szCs w:val="20"/>
              </w:rPr>
            </w:pPr>
            <w:r>
              <w:rPr>
                <w:color w:val="auto"/>
                <w:sz w:val="20"/>
                <w:szCs w:val="20"/>
              </w:rPr>
              <w:t>-</w:t>
            </w:r>
          </w:p>
        </w:tc>
        <w:tc>
          <w:tcPr>
            <w:tcW w:w="817" w:type="pct"/>
            <w:vAlign w:val="center"/>
          </w:tcPr>
          <w:p w14:paraId="79682496" w14:textId="5992A804" w:rsidR="0010377F" w:rsidRPr="00A06955" w:rsidRDefault="0010377F" w:rsidP="00A06955">
            <w:pPr>
              <w:tabs>
                <w:tab w:val="decimal" w:pos="1168"/>
              </w:tabs>
              <w:jc w:val="left"/>
              <w:rPr>
                <w:color w:val="auto"/>
                <w:sz w:val="20"/>
                <w:szCs w:val="20"/>
              </w:rPr>
            </w:pPr>
            <w:r w:rsidRPr="00A06955">
              <w:rPr>
                <w:color w:val="auto"/>
                <w:sz w:val="20"/>
                <w:szCs w:val="20"/>
              </w:rPr>
              <w:t>128,077</w:t>
            </w:r>
          </w:p>
        </w:tc>
        <w:tc>
          <w:tcPr>
            <w:tcW w:w="749" w:type="pct"/>
            <w:shd w:val="clear" w:color="auto" w:fill="auto"/>
            <w:vAlign w:val="center"/>
          </w:tcPr>
          <w:p w14:paraId="2B507EE3" w14:textId="6A449690" w:rsidR="0010377F" w:rsidRPr="00A06955" w:rsidRDefault="0010377F" w:rsidP="00A06955">
            <w:pPr>
              <w:tabs>
                <w:tab w:val="decimal" w:pos="1026"/>
              </w:tabs>
              <w:jc w:val="left"/>
              <w:rPr>
                <w:color w:val="auto"/>
                <w:sz w:val="20"/>
                <w:szCs w:val="20"/>
              </w:rPr>
            </w:pPr>
            <w:r w:rsidRPr="00A06955">
              <w:rPr>
                <w:color w:val="auto"/>
                <w:sz w:val="20"/>
                <w:szCs w:val="20"/>
              </w:rPr>
              <w:t>15,260</w:t>
            </w:r>
          </w:p>
        </w:tc>
        <w:tc>
          <w:tcPr>
            <w:tcW w:w="643" w:type="pct"/>
            <w:shd w:val="clear" w:color="auto" w:fill="auto"/>
            <w:vAlign w:val="center"/>
          </w:tcPr>
          <w:p w14:paraId="4A208FA0" w14:textId="64510ED7" w:rsidR="0010377F" w:rsidRPr="00A06955" w:rsidRDefault="0010377F" w:rsidP="00A06955">
            <w:pPr>
              <w:tabs>
                <w:tab w:val="decimal" w:pos="1168"/>
              </w:tabs>
              <w:jc w:val="left"/>
              <w:rPr>
                <w:color w:val="auto"/>
                <w:sz w:val="20"/>
                <w:szCs w:val="20"/>
              </w:rPr>
            </w:pPr>
            <w:r w:rsidRPr="00A06955">
              <w:rPr>
                <w:color w:val="auto"/>
                <w:sz w:val="20"/>
                <w:szCs w:val="20"/>
              </w:rPr>
              <w:t>143,337</w:t>
            </w:r>
          </w:p>
        </w:tc>
      </w:tr>
      <w:tr w:rsidR="0010377F" w:rsidRPr="003C0F16" w14:paraId="4CF0C322" w14:textId="77777777" w:rsidTr="00A06955">
        <w:trPr>
          <w:trHeight w:val="369"/>
        </w:trPr>
        <w:tc>
          <w:tcPr>
            <w:tcW w:w="883" w:type="pct"/>
            <w:shd w:val="clear" w:color="auto" w:fill="auto"/>
            <w:vAlign w:val="center"/>
          </w:tcPr>
          <w:p w14:paraId="5B0AFA4B" w14:textId="77777777" w:rsidR="0010377F" w:rsidRPr="00A06955" w:rsidRDefault="0010377F">
            <w:pPr>
              <w:jc w:val="left"/>
              <w:rPr>
                <w:color w:val="auto"/>
                <w:sz w:val="20"/>
                <w:szCs w:val="20"/>
              </w:rPr>
            </w:pPr>
            <w:r w:rsidRPr="00A06955">
              <w:rPr>
                <w:color w:val="auto"/>
                <w:sz w:val="20"/>
                <w:szCs w:val="20"/>
              </w:rPr>
              <w:t>Assistant Chief Executive</w:t>
            </w:r>
          </w:p>
        </w:tc>
        <w:tc>
          <w:tcPr>
            <w:tcW w:w="681" w:type="pct"/>
            <w:shd w:val="clear" w:color="auto" w:fill="auto"/>
            <w:vAlign w:val="center"/>
          </w:tcPr>
          <w:p w14:paraId="226DA289" w14:textId="14B349F7" w:rsidR="0010377F" w:rsidRPr="00A06955" w:rsidRDefault="0010377F" w:rsidP="00A06955">
            <w:pPr>
              <w:tabs>
                <w:tab w:val="decimal" w:pos="1027"/>
              </w:tabs>
              <w:jc w:val="left"/>
              <w:rPr>
                <w:color w:val="auto"/>
                <w:sz w:val="20"/>
                <w:szCs w:val="20"/>
              </w:rPr>
            </w:pPr>
            <w:r w:rsidRPr="00A06955">
              <w:rPr>
                <w:color w:val="auto"/>
                <w:sz w:val="20"/>
                <w:szCs w:val="20"/>
              </w:rPr>
              <w:t>93,646</w:t>
            </w:r>
          </w:p>
        </w:tc>
        <w:tc>
          <w:tcPr>
            <w:tcW w:w="545" w:type="pct"/>
            <w:vAlign w:val="center"/>
          </w:tcPr>
          <w:p w14:paraId="63013709" w14:textId="3D2945DF" w:rsidR="0010377F" w:rsidRPr="00A06955" w:rsidRDefault="0010377F" w:rsidP="00A06955">
            <w:pPr>
              <w:tabs>
                <w:tab w:val="decimal" w:pos="743"/>
              </w:tabs>
              <w:jc w:val="left"/>
              <w:rPr>
                <w:color w:val="auto"/>
                <w:sz w:val="20"/>
                <w:szCs w:val="20"/>
              </w:rPr>
            </w:pPr>
            <w:r w:rsidRPr="00A06955">
              <w:rPr>
                <w:color w:val="auto"/>
                <w:sz w:val="20"/>
                <w:szCs w:val="20"/>
              </w:rPr>
              <w:t>8,023</w:t>
            </w:r>
          </w:p>
        </w:tc>
        <w:tc>
          <w:tcPr>
            <w:tcW w:w="681" w:type="pct"/>
            <w:vAlign w:val="center"/>
          </w:tcPr>
          <w:p w14:paraId="40A9493C" w14:textId="6F04C07E" w:rsidR="0010377F" w:rsidRPr="00A06955" w:rsidRDefault="003B34F6" w:rsidP="00A06955">
            <w:pPr>
              <w:tabs>
                <w:tab w:val="decimal" w:pos="599"/>
              </w:tabs>
              <w:jc w:val="left"/>
              <w:rPr>
                <w:color w:val="auto"/>
                <w:sz w:val="20"/>
                <w:szCs w:val="20"/>
              </w:rPr>
            </w:pPr>
            <w:r>
              <w:rPr>
                <w:color w:val="auto"/>
                <w:sz w:val="20"/>
                <w:szCs w:val="20"/>
              </w:rPr>
              <w:t>-</w:t>
            </w:r>
          </w:p>
        </w:tc>
        <w:tc>
          <w:tcPr>
            <w:tcW w:w="817" w:type="pct"/>
            <w:vAlign w:val="center"/>
          </w:tcPr>
          <w:p w14:paraId="396B4B07" w14:textId="736A5E3D" w:rsidR="0010377F" w:rsidRPr="00A06955" w:rsidRDefault="0010377F" w:rsidP="00A06955">
            <w:pPr>
              <w:tabs>
                <w:tab w:val="decimal" w:pos="1168"/>
              </w:tabs>
              <w:jc w:val="left"/>
              <w:rPr>
                <w:color w:val="auto"/>
                <w:sz w:val="20"/>
                <w:szCs w:val="20"/>
              </w:rPr>
            </w:pPr>
            <w:r w:rsidRPr="00A06955">
              <w:rPr>
                <w:color w:val="auto"/>
                <w:sz w:val="20"/>
                <w:szCs w:val="20"/>
              </w:rPr>
              <w:t>101,669</w:t>
            </w:r>
          </w:p>
        </w:tc>
        <w:tc>
          <w:tcPr>
            <w:tcW w:w="749" w:type="pct"/>
            <w:shd w:val="clear" w:color="auto" w:fill="auto"/>
            <w:vAlign w:val="center"/>
          </w:tcPr>
          <w:p w14:paraId="642A2947" w14:textId="52AE4F62" w:rsidR="0010377F" w:rsidRPr="00A06955" w:rsidRDefault="0010377F" w:rsidP="00A06955">
            <w:pPr>
              <w:tabs>
                <w:tab w:val="decimal" w:pos="1026"/>
              </w:tabs>
              <w:jc w:val="left"/>
              <w:rPr>
                <w:color w:val="auto"/>
                <w:sz w:val="20"/>
                <w:szCs w:val="20"/>
              </w:rPr>
            </w:pPr>
            <w:r w:rsidRPr="00A06955">
              <w:rPr>
                <w:color w:val="auto"/>
                <w:sz w:val="20"/>
                <w:szCs w:val="20"/>
              </w:rPr>
              <w:t>11,799</w:t>
            </w:r>
          </w:p>
        </w:tc>
        <w:tc>
          <w:tcPr>
            <w:tcW w:w="643" w:type="pct"/>
            <w:shd w:val="clear" w:color="auto" w:fill="auto"/>
            <w:vAlign w:val="center"/>
          </w:tcPr>
          <w:p w14:paraId="407E6B8C" w14:textId="04283AF2" w:rsidR="0010377F" w:rsidRPr="00A06955" w:rsidRDefault="0010377F" w:rsidP="00A06955">
            <w:pPr>
              <w:tabs>
                <w:tab w:val="decimal" w:pos="1168"/>
              </w:tabs>
              <w:jc w:val="left"/>
              <w:rPr>
                <w:color w:val="auto"/>
                <w:sz w:val="20"/>
                <w:szCs w:val="20"/>
              </w:rPr>
            </w:pPr>
            <w:r w:rsidRPr="00A06955">
              <w:rPr>
                <w:color w:val="auto"/>
                <w:sz w:val="20"/>
                <w:szCs w:val="20"/>
              </w:rPr>
              <w:t>113,468</w:t>
            </w:r>
          </w:p>
        </w:tc>
      </w:tr>
      <w:tr w:rsidR="0010377F" w:rsidRPr="003C0F16" w14:paraId="5F27E503" w14:textId="77777777" w:rsidTr="00A06955">
        <w:trPr>
          <w:trHeight w:val="369"/>
        </w:trPr>
        <w:tc>
          <w:tcPr>
            <w:tcW w:w="883" w:type="pct"/>
            <w:shd w:val="clear" w:color="auto" w:fill="auto"/>
            <w:vAlign w:val="center"/>
          </w:tcPr>
          <w:p w14:paraId="4B7AD10F" w14:textId="77777777" w:rsidR="0010377F" w:rsidRPr="003C0F16" w:rsidRDefault="0010377F">
            <w:pPr>
              <w:jc w:val="left"/>
              <w:rPr>
                <w:color w:val="auto"/>
                <w:sz w:val="20"/>
                <w:szCs w:val="20"/>
                <w:highlight w:val="yellow"/>
              </w:rPr>
            </w:pPr>
            <w:r w:rsidRPr="00A06955">
              <w:rPr>
                <w:color w:val="auto"/>
                <w:sz w:val="20"/>
                <w:szCs w:val="20"/>
              </w:rPr>
              <w:t>Director of Economic Development</w:t>
            </w:r>
          </w:p>
        </w:tc>
        <w:tc>
          <w:tcPr>
            <w:tcW w:w="681" w:type="pct"/>
            <w:shd w:val="clear" w:color="auto" w:fill="auto"/>
            <w:vAlign w:val="center"/>
          </w:tcPr>
          <w:p w14:paraId="0B361FDF" w14:textId="166A0F50" w:rsidR="0010377F" w:rsidRPr="00A06955" w:rsidRDefault="0010377F" w:rsidP="00A06955">
            <w:pPr>
              <w:tabs>
                <w:tab w:val="decimal" w:pos="1027"/>
              </w:tabs>
              <w:jc w:val="left"/>
              <w:rPr>
                <w:color w:val="auto"/>
                <w:sz w:val="20"/>
                <w:szCs w:val="20"/>
              </w:rPr>
            </w:pPr>
            <w:r w:rsidRPr="00A06955">
              <w:rPr>
                <w:color w:val="auto"/>
                <w:sz w:val="20"/>
                <w:szCs w:val="20"/>
              </w:rPr>
              <w:t>93,646</w:t>
            </w:r>
          </w:p>
        </w:tc>
        <w:tc>
          <w:tcPr>
            <w:tcW w:w="545" w:type="pct"/>
            <w:vAlign w:val="center"/>
          </w:tcPr>
          <w:p w14:paraId="367156D9" w14:textId="7DDA28C8" w:rsidR="0010377F" w:rsidRPr="00A06955" w:rsidRDefault="0010377F" w:rsidP="00A06955">
            <w:pPr>
              <w:tabs>
                <w:tab w:val="decimal" w:pos="743"/>
              </w:tabs>
              <w:jc w:val="left"/>
              <w:rPr>
                <w:color w:val="auto"/>
                <w:sz w:val="20"/>
                <w:szCs w:val="20"/>
              </w:rPr>
            </w:pPr>
            <w:r w:rsidRPr="00A06955">
              <w:rPr>
                <w:color w:val="auto"/>
                <w:sz w:val="20"/>
                <w:szCs w:val="20"/>
              </w:rPr>
              <w:t>6,980</w:t>
            </w:r>
          </w:p>
        </w:tc>
        <w:tc>
          <w:tcPr>
            <w:tcW w:w="681" w:type="pct"/>
            <w:vAlign w:val="center"/>
          </w:tcPr>
          <w:p w14:paraId="351D9C72" w14:textId="24598D5F" w:rsidR="0010377F" w:rsidRPr="00A06955" w:rsidRDefault="003B34F6" w:rsidP="00A06955">
            <w:pPr>
              <w:tabs>
                <w:tab w:val="decimal" w:pos="599"/>
              </w:tabs>
              <w:jc w:val="left"/>
              <w:rPr>
                <w:color w:val="auto"/>
                <w:sz w:val="20"/>
                <w:szCs w:val="20"/>
              </w:rPr>
            </w:pPr>
            <w:r>
              <w:rPr>
                <w:color w:val="auto"/>
                <w:sz w:val="20"/>
                <w:szCs w:val="20"/>
              </w:rPr>
              <w:t>-</w:t>
            </w:r>
          </w:p>
        </w:tc>
        <w:tc>
          <w:tcPr>
            <w:tcW w:w="817" w:type="pct"/>
            <w:vAlign w:val="center"/>
          </w:tcPr>
          <w:p w14:paraId="4C07A48B" w14:textId="355B6DC1" w:rsidR="0010377F" w:rsidRPr="00A06955" w:rsidRDefault="0010377F" w:rsidP="00A06955">
            <w:pPr>
              <w:tabs>
                <w:tab w:val="decimal" w:pos="1168"/>
              </w:tabs>
              <w:jc w:val="left"/>
              <w:rPr>
                <w:color w:val="auto"/>
                <w:sz w:val="20"/>
                <w:szCs w:val="20"/>
              </w:rPr>
            </w:pPr>
            <w:r w:rsidRPr="00A06955">
              <w:rPr>
                <w:color w:val="auto"/>
                <w:sz w:val="20"/>
                <w:szCs w:val="20"/>
              </w:rPr>
              <w:t>100,626</w:t>
            </w:r>
          </w:p>
        </w:tc>
        <w:tc>
          <w:tcPr>
            <w:tcW w:w="749" w:type="pct"/>
            <w:shd w:val="clear" w:color="auto" w:fill="auto"/>
            <w:vAlign w:val="center"/>
          </w:tcPr>
          <w:p w14:paraId="5C404E3F" w14:textId="0F8E4A93" w:rsidR="0010377F" w:rsidRPr="00A06955" w:rsidRDefault="0010377F" w:rsidP="00A06955">
            <w:pPr>
              <w:tabs>
                <w:tab w:val="decimal" w:pos="1026"/>
              </w:tabs>
              <w:jc w:val="left"/>
              <w:rPr>
                <w:color w:val="auto"/>
                <w:sz w:val="20"/>
                <w:szCs w:val="20"/>
              </w:rPr>
            </w:pPr>
            <w:r w:rsidRPr="00A06955">
              <w:rPr>
                <w:color w:val="auto"/>
                <w:sz w:val="20"/>
                <w:szCs w:val="20"/>
              </w:rPr>
              <w:t>11,799</w:t>
            </w:r>
          </w:p>
        </w:tc>
        <w:tc>
          <w:tcPr>
            <w:tcW w:w="643" w:type="pct"/>
            <w:shd w:val="clear" w:color="auto" w:fill="auto"/>
            <w:vAlign w:val="center"/>
          </w:tcPr>
          <w:p w14:paraId="2A06BA5A" w14:textId="60CFAB7D" w:rsidR="0010377F" w:rsidRPr="00A06955" w:rsidRDefault="0010377F" w:rsidP="00A06955">
            <w:pPr>
              <w:tabs>
                <w:tab w:val="decimal" w:pos="1168"/>
              </w:tabs>
              <w:jc w:val="left"/>
              <w:rPr>
                <w:color w:val="auto"/>
                <w:sz w:val="20"/>
                <w:szCs w:val="20"/>
              </w:rPr>
            </w:pPr>
            <w:r w:rsidRPr="00A06955">
              <w:rPr>
                <w:color w:val="auto"/>
                <w:sz w:val="20"/>
                <w:szCs w:val="20"/>
              </w:rPr>
              <w:t>112,425</w:t>
            </w:r>
          </w:p>
        </w:tc>
      </w:tr>
      <w:tr w:rsidR="0010377F" w:rsidRPr="003C0F16" w14:paraId="6F5AF021" w14:textId="77777777" w:rsidTr="00A06955">
        <w:trPr>
          <w:trHeight w:val="369"/>
        </w:trPr>
        <w:tc>
          <w:tcPr>
            <w:tcW w:w="883" w:type="pct"/>
            <w:shd w:val="clear" w:color="auto" w:fill="auto"/>
            <w:vAlign w:val="center"/>
          </w:tcPr>
          <w:p w14:paraId="18898786" w14:textId="77777777" w:rsidR="0010377F" w:rsidRPr="003C0F16" w:rsidRDefault="0010377F">
            <w:pPr>
              <w:jc w:val="left"/>
              <w:rPr>
                <w:color w:val="auto"/>
                <w:sz w:val="20"/>
                <w:szCs w:val="20"/>
                <w:highlight w:val="yellow"/>
              </w:rPr>
            </w:pPr>
            <w:r w:rsidRPr="00A06955">
              <w:rPr>
                <w:color w:val="auto"/>
                <w:sz w:val="20"/>
                <w:szCs w:val="20"/>
              </w:rPr>
              <w:t>Director for Public Health</w:t>
            </w:r>
          </w:p>
        </w:tc>
        <w:tc>
          <w:tcPr>
            <w:tcW w:w="681" w:type="pct"/>
            <w:shd w:val="clear" w:color="auto" w:fill="auto"/>
            <w:vAlign w:val="center"/>
          </w:tcPr>
          <w:p w14:paraId="598814BF" w14:textId="19F2BC32" w:rsidR="0010377F" w:rsidRPr="00A06955" w:rsidRDefault="0010377F" w:rsidP="00A06955">
            <w:pPr>
              <w:tabs>
                <w:tab w:val="decimal" w:pos="1027"/>
              </w:tabs>
              <w:jc w:val="left"/>
              <w:rPr>
                <w:color w:val="auto"/>
                <w:sz w:val="20"/>
                <w:szCs w:val="20"/>
              </w:rPr>
            </w:pPr>
            <w:r w:rsidRPr="00A06955">
              <w:rPr>
                <w:color w:val="auto"/>
                <w:sz w:val="20"/>
                <w:szCs w:val="20"/>
              </w:rPr>
              <w:t>107,083</w:t>
            </w:r>
          </w:p>
        </w:tc>
        <w:tc>
          <w:tcPr>
            <w:tcW w:w="545" w:type="pct"/>
            <w:vAlign w:val="center"/>
          </w:tcPr>
          <w:p w14:paraId="5490BB47" w14:textId="102A7F37" w:rsidR="0010377F" w:rsidRPr="00A06955" w:rsidRDefault="0010377F" w:rsidP="00A06955">
            <w:pPr>
              <w:tabs>
                <w:tab w:val="decimal" w:pos="743"/>
              </w:tabs>
              <w:jc w:val="left"/>
              <w:rPr>
                <w:color w:val="auto"/>
                <w:sz w:val="20"/>
                <w:szCs w:val="20"/>
              </w:rPr>
            </w:pPr>
            <w:r w:rsidRPr="00A06955">
              <w:rPr>
                <w:color w:val="auto"/>
                <w:sz w:val="20"/>
                <w:szCs w:val="20"/>
              </w:rPr>
              <w:t>7,508</w:t>
            </w:r>
          </w:p>
        </w:tc>
        <w:tc>
          <w:tcPr>
            <w:tcW w:w="681" w:type="pct"/>
            <w:vAlign w:val="center"/>
          </w:tcPr>
          <w:p w14:paraId="4F6D6F1B" w14:textId="1A91490F" w:rsidR="0010377F" w:rsidRPr="00A06955" w:rsidRDefault="003B34F6" w:rsidP="00A06955">
            <w:pPr>
              <w:tabs>
                <w:tab w:val="decimal" w:pos="599"/>
              </w:tabs>
              <w:jc w:val="left"/>
              <w:rPr>
                <w:color w:val="auto"/>
                <w:sz w:val="20"/>
                <w:szCs w:val="20"/>
              </w:rPr>
            </w:pPr>
            <w:r>
              <w:rPr>
                <w:color w:val="auto"/>
                <w:sz w:val="20"/>
                <w:szCs w:val="20"/>
              </w:rPr>
              <w:t>-</w:t>
            </w:r>
          </w:p>
        </w:tc>
        <w:tc>
          <w:tcPr>
            <w:tcW w:w="817" w:type="pct"/>
            <w:vAlign w:val="center"/>
          </w:tcPr>
          <w:p w14:paraId="344C3042" w14:textId="35D86E85" w:rsidR="0010377F" w:rsidRPr="00A06955" w:rsidRDefault="0010377F" w:rsidP="009C1D66">
            <w:pPr>
              <w:tabs>
                <w:tab w:val="decimal" w:pos="1168"/>
              </w:tabs>
              <w:jc w:val="left"/>
              <w:rPr>
                <w:color w:val="auto"/>
                <w:sz w:val="20"/>
                <w:szCs w:val="20"/>
              </w:rPr>
            </w:pPr>
            <w:r w:rsidRPr="00A06955">
              <w:rPr>
                <w:color w:val="auto"/>
                <w:sz w:val="20"/>
                <w:szCs w:val="20"/>
              </w:rPr>
              <w:t>114,</w:t>
            </w:r>
            <w:r w:rsidR="00C12D34" w:rsidRPr="00A06955">
              <w:rPr>
                <w:color w:val="auto"/>
                <w:sz w:val="20"/>
                <w:szCs w:val="20"/>
              </w:rPr>
              <w:t>59</w:t>
            </w:r>
            <w:r w:rsidR="00C12D34">
              <w:rPr>
                <w:color w:val="auto"/>
                <w:sz w:val="20"/>
                <w:szCs w:val="20"/>
              </w:rPr>
              <w:t>1</w:t>
            </w:r>
          </w:p>
        </w:tc>
        <w:tc>
          <w:tcPr>
            <w:tcW w:w="749" w:type="pct"/>
            <w:shd w:val="clear" w:color="auto" w:fill="auto"/>
            <w:vAlign w:val="center"/>
          </w:tcPr>
          <w:p w14:paraId="69E41875" w14:textId="4B14A581" w:rsidR="0010377F" w:rsidRPr="00A06955" w:rsidRDefault="0010377F">
            <w:pPr>
              <w:tabs>
                <w:tab w:val="decimal" w:pos="1026"/>
              </w:tabs>
              <w:jc w:val="left"/>
              <w:rPr>
                <w:color w:val="auto"/>
                <w:sz w:val="20"/>
                <w:szCs w:val="20"/>
              </w:rPr>
            </w:pPr>
            <w:r w:rsidRPr="00A06955">
              <w:rPr>
                <w:color w:val="auto"/>
                <w:sz w:val="20"/>
                <w:szCs w:val="20"/>
              </w:rPr>
              <w:t>14,99</w:t>
            </w:r>
            <w:r w:rsidR="00A65B8D">
              <w:rPr>
                <w:color w:val="auto"/>
                <w:sz w:val="20"/>
                <w:szCs w:val="20"/>
              </w:rPr>
              <w:t>1</w:t>
            </w:r>
          </w:p>
        </w:tc>
        <w:tc>
          <w:tcPr>
            <w:tcW w:w="643" w:type="pct"/>
            <w:shd w:val="clear" w:color="auto" w:fill="auto"/>
            <w:vAlign w:val="center"/>
          </w:tcPr>
          <w:p w14:paraId="6E8B4174" w14:textId="721E20C0" w:rsidR="0010377F" w:rsidRPr="00A06955" w:rsidRDefault="0010377F" w:rsidP="009C1D66">
            <w:pPr>
              <w:tabs>
                <w:tab w:val="decimal" w:pos="1168"/>
              </w:tabs>
              <w:jc w:val="left"/>
              <w:rPr>
                <w:color w:val="auto"/>
                <w:sz w:val="20"/>
                <w:szCs w:val="20"/>
              </w:rPr>
            </w:pPr>
            <w:r w:rsidRPr="00A06955">
              <w:rPr>
                <w:color w:val="auto"/>
                <w:sz w:val="20"/>
                <w:szCs w:val="20"/>
              </w:rPr>
              <w:t>129,</w:t>
            </w:r>
            <w:r w:rsidR="00C12D34" w:rsidRPr="00A06955">
              <w:rPr>
                <w:color w:val="auto"/>
                <w:sz w:val="20"/>
                <w:szCs w:val="20"/>
              </w:rPr>
              <w:t>58</w:t>
            </w:r>
            <w:r w:rsidR="00C12D34">
              <w:rPr>
                <w:color w:val="auto"/>
                <w:sz w:val="20"/>
                <w:szCs w:val="20"/>
              </w:rPr>
              <w:t>2</w:t>
            </w:r>
          </w:p>
        </w:tc>
      </w:tr>
      <w:tr w:rsidR="0010377F" w:rsidRPr="003C0F16" w14:paraId="03B5CB10" w14:textId="77777777" w:rsidTr="00A06955">
        <w:trPr>
          <w:trHeight w:val="369"/>
        </w:trPr>
        <w:tc>
          <w:tcPr>
            <w:tcW w:w="883" w:type="pct"/>
            <w:shd w:val="clear" w:color="auto" w:fill="auto"/>
            <w:vAlign w:val="center"/>
          </w:tcPr>
          <w:p w14:paraId="0EBB1EE6" w14:textId="77777777" w:rsidR="0010377F" w:rsidRPr="00A06955" w:rsidRDefault="0010377F">
            <w:pPr>
              <w:jc w:val="left"/>
              <w:rPr>
                <w:color w:val="auto"/>
                <w:sz w:val="20"/>
                <w:szCs w:val="20"/>
              </w:rPr>
            </w:pPr>
            <w:r w:rsidRPr="00A06955">
              <w:rPr>
                <w:color w:val="auto"/>
                <w:sz w:val="20"/>
                <w:szCs w:val="20"/>
              </w:rPr>
              <w:t>Head of Communications</w:t>
            </w:r>
          </w:p>
        </w:tc>
        <w:tc>
          <w:tcPr>
            <w:tcW w:w="681" w:type="pct"/>
            <w:shd w:val="clear" w:color="auto" w:fill="auto"/>
            <w:vAlign w:val="center"/>
          </w:tcPr>
          <w:p w14:paraId="12783F08" w14:textId="5D438856" w:rsidR="0010377F" w:rsidRPr="00A06955" w:rsidRDefault="0010377F" w:rsidP="00A06955">
            <w:pPr>
              <w:tabs>
                <w:tab w:val="decimal" w:pos="1027"/>
              </w:tabs>
              <w:jc w:val="left"/>
              <w:rPr>
                <w:color w:val="auto"/>
                <w:sz w:val="20"/>
                <w:szCs w:val="20"/>
              </w:rPr>
            </w:pPr>
            <w:r w:rsidRPr="00A06955">
              <w:rPr>
                <w:color w:val="auto"/>
                <w:sz w:val="20"/>
                <w:szCs w:val="20"/>
              </w:rPr>
              <w:t>72,078</w:t>
            </w:r>
          </w:p>
        </w:tc>
        <w:tc>
          <w:tcPr>
            <w:tcW w:w="545" w:type="pct"/>
            <w:vAlign w:val="center"/>
          </w:tcPr>
          <w:p w14:paraId="2A16CF87" w14:textId="02D232DF" w:rsidR="0010377F" w:rsidRPr="00A06955" w:rsidRDefault="003B34F6" w:rsidP="006A6453">
            <w:pPr>
              <w:jc w:val="center"/>
              <w:rPr>
                <w:color w:val="auto"/>
                <w:sz w:val="20"/>
                <w:szCs w:val="20"/>
              </w:rPr>
            </w:pPr>
            <w:r>
              <w:rPr>
                <w:color w:val="auto"/>
                <w:sz w:val="20"/>
                <w:szCs w:val="20"/>
              </w:rPr>
              <w:t>-</w:t>
            </w:r>
          </w:p>
        </w:tc>
        <w:tc>
          <w:tcPr>
            <w:tcW w:w="681" w:type="pct"/>
            <w:vAlign w:val="center"/>
          </w:tcPr>
          <w:p w14:paraId="48243BAB" w14:textId="52AC8C3B" w:rsidR="0010377F" w:rsidRPr="00A06955" w:rsidRDefault="003B34F6" w:rsidP="00A06955">
            <w:pPr>
              <w:tabs>
                <w:tab w:val="decimal" w:pos="599"/>
              </w:tabs>
              <w:jc w:val="left"/>
              <w:rPr>
                <w:color w:val="auto"/>
                <w:sz w:val="20"/>
                <w:szCs w:val="20"/>
              </w:rPr>
            </w:pPr>
            <w:r>
              <w:rPr>
                <w:color w:val="auto"/>
                <w:sz w:val="20"/>
                <w:szCs w:val="20"/>
              </w:rPr>
              <w:t>-</w:t>
            </w:r>
          </w:p>
        </w:tc>
        <w:tc>
          <w:tcPr>
            <w:tcW w:w="817" w:type="pct"/>
            <w:vAlign w:val="center"/>
          </w:tcPr>
          <w:p w14:paraId="3111EFDB" w14:textId="54F65081" w:rsidR="0010377F" w:rsidRPr="00A06955" w:rsidRDefault="0010377F" w:rsidP="00A06955">
            <w:pPr>
              <w:tabs>
                <w:tab w:val="decimal" w:pos="1168"/>
              </w:tabs>
              <w:jc w:val="left"/>
              <w:rPr>
                <w:color w:val="auto"/>
                <w:sz w:val="20"/>
                <w:szCs w:val="20"/>
              </w:rPr>
            </w:pPr>
            <w:r w:rsidRPr="00A06955">
              <w:rPr>
                <w:color w:val="auto"/>
                <w:sz w:val="20"/>
                <w:szCs w:val="20"/>
              </w:rPr>
              <w:t>72,078</w:t>
            </w:r>
          </w:p>
        </w:tc>
        <w:tc>
          <w:tcPr>
            <w:tcW w:w="749" w:type="pct"/>
            <w:shd w:val="clear" w:color="auto" w:fill="auto"/>
            <w:vAlign w:val="center"/>
          </w:tcPr>
          <w:p w14:paraId="182B6B25" w14:textId="087B4740" w:rsidR="0010377F" w:rsidRPr="00A06955" w:rsidRDefault="0010377F" w:rsidP="00A06955">
            <w:pPr>
              <w:tabs>
                <w:tab w:val="decimal" w:pos="1026"/>
              </w:tabs>
              <w:jc w:val="left"/>
              <w:rPr>
                <w:color w:val="auto"/>
                <w:sz w:val="20"/>
                <w:szCs w:val="20"/>
              </w:rPr>
            </w:pPr>
            <w:r w:rsidRPr="00A06955">
              <w:rPr>
                <w:color w:val="auto"/>
                <w:sz w:val="20"/>
                <w:szCs w:val="20"/>
              </w:rPr>
              <w:t>9,082</w:t>
            </w:r>
          </w:p>
        </w:tc>
        <w:tc>
          <w:tcPr>
            <w:tcW w:w="643" w:type="pct"/>
            <w:shd w:val="clear" w:color="auto" w:fill="auto"/>
            <w:vAlign w:val="center"/>
          </w:tcPr>
          <w:p w14:paraId="54BA21F6" w14:textId="7C691952" w:rsidR="0010377F" w:rsidRPr="00A06955" w:rsidRDefault="0010377F" w:rsidP="00A06955">
            <w:pPr>
              <w:tabs>
                <w:tab w:val="decimal" w:pos="1168"/>
              </w:tabs>
              <w:jc w:val="left"/>
              <w:rPr>
                <w:color w:val="auto"/>
                <w:sz w:val="20"/>
                <w:szCs w:val="20"/>
              </w:rPr>
            </w:pPr>
            <w:r w:rsidRPr="00A06955">
              <w:rPr>
                <w:color w:val="auto"/>
                <w:sz w:val="20"/>
                <w:szCs w:val="20"/>
              </w:rPr>
              <w:t>81,160</w:t>
            </w:r>
          </w:p>
        </w:tc>
      </w:tr>
      <w:tr w:rsidR="00035A10" w:rsidRPr="003C0F16" w14:paraId="74F595FD" w14:textId="77777777" w:rsidTr="003B34F6">
        <w:trPr>
          <w:trHeight w:val="369"/>
        </w:trPr>
        <w:tc>
          <w:tcPr>
            <w:tcW w:w="883" w:type="pct"/>
            <w:shd w:val="clear" w:color="auto" w:fill="auto"/>
            <w:vAlign w:val="center"/>
          </w:tcPr>
          <w:p w14:paraId="772ABC16" w14:textId="6CB26132" w:rsidR="00035A10" w:rsidRPr="00035A10" w:rsidRDefault="00035A10">
            <w:pPr>
              <w:jc w:val="left"/>
              <w:rPr>
                <w:color w:val="auto"/>
                <w:sz w:val="20"/>
                <w:szCs w:val="20"/>
              </w:rPr>
            </w:pPr>
            <w:r>
              <w:rPr>
                <w:color w:val="auto"/>
                <w:sz w:val="20"/>
                <w:szCs w:val="20"/>
              </w:rPr>
              <w:t>County Secretary &amp; Solicitor</w:t>
            </w:r>
            <w:r>
              <w:rPr>
                <w:color w:val="auto"/>
                <w:sz w:val="20"/>
                <w:szCs w:val="20"/>
                <w:vertAlign w:val="superscript"/>
              </w:rPr>
              <w:t>3</w:t>
            </w:r>
          </w:p>
        </w:tc>
        <w:tc>
          <w:tcPr>
            <w:tcW w:w="681" w:type="pct"/>
            <w:shd w:val="clear" w:color="auto" w:fill="auto"/>
            <w:vAlign w:val="center"/>
          </w:tcPr>
          <w:p w14:paraId="3D7E7FEB" w14:textId="1055529E" w:rsidR="00035A10" w:rsidRPr="00035A10" w:rsidDel="00B8525E" w:rsidRDefault="00035A10">
            <w:pPr>
              <w:tabs>
                <w:tab w:val="decimal" w:pos="1027"/>
              </w:tabs>
              <w:jc w:val="left"/>
              <w:rPr>
                <w:color w:val="auto"/>
                <w:sz w:val="20"/>
                <w:szCs w:val="20"/>
              </w:rPr>
            </w:pPr>
            <w:r>
              <w:rPr>
                <w:color w:val="auto"/>
                <w:sz w:val="20"/>
                <w:szCs w:val="20"/>
              </w:rPr>
              <w:t>70,000</w:t>
            </w:r>
          </w:p>
        </w:tc>
        <w:tc>
          <w:tcPr>
            <w:tcW w:w="545" w:type="pct"/>
            <w:vAlign w:val="center"/>
          </w:tcPr>
          <w:p w14:paraId="38FE31D0" w14:textId="344F29E7" w:rsidR="00035A10" w:rsidRDefault="00035A10">
            <w:pPr>
              <w:tabs>
                <w:tab w:val="decimal" w:pos="743"/>
              </w:tabs>
              <w:jc w:val="left"/>
              <w:rPr>
                <w:color w:val="auto"/>
                <w:sz w:val="20"/>
                <w:szCs w:val="20"/>
              </w:rPr>
            </w:pPr>
            <w:r>
              <w:rPr>
                <w:color w:val="auto"/>
                <w:sz w:val="20"/>
                <w:szCs w:val="20"/>
              </w:rPr>
              <w:t>2,196</w:t>
            </w:r>
          </w:p>
        </w:tc>
        <w:tc>
          <w:tcPr>
            <w:tcW w:w="681" w:type="pct"/>
            <w:vAlign w:val="center"/>
          </w:tcPr>
          <w:p w14:paraId="0AC9D16E" w14:textId="0C84574A" w:rsidR="00035A10" w:rsidRDefault="006A6453" w:rsidP="006A6453">
            <w:pPr>
              <w:tabs>
                <w:tab w:val="decimal" w:pos="618"/>
              </w:tabs>
              <w:jc w:val="left"/>
              <w:rPr>
                <w:color w:val="auto"/>
                <w:sz w:val="20"/>
                <w:szCs w:val="20"/>
              </w:rPr>
            </w:pPr>
            <w:r>
              <w:rPr>
                <w:color w:val="auto"/>
                <w:sz w:val="20"/>
                <w:szCs w:val="20"/>
              </w:rPr>
              <w:t>-</w:t>
            </w:r>
          </w:p>
        </w:tc>
        <w:tc>
          <w:tcPr>
            <w:tcW w:w="817" w:type="pct"/>
            <w:vAlign w:val="center"/>
          </w:tcPr>
          <w:p w14:paraId="7B742CC5" w14:textId="5C0746BA" w:rsidR="00035A10" w:rsidRPr="00035A10" w:rsidDel="00B8525E" w:rsidRDefault="00035A10">
            <w:pPr>
              <w:tabs>
                <w:tab w:val="decimal" w:pos="1168"/>
              </w:tabs>
              <w:jc w:val="left"/>
              <w:rPr>
                <w:color w:val="auto"/>
                <w:sz w:val="20"/>
                <w:szCs w:val="20"/>
              </w:rPr>
            </w:pPr>
            <w:r>
              <w:rPr>
                <w:color w:val="auto"/>
                <w:sz w:val="20"/>
                <w:szCs w:val="20"/>
              </w:rPr>
              <w:t>72,196</w:t>
            </w:r>
          </w:p>
        </w:tc>
        <w:tc>
          <w:tcPr>
            <w:tcW w:w="749" w:type="pct"/>
            <w:shd w:val="clear" w:color="auto" w:fill="auto"/>
            <w:vAlign w:val="center"/>
          </w:tcPr>
          <w:p w14:paraId="32E66A2B" w14:textId="1E31362C" w:rsidR="00035A10" w:rsidRPr="00035A10" w:rsidDel="00B8525E" w:rsidRDefault="00035A10">
            <w:pPr>
              <w:tabs>
                <w:tab w:val="decimal" w:pos="1026"/>
              </w:tabs>
              <w:jc w:val="left"/>
              <w:rPr>
                <w:color w:val="auto"/>
                <w:sz w:val="20"/>
                <w:szCs w:val="20"/>
              </w:rPr>
            </w:pPr>
            <w:r>
              <w:rPr>
                <w:color w:val="auto"/>
                <w:sz w:val="20"/>
                <w:szCs w:val="20"/>
              </w:rPr>
              <w:t>8,820</w:t>
            </w:r>
          </w:p>
        </w:tc>
        <w:tc>
          <w:tcPr>
            <w:tcW w:w="643" w:type="pct"/>
            <w:shd w:val="clear" w:color="auto" w:fill="auto"/>
            <w:vAlign w:val="center"/>
          </w:tcPr>
          <w:p w14:paraId="4C83BCFA" w14:textId="60F7FF56" w:rsidR="00035A10" w:rsidRPr="00035A10" w:rsidDel="00B8525E" w:rsidRDefault="00035A10">
            <w:pPr>
              <w:tabs>
                <w:tab w:val="decimal" w:pos="1168"/>
              </w:tabs>
              <w:jc w:val="left"/>
              <w:rPr>
                <w:color w:val="auto"/>
                <w:sz w:val="20"/>
                <w:szCs w:val="20"/>
              </w:rPr>
            </w:pPr>
            <w:r>
              <w:rPr>
                <w:color w:val="auto"/>
                <w:sz w:val="20"/>
                <w:szCs w:val="20"/>
              </w:rPr>
              <w:t>81,016</w:t>
            </w:r>
          </w:p>
        </w:tc>
      </w:tr>
      <w:tr w:rsidR="0010377F" w:rsidRPr="003C0F16" w14:paraId="08FCE84C" w14:textId="77777777" w:rsidTr="00A06955">
        <w:trPr>
          <w:trHeight w:val="369"/>
        </w:trPr>
        <w:tc>
          <w:tcPr>
            <w:tcW w:w="883" w:type="pct"/>
            <w:shd w:val="clear" w:color="auto" w:fill="auto"/>
            <w:vAlign w:val="center"/>
          </w:tcPr>
          <w:p w14:paraId="703BDF7B" w14:textId="65227483" w:rsidR="0010377F" w:rsidRPr="00A06955" w:rsidRDefault="0010377F" w:rsidP="00035A10">
            <w:pPr>
              <w:jc w:val="left"/>
              <w:rPr>
                <w:color w:val="auto"/>
                <w:sz w:val="20"/>
                <w:szCs w:val="20"/>
                <w:vertAlign w:val="superscript"/>
              </w:rPr>
            </w:pPr>
            <w:r>
              <w:rPr>
                <w:color w:val="auto"/>
                <w:sz w:val="20"/>
                <w:szCs w:val="20"/>
              </w:rPr>
              <w:t>County Secretary &amp; Solicitor</w:t>
            </w:r>
            <w:r w:rsidR="00035A10">
              <w:rPr>
                <w:color w:val="auto"/>
                <w:sz w:val="20"/>
                <w:szCs w:val="20"/>
                <w:vertAlign w:val="superscript"/>
              </w:rPr>
              <w:t>4</w:t>
            </w:r>
          </w:p>
        </w:tc>
        <w:tc>
          <w:tcPr>
            <w:tcW w:w="681" w:type="pct"/>
            <w:shd w:val="clear" w:color="auto" w:fill="auto"/>
            <w:vAlign w:val="center"/>
          </w:tcPr>
          <w:p w14:paraId="4F1DB6A1" w14:textId="12DE09C9" w:rsidR="0010377F" w:rsidRPr="00E317E9" w:rsidDel="00B8525E" w:rsidRDefault="00035A10" w:rsidP="00A06955">
            <w:pPr>
              <w:tabs>
                <w:tab w:val="decimal" w:pos="1027"/>
              </w:tabs>
              <w:jc w:val="left"/>
              <w:rPr>
                <w:color w:val="auto"/>
                <w:sz w:val="20"/>
                <w:szCs w:val="20"/>
              </w:rPr>
            </w:pPr>
            <w:r>
              <w:rPr>
                <w:color w:val="auto"/>
                <w:sz w:val="20"/>
                <w:szCs w:val="20"/>
              </w:rPr>
              <w:t>47</w:t>
            </w:r>
            <w:r w:rsidR="0010377F">
              <w:rPr>
                <w:color w:val="auto"/>
                <w:sz w:val="20"/>
                <w:szCs w:val="20"/>
              </w:rPr>
              <w:t>,275</w:t>
            </w:r>
          </w:p>
        </w:tc>
        <w:tc>
          <w:tcPr>
            <w:tcW w:w="545" w:type="pct"/>
            <w:vAlign w:val="center"/>
          </w:tcPr>
          <w:p w14:paraId="41F41841" w14:textId="26DAE43C" w:rsidR="0010377F" w:rsidRPr="00E317E9" w:rsidDel="00B8525E" w:rsidRDefault="00035A10" w:rsidP="00A06955">
            <w:pPr>
              <w:tabs>
                <w:tab w:val="decimal" w:pos="743"/>
              </w:tabs>
              <w:jc w:val="left"/>
              <w:rPr>
                <w:color w:val="auto"/>
                <w:sz w:val="20"/>
                <w:szCs w:val="20"/>
              </w:rPr>
            </w:pPr>
            <w:r>
              <w:rPr>
                <w:color w:val="auto"/>
                <w:sz w:val="20"/>
                <w:szCs w:val="20"/>
              </w:rPr>
              <w:t>1,427</w:t>
            </w:r>
          </w:p>
        </w:tc>
        <w:tc>
          <w:tcPr>
            <w:tcW w:w="681" w:type="pct"/>
            <w:vAlign w:val="center"/>
          </w:tcPr>
          <w:p w14:paraId="30D740F0" w14:textId="77777777" w:rsidR="0010377F" w:rsidRPr="00E317E9" w:rsidRDefault="0010377F" w:rsidP="00A523F2">
            <w:pPr>
              <w:tabs>
                <w:tab w:val="decimal" w:pos="902"/>
              </w:tabs>
              <w:jc w:val="left"/>
              <w:rPr>
                <w:color w:val="auto"/>
                <w:sz w:val="20"/>
                <w:szCs w:val="20"/>
              </w:rPr>
            </w:pPr>
            <w:r>
              <w:rPr>
                <w:color w:val="auto"/>
                <w:sz w:val="20"/>
                <w:szCs w:val="20"/>
              </w:rPr>
              <w:t>107,042</w:t>
            </w:r>
          </w:p>
        </w:tc>
        <w:tc>
          <w:tcPr>
            <w:tcW w:w="817" w:type="pct"/>
            <w:vAlign w:val="center"/>
          </w:tcPr>
          <w:p w14:paraId="4CE3050A" w14:textId="229A73C4" w:rsidR="0010377F" w:rsidRPr="00E317E9" w:rsidDel="00B8525E" w:rsidRDefault="00035A10" w:rsidP="00A06955">
            <w:pPr>
              <w:tabs>
                <w:tab w:val="decimal" w:pos="1168"/>
              </w:tabs>
              <w:jc w:val="left"/>
              <w:rPr>
                <w:color w:val="auto"/>
                <w:sz w:val="20"/>
                <w:szCs w:val="20"/>
              </w:rPr>
            </w:pPr>
            <w:r>
              <w:rPr>
                <w:color w:val="auto"/>
                <w:sz w:val="20"/>
                <w:szCs w:val="20"/>
              </w:rPr>
              <w:t>155,744</w:t>
            </w:r>
          </w:p>
        </w:tc>
        <w:tc>
          <w:tcPr>
            <w:tcW w:w="749" w:type="pct"/>
            <w:shd w:val="clear" w:color="auto" w:fill="auto"/>
            <w:vAlign w:val="center"/>
          </w:tcPr>
          <w:p w14:paraId="3C451FE8" w14:textId="08DB4C41" w:rsidR="0010377F" w:rsidRPr="00E317E9" w:rsidDel="00B8525E" w:rsidRDefault="00035A10">
            <w:pPr>
              <w:tabs>
                <w:tab w:val="decimal" w:pos="1026"/>
              </w:tabs>
              <w:jc w:val="left"/>
              <w:rPr>
                <w:color w:val="auto"/>
                <w:sz w:val="20"/>
                <w:szCs w:val="20"/>
              </w:rPr>
            </w:pPr>
            <w:r>
              <w:rPr>
                <w:color w:val="auto"/>
                <w:sz w:val="20"/>
                <w:szCs w:val="20"/>
              </w:rPr>
              <w:t>5,42</w:t>
            </w:r>
            <w:r w:rsidR="00A65B8D">
              <w:rPr>
                <w:color w:val="auto"/>
                <w:sz w:val="20"/>
                <w:szCs w:val="20"/>
              </w:rPr>
              <w:t>7</w:t>
            </w:r>
          </w:p>
        </w:tc>
        <w:tc>
          <w:tcPr>
            <w:tcW w:w="643" w:type="pct"/>
            <w:shd w:val="clear" w:color="auto" w:fill="auto"/>
            <w:vAlign w:val="center"/>
          </w:tcPr>
          <w:p w14:paraId="42E5E7DD" w14:textId="60091FAB" w:rsidR="0010377F" w:rsidRPr="00E317E9" w:rsidDel="00B8525E" w:rsidRDefault="00035A10">
            <w:pPr>
              <w:tabs>
                <w:tab w:val="decimal" w:pos="1168"/>
              </w:tabs>
              <w:jc w:val="left"/>
              <w:rPr>
                <w:color w:val="auto"/>
                <w:sz w:val="20"/>
                <w:szCs w:val="20"/>
              </w:rPr>
            </w:pPr>
            <w:r>
              <w:rPr>
                <w:color w:val="auto"/>
                <w:sz w:val="20"/>
                <w:szCs w:val="20"/>
              </w:rPr>
              <w:t>161,17</w:t>
            </w:r>
            <w:r w:rsidR="00A65B8D">
              <w:rPr>
                <w:color w:val="auto"/>
                <w:sz w:val="20"/>
                <w:szCs w:val="20"/>
              </w:rPr>
              <w:t>1</w:t>
            </w:r>
          </w:p>
        </w:tc>
      </w:tr>
    </w:tbl>
    <w:p w14:paraId="49647591" w14:textId="54218E90" w:rsidR="00F649E6" w:rsidRDefault="00F649E6" w:rsidP="00642E92">
      <w:pPr>
        <w:rPr>
          <w:sz w:val="20"/>
          <w:szCs w:val="20"/>
          <w:lang w:eastAsia="en-GB"/>
        </w:rPr>
      </w:pPr>
      <w:r w:rsidRPr="00A06955">
        <w:rPr>
          <w:sz w:val="20"/>
          <w:szCs w:val="20"/>
          <w:vertAlign w:val="superscript"/>
          <w:lang w:eastAsia="en-GB"/>
        </w:rPr>
        <w:t xml:space="preserve">1 </w:t>
      </w:r>
      <w:r w:rsidR="00671973" w:rsidRPr="002A61A5">
        <w:rPr>
          <w:sz w:val="20"/>
          <w:szCs w:val="20"/>
          <w:lang w:eastAsia="en-GB"/>
        </w:rPr>
        <w:t>Benefits In Kind relate to lease car payments and/or excess mileage.</w:t>
      </w:r>
    </w:p>
    <w:p w14:paraId="2DFF1810" w14:textId="23073E82" w:rsidR="00F649E6" w:rsidRDefault="000158C8" w:rsidP="00642E92">
      <w:pPr>
        <w:rPr>
          <w:sz w:val="20"/>
          <w:szCs w:val="20"/>
          <w:lang w:eastAsia="en-GB"/>
        </w:rPr>
      </w:pPr>
      <w:r w:rsidRPr="00EA4C43">
        <w:rPr>
          <w:color w:val="auto"/>
          <w:sz w:val="20"/>
          <w:szCs w:val="20"/>
          <w:vertAlign w:val="superscript"/>
        </w:rPr>
        <w:lastRenderedPageBreak/>
        <w:t>2</w:t>
      </w:r>
      <w:r w:rsidR="00E317E9">
        <w:rPr>
          <w:sz w:val="20"/>
          <w:szCs w:val="20"/>
          <w:lang w:eastAsia="en-GB"/>
        </w:rPr>
        <w:t xml:space="preserve">The County Treasurer's employment with the </w:t>
      </w:r>
      <w:r w:rsidR="00E820B6">
        <w:rPr>
          <w:sz w:val="20"/>
          <w:szCs w:val="20"/>
          <w:lang w:eastAsia="en-GB"/>
        </w:rPr>
        <w:t>council</w:t>
      </w:r>
      <w:r w:rsidR="00E317E9">
        <w:rPr>
          <w:sz w:val="20"/>
          <w:szCs w:val="20"/>
          <w:lang w:eastAsia="en-GB"/>
        </w:rPr>
        <w:t xml:space="preserve"> ceased on 27</w:t>
      </w:r>
      <w:r w:rsidR="00E317E9" w:rsidRPr="00A06955">
        <w:rPr>
          <w:sz w:val="20"/>
          <w:szCs w:val="20"/>
          <w:vertAlign w:val="superscript"/>
          <w:lang w:eastAsia="en-GB"/>
        </w:rPr>
        <w:t>th</w:t>
      </w:r>
      <w:r w:rsidR="00E317E9">
        <w:rPr>
          <w:sz w:val="20"/>
          <w:szCs w:val="20"/>
          <w:lang w:eastAsia="en-GB"/>
        </w:rPr>
        <w:t xml:space="preserve"> March 2015.</w:t>
      </w:r>
    </w:p>
    <w:p w14:paraId="2E4AF63B" w14:textId="033D2400" w:rsidR="00214C65" w:rsidRDefault="00035A10" w:rsidP="00642E92">
      <w:pPr>
        <w:rPr>
          <w:sz w:val="20"/>
          <w:szCs w:val="20"/>
          <w:lang w:eastAsia="en-GB"/>
        </w:rPr>
      </w:pPr>
      <w:r>
        <w:rPr>
          <w:sz w:val="20"/>
          <w:szCs w:val="20"/>
          <w:vertAlign w:val="superscript"/>
          <w:lang w:eastAsia="en-GB"/>
        </w:rPr>
        <w:t>3</w:t>
      </w:r>
      <w:r w:rsidR="00E317E9">
        <w:rPr>
          <w:sz w:val="20"/>
          <w:szCs w:val="20"/>
          <w:lang w:eastAsia="en-GB"/>
        </w:rPr>
        <w:t>The Deputy County Secretary &amp; Solicitor took up the post of</w:t>
      </w:r>
      <w:r w:rsidR="00214C65">
        <w:rPr>
          <w:sz w:val="20"/>
          <w:szCs w:val="20"/>
          <w:lang w:eastAsia="en-GB"/>
        </w:rPr>
        <w:t xml:space="preserve"> County Secretary &amp; Solicitor on 1</w:t>
      </w:r>
      <w:r w:rsidR="00214C65" w:rsidRPr="00A06955">
        <w:rPr>
          <w:sz w:val="20"/>
          <w:szCs w:val="20"/>
          <w:vertAlign w:val="superscript"/>
          <w:lang w:eastAsia="en-GB"/>
        </w:rPr>
        <w:t>st</w:t>
      </w:r>
      <w:r w:rsidR="00214C65">
        <w:rPr>
          <w:sz w:val="20"/>
          <w:szCs w:val="20"/>
          <w:lang w:eastAsia="en-GB"/>
        </w:rPr>
        <w:t xml:space="preserve"> August 2014.  The total </w:t>
      </w:r>
      <w:r w:rsidR="00671973" w:rsidRPr="002A61A5">
        <w:rPr>
          <w:sz w:val="20"/>
          <w:szCs w:val="20"/>
          <w:lang w:eastAsia="en-GB"/>
        </w:rPr>
        <w:t>remuneration</w:t>
      </w:r>
      <w:r w:rsidR="00671973">
        <w:rPr>
          <w:sz w:val="20"/>
          <w:szCs w:val="20"/>
          <w:lang w:eastAsia="en-GB"/>
        </w:rPr>
        <w:t xml:space="preserve"> </w:t>
      </w:r>
      <w:r w:rsidR="00214C65">
        <w:rPr>
          <w:sz w:val="20"/>
          <w:szCs w:val="20"/>
          <w:lang w:eastAsia="en-GB"/>
        </w:rPr>
        <w:t>shown relates only to the post of County Secretary &amp; Solicitor.</w:t>
      </w:r>
      <w:r w:rsidR="00C36D09">
        <w:rPr>
          <w:sz w:val="20"/>
          <w:szCs w:val="20"/>
          <w:lang w:eastAsia="en-GB"/>
        </w:rPr>
        <w:t xml:space="preserve">  </w:t>
      </w:r>
    </w:p>
    <w:p w14:paraId="60E66E12" w14:textId="67F5D7D7" w:rsidR="00214C65" w:rsidRPr="00035A10" w:rsidRDefault="00035A10" w:rsidP="00642E92">
      <w:pPr>
        <w:rPr>
          <w:sz w:val="20"/>
          <w:szCs w:val="20"/>
          <w:lang w:eastAsia="en-GB"/>
        </w:rPr>
      </w:pPr>
      <w:r>
        <w:rPr>
          <w:sz w:val="20"/>
          <w:szCs w:val="20"/>
          <w:vertAlign w:val="superscript"/>
          <w:lang w:eastAsia="en-GB"/>
        </w:rPr>
        <w:t>4</w:t>
      </w:r>
      <w:r>
        <w:rPr>
          <w:sz w:val="20"/>
          <w:szCs w:val="20"/>
          <w:lang w:eastAsia="en-GB"/>
        </w:rPr>
        <w:t xml:space="preserve">The County Secretary &amp; Solicitor ceased employment with the </w:t>
      </w:r>
      <w:r w:rsidR="00E820B6">
        <w:rPr>
          <w:sz w:val="20"/>
          <w:szCs w:val="20"/>
          <w:lang w:eastAsia="en-GB"/>
        </w:rPr>
        <w:t xml:space="preserve">council </w:t>
      </w:r>
      <w:r>
        <w:rPr>
          <w:sz w:val="20"/>
          <w:szCs w:val="20"/>
          <w:lang w:eastAsia="en-GB"/>
        </w:rPr>
        <w:t>on 31</w:t>
      </w:r>
      <w:r w:rsidRPr="0001527F">
        <w:rPr>
          <w:sz w:val="20"/>
          <w:szCs w:val="20"/>
          <w:vertAlign w:val="superscript"/>
          <w:lang w:eastAsia="en-GB"/>
        </w:rPr>
        <w:t>st</w:t>
      </w:r>
      <w:r>
        <w:rPr>
          <w:sz w:val="20"/>
          <w:szCs w:val="20"/>
          <w:lang w:eastAsia="en-GB"/>
        </w:rPr>
        <w:t xml:space="preserve"> July 2014.</w:t>
      </w:r>
    </w:p>
    <w:p w14:paraId="03199603" w14:textId="77777777" w:rsidR="000158C8" w:rsidRDefault="000158C8" w:rsidP="00642E92">
      <w:pPr>
        <w:rPr>
          <w:b/>
          <w:lang w:eastAsia="en-GB"/>
        </w:rPr>
      </w:pPr>
    </w:p>
    <w:p w14:paraId="2A8DE82C" w14:textId="77777777" w:rsidR="001B6AC1" w:rsidRDefault="001B6AC1" w:rsidP="00642E92">
      <w:pPr>
        <w:rPr>
          <w:b/>
          <w:lang w:eastAsia="en-GB"/>
        </w:rPr>
      </w:pPr>
    </w:p>
    <w:p w14:paraId="21109735" w14:textId="77777777" w:rsidR="001B6AC1" w:rsidRDefault="001B6AC1" w:rsidP="00642E92">
      <w:pPr>
        <w:rPr>
          <w:b/>
          <w:lang w:eastAsia="en-GB"/>
        </w:rPr>
      </w:pPr>
    </w:p>
    <w:p w14:paraId="1485A113" w14:textId="77777777" w:rsidR="001B6AC1" w:rsidRDefault="001B6AC1" w:rsidP="00642E92">
      <w:pPr>
        <w:rPr>
          <w:b/>
          <w:lang w:eastAsia="en-GB"/>
        </w:rPr>
      </w:pPr>
    </w:p>
    <w:p w14:paraId="6581210E" w14:textId="77777777" w:rsidR="001B6AC1" w:rsidRDefault="001B6AC1" w:rsidP="00642E92">
      <w:pPr>
        <w:rPr>
          <w:b/>
          <w:lang w:eastAsia="en-GB"/>
        </w:rPr>
      </w:pPr>
    </w:p>
    <w:p w14:paraId="25DDF70C" w14:textId="77777777" w:rsidR="001B6AC1" w:rsidRDefault="001B6AC1" w:rsidP="00642E92">
      <w:pPr>
        <w:rPr>
          <w:b/>
          <w:lang w:eastAsia="en-GB"/>
        </w:rPr>
      </w:pPr>
    </w:p>
    <w:p w14:paraId="4F5B3C7C" w14:textId="77777777" w:rsidR="001B6AC1" w:rsidRDefault="001B6AC1" w:rsidP="00642E92">
      <w:pPr>
        <w:rPr>
          <w:b/>
          <w:lang w:eastAsia="en-GB"/>
        </w:rPr>
      </w:pPr>
    </w:p>
    <w:p w14:paraId="69001D3B" w14:textId="77777777" w:rsidR="00A118ED" w:rsidRDefault="00A118ED" w:rsidP="00642E92">
      <w:pPr>
        <w:rPr>
          <w:b/>
          <w:lang w:eastAsia="en-GB"/>
        </w:rPr>
      </w:pPr>
    </w:p>
    <w:p w14:paraId="7A2C3291" w14:textId="77777777" w:rsidR="001B6AC1" w:rsidRDefault="001B6AC1" w:rsidP="00642E92">
      <w:pPr>
        <w:rPr>
          <w:b/>
          <w:lang w:eastAsia="en-GB"/>
        </w:rPr>
      </w:pPr>
    </w:p>
    <w:p w14:paraId="0C9CD67F" w14:textId="77777777" w:rsidR="001B6AC1" w:rsidRDefault="001B6AC1" w:rsidP="00642E92">
      <w:pPr>
        <w:rPr>
          <w:b/>
          <w:lang w:eastAsia="en-GB"/>
        </w:rPr>
      </w:pPr>
    </w:p>
    <w:p w14:paraId="3595BB9D" w14:textId="77777777" w:rsidR="00F649E6" w:rsidRDefault="00F649E6" w:rsidP="00642E92">
      <w:pPr>
        <w:rPr>
          <w:b/>
          <w:lang w:eastAsia="en-GB"/>
        </w:rPr>
      </w:pPr>
      <w:r w:rsidRPr="00A06955">
        <w:rPr>
          <w:b/>
          <w:lang w:eastAsia="en-GB"/>
        </w:rPr>
        <w:t>Disclosure of senior officers' remuneration 2013/14: Remuneration £50k to £150k</w:t>
      </w:r>
    </w:p>
    <w:tbl>
      <w:tblPr>
        <w:tblW w:w="5085"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2"/>
        <w:gridCol w:w="1367"/>
        <w:gridCol w:w="1450"/>
        <w:gridCol w:w="1703"/>
        <w:gridCol w:w="1703"/>
        <w:gridCol w:w="1983"/>
      </w:tblGrid>
      <w:tr w:rsidR="0010377F" w:rsidRPr="003361F6" w14:paraId="68CFABEA" w14:textId="77777777" w:rsidTr="00A06955">
        <w:trPr>
          <w:trHeight w:val="369"/>
        </w:trPr>
        <w:tc>
          <w:tcPr>
            <w:tcW w:w="1139" w:type="pct"/>
            <w:shd w:val="clear" w:color="auto" w:fill="D0CECE"/>
            <w:vAlign w:val="bottom"/>
          </w:tcPr>
          <w:p w14:paraId="4C4B4DE3" w14:textId="77777777" w:rsidR="0010377F" w:rsidRPr="00A06955" w:rsidRDefault="0010377F" w:rsidP="005B29BD">
            <w:pPr>
              <w:jc w:val="center"/>
              <w:rPr>
                <w:b/>
                <w:color w:val="auto"/>
                <w:sz w:val="20"/>
                <w:szCs w:val="20"/>
              </w:rPr>
            </w:pPr>
            <w:r w:rsidRPr="00A06955">
              <w:rPr>
                <w:b/>
                <w:color w:val="auto"/>
                <w:sz w:val="20"/>
                <w:szCs w:val="20"/>
              </w:rPr>
              <w:t>Post</w:t>
            </w:r>
          </w:p>
        </w:tc>
        <w:tc>
          <w:tcPr>
            <w:tcW w:w="643" w:type="pct"/>
            <w:shd w:val="clear" w:color="auto" w:fill="D0CECE"/>
            <w:vAlign w:val="bottom"/>
          </w:tcPr>
          <w:p w14:paraId="64C61D94" w14:textId="77777777" w:rsidR="0010377F" w:rsidRPr="00A06955" w:rsidRDefault="0010377F" w:rsidP="005B29BD">
            <w:pPr>
              <w:jc w:val="center"/>
              <w:rPr>
                <w:b/>
                <w:color w:val="auto"/>
                <w:sz w:val="20"/>
                <w:szCs w:val="20"/>
              </w:rPr>
            </w:pPr>
            <w:r w:rsidRPr="00A06955">
              <w:rPr>
                <w:b/>
                <w:color w:val="auto"/>
                <w:sz w:val="20"/>
                <w:szCs w:val="20"/>
              </w:rPr>
              <w:t>Salary (including fees and allowances)</w:t>
            </w:r>
          </w:p>
        </w:tc>
        <w:tc>
          <w:tcPr>
            <w:tcW w:w="682" w:type="pct"/>
            <w:shd w:val="clear" w:color="auto" w:fill="D0CECE"/>
            <w:vAlign w:val="bottom"/>
          </w:tcPr>
          <w:p w14:paraId="1F69B2A0" w14:textId="71B4F501" w:rsidR="0010377F" w:rsidRPr="00A06955" w:rsidRDefault="0010377F" w:rsidP="0069591C">
            <w:pPr>
              <w:jc w:val="center"/>
              <w:rPr>
                <w:b/>
                <w:color w:val="auto"/>
                <w:sz w:val="20"/>
                <w:szCs w:val="20"/>
                <w:vertAlign w:val="superscript"/>
              </w:rPr>
            </w:pPr>
            <w:r w:rsidRPr="00A06955">
              <w:rPr>
                <w:b/>
                <w:color w:val="auto"/>
                <w:sz w:val="20"/>
                <w:szCs w:val="20"/>
              </w:rPr>
              <w:t xml:space="preserve"> Benefits In Kind</w:t>
            </w:r>
            <w:r w:rsidRPr="00A06955">
              <w:rPr>
                <w:b/>
                <w:color w:val="auto"/>
                <w:sz w:val="20"/>
                <w:szCs w:val="20"/>
                <w:vertAlign w:val="superscript"/>
              </w:rPr>
              <w:t>1</w:t>
            </w:r>
          </w:p>
        </w:tc>
        <w:tc>
          <w:tcPr>
            <w:tcW w:w="801" w:type="pct"/>
            <w:shd w:val="clear" w:color="auto" w:fill="D0CECE"/>
            <w:vAlign w:val="bottom"/>
          </w:tcPr>
          <w:p w14:paraId="34F66144" w14:textId="0C889E63" w:rsidR="0010377F" w:rsidRPr="00A06955" w:rsidRDefault="0010377F" w:rsidP="005B29BD">
            <w:pPr>
              <w:jc w:val="center"/>
              <w:rPr>
                <w:b/>
                <w:color w:val="auto"/>
                <w:sz w:val="20"/>
                <w:szCs w:val="20"/>
              </w:rPr>
            </w:pPr>
            <w:r w:rsidRPr="00A06955">
              <w:rPr>
                <w:b/>
                <w:color w:val="auto"/>
                <w:sz w:val="20"/>
                <w:szCs w:val="20"/>
              </w:rPr>
              <w:t xml:space="preserve">Total Remuneration </w:t>
            </w:r>
            <w:r w:rsidR="00E75DE6">
              <w:rPr>
                <w:b/>
                <w:color w:val="auto"/>
                <w:sz w:val="20"/>
                <w:szCs w:val="20"/>
              </w:rPr>
              <w:t>(</w:t>
            </w:r>
            <w:r w:rsidRPr="00A06955">
              <w:rPr>
                <w:b/>
                <w:color w:val="auto"/>
                <w:sz w:val="20"/>
                <w:szCs w:val="20"/>
              </w:rPr>
              <w:t>excluding pension contributions</w:t>
            </w:r>
            <w:r w:rsidR="00E75DE6">
              <w:rPr>
                <w:b/>
                <w:color w:val="auto"/>
                <w:sz w:val="20"/>
                <w:szCs w:val="20"/>
              </w:rPr>
              <w:t>)</w:t>
            </w:r>
          </w:p>
        </w:tc>
        <w:tc>
          <w:tcPr>
            <w:tcW w:w="801" w:type="pct"/>
            <w:shd w:val="clear" w:color="auto" w:fill="D0CECE"/>
            <w:vAlign w:val="bottom"/>
          </w:tcPr>
          <w:p w14:paraId="6AFE4FEF" w14:textId="77777777" w:rsidR="0010377F" w:rsidRPr="00A06955" w:rsidRDefault="0010377F" w:rsidP="005B29BD">
            <w:pPr>
              <w:jc w:val="center"/>
              <w:rPr>
                <w:b/>
                <w:color w:val="auto"/>
                <w:sz w:val="20"/>
                <w:szCs w:val="20"/>
              </w:rPr>
            </w:pPr>
            <w:r w:rsidRPr="00A06955">
              <w:rPr>
                <w:b/>
                <w:color w:val="auto"/>
                <w:sz w:val="20"/>
                <w:szCs w:val="20"/>
              </w:rPr>
              <w:t>Pension Contributions</w:t>
            </w:r>
          </w:p>
        </w:tc>
        <w:tc>
          <w:tcPr>
            <w:tcW w:w="933" w:type="pct"/>
            <w:shd w:val="clear" w:color="auto" w:fill="D0CECE"/>
            <w:vAlign w:val="bottom"/>
          </w:tcPr>
          <w:p w14:paraId="394D62AF" w14:textId="20CEAEAE" w:rsidR="0010377F" w:rsidRPr="00A06955" w:rsidRDefault="0010377F" w:rsidP="005B29BD">
            <w:pPr>
              <w:jc w:val="center"/>
              <w:rPr>
                <w:b/>
                <w:color w:val="auto"/>
                <w:sz w:val="20"/>
                <w:szCs w:val="20"/>
              </w:rPr>
            </w:pPr>
            <w:r w:rsidRPr="00A06955">
              <w:rPr>
                <w:b/>
                <w:color w:val="auto"/>
                <w:sz w:val="20"/>
                <w:szCs w:val="20"/>
              </w:rPr>
              <w:t xml:space="preserve">Total Remuneration </w:t>
            </w:r>
            <w:r w:rsidR="00E75DE6">
              <w:rPr>
                <w:b/>
                <w:color w:val="auto"/>
                <w:sz w:val="20"/>
                <w:szCs w:val="20"/>
              </w:rPr>
              <w:t>(</w:t>
            </w:r>
            <w:r w:rsidRPr="00A06955">
              <w:rPr>
                <w:b/>
                <w:color w:val="auto"/>
                <w:sz w:val="20"/>
                <w:szCs w:val="20"/>
              </w:rPr>
              <w:t>including pension contributions</w:t>
            </w:r>
            <w:r w:rsidR="00E75DE6">
              <w:rPr>
                <w:b/>
                <w:color w:val="auto"/>
                <w:sz w:val="20"/>
                <w:szCs w:val="20"/>
              </w:rPr>
              <w:t>)</w:t>
            </w:r>
          </w:p>
        </w:tc>
      </w:tr>
      <w:tr w:rsidR="0010377F" w:rsidRPr="003361F6" w14:paraId="3E72966A" w14:textId="77777777" w:rsidTr="00A06955">
        <w:trPr>
          <w:trHeight w:val="369"/>
          <w:tblHeader/>
        </w:trPr>
        <w:tc>
          <w:tcPr>
            <w:tcW w:w="1139" w:type="pct"/>
            <w:shd w:val="clear" w:color="auto" w:fill="D0CECE"/>
            <w:vAlign w:val="bottom"/>
          </w:tcPr>
          <w:p w14:paraId="02030FC5" w14:textId="77777777" w:rsidR="0010377F" w:rsidRPr="00A06955" w:rsidRDefault="0010377F" w:rsidP="005B29BD">
            <w:pPr>
              <w:jc w:val="left"/>
              <w:rPr>
                <w:color w:val="auto"/>
                <w:sz w:val="20"/>
                <w:szCs w:val="20"/>
              </w:rPr>
            </w:pPr>
          </w:p>
        </w:tc>
        <w:tc>
          <w:tcPr>
            <w:tcW w:w="643" w:type="pct"/>
            <w:shd w:val="clear" w:color="auto" w:fill="D0CECE"/>
            <w:vAlign w:val="bottom"/>
          </w:tcPr>
          <w:p w14:paraId="461E2A9E" w14:textId="77777777" w:rsidR="0010377F" w:rsidRPr="00A06955" w:rsidRDefault="0010377F" w:rsidP="005B29BD">
            <w:pPr>
              <w:jc w:val="center"/>
              <w:rPr>
                <w:b/>
                <w:color w:val="auto"/>
                <w:sz w:val="20"/>
                <w:szCs w:val="20"/>
              </w:rPr>
            </w:pPr>
            <w:r w:rsidRPr="00A06955">
              <w:rPr>
                <w:b/>
                <w:color w:val="auto"/>
                <w:sz w:val="20"/>
                <w:szCs w:val="20"/>
              </w:rPr>
              <w:t>£</w:t>
            </w:r>
          </w:p>
        </w:tc>
        <w:tc>
          <w:tcPr>
            <w:tcW w:w="682" w:type="pct"/>
            <w:shd w:val="clear" w:color="auto" w:fill="D0CECE"/>
            <w:vAlign w:val="bottom"/>
          </w:tcPr>
          <w:p w14:paraId="0E55CBDD" w14:textId="77777777" w:rsidR="0010377F" w:rsidRPr="00A06955" w:rsidRDefault="0010377F" w:rsidP="005B29BD">
            <w:pPr>
              <w:jc w:val="center"/>
              <w:rPr>
                <w:b/>
                <w:color w:val="auto"/>
                <w:sz w:val="20"/>
                <w:szCs w:val="20"/>
              </w:rPr>
            </w:pPr>
            <w:r w:rsidRPr="00A06955">
              <w:rPr>
                <w:b/>
                <w:color w:val="auto"/>
                <w:sz w:val="20"/>
                <w:szCs w:val="20"/>
              </w:rPr>
              <w:t>£</w:t>
            </w:r>
          </w:p>
        </w:tc>
        <w:tc>
          <w:tcPr>
            <w:tcW w:w="801" w:type="pct"/>
            <w:shd w:val="clear" w:color="auto" w:fill="D0CECE"/>
            <w:vAlign w:val="bottom"/>
          </w:tcPr>
          <w:p w14:paraId="0C7A964F" w14:textId="77777777" w:rsidR="0010377F" w:rsidRPr="00A06955" w:rsidRDefault="0010377F" w:rsidP="005B29BD">
            <w:pPr>
              <w:jc w:val="center"/>
              <w:rPr>
                <w:b/>
                <w:color w:val="auto"/>
                <w:sz w:val="20"/>
                <w:szCs w:val="20"/>
              </w:rPr>
            </w:pPr>
            <w:r w:rsidRPr="00A06955">
              <w:rPr>
                <w:b/>
                <w:color w:val="auto"/>
                <w:sz w:val="20"/>
                <w:szCs w:val="20"/>
              </w:rPr>
              <w:t>£</w:t>
            </w:r>
          </w:p>
        </w:tc>
        <w:tc>
          <w:tcPr>
            <w:tcW w:w="801" w:type="pct"/>
            <w:shd w:val="clear" w:color="auto" w:fill="D0CECE"/>
            <w:vAlign w:val="bottom"/>
          </w:tcPr>
          <w:p w14:paraId="55E510F1" w14:textId="77777777" w:rsidR="0010377F" w:rsidRPr="00A06955" w:rsidRDefault="0010377F" w:rsidP="005B29BD">
            <w:pPr>
              <w:jc w:val="center"/>
              <w:rPr>
                <w:b/>
                <w:color w:val="auto"/>
                <w:sz w:val="20"/>
                <w:szCs w:val="20"/>
              </w:rPr>
            </w:pPr>
            <w:r w:rsidRPr="00A06955">
              <w:rPr>
                <w:b/>
                <w:color w:val="auto"/>
                <w:sz w:val="20"/>
                <w:szCs w:val="20"/>
              </w:rPr>
              <w:t>£</w:t>
            </w:r>
          </w:p>
        </w:tc>
        <w:tc>
          <w:tcPr>
            <w:tcW w:w="933" w:type="pct"/>
            <w:shd w:val="clear" w:color="auto" w:fill="D0CECE"/>
            <w:vAlign w:val="bottom"/>
          </w:tcPr>
          <w:p w14:paraId="4FC7C8E3" w14:textId="77777777" w:rsidR="0010377F" w:rsidRPr="00A06955" w:rsidRDefault="0010377F" w:rsidP="005B29BD">
            <w:pPr>
              <w:jc w:val="center"/>
              <w:rPr>
                <w:b/>
                <w:color w:val="auto"/>
                <w:sz w:val="20"/>
                <w:szCs w:val="20"/>
              </w:rPr>
            </w:pPr>
            <w:r w:rsidRPr="00A06955">
              <w:rPr>
                <w:b/>
                <w:color w:val="auto"/>
                <w:sz w:val="20"/>
                <w:szCs w:val="20"/>
              </w:rPr>
              <w:t>£</w:t>
            </w:r>
          </w:p>
        </w:tc>
      </w:tr>
      <w:tr w:rsidR="0010377F" w:rsidRPr="003361F6" w14:paraId="71F8824E" w14:textId="77777777" w:rsidTr="00A06955">
        <w:trPr>
          <w:trHeight w:val="369"/>
        </w:trPr>
        <w:tc>
          <w:tcPr>
            <w:tcW w:w="1139" w:type="pct"/>
            <w:shd w:val="clear" w:color="auto" w:fill="auto"/>
            <w:vAlign w:val="center"/>
          </w:tcPr>
          <w:p w14:paraId="4D013434" w14:textId="77777777" w:rsidR="0010377F" w:rsidRPr="00A06955" w:rsidRDefault="0010377F">
            <w:pPr>
              <w:jc w:val="left"/>
              <w:rPr>
                <w:color w:val="auto"/>
                <w:sz w:val="20"/>
                <w:szCs w:val="20"/>
                <w:vertAlign w:val="superscript"/>
              </w:rPr>
            </w:pPr>
            <w:r w:rsidRPr="00A06955">
              <w:rPr>
                <w:color w:val="auto"/>
                <w:sz w:val="20"/>
                <w:szCs w:val="20"/>
              </w:rPr>
              <w:t>County Secretary &amp; Solicitor</w:t>
            </w:r>
          </w:p>
        </w:tc>
        <w:tc>
          <w:tcPr>
            <w:tcW w:w="643" w:type="pct"/>
            <w:shd w:val="clear" w:color="auto" w:fill="auto"/>
            <w:vAlign w:val="center"/>
          </w:tcPr>
          <w:p w14:paraId="26B826B8" w14:textId="77777777" w:rsidR="0010377F" w:rsidRPr="00A06955" w:rsidRDefault="0010377F" w:rsidP="00A06955">
            <w:pPr>
              <w:tabs>
                <w:tab w:val="decimal" w:pos="1027"/>
              </w:tabs>
              <w:jc w:val="left"/>
              <w:rPr>
                <w:color w:val="auto"/>
                <w:sz w:val="20"/>
                <w:szCs w:val="20"/>
              </w:rPr>
            </w:pPr>
            <w:r w:rsidRPr="00A06955">
              <w:rPr>
                <w:color w:val="auto"/>
                <w:sz w:val="20"/>
                <w:szCs w:val="20"/>
              </w:rPr>
              <w:t>129,201</w:t>
            </w:r>
          </w:p>
        </w:tc>
        <w:tc>
          <w:tcPr>
            <w:tcW w:w="682" w:type="pct"/>
            <w:vAlign w:val="center"/>
          </w:tcPr>
          <w:p w14:paraId="01B236B7" w14:textId="77777777" w:rsidR="0010377F" w:rsidRPr="00A06955" w:rsidRDefault="0010377F" w:rsidP="00A06955">
            <w:pPr>
              <w:tabs>
                <w:tab w:val="decimal" w:pos="918"/>
              </w:tabs>
              <w:jc w:val="left"/>
              <w:rPr>
                <w:color w:val="auto"/>
                <w:sz w:val="20"/>
                <w:szCs w:val="20"/>
              </w:rPr>
            </w:pPr>
            <w:r w:rsidRPr="00A06955">
              <w:rPr>
                <w:color w:val="auto"/>
                <w:sz w:val="20"/>
                <w:szCs w:val="20"/>
              </w:rPr>
              <w:t>3,965</w:t>
            </w:r>
          </w:p>
        </w:tc>
        <w:tc>
          <w:tcPr>
            <w:tcW w:w="801" w:type="pct"/>
            <w:vAlign w:val="center"/>
          </w:tcPr>
          <w:p w14:paraId="2CE9C41A" w14:textId="77777777" w:rsidR="0010377F" w:rsidRPr="00A06955" w:rsidRDefault="0010377F" w:rsidP="00A06955">
            <w:pPr>
              <w:tabs>
                <w:tab w:val="decimal" w:pos="1168"/>
              </w:tabs>
              <w:jc w:val="left"/>
              <w:rPr>
                <w:color w:val="auto"/>
                <w:sz w:val="20"/>
                <w:szCs w:val="20"/>
              </w:rPr>
            </w:pPr>
            <w:r w:rsidRPr="00A06955">
              <w:rPr>
                <w:color w:val="auto"/>
                <w:sz w:val="20"/>
                <w:szCs w:val="20"/>
              </w:rPr>
              <w:t>133,166</w:t>
            </w:r>
          </w:p>
        </w:tc>
        <w:tc>
          <w:tcPr>
            <w:tcW w:w="801" w:type="pct"/>
            <w:shd w:val="clear" w:color="auto" w:fill="auto"/>
            <w:vAlign w:val="center"/>
          </w:tcPr>
          <w:p w14:paraId="1F14E713" w14:textId="77777777" w:rsidR="0010377F" w:rsidRPr="00A06955" w:rsidRDefault="0010377F" w:rsidP="00A06955">
            <w:pPr>
              <w:tabs>
                <w:tab w:val="decimal" w:pos="1026"/>
              </w:tabs>
              <w:jc w:val="left"/>
              <w:rPr>
                <w:color w:val="auto"/>
                <w:sz w:val="20"/>
                <w:szCs w:val="20"/>
              </w:rPr>
            </w:pPr>
            <w:r w:rsidRPr="00A06955">
              <w:rPr>
                <w:color w:val="auto"/>
                <w:sz w:val="20"/>
                <w:szCs w:val="20"/>
              </w:rPr>
              <w:t>24,677</w:t>
            </w:r>
          </w:p>
        </w:tc>
        <w:tc>
          <w:tcPr>
            <w:tcW w:w="933" w:type="pct"/>
            <w:shd w:val="clear" w:color="auto" w:fill="auto"/>
            <w:vAlign w:val="center"/>
          </w:tcPr>
          <w:p w14:paraId="7FF19545" w14:textId="77777777" w:rsidR="0010377F" w:rsidRPr="00A06955" w:rsidRDefault="0010377F" w:rsidP="00A06955">
            <w:pPr>
              <w:tabs>
                <w:tab w:val="decimal" w:pos="1168"/>
              </w:tabs>
              <w:jc w:val="left"/>
              <w:rPr>
                <w:color w:val="auto"/>
                <w:sz w:val="20"/>
                <w:szCs w:val="20"/>
              </w:rPr>
            </w:pPr>
            <w:r w:rsidRPr="00A06955">
              <w:rPr>
                <w:color w:val="auto"/>
                <w:sz w:val="20"/>
                <w:szCs w:val="20"/>
              </w:rPr>
              <w:t>157,843</w:t>
            </w:r>
          </w:p>
        </w:tc>
      </w:tr>
      <w:tr w:rsidR="0010377F" w:rsidRPr="003361F6" w14:paraId="728A55CD" w14:textId="77777777" w:rsidTr="00A06955">
        <w:trPr>
          <w:trHeight w:val="369"/>
        </w:trPr>
        <w:tc>
          <w:tcPr>
            <w:tcW w:w="1139" w:type="pct"/>
            <w:shd w:val="clear" w:color="auto" w:fill="auto"/>
            <w:vAlign w:val="center"/>
          </w:tcPr>
          <w:p w14:paraId="65ABEF7B" w14:textId="77777777" w:rsidR="0010377F" w:rsidRPr="00A06955" w:rsidRDefault="0010377F">
            <w:pPr>
              <w:jc w:val="left"/>
              <w:rPr>
                <w:color w:val="auto"/>
                <w:sz w:val="20"/>
                <w:szCs w:val="20"/>
              </w:rPr>
            </w:pPr>
            <w:r w:rsidRPr="00A06955">
              <w:rPr>
                <w:color w:val="auto"/>
                <w:sz w:val="20"/>
                <w:szCs w:val="20"/>
              </w:rPr>
              <w:t>Interim Executive Director for Children &amp; Young People</w:t>
            </w:r>
          </w:p>
        </w:tc>
        <w:tc>
          <w:tcPr>
            <w:tcW w:w="643" w:type="pct"/>
            <w:shd w:val="clear" w:color="auto" w:fill="auto"/>
            <w:vAlign w:val="center"/>
          </w:tcPr>
          <w:p w14:paraId="3317C1E2" w14:textId="77777777" w:rsidR="0010377F" w:rsidRPr="00A06955" w:rsidRDefault="0010377F" w:rsidP="00A06955">
            <w:pPr>
              <w:tabs>
                <w:tab w:val="decimal" w:pos="1027"/>
              </w:tabs>
              <w:jc w:val="left"/>
              <w:rPr>
                <w:color w:val="auto"/>
                <w:sz w:val="20"/>
                <w:szCs w:val="20"/>
              </w:rPr>
            </w:pPr>
            <w:r w:rsidRPr="00A06955">
              <w:rPr>
                <w:color w:val="auto"/>
                <w:sz w:val="20"/>
                <w:szCs w:val="20"/>
              </w:rPr>
              <w:t>119,403</w:t>
            </w:r>
          </w:p>
        </w:tc>
        <w:tc>
          <w:tcPr>
            <w:tcW w:w="682" w:type="pct"/>
            <w:vAlign w:val="center"/>
          </w:tcPr>
          <w:p w14:paraId="3175B792" w14:textId="77777777" w:rsidR="0010377F" w:rsidRPr="00A06955" w:rsidRDefault="0010377F" w:rsidP="00A06955">
            <w:pPr>
              <w:tabs>
                <w:tab w:val="decimal" w:pos="918"/>
              </w:tabs>
              <w:jc w:val="left"/>
              <w:rPr>
                <w:color w:val="auto"/>
                <w:sz w:val="20"/>
                <w:szCs w:val="20"/>
              </w:rPr>
            </w:pPr>
            <w:r w:rsidRPr="00A06955">
              <w:rPr>
                <w:color w:val="auto"/>
                <w:sz w:val="20"/>
                <w:szCs w:val="20"/>
              </w:rPr>
              <w:t>112</w:t>
            </w:r>
          </w:p>
        </w:tc>
        <w:tc>
          <w:tcPr>
            <w:tcW w:w="801" w:type="pct"/>
            <w:vAlign w:val="center"/>
          </w:tcPr>
          <w:p w14:paraId="0C1025EC" w14:textId="77777777" w:rsidR="0010377F" w:rsidRPr="00A06955" w:rsidRDefault="0010377F" w:rsidP="00A06955">
            <w:pPr>
              <w:tabs>
                <w:tab w:val="decimal" w:pos="1168"/>
              </w:tabs>
              <w:jc w:val="left"/>
              <w:rPr>
                <w:color w:val="auto"/>
                <w:sz w:val="20"/>
                <w:szCs w:val="20"/>
              </w:rPr>
            </w:pPr>
            <w:r w:rsidRPr="00A06955">
              <w:rPr>
                <w:color w:val="auto"/>
                <w:sz w:val="20"/>
                <w:szCs w:val="20"/>
              </w:rPr>
              <w:t>119,515</w:t>
            </w:r>
          </w:p>
        </w:tc>
        <w:tc>
          <w:tcPr>
            <w:tcW w:w="801" w:type="pct"/>
            <w:shd w:val="clear" w:color="auto" w:fill="auto"/>
            <w:vAlign w:val="center"/>
          </w:tcPr>
          <w:p w14:paraId="628B85F4" w14:textId="77777777" w:rsidR="0010377F" w:rsidRPr="00A06955" w:rsidRDefault="0010377F" w:rsidP="00A06955">
            <w:pPr>
              <w:tabs>
                <w:tab w:val="decimal" w:pos="1026"/>
              </w:tabs>
              <w:jc w:val="left"/>
              <w:rPr>
                <w:color w:val="auto"/>
                <w:sz w:val="20"/>
                <w:szCs w:val="20"/>
              </w:rPr>
            </w:pPr>
            <w:r w:rsidRPr="00A06955">
              <w:rPr>
                <w:color w:val="auto"/>
                <w:sz w:val="20"/>
                <w:szCs w:val="20"/>
              </w:rPr>
              <w:t>22,806</w:t>
            </w:r>
          </w:p>
        </w:tc>
        <w:tc>
          <w:tcPr>
            <w:tcW w:w="933" w:type="pct"/>
            <w:shd w:val="clear" w:color="auto" w:fill="auto"/>
            <w:vAlign w:val="center"/>
          </w:tcPr>
          <w:p w14:paraId="1D9EDCD3" w14:textId="77777777" w:rsidR="0010377F" w:rsidRPr="00A06955" w:rsidRDefault="0010377F" w:rsidP="00A06955">
            <w:pPr>
              <w:tabs>
                <w:tab w:val="decimal" w:pos="1168"/>
              </w:tabs>
              <w:jc w:val="left"/>
              <w:rPr>
                <w:color w:val="auto"/>
                <w:sz w:val="20"/>
                <w:szCs w:val="20"/>
              </w:rPr>
            </w:pPr>
            <w:r w:rsidRPr="00A06955">
              <w:rPr>
                <w:color w:val="auto"/>
                <w:sz w:val="20"/>
                <w:szCs w:val="20"/>
              </w:rPr>
              <w:t>142,321</w:t>
            </w:r>
          </w:p>
        </w:tc>
      </w:tr>
      <w:tr w:rsidR="0010377F" w:rsidRPr="003361F6" w14:paraId="49FA6636" w14:textId="77777777" w:rsidTr="00A06955">
        <w:trPr>
          <w:trHeight w:val="369"/>
        </w:trPr>
        <w:tc>
          <w:tcPr>
            <w:tcW w:w="1139" w:type="pct"/>
            <w:shd w:val="clear" w:color="auto" w:fill="auto"/>
            <w:vAlign w:val="center"/>
          </w:tcPr>
          <w:p w14:paraId="400AA0CB" w14:textId="77777777" w:rsidR="0010377F" w:rsidRPr="00A06955" w:rsidRDefault="0010377F">
            <w:pPr>
              <w:jc w:val="left"/>
              <w:rPr>
                <w:color w:val="auto"/>
                <w:sz w:val="20"/>
                <w:szCs w:val="20"/>
              </w:rPr>
            </w:pPr>
            <w:r w:rsidRPr="00A06955">
              <w:rPr>
                <w:color w:val="auto"/>
                <w:sz w:val="20"/>
                <w:szCs w:val="20"/>
              </w:rPr>
              <w:t>County Treasurer</w:t>
            </w:r>
          </w:p>
        </w:tc>
        <w:tc>
          <w:tcPr>
            <w:tcW w:w="643" w:type="pct"/>
            <w:shd w:val="clear" w:color="auto" w:fill="auto"/>
            <w:vAlign w:val="center"/>
          </w:tcPr>
          <w:p w14:paraId="66D5FA0F" w14:textId="77777777" w:rsidR="0010377F" w:rsidRPr="00A06955" w:rsidRDefault="0010377F" w:rsidP="00A06955">
            <w:pPr>
              <w:tabs>
                <w:tab w:val="decimal" w:pos="1027"/>
              </w:tabs>
              <w:jc w:val="left"/>
              <w:rPr>
                <w:color w:val="auto"/>
                <w:sz w:val="20"/>
                <w:szCs w:val="20"/>
              </w:rPr>
            </w:pPr>
            <w:r w:rsidRPr="00A06955">
              <w:rPr>
                <w:color w:val="auto"/>
                <w:sz w:val="20"/>
                <w:szCs w:val="20"/>
              </w:rPr>
              <w:t>112,500</w:t>
            </w:r>
          </w:p>
        </w:tc>
        <w:tc>
          <w:tcPr>
            <w:tcW w:w="682" w:type="pct"/>
            <w:vAlign w:val="center"/>
          </w:tcPr>
          <w:p w14:paraId="39E6FB2C" w14:textId="77777777" w:rsidR="0010377F" w:rsidRPr="00A06955" w:rsidRDefault="0010377F" w:rsidP="00A06955">
            <w:pPr>
              <w:tabs>
                <w:tab w:val="decimal" w:pos="918"/>
              </w:tabs>
              <w:jc w:val="left"/>
              <w:rPr>
                <w:color w:val="auto"/>
                <w:sz w:val="20"/>
                <w:szCs w:val="20"/>
              </w:rPr>
            </w:pPr>
            <w:r w:rsidRPr="00A06955">
              <w:rPr>
                <w:color w:val="auto"/>
                <w:sz w:val="20"/>
                <w:szCs w:val="20"/>
              </w:rPr>
              <w:t>5,300</w:t>
            </w:r>
          </w:p>
        </w:tc>
        <w:tc>
          <w:tcPr>
            <w:tcW w:w="801" w:type="pct"/>
            <w:vAlign w:val="center"/>
          </w:tcPr>
          <w:p w14:paraId="6D3EAC23" w14:textId="77777777" w:rsidR="0010377F" w:rsidRPr="00A06955" w:rsidRDefault="0010377F" w:rsidP="00A06955">
            <w:pPr>
              <w:tabs>
                <w:tab w:val="decimal" w:pos="1168"/>
              </w:tabs>
              <w:jc w:val="left"/>
              <w:rPr>
                <w:color w:val="auto"/>
                <w:sz w:val="20"/>
                <w:szCs w:val="20"/>
              </w:rPr>
            </w:pPr>
            <w:r w:rsidRPr="00A06955">
              <w:rPr>
                <w:color w:val="auto"/>
                <w:sz w:val="20"/>
                <w:szCs w:val="20"/>
              </w:rPr>
              <w:t>117,800</w:t>
            </w:r>
          </w:p>
        </w:tc>
        <w:tc>
          <w:tcPr>
            <w:tcW w:w="801" w:type="pct"/>
            <w:shd w:val="clear" w:color="auto" w:fill="auto"/>
            <w:vAlign w:val="center"/>
          </w:tcPr>
          <w:p w14:paraId="185E9CCC" w14:textId="77777777" w:rsidR="0010377F" w:rsidRPr="00A06955" w:rsidRDefault="0010377F" w:rsidP="00A06955">
            <w:pPr>
              <w:tabs>
                <w:tab w:val="decimal" w:pos="1026"/>
              </w:tabs>
              <w:jc w:val="left"/>
              <w:rPr>
                <w:color w:val="auto"/>
                <w:sz w:val="20"/>
                <w:szCs w:val="20"/>
              </w:rPr>
            </w:pPr>
            <w:r w:rsidRPr="00A06955">
              <w:rPr>
                <w:color w:val="auto"/>
                <w:sz w:val="20"/>
                <w:szCs w:val="20"/>
              </w:rPr>
              <w:t>21,488</w:t>
            </w:r>
          </w:p>
        </w:tc>
        <w:tc>
          <w:tcPr>
            <w:tcW w:w="933" w:type="pct"/>
            <w:shd w:val="clear" w:color="auto" w:fill="auto"/>
            <w:vAlign w:val="center"/>
          </w:tcPr>
          <w:p w14:paraId="00B20F1C" w14:textId="77777777" w:rsidR="0010377F" w:rsidRPr="00A06955" w:rsidRDefault="0010377F" w:rsidP="00A06955">
            <w:pPr>
              <w:tabs>
                <w:tab w:val="decimal" w:pos="1168"/>
              </w:tabs>
              <w:jc w:val="left"/>
              <w:rPr>
                <w:color w:val="auto"/>
                <w:sz w:val="20"/>
                <w:szCs w:val="20"/>
              </w:rPr>
            </w:pPr>
            <w:r w:rsidRPr="00A06955">
              <w:rPr>
                <w:color w:val="auto"/>
                <w:sz w:val="20"/>
                <w:szCs w:val="20"/>
              </w:rPr>
              <w:t>139,288</w:t>
            </w:r>
          </w:p>
        </w:tc>
      </w:tr>
      <w:tr w:rsidR="0010377F" w:rsidRPr="003361F6" w14:paraId="6413E5DC" w14:textId="77777777" w:rsidTr="00A06955">
        <w:trPr>
          <w:trHeight w:val="369"/>
        </w:trPr>
        <w:tc>
          <w:tcPr>
            <w:tcW w:w="1139" w:type="pct"/>
            <w:shd w:val="clear" w:color="auto" w:fill="auto"/>
            <w:vAlign w:val="center"/>
          </w:tcPr>
          <w:p w14:paraId="262FF292" w14:textId="2E11A039" w:rsidR="0010377F" w:rsidRPr="00A06955" w:rsidRDefault="0010377F">
            <w:pPr>
              <w:jc w:val="left"/>
              <w:rPr>
                <w:color w:val="auto"/>
                <w:sz w:val="20"/>
                <w:szCs w:val="20"/>
                <w:vertAlign w:val="superscript"/>
              </w:rPr>
            </w:pPr>
            <w:r w:rsidRPr="00A06955">
              <w:rPr>
                <w:color w:val="auto"/>
                <w:sz w:val="20"/>
                <w:szCs w:val="20"/>
              </w:rPr>
              <w:t>Executive Director for Adult Services, Health &amp; Wellbeing</w:t>
            </w:r>
            <w:r>
              <w:rPr>
                <w:color w:val="auto"/>
                <w:sz w:val="20"/>
                <w:szCs w:val="20"/>
                <w:vertAlign w:val="superscript"/>
              </w:rPr>
              <w:t>2</w:t>
            </w:r>
          </w:p>
        </w:tc>
        <w:tc>
          <w:tcPr>
            <w:tcW w:w="643" w:type="pct"/>
            <w:shd w:val="clear" w:color="auto" w:fill="auto"/>
            <w:vAlign w:val="center"/>
          </w:tcPr>
          <w:p w14:paraId="0CD127C2" w14:textId="77777777" w:rsidR="0010377F" w:rsidRPr="00A06955" w:rsidRDefault="0010377F" w:rsidP="00A06955">
            <w:pPr>
              <w:tabs>
                <w:tab w:val="decimal" w:pos="1027"/>
              </w:tabs>
              <w:jc w:val="left"/>
              <w:rPr>
                <w:color w:val="auto"/>
                <w:sz w:val="20"/>
                <w:szCs w:val="20"/>
              </w:rPr>
            </w:pPr>
            <w:r w:rsidRPr="00A06955">
              <w:rPr>
                <w:color w:val="auto"/>
                <w:sz w:val="20"/>
                <w:szCs w:val="20"/>
              </w:rPr>
              <w:t>109,556</w:t>
            </w:r>
          </w:p>
        </w:tc>
        <w:tc>
          <w:tcPr>
            <w:tcW w:w="682" w:type="pct"/>
            <w:vAlign w:val="center"/>
          </w:tcPr>
          <w:p w14:paraId="4EEF0748" w14:textId="77777777" w:rsidR="0010377F" w:rsidRPr="00A06955" w:rsidRDefault="0010377F" w:rsidP="00A06955">
            <w:pPr>
              <w:tabs>
                <w:tab w:val="decimal" w:pos="918"/>
              </w:tabs>
              <w:jc w:val="left"/>
              <w:rPr>
                <w:color w:val="auto"/>
                <w:sz w:val="20"/>
                <w:szCs w:val="20"/>
              </w:rPr>
            </w:pPr>
            <w:r w:rsidRPr="00A06955">
              <w:rPr>
                <w:color w:val="auto"/>
                <w:sz w:val="20"/>
                <w:szCs w:val="20"/>
              </w:rPr>
              <w:t>1,787</w:t>
            </w:r>
          </w:p>
        </w:tc>
        <w:tc>
          <w:tcPr>
            <w:tcW w:w="801" w:type="pct"/>
            <w:vAlign w:val="center"/>
          </w:tcPr>
          <w:p w14:paraId="42F72BC6" w14:textId="77777777" w:rsidR="0010377F" w:rsidRPr="00A06955" w:rsidRDefault="0010377F" w:rsidP="00A06955">
            <w:pPr>
              <w:tabs>
                <w:tab w:val="decimal" w:pos="1168"/>
              </w:tabs>
              <w:jc w:val="left"/>
              <w:rPr>
                <w:color w:val="auto"/>
                <w:sz w:val="20"/>
                <w:szCs w:val="20"/>
              </w:rPr>
            </w:pPr>
            <w:r w:rsidRPr="00A06955">
              <w:rPr>
                <w:color w:val="auto"/>
                <w:sz w:val="20"/>
                <w:szCs w:val="20"/>
              </w:rPr>
              <w:t>111,343</w:t>
            </w:r>
          </w:p>
        </w:tc>
        <w:tc>
          <w:tcPr>
            <w:tcW w:w="801" w:type="pct"/>
            <w:shd w:val="clear" w:color="auto" w:fill="auto"/>
            <w:vAlign w:val="center"/>
          </w:tcPr>
          <w:p w14:paraId="1F5723DF" w14:textId="77777777" w:rsidR="0010377F" w:rsidRPr="00A06955" w:rsidRDefault="0010377F" w:rsidP="00A06955">
            <w:pPr>
              <w:tabs>
                <w:tab w:val="decimal" w:pos="1026"/>
              </w:tabs>
              <w:jc w:val="left"/>
              <w:rPr>
                <w:color w:val="auto"/>
                <w:sz w:val="20"/>
                <w:szCs w:val="20"/>
              </w:rPr>
            </w:pPr>
            <w:r w:rsidRPr="00A06955">
              <w:rPr>
                <w:color w:val="auto"/>
                <w:sz w:val="20"/>
                <w:szCs w:val="20"/>
              </w:rPr>
              <w:t>20,925</w:t>
            </w:r>
          </w:p>
        </w:tc>
        <w:tc>
          <w:tcPr>
            <w:tcW w:w="933" w:type="pct"/>
            <w:shd w:val="clear" w:color="auto" w:fill="auto"/>
            <w:vAlign w:val="center"/>
          </w:tcPr>
          <w:p w14:paraId="6D07ECCA" w14:textId="77777777" w:rsidR="0010377F" w:rsidRPr="00A06955" w:rsidRDefault="0010377F" w:rsidP="00A06955">
            <w:pPr>
              <w:tabs>
                <w:tab w:val="decimal" w:pos="1168"/>
              </w:tabs>
              <w:jc w:val="left"/>
              <w:rPr>
                <w:color w:val="auto"/>
                <w:sz w:val="20"/>
                <w:szCs w:val="20"/>
              </w:rPr>
            </w:pPr>
            <w:r w:rsidRPr="00A06955">
              <w:rPr>
                <w:color w:val="auto"/>
                <w:sz w:val="20"/>
                <w:szCs w:val="20"/>
              </w:rPr>
              <w:t>132,268</w:t>
            </w:r>
          </w:p>
        </w:tc>
      </w:tr>
      <w:tr w:rsidR="0010377F" w:rsidRPr="003361F6" w14:paraId="12807FF8" w14:textId="77777777" w:rsidTr="00A06955">
        <w:trPr>
          <w:trHeight w:val="369"/>
        </w:trPr>
        <w:tc>
          <w:tcPr>
            <w:tcW w:w="1139" w:type="pct"/>
            <w:shd w:val="clear" w:color="auto" w:fill="auto"/>
            <w:vAlign w:val="center"/>
          </w:tcPr>
          <w:p w14:paraId="6A661916" w14:textId="753C73FC" w:rsidR="0010377F" w:rsidRPr="00A06955" w:rsidRDefault="0010377F">
            <w:pPr>
              <w:jc w:val="left"/>
              <w:rPr>
                <w:color w:val="auto"/>
                <w:sz w:val="20"/>
                <w:szCs w:val="20"/>
                <w:vertAlign w:val="superscript"/>
              </w:rPr>
            </w:pPr>
            <w:r w:rsidRPr="00A06955">
              <w:rPr>
                <w:color w:val="auto"/>
                <w:sz w:val="20"/>
                <w:szCs w:val="20"/>
              </w:rPr>
              <w:t>Interim Executive Director for the Environment</w:t>
            </w:r>
            <w:r>
              <w:rPr>
                <w:color w:val="auto"/>
                <w:sz w:val="20"/>
                <w:szCs w:val="20"/>
                <w:vertAlign w:val="superscript"/>
              </w:rPr>
              <w:t>3</w:t>
            </w:r>
          </w:p>
        </w:tc>
        <w:tc>
          <w:tcPr>
            <w:tcW w:w="643" w:type="pct"/>
            <w:shd w:val="clear" w:color="auto" w:fill="auto"/>
            <w:vAlign w:val="center"/>
          </w:tcPr>
          <w:p w14:paraId="6C6AF265" w14:textId="77777777" w:rsidR="0010377F" w:rsidRPr="00A06955" w:rsidRDefault="0010377F" w:rsidP="00A06955">
            <w:pPr>
              <w:tabs>
                <w:tab w:val="decimal" w:pos="1027"/>
              </w:tabs>
              <w:jc w:val="left"/>
              <w:rPr>
                <w:color w:val="auto"/>
                <w:sz w:val="20"/>
                <w:szCs w:val="20"/>
              </w:rPr>
            </w:pPr>
            <w:r w:rsidRPr="00A06955">
              <w:rPr>
                <w:color w:val="auto"/>
                <w:sz w:val="20"/>
                <w:szCs w:val="20"/>
              </w:rPr>
              <w:t>105,111</w:t>
            </w:r>
          </w:p>
        </w:tc>
        <w:tc>
          <w:tcPr>
            <w:tcW w:w="682" w:type="pct"/>
            <w:vAlign w:val="center"/>
          </w:tcPr>
          <w:p w14:paraId="5DE1FDD5" w14:textId="77777777" w:rsidR="0010377F" w:rsidRPr="00A06955" w:rsidRDefault="0010377F" w:rsidP="00A06955">
            <w:pPr>
              <w:tabs>
                <w:tab w:val="decimal" w:pos="918"/>
              </w:tabs>
              <w:jc w:val="left"/>
              <w:rPr>
                <w:color w:val="auto"/>
                <w:sz w:val="20"/>
                <w:szCs w:val="20"/>
              </w:rPr>
            </w:pPr>
            <w:r w:rsidRPr="00A06955">
              <w:rPr>
                <w:color w:val="auto"/>
                <w:sz w:val="20"/>
                <w:szCs w:val="20"/>
              </w:rPr>
              <w:t>6,389</w:t>
            </w:r>
          </w:p>
        </w:tc>
        <w:tc>
          <w:tcPr>
            <w:tcW w:w="801" w:type="pct"/>
            <w:vAlign w:val="center"/>
          </w:tcPr>
          <w:p w14:paraId="41D3B902" w14:textId="77777777" w:rsidR="0010377F" w:rsidRPr="00A06955" w:rsidRDefault="0010377F" w:rsidP="00A06955">
            <w:pPr>
              <w:tabs>
                <w:tab w:val="decimal" w:pos="1168"/>
              </w:tabs>
              <w:jc w:val="left"/>
              <w:rPr>
                <w:color w:val="auto"/>
                <w:sz w:val="20"/>
                <w:szCs w:val="20"/>
              </w:rPr>
            </w:pPr>
            <w:r w:rsidRPr="00A06955">
              <w:rPr>
                <w:color w:val="auto"/>
                <w:sz w:val="20"/>
                <w:szCs w:val="20"/>
              </w:rPr>
              <w:t>111,500</w:t>
            </w:r>
          </w:p>
        </w:tc>
        <w:tc>
          <w:tcPr>
            <w:tcW w:w="801" w:type="pct"/>
            <w:shd w:val="clear" w:color="auto" w:fill="auto"/>
            <w:vAlign w:val="center"/>
          </w:tcPr>
          <w:p w14:paraId="726D5964" w14:textId="77777777" w:rsidR="0010377F" w:rsidRPr="00A06955" w:rsidRDefault="0010377F" w:rsidP="00A06955">
            <w:pPr>
              <w:tabs>
                <w:tab w:val="decimal" w:pos="1026"/>
              </w:tabs>
              <w:jc w:val="left"/>
              <w:rPr>
                <w:color w:val="auto"/>
                <w:sz w:val="20"/>
                <w:szCs w:val="20"/>
              </w:rPr>
            </w:pPr>
            <w:r w:rsidRPr="00A06955">
              <w:rPr>
                <w:color w:val="auto"/>
                <w:sz w:val="20"/>
                <w:szCs w:val="20"/>
              </w:rPr>
              <w:t>20,806</w:t>
            </w:r>
          </w:p>
        </w:tc>
        <w:tc>
          <w:tcPr>
            <w:tcW w:w="933" w:type="pct"/>
            <w:shd w:val="clear" w:color="auto" w:fill="auto"/>
            <w:vAlign w:val="center"/>
          </w:tcPr>
          <w:p w14:paraId="680B3F19" w14:textId="77777777" w:rsidR="0010377F" w:rsidRPr="00A06955" w:rsidRDefault="0010377F" w:rsidP="00A06955">
            <w:pPr>
              <w:tabs>
                <w:tab w:val="decimal" w:pos="1168"/>
              </w:tabs>
              <w:jc w:val="left"/>
              <w:rPr>
                <w:color w:val="auto"/>
                <w:sz w:val="20"/>
                <w:szCs w:val="20"/>
              </w:rPr>
            </w:pPr>
            <w:r w:rsidRPr="00A06955">
              <w:rPr>
                <w:color w:val="auto"/>
                <w:sz w:val="20"/>
                <w:szCs w:val="20"/>
              </w:rPr>
              <w:t>132,307</w:t>
            </w:r>
          </w:p>
        </w:tc>
      </w:tr>
      <w:tr w:rsidR="0010377F" w:rsidRPr="003361F6" w14:paraId="49589D22" w14:textId="77777777" w:rsidTr="00A06955">
        <w:trPr>
          <w:trHeight w:val="369"/>
        </w:trPr>
        <w:tc>
          <w:tcPr>
            <w:tcW w:w="1139" w:type="pct"/>
            <w:shd w:val="clear" w:color="auto" w:fill="auto"/>
            <w:vAlign w:val="center"/>
          </w:tcPr>
          <w:p w14:paraId="66BA176C" w14:textId="77777777" w:rsidR="0010377F" w:rsidRPr="00A06955" w:rsidRDefault="0010377F">
            <w:pPr>
              <w:jc w:val="left"/>
              <w:rPr>
                <w:color w:val="auto"/>
                <w:sz w:val="20"/>
                <w:szCs w:val="20"/>
              </w:rPr>
            </w:pPr>
            <w:r w:rsidRPr="00A06955">
              <w:rPr>
                <w:color w:val="auto"/>
                <w:sz w:val="20"/>
                <w:szCs w:val="20"/>
              </w:rPr>
              <w:t>Assistant Chief Executive</w:t>
            </w:r>
          </w:p>
        </w:tc>
        <w:tc>
          <w:tcPr>
            <w:tcW w:w="643" w:type="pct"/>
            <w:shd w:val="clear" w:color="auto" w:fill="auto"/>
            <w:vAlign w:val="center"/>
          </w:tcPr>
          <w:p w14:paraId="791CF228" w14:textId="77777777" w:rsidR="0010377F" w:rsidRPr="00A06955" w:rsidRDefault="0010377F" w:rsidP="00A06955">
            <w:pPr>
              <w:tabs>
                <w:tab w:val="decimal" w:pos="1027"/>
              </w:tabs>
              <w:jc w:val="left"/>
              <w:rPr>
                <w:color w:val="auto"/>
                <w:sz w:val="20"/>
                <w:szCs w:val="20"/>
              </w:rPr>
            </w:pPr>
            <w:r w:rsidRPr="00A06955">
              <w:rPr>
                <w:color w:val="auto"/>
                <w:sz w:val="20"/>
                <w:szCs w:val="20"/>
              </w:rPr>
              <w:t>93,180</w:t>
            </w:r>
          </w:p>
        </w:tc>
        <w:tc>
          <w:tcPr>
            <w:tcW w:w="682" w:type="pct"/>
            <w:vAlign w:val="center"/>
          </w:tcPr>
          <w:p w14:paraId="6682DC4B" w14:textId="77777777" w:rsidR="0010377F" w:rsidRPr="00A06955" w:rsidRDefault="0010377F" w:rsidP="00A06955">
            <w:pPr>
              <w:tabs>
                <w:tab w:val="decimal" w:pos="918"/>
              </w:tabs>
              <w:jc w:val="left"/>
              <w:rPr>
                <w:color w:val="auto"/>
                <w:sz w:val="20"/>
                <w:szCs w:val="20"/>
              </w:rPr>
            </w:pPr>
            <w:r w:rsidRPr="00A06955">
              <w:rPr>
                <w:color w:val="auto"/>
                <w:sz w:val="20"/>
                <w:szCs w:val="20"/>
              </w:rPr>
              <w:t>7,715</w:t>
            </w:r>
          </w:p>
        </w:tc>
        <w:tc>
          <w:tcPr>
            <w:tcW w:w="801" w:type="pct"/>
            <w:vAlign w:val="center"/>
          </w:tcPr>
          <w:p w14:paraId="454A1B83" w14:textId="77777777" w:rsidR="0010377F" w:rsidRPr="00A06955" w:rsidRDefault="0010377F" w:rsidP="00A06955">
            <w:pPr>
              <w:tabs>
                <w:tab w:val="decimal" w:pos="1168"/>
              </w:tabs>
              <w:jc w:val="left"/>
              <w:rPr>
                <w:color w:val="auto"/>
                <w:sz w:val="20"/>
                <w:szCs w:val="20"/>
              </w:rPr>
            </w:pPr>
            <w:r w:rsidRPr="00A06955">
              <w:rPr>
                <w:color w:val="auto"/>
                <w:sz w:val="20"/>
                <w:szCs w:val="20"/>
              </w:rPr>
              <w:t>100,895</w:t>
            </w:r>
          </w:p>
        </w:tc>
        <w:tc>
          <w:tcPr>
            <w:tcW w:w="801" w:type="pct"/>
            <w:shd w:val="clear" w:color="auto" w:fill="auto"/>
            <w:vAlign w:val="center"/>
          </w:tcPr>
          <w:p w14:paraId="470E4A81" w14:textId="77777777" w:rsidR="0010377F" w:rsidRPr="00A06955" w:rsidRDefault="0010377F" w:rsidP="00A06955">
            <w:pPr>
              <w:tabs>
                <w:tab w:val="decimal" w:pos="1026"/>
              </w:tabs>
              <w:jc w:val="left"/>
              <w:rPr>
                <w:color w:val="auto"/>
                <w:sz w:val="20"/>
                <w:szCs w:val="20"/>
              </w:rPr>
            </w:pPr>
            <w:r w:rsidRPr="00A06955">
              <w:rPr>
                <w:color w:val="auto"/>
                <w:sz w:val="20"/>
                <w:szCs w:val="20"/>
              </w:rPr>
              <w:t>17,797</w:t>
            </w:r>
          </w:p>
        </w:tc>
        <w:tc>
          <w:tcPr>
            <w:tcW w:w="933" w:type="pct"/>
            <w:shd w:val="clear" w:color="auto" w:fill="auto"/>
            <w:vAlign w:val="center"/>
          </w:tcPr>
          <w:p w14:paraId="0A4D0F82" w14:textId="77777777" w:rsidR="0010377F" w:rsidRPr="00A06955" w:rsidRDefault="0010377F" w:rsidP="00A06955">
            <w:pPr>
              <w:tabs>
                <w:tab w:val="decimal" w:pos="1168"/>
              </w:tabs>
              <w:jc w:val="left"/>
              <w:rPr>
                <w:color w:val="auto"/>
                <w:sz w:val="20"/>
                <w:szCs w:val="20"/>
              </w:rPr>
            </w:pPr>
            <w:r w:rsidRPr="00A06955">
              <w:rPr>
                <w:color w:val="auto"/>
                <w:sz w:val="20"/>
                <w:szCs w:val="20"/>
              </w:rPr>
              <w:t>118,692</w:t>
            </w:r>
          </w:p>
        </w:tc>
      </w:tr>
      <w:tr w:rsidR="0010377F" w:rsidRPr="003361F6" w14:paraId="13423572" w14:textId="77777777" w:rsidTr="00A06955">
        <w:trPr>
          <w:trHeight w:val="369"/>
        </w:trPr>
        <w:tc>
          <w:tcPr>
            <w:tcW w:w="1139" w:type="pct"/>
            <w:shd w:val="clear" w:color="auto" w:fill="auto"/>
            <w:vAlign w:val="center"/>
          </w:tcPr>
          <w:p w14:paraId="6790EFF3" w14:textId="77777777" w:rsidR="0010377F" w:rsidRPr="00A06955" w:rsidRDefault="0010377F">
            <w:pPr>
              <w:jc w:val="left"/>
              <w:rPr>
                <w:color w:val="auto"/>
                <w:sz w:val="20"/>
                <w:szCs w:val="20"/>
              </w:rPr>
            </w:pPr>
            <w:r w:rsidRPr="00A06955">
              <w:rPr>
                <w:color w:val="auto"/>
                <w:sz w:val="20"/>
                <w:szCs w:val="20"/>
              </w:rPr>
              <w:t>Director of Economic Development</w:t>
            </w:r>
          </w:p>
        </w:tc>
        <w:tc>
          <w:tcPr>
            <w:tcW w:w="643" w:type="pct"/>
            <w:shd w:val="clear" w:color="auto" w:fill="auto"/>
            <w:vAlign w:val="center"/>
          </w:tcPr>
          <w:p w14:paraId="7169E7BF" w14:textId="77777777" w:rsidR="0010377F" w:rsidRPr="00A06955" w:rsidRDefault="0010377F" w:rsidP="00A06955">
            <w:pPr>
              <w:tabs>
                <w:tab w:val="decimal" w:pos="1027"/>
              </w:tabs>
              <w:jc w:val="left"/>
              <w:rPr>
                <w:color w:val="auto"/>
                <w:sz w:val="20"/>
                <w:szCs w:val="20"/>
              </w:rPr>
            </w:pPr>
            <w:r w:rsidRPr="00A06955">
              <w:rPr>
                <w:color w:val="auto"/>
                <w:sz w:val="20"/>
                <w:szCs w:val="20"/>
              </w:rPr>
              <w:t>93,180</w:t>
            </w:r>
          </w:p>
        </w:tc>
        <w:tc>
          <w:tcPr>
            <w:tcW w:w="682" w:type="pct"/>
            <w:vAlign w:val="center"/>
          </w:tcPr>
          <w:p w14:paraId="06EC6D25" w14:textId="77777777" w:rsidR="0010377F" w:rsidRPr="00A06955" w:rsidRDefault="0010377F" w:rsidP="00A06955">
            <w:pPr>
              <w:tabs>
                <w:tab w:val="decimal" w:pos="918"/>
              </w:tabs>
              <w:jc w:val="left"/>
              <w:rPr>
                <w:color w:val="auto"/>
                <w:sz w:val="20"/>
                <w:szCs w:val="20"/>
              </w:rPr>
            </w:pPr>
            <w:r w:rsidRPr="00A06955">
              <w:rPr>
                <w:color w:val="auto"/>
                <w:sz w:val="20"/>
                <w:szCs w:val="20"/>
              </w:rPr>
              <w:t>5,749</w:t>
            </w:r>
          </w:p>
        </w:tc>
        <w:tc>
          <w:tcPr>
            <w:tcW w:w="801" w:type="pct"/>
            <w:vAlign w:val="center"/>
          </w:tcPr>
          <w:p w14:paraId="3723E781" w14:textId="77777777" w:rsidR="0010377F" w:rsidRPr="00A06955" w:rsidRDefault="0010377F" w:rsidP="00A06955">
            <w:pPr>
              <w:tabs>
                <w:tab w:val="decimal" w:pos="1168"/>
              </w:tabs>
              <w:jc w:val="left"/>
              <w:rPr>
                <w:color w:val="auto"/>
                <w:sz w:val="20"/>
                <w:szCs w:val="20"/>
              </w:rPr>
            </w:pPr>
            <w:r w:rsidRPr="00A06955">
              <w:rPr>
                <w:color w:val="auto"/>
                <w:sz w:val="20"/>
                <w:szCs w:val="20"/>
              </w:rPr>
              <w:t>98,929</w:t>
            </w:r>
          </w:p>
        </w:tc>
        <w:tc>
          <w:tcPr>
            <w:tcW w:w="801" w:type="pct"/>
            <w:shd w:val="clear" w:color="auto" w:fill="auto"/>
            <w:vAlign w:val="center"/>
          </w:tcPr>
          <w:p w14:paraId="77750924" w14:textId="77777777" w:rsidR="0010377F" w:rsidRPr="00A06955" w:rsidRDefault="0010377F" w:rsidP="00A06955">
            <w:pPr>
              <w:tabs>
                <w:tab w:val="decimal" w:pos="1026"/>
              </w:tabs>
              <w:jc w:val="left"/>
              <w:rPr>
                <w:color w:val="auto"/>
                <w:sz w:val="20"/>
                <w:szCs w:val="20"/>
              </w:rPr>
            </w:pPr>
            <w:r w:rsidRPr="00A06955">
              <w:rPr>
                <w:color w:val="auto"/>
                <w:sz w:val="20"/>
                <w:szCs w:val="20"/>
              </w:rPr>
              <w:t>17,797</w:t>
            </w:r>
          </w:p>
        </w:tc>
        <w:tc>
          <w:tcPr>
            <w:tcW w:w="933" w:type="pct"/>
            <w:shd w:val="clear" w:color="auto" w:fill="auto"/>
            <w:vAlign w:val="center"/>
          </w:tcPr>
          <w:p w14:paraId="5FEC9CA4" w14:textId="77777777" w:rsidR="0010377F" w:rsidRPr="00A06955" w:rsidRDefault="0010377F" w:rsidP="00A06955">
            <w:pPr>
              <w:tabs>
                <w:tab w:val="decimal" w:pos="1168"/>
              </w:tabs>
              <w:jc w:val="left"/>
              <w:rPr>
                <w:color w:val="auto"/>
                <w:sz w:val="20"/>
                <w:szCs w:val="20"/>
              </w:rPr>
            </w:pPr>
            <w:r w:rsidRPr="00A06955">
              <w:rPr>
                <w:color w:val="auto"/>
                <w:sz w:val="20"/>
                <w:szCs w:val="20"/>
              </w:rPr>
              <w:t>116,726</w:t>
            </w:r>
          </w:p>
        </w:tc>
      </w:tr>
      <w:tr w:rsidR="0010377F" w:rsidRPr="003361F6" w14:paraId="7B600402" w14:textId="77777777" w:rsidTr="00980C49">
        <w:trPr>
          <w:trHeight w:val="369"/>
        </w:trPr>
        <w:tc>
          <w:tcPr>
            <w:tcW w:w="1139" w:type="pct"/>
            <w:shd w:val="clear" w:color="auto" w:fill="auto"/>
            <w:vAlign w:val="center"/>
          </w:tcPr>
          <w:p w14:paraId="6E08FF2C" w14:textId="2B3A7D1D" w:rsidR="0010377F" w:rsidRPr="00A06955" w:rsidRDefault="0010377F">
            <w:pPr>
              <w:jc w:val="left"/>
              <w:rPr>
                <w:color w:val="auto"/>
                <w:sz w:val="20"/>
                <w:szCs w:val="20"/>
                <w:vertAlign w:val="superscript"/>
              </w:rPr>
            </w:pPr>
            <w:r w:rsidRPr="00A06955">
              <w:rPr>
                <w:color w:val="auto"/>
                <w:sz w:val="20"/>
                <w:szCs w:val="20"/>
              </w:rPr>
              <w:t>Director for Public Health</w:t>
            </w:r>
            <w:r>
              <w:rPr>
                <w:color w:val="auto"/>
                <w:sz w:val="20"/>
                <w:szCs w:val="20"/>
                <w:vertAlign w:val="superscript"/>
              </w:rPr>
              <w:t>4</w:t>
            </w:r>
          </w:p>
        </w:tc>
        <w:tc>
          <w:tcPr>
            <w:tcW w:w="643" w:type="pct"/>
            <w:tcBorders>
              <w:bottom w:val="nil"/>
            </w:tcBorders>
            <w:shd w:val="clear" w:color="auto" w:fill="auto"/>
            <w:vAlign w:val="center"/>
          </w:tcPr>
          <w:p w14:paraId="23017E9A" w14:textId="77777777" w:rsidR="0010377F" w:rsidRPr="00A06955" w:rsidRDefault="0010377F" w:rsidP="00A06955">
            <w:pPr>
              <w:tabs>
                <w:tab w:val="decimal" w:pos="1027"/>
              </w:tabs>
              <w:jc w:val="left"/>
              <w:rPr>
                <w:color w:val="auto"/>
                <w:sz w:val="20"/>
                <w:szCs w:val="20"/>
              </w:rPr>
            </w:pPr>
            <w:r w:rsidRPr="00A06955">
              <w:rPr>
                <w:color w:val="auto"/>
                <w:sz w:val="20"/>
                <w:szCs w:val="20"/>
              </w:rPr>
              <w:t>89,299</w:t>
            </w:r>
          </w:p>
        </w:tc>
        <w:tc>
          <w:tcPr>
            <w:tcW w:w="682" w:type="pct"/>
            <w:tcBorders>
              <w:bottom w:val="nil"/>
            </w:tcBorders>
            <w:vAlign w:val="center"/>
          </w:tcPr>
          <w:p w14:paraId="0B629FEF" w14:textId="77777777" w:rsidR="0010377F" w:rsidRPr="00A06955" w:rsidRDefault="0010377F" w:rsidP="00A06955">
            <w:pPr>
              <w:tabs>
                <w:tab w:val="decimal" w:pos="918"/>
              </w:tabs>
              <w:jc w:val="left"/>
              <w:rPr>
                <w:color w:val="auto"/>
                <w:sz w:val="20"/>
                <w:szCs w:val="20"/>
              </w:rPr>
            </w:pPr>
            <w:r w:rsidRPr="00A06955">
              <w:rPr>
                <w:color w:val="auto"/>
                <w:sz w:val="20"/>
                <w:szCs w:val="20"/>
              </w:rPr>
              <w:t>-</w:t>
            </w:r>
          </w:p>
        </w:tc>
        <w:tc>
          <w:tcPr>
            <w:tcW w:w="801" w:type="pct"/>
            <w:tcBorders>
              <w:bottom w:val="nil"/>
            </w:tcBorders>
            <w:vAlign w:val="center"/>
          </w:tcPr>
          <w:p w14:paraId="619E39F6" w14:textId="77777777" w:rsidR="0010377F" w:rsidRPr="00A06955" w:rsidRDefault="0010377F" w:rsidP="00A06955">
            <w:pPr>
              <w:tabs>
                <w:tab w:val="decimal" w:pos="1168"/>
              </w:tabs>
              <w:jc w:val="left"/>
              <w:rPr>
                <w:color w:val="auto"/>
                <w:sz w:val="20"/>
                <w:szCs w:val="20"/>
              </w:rPr>
            </w:pPr>
            <w:r w:rsidRPr="00A06955">
              <w:rPr>
                <w:color w:val="auto"/>
                <w:sz w:val="20"/>
                <w:szCs w:val="20"/>
              </w:rPr>
              <w:t>89,299</w:t>
            </w:r>
          </w:p>
        </w:tc>
        <w:tc>
          <w:tcPr>
            <w:tcW w:w="801" w:type="pct"/>
            <w:tcBorders>
              <w:bottom w:val="nil"/>
            </w:tcBorders>
            <w:shd w:val="clear" w:color="auto" w:fill="auto"/>
            <w:vAlign w:val="center"/>
          </w:tcPr>
          <w:p w14:paraId="0E227DAB" w14:textId="77777777" w:rsidR="0010377F" w:rsidRPr="00A06955" w:rsidRDefault="0010377F" w:rsidP="00A06955">
            <w:pPr>
              <w:tabs>
                <w:tab w:val="decimal" w:pos="1026"/>
              </w:tabs>
              <w:jc w:val="left"/>
              <w:rPr>
                <w:color w:val="auto"/>
                <w:sz w:val="20"/>
                <w:szCs w:val="20"/>
              </w:rPr>
            </w:pPr>
            <w:r w:rsidRPr="00A06955">
              <w:rPr>
                <w:color w:val="auto"/>
                <w:sz w:val="20"/>
                <w:szCs w:val="20"/>
              </w:rPr>
              <w:t>12,502</w:t>
            </w:r>
          </w:p>
        </w:tc>
        <w:tc>
          <w:tcPr>
            <w:tcW w:w="933" w:type="pct"/>
            <w:tcBorders>
              <w:bottom w:val="nil"/>
            </w:tcBorders>
            <w:shd w:val="clear" w:color="auto" w:fill="auto"/>
            <w:vAlign w:val="center"/>
          </w:tcPr>
          <w:p w14:paraId="5C3BC0CB" w14:textId="77777777" w:rsidR="0010377F" w:rsidRPr="00A06955" w:rsidRDefault="0010377F" w:rsidP="00A06955">
            <w:pPr>
              <w:tabs>
                <w:tab w:val="decimal" w:pos="1168"/>
              </w:tabs>
              <w:jc w:val="left"/>
              <w:rPr>
                <w:color w:val="auto"/>
                <w:sz w:val="20"/>
                <w:szCs w:val="20"/>
              </w:rPr>
            </w:pPr>
            <w:r w:rsidRPr="00A06955">
              <w:rPr>
                <w:color w:val="auto"/>
                <w:sz w:val="20"/>
                <w:szCs w:val="20"/>
              </w:rPr>
              <w:t>101,800</w:t>
            </w:r>
          </w:p>
        </w:tc>
      </w:tr>
      <w:tr w:rsidR="0010377F" w:rsidRPr="003361F6" w14:paraId="7D4D91F0" w14:textId="77777777" w:rsidTr="00980C49">
        <w:trPr>
          <w:trHeight w:val="369"/>
        </w:trPr>
        <w:tc>
          <w:tcPr>
            <w:tcW w:w="1139" w:type="pct"/>
            <w:shd w:val="clear" w:color="auto" w:fill="auto"/>
            <w:vAlign w:val="center"/>
          </w:tcPr>
          <w:p w14:paraId="2D86BFE2" w14:textId="77777777" w:rsidR="0010377F" w:rsidRPr="00A06955" w:rsidRDefault="0010377F">
            <w:pPr>
              <w:jc w:val="left"/>
              <w:rPr>
                <w:color w:val="auto"/>
                <w:sz w:val="20"/>
                <w:szCs w:val="20"/>
              </w:rPr>
            </w:pPr>
            <w:r w:rsidRPr="00A06955">
              <w:rPr>
                <w:color w:val="auto"/>
                <w:sz w:val="20"/>
                <w:szCs w:val="20"/>
              </w:rPr>
              <w:t>Head of Communications</w:t>
            </w:r>
          </w:p>
        </w:tc>
        <w:tc>
          <w:tcPr>
            <w:tcW w:w="643" w:type="pct"/>
            <w:tcBorders>
              <w:top w:val="nil"/>
              <w:bottom w:val="single" w:sz="4" w:space="0" w:color="auto"/>
            </w:tcBorders>
            <w:shd w:val="clear" w:color="auto" w:fill="auto"/>
            <w:vAlign w:val="center"/>
          </w:tcPr>
          <w:p w14:paraId="20CCD325" w14:textId="77777777" w:rsidR="0010377F" w:rsidRPr="00A06955" w:rsidRDefault="0010377F" w:rsidP="00A06955">
            <w:pPr>
              <w:tabs>
                <w:tab w:val="decimal" w:pos="1027"/>
              </w:tabs>
              <w:jc w:val="left"/>
              <w:rPr>
                <w:color w:val="auto"/>
                <w:sz w:val="20"/>
                <w:szCs w:val="20"/>
              </w:rPr>
            </w:pPr>
            <w:r w:rsidRPr="00A06955">
              <w:rPr>
                <w:color w:val="auto"/>
                <w:sz w:val="20"/>
                <w:szCs w:val="20"/>
              </w:rPr>
              <w:t>71,612</w:t>
            </w:r>
          </w:p>
        </w:tc>
        <w:tc>
          <w:tcPr>
            <w:tcW w:w="682" w:type="pct"/>
            <w:tcBorders>
              <w:top w:val="nil"/>
              <w:bottom w:val="single" w:sz="4" w:space="0" w:color="auto"/>
            </w:tcBorders>
            <w:vAlign w:val="center"/>
          </w:tcPr>
          <w:p w14:paraId="6CCCF74C" w14:textId="77777777" w:rsidR="0010377F" w:rsidRPr="00A06955" w:rsidRDefault="0010377F" w:rsidP="00A06955">
            <w:pPr>
              <w:tabs>
                <w:tab w:val="decimal" w:pos="918"/>
              </w:tabs>
              <w:jc w:val="left"/>
              <w:rPr>
                <w:color w:val="auto"/>
                <w:sz w:val="20"/>
                <w:szCs w:val="20"/>
              </w:rPr>
            </w:pPr>
            <w:r w:rsidRPr="00A06955">
              <w:rPr>
                <w:color w:val="auto"/>
                <w:sz w:val="20"/>
                <w:szCs w:val="20"/>
              </w:rPr>
              <w:t>-</w:t>
            </w:r>
          </w:p>
        </w:tc>
        <w:tc>
          <w:tcPr>
            <w:tcW w:w="801" w:type="pct"/>
            <w:tcBorders>
              <w:top w:val="nil"/>
              <w:bottom w:val="single" w:sz="4" w:space="0" w:color="auto"/>
            </w:tcBorders>
            <w:vAlign w:val="center"/>
          </w:tcPr>
          <w:p w14:paraId="0E381C0B" w14:textId="77777777" w:rsidR="0010377F" w:rsidRPr="00A06955" w:rsidRDefault="0010377F" w:rsidP="00A06955">
            <w:pPr>
              <w:tabs>
                <w:tab w:val="decimal" w:pos="1168"/>
              </w:tabs>
              <w:jc w:val="left"/>
              <w:rPr>
                <w:color w:val="auto"/>
                <w:sz w:val="20"/>
                <w:szCs w:val="20"/>
              </w:rPr>
            </w:pPr>
            <w:r w:rsidRPr="00A06955">
              <w:rPr>
                <w:color w:val="auto"/>
                <w:sz w:val="20"/>
                <w:szCs w:val="20"/>
              </w:rPr>
              <w:t>71,612</w:t>
            </w:r>
          </w:p>
        </w:tc>
        <w:tc>
          <w:tcPr>
            <w:tcW w:w="801" w:type="pct"/>
            <w:tcBorders>
              <w:top w:val="nil"/>
              <w:bottom w:val="single" w:sz="4" w:space="0" w:color="auto"/>
            </w:tcBorders>
            <w:shd w:val="clear" w:color="auto" w:fill="auto"/>
            <w:vAlign w:val="center"/>
          </w:tcPr>
          <w:p w14:paraId="1998882C" w14:textId="77777777" w:rsidR="0010377F" w:rsidRPr="00A06955" w:rsidRDefault="0010377F" w:rsidP="00A06955">
            <w:pPr>
              <w:tabs>
                <w:tab w:val="decimal" w:pos="1026"/>
              </w:tabs>
              <w:jc w:val="left"/>
              <w:rPr>
                <w:color w:val="auto"/>
                <w:sz w:val="20"/>
                <w:szCs w:val="20"/>
              </w:rPr>
            </w:pPr>
            <w:r w:rsidRPr="00A06955">
              <w:rPr>
                <w:color w:val="auto"/>
                <w:sz w:val="20"/>
                <w:szCs w:val="20"/>
              </w:rPr>
              <w:t>13,678</w:t>
            </w:r>
          </w:p>
        </w:tc>
        <w:tc>
          <w:tcPr>
            <w:tcW w:w="933" w:type="pct"/>
            <w:tcBorders>
              <w:top w:val="nil"/>
              <w:bottom w:val="single" w:sz="4" w:space="0" w:color="auto"/>
            </w:tcBorders>
            <w:shd w:val="clear" w:color="auto" w:fill="auto"/>
            <w:vAlign w:val="center"/>
          </w:tcPr>
          <w:p w14:paraId="0BACBFFA" w14:textId="77777777" w:rsidR="0010377F" w:rsidRPr="00A06955" w:rsidRDefault="0010377F" w:rsidP="00A06955">
            <w:pPr>
              <w:tabs>
                <w:tab w:val="decimal" w:pos="1168"/>
              </w:tabs>
              <w:jc w:val="left"/>
              <w:rPr>
                <w:color w:val="auto"/>
                <w:sz w:val="20"/>
                <w:szCs w:val="20"/>
              </w:rPr>
            </w:pPr>
            <w:r w:rsidRPr="00A06955">
              <w:rPr>
                <w:color w:val="auto"/>
                <w:sz w:val="20"/>
                <w:szCs w:val="20"/>
              </w:rPr>
              <w:t>85,290</w:t>
            </w:r>
          </w:p>
        </w:tc>
      </w:tr>
    </w:tbl>
    <w:p w14:paraId="14A5CA55" w14:textId="3D9EAE7B" w:rsidR="00F649E6" w:rsidRPr="00A06955" w:rsidRDefault="00EB46B7" w:rsidP="00642E92">
      <w:pPr>
        <w:rPr>
          <w:sz w:val="20"/>
          <w:szCs w:val="20"/>
          <w:lang w:eastAsia="en-GB"/>
        </w:rPr>
      </w:pPr>
      <w:r w:rsidRPr="00A06955">
        <w:rPr>
          <w:sz w:val="20"/>
          <w:szCs w:val="20"/>
          <w:vertAlign w:val="superscript"/>
          <w:lang w:eastAsia="en-GB"/>
        </w:rPr>
        <w:t xml:space="preserve">1 </w:t>
      </w:r>
      <w:r w:rsidR="00671973" w:rsidRPr="002A61A5">
        <w:rPr>
          <w:sz w:val="20"/>
          <w:szCs w:val="20"/>
          <w:lang w:eastAsia="en-GB"/>
        </w:rPr>
        <w:t>Benefits In Kind relate to lease car payments and/or excess mileage.</w:t>
      </w:r>
    </w:p>
    <w:p w14:paraId="374FCA57" w14:textId="77777777" w:rsidR="00EB46B7" w:rsidRPr="00A06955" w:rsidRDefault="00EB46B7" w:rsidP="00EB46B7">
      <w:pPr>
        <w:rPr>
          <w:sz w:val="20"/>
          <w:szCs w:val="20"/>
          <w:lang w:eastAsia="en-GB"/>
        </w:rPr>
      </w:pPr>
      <w:r w:rsidRPr="00A06955">
        <w:rPr>
          <w:sz w:val="20"/>
          <w:szCs w:val="20"/>
          <w:vertAlign w:val="superscript"/>
          <w:lang w:eastAsia="en-GB"/>
        </w:rPr>
        <w:t xml:space="preserve">2 </w:t>
      </w:r>
      <w:r w:rsidRPr="00A06955">
        <w:rPr>
          <w:sz w:val="20"/>
          <w:szCs w:val="20"/>
          <w:lang w:eastAsia="en-GB"/>
        </w:rPr>
        <w:t>The Executive Director for Adult Services, Health &amp; Wellbeing was appointed on 12th August 2013.</w:t>
      </w:r>
    </w:p>
    <w:p w14:paraId="0B122C92" w14:textId="77777777" w:rsidR="00EB46B7" w:rsidRPr="00A06955" w:rsidRDefault="00EB46B7" w:rsidP="00EB46B7">
      <w:pPr>
        <w:rPr>
          <w:sz w:val="20"/>
          <w:szCs w:val="20"/>
          <w:lang w:eastAsia="en-GB"/>
        </w:rPr>
      </w:pPr>
      <w:r w:rsidRPr="00A06955">
        <w:rPr>
          <w:sz w:val="20"/>
          <w:szCs w:val="20"/>
          <w:vertAlign w:val="superscript"/>
          <w:lang w:eastAsia="en-GB"/>
        </w:rPr>
        <w:t xml:space="preserve">3 </w:t>
      </w:r>
      <w:r w:rsidRPr="00A06955">
        <w:rPr>
          <w:sz w:val="20"/>
          <w:szCs w:val="20"/>
          <w:lang w:eastAsia="en-GB"/>
        </w:rPr>
        <w:t>The Interim Executive Director for the Environment was appointed on 20th August 2013.</w:t>
      </w:r>
    </w:p>
    <w:p w14:paraId="5344A305" w14:textId="77777777" w:rsidR="00EB46B7" w:rsidRPr="00A06955" w:rsidRDefault="00EB46B7" w:rsidP="00EB46B7">
      <w:pPr>
        <w:rPr>
          <w:sz w:val="20"/>
          <w:szCs w:val="20"/>
          <w:lang w:eastAsia="en-GB"/>
        </w:rPr>
      </w:pPr>
      <w:r w:rsidRPr="00A06955">
        <w:rPr>
          <w:sz w:val="20"/>
          <w:szCs w:val="20"/>
          <w:vertAlign w:val="superscript"/>
          <w:lang w:eastAsia="en-GB"/>
        </w:rPr>
        <w:t xml:space="preserve">4 </w:t>
      </w:r>
      <w:r w:rsidRPr="00A06955">
        <w:rPr>
          <w:sz w:val="20"/>
          <w:szCs w:val="20"/>
          <w:lang w:eastAsia="en-GB"/>
        </w:rPr>
        <w:t>The Director for Public Health was appointed on 1st November 2013.</w:t>
      </w:r>
    </w:p>
    <w:p w14:paraId="21C7A383" w14:textId="77777777" w:rsidR="00EB46B7" w:rsidRDefault="00EB46B7" w:rsidP="00EB46B7">
      <w:pPr>
        <w:rPr>
          <w:sz w:val="20"/>
          <w:szCs w:val="20"/>
          <w:lang w:eastAsia="en-GB"/>
        </w:rPr>
      </w:pPr>
    </w:p>
    <w:p w14:paraId="2C56B6D7" w14:textId="77777777" w:rsidR="005C018F" w:rsidRDefault="005C018F" w:rsidP="00EB46B7">
      <w:pPr>
        <w:rPr>
          <w:sz w:val="20"/>
          <w:szCs w:val="20"/>
          <w:lang w:eastAsia="en-GB"/>
        </w:rPr>
      </w:pPr>
    </w:p>
    <w:p w14:paraId="15B12BFA" w14:textId="77777777" w:rsidR="005C018F" w:rsidRDefault="005C018F" w:rsidP="00EB46B7">
      <w:pPr>
        <w:rPr>
          <w:sz w:val="20"/>
          <w:szCs w:val="20"/>
          <w:lang w:eastAsia="en-GB"/>
        </w:rPr>
      </w:pPr>
    </w:p>
    <w:p w14:paraId="48F0CF71" w14:textId="77777777" w:rsidR="005C018F" w:rsidRDefault="005C018F" w:rsidP="00EB46B7">
      <w:pPr>
        <w:rPr>
          <w:sz w:val="20"/>
          <w:szCs w:val="20"/>
          <w:lang w:eastAsia="en-GB"/>
        </w:rPr>
      </w:pPr>
    </w:p>
    <w:p w14:paraId="5952EFAD" w14:textId="77777777" w:rsidR="005C018F" w:rsidRDefault="005C018F" w:rsidP="00EB46B7">
      <w:pPr>
        <w:rPr>
          <w:sz w:val="20"/>
          <w:szCs w:val="20"/>
          <w:lang w:eastAsia="en-GB"/>
        </w:rPr>
      </w:pPr>
    </w:p>
    <w:p w14:paraId="5DC1A094" w14:textId="77777777" w:rsidR="005C018F" w:rsidRDefault="005C018F" w:rsidP="00EB46B7">
      <w:pPr>
        <w:rPr>
          <w:sz w:val="20"/>
          <w:szCs w:val="20"/>
          <w:lang w:eastAsia="en-GB"/>
        </w:rPr>
      </w:pPr>
    </w:p>
    <w:p w14:paraId="683A3AB6" w14:textId="77777777" w:rsidR="005C018F" w:rsidRDefault="005C018F" w:rsidP="00EB46B7">
      <w:pPr>
        <w:rPr>
          <w:sz w:val="20"/>
          <w:szCs w:val="20"/>
          <w:lang w:eastAsia="en-GB"/>
        </w:rPr>
      </w:pPr>
    </w:p>
    <w:p w14:paraId="1CEB3601" w14:textId="77777777" w:rsidR="005C018F" w:rsidRDefault="005C018F" w:rsidP="00EB46B7">
      <w:pPr>
        <w:rPr>
          <w:sz w:val="20"/>
          <w:szCs w:val="20"/>
          <w:lang w:eastAsia="en-GB"/>
        </w:rPr>
      </w:pPr>
    </w:p>
    <w:p w14:paraId="77DD7650" w14:textId="77777777" w:rsidR="001B6AC1" w:rsidRDefault="001B6AC1" w:rsidP="00EB46B7">
      <w:pPr>
        <w:rPr>
          <w:sz w:val="20"/>
          <w:szCs w:val="20"/>
          <w:lang w:eastAsia="en-GB"/>
        </w:rPr>
      </w:pPr>
    </w:p>
    <w:p w14:paraId="0610D367" w14:textId="77777777" w:rsidR="001B6AC1" w:rsidRDefault="001B6AC1" w:rsidP="00EB46B7">
      <w:pPr>
        <w:rPr>
          <w:sz w:val="20"/>
          <w:szCs w:val="20"/>
          <w:lang w:eastAsia="en-GB"/>
        </w:rPr>
      </w:pPr>
    </w:p>
    <w:p w14:paraId="4E8ABF1A" w14:textId="77777777" w:rsidR="001B6AC1" w:rsidRDefault="001B6AC1" w:rsidP="00EB46B7">
      <w:pPr>
        <w:rPr>
          <w:sz w:val="20"/>
          <w:szCs w:val="20"/>
          <w:lang w:eastAsia="en-GB"/>
        </w:rPr>
      </w:pPr>
    </w:p>
    <w:p w14:paraId="3BD23A7D" w14:textId="77777777" w:rsidR="001B6AC1" w:rsidRDefault="001B6AC1" w:rsidP="00EB46B7">
      <w:pPr>
        <w:rPr>
          <w:sz w:val="20"/>
          <w:szCs w:val="20"/>
          <w:lang w:eastAsia="en-GB"/>
        </w:rPr>
      </w:pPr>
    </w:p>
    <w:p w14:paraId="0B1A926C" w14:textId="77777777" w:rsidR="001B6AC1" w:rsidRDefault="001B6AC1" w:rsidP="00EB46B7">
      <w:pPr>
        <w:rPr>
          <w:sz w:val="20"/>
          <w:szCs w:val="20"/>
          <w:lang w:eastAsia="en-GB"/>
        </w:rPr>
      </w:pPr>
    </w:p>
    <w:p w14:paraId="06838EB2" w14:textId="77777777" w:rsidR="005C018F" w:rsidRDefault="005C018F" w:rsidP="00EB46B7">
      <w:pPr>
        <w:rPr>
          <w:sz w:val="20"/>
          <w:szCs w:val="20"/>
          <w:lang w:eastAsia="en-GB"/>
        </w:rPr>
      </w:pPr>
    </w:p>
    <w:p w14:paraId="0005FD56" w14:textId="77777777" w:rsidR="005C018F" w:rsidRDefault="005C018F" w:rsidP="00EB46B7">
      <w:pPr>
        <w:rPr>
          <w:sz w:val="20"/>
          <w:szCs w:val="20"/>
          <w:lang w:eastAsia="en-GB"/>
        </w:rPr>
      </w:pPr>
    </w:p>
    <w:p w14:paraId="00D48857" w14:textId="77777777" w:rsidR="005C018F" w:rsidRDefault="005C018F" w:rsidP="00EB46B7">
      <w:pPr>
        <w:rPr>
          <w:sz w:val="20"/>
          <w:szCs w:val="20"/>
          <w:lang w:eastAsia="en-GB"/>
        </w:rPr>
      </w:pPr>
    </w:p>
    <w:p w14:paraId="747F18A4" w14:textId="77777777" w:rsidR="005C018F" w:rsidRDefault="005C018F" w:rsidP="00EB46B7">
      <w:pPr>
        <w:rPr>
          <w:sz w:val="20"/>
          <w:szCs w:val="20"/>
          <w:lang w:eastAsia="en-GB"/>
        </w:rPr>
      </w:pPr>
    </w:p>
    <w:p w14:paraId="446E3E05" w14:textId="77777777" w:rsidR="00A118ED" w:rsidRDefault="00A118ED" w:rsidP="00EB46B7">
      <w:pPr>
        <w:rPr>
          <w:sz w:val="20"/>
          <w:szCs w:val="20"/>
          <w:lang w:eastAsia="en-GB"/>
        </w:rPr>
      </w:pPr>
    </w:p>
    <w:p w14:paraId="544E1AA2" w14:textId="77777777" w:rsidR="00A118ED" w:rsidRDefault="00A118ED" w:rsidP="00EB46B7">
      <w:pPr>
        <w:rPr>
          <w:sz w:val="20"/>
          <w:szCs w:val="20"/>
          <w:lang w:eastAsia="en-GB"/>
        </w:rPr>
      </w:pPr>
    </w:p>
    <w:p w14:paraId="02D89044" w14:textId="77777777" w:rsidR="00EB46B7" w:rsidRPr="00A06955" w:rsidRDefault="00484AF1" w:rsidP="00EB46B7">
      <w:pPr>
        <w:rPr>
          <w:b/>
          <w:lang w:eastAsia="en-GB"/>
        </w:rPr>
      </w:pPr>
      <w:r w:rsidRPr="00A06955">
        <w:rPr>
          <w:b/>
          <w:lang w:eastAsia="en-GB"/>
        </w:rPr>
        <w:t>Number of Employees – 2014/15</w:t>
      </w:r>
    </w:p>
    <w:tbl>
      <w:tblPr>
        <w:tblW w:w="105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70"/>
        <w:gridCol w:w="1359"/>
        <w:gridCol w:w="1274"/>
        <w:gridCol w:w="1605"/>
        <w:gridCol w:w="1720"/>
        <w:gridCol w:w="756"/>
        <w:gridCol w:w="1728"/>
      </w:tblGrid>
      <w:tr w:rsidR="003B34F6" w:rsidRPr="003C0F16" w14:paraId="1EFFEB29" w14:textId="77777777" w:rsidTr="000944CD">
        <w:trPr>
          <w:trHeight w:val="369"/>
          <w:tblHeader/>
        </w:trPr>
        <w:tc>
          <w:tcPr>
            <w:tcW w:w="2070" w:type="dxa"/>
            <w:shd w:val="clear" w:color="auto" w:fill="D0CECE"/>
            <w:vAlign w:val="center"/>
          </w:tcPr>
          <w:p w14:paraId="4923329B" w14:textId="77777777" w:rsidR="003B34F6" w:rsidRPr="00A06955" w:rsidRDefault="003B34F6">
            <w:pPr>
              <w:jc w:val="center"/>
              <w:rPr>
                <w:b/>
                <w:color w:val="auto"/>
                <w:sz w:val="20"/>
                <w:szCs w:val="20"/>
                <w:vertAlign w:val="superscript"/>
              </w:rPr>
            </w:pPr>
            <w:r w:rsidRPr="00A06955">
              <w:rPr>
                <w:b/>
                <w:color w:val="auto"/>
                <w:sz w:val="20"/>
                <w:szCs w:val="20"/>
              </w:rPr>
              <w:t>Remuneration Band (£)</w:t>
            </w:r>
            <w:r w:rsidRPr="00A06955">
              <w:rPr>
                <w:b/>
                <w:color w:val="auto"/>
                <w:sz w:val="20"/>
                <w:szCs w:val="20"/>
                <w:vertAlign w:val="superscript"/>
              </w:rPr>
              <w:t>1</w:t>
            </w:r>
          </w:p>
        </w:tc>
        <w:tc>
          <w:tcPr>
            <w:tcW w:w="1359" w:type="dxa"/>
            <w:shd w:val="clear" w:color="auto" w:fill="D0CECE"/>
            <w:vAlign w:val="center"/>
          </w:tcPr>
          <w:p w14:paraId="66593D19" w14:textId="362682EB" w:rsidR="003B34F6" w:rsidRPr="00A06955" w:rsidRDefault="003B34F6" w:rsidP="00100CD3">
            <w:pPr>
              <w:jc w:val="center"/>
              <w:rPr>
                <w:b/>
                <w:color w:val="auto"/>
                <w:sz w:val="20"/>
                <w:szCs w:val="20"/>
              </w:rPr>
            </w:pPr>
            <w:r w:rsidRPr="00A06955">
              <w:rPr>
                <w:b/>
                <w:color w:val="auto"/>
                <w:sz w:val="20"/>
                <w:szCs w:val="20"/>
              </w:rPr>
              <w:t>LCC Non-Teaching Staff</w:t>
            </w:r>
          </w:p>
        </w:tc>
        <w:tc>
          <w:tcPr>
            <w:tcW w:w="1274" w:type="dxa"/>
            <w:shd w:val="clear" w:color="auto" w:fill="D0CECE"/>
            <w:vAlign w:val="center"/>
          </w:tcPr>
          <w:p w14:paraId="0889E24B" w14:textId="0C2500DD" w:rsidR="003B34F6" w:rsidRPr="00100CD3" w:rsidRDefault="003B34F6" w:rsidP="00100CD3">
            <w:pPr>
              <w:jc w:val="center"/>
              <w:rPr>
                <w:b/>
                <w:color w:val="auto"/>
                <w:sz w:val="20"/>
                <w:szCs w:val="20"/>
                <w:vertAlign w:val="superscript"/>
              </w:rPr>
            </w:pPr>
            <w:r w:rsidRPr="00A06955">
              <w:rPr>
                <w:b/>
                <w:color w:val="auto"/>
                <w:sz w:val="20"/>
                <w:szCs w:val="20"/>
              </w:rPr>
              <w:t>Seconded Staff</w:t>
            </w:r>
            <w:r w:rsidR="00100CD3">
              <w:rPr>
                <w:b/>
                <w:color w:val="auto"/>
                <w:sz w:val="20"/>
                <w:szCs w:val="20"/>
                <w:vertAlign w:val="superscript"/>
              </w:rPr>
              <w:t>2</w:t>
            </w:r>
          </w:p>
        </w:tc>
        <w:tc>
          <w:tcPr>
            <w:tcW w:w="1605" w:type="dxa"/>
            <w:shd w:val="clear" w:color="auto" w:fill="D0CECE"/>
            <w:vAlign w:val="center"/>
          </w:tcPr>
          <w:p w14:paraId="2CBB148A" w14:textId="6B0A9FFB" w:rsidR="003B34F6" w:rsidRPr="00A06955" w:rsidRDefault="003B34F6">
            <w:pPr>
              <w:jc w:val="center"/>
              <w:rPr>
                <w:b/>
                <w:color w:val="auto"/>
                <w:sz w:val="20"/>
                <w:szCs w:val="20"/>
              </w:rPr>
            </w:pPr>
            <w:r w:rsidRPr="00A06955">
              <w:rPr>
                <w:b/>
                <w:color w:val="auto"/>
                <w:sz w:val="20"/>
                <w:szCs w:val="20"/>
              </w:rPr>
              <w:t>Schools</w:t>
            </w:r>
          </w:p>
        </w:tc>
        <w:tc>
          <w:tcPr>
            <w:tcW w:w="1720" w:type="dxa"/>
            <w:shd w:val="clear" w:color="auto" w:fill="D0CECE"/>
            <w:vAlign w:val="center"/>
          </w:tcPr>
          <w:p w14:paraId="08BD03C8" w14:textId="242C5D22" w:rsidR="003B34F6" w:rsidRPr="00100CD3" w:rsidRDefault="003B34F6" w:rsidP="00100CD3">
            <w:pPr>
              <w:jc w:val="center"/>
              <w:rPr>
                <w:b/>
                <w:color w:val="auto"/>
                <w:sz w:val="20"/>
                <w:szCs w:val="20"/>
                <w:vertAlign w:val="superscript"/>
              </w:rPr>
            </w:pPr>
            <w:r w:rsidRPr="00A06955">
              <w:rPr>
                <w:b/>
                <w:color w:val="auto"/>
                <w:sz w:val="20"/>
                <w:szCs w:val="20"/>
              </w:rPr>
              <w:t>LCC Network Staff</w:t>
            </w:r>
            <w:r w:rsidR="00100CD3">
              <w:rPr>
                <w:b/>
                <w:color w:val="auto"/>
                <w:sz w:val="20"/>
                <w:szCs w:val="20"/>
                <w:vertAlign w:val="superscript"/>
              </w:rPr>
              <w:t>3</w:t>
            </w:r>
          </w:p>
        </w:tc>
        <w:tc>
          <w:tcPr>
            <w:tcW w:w="756" w:type="dxa"/>
            <w:shd w:val="clear" w:color="auto" w:fill="D0CECE"/>
            <w:vAlign w:val="center"/>
          </w:tcPr>
          <w:p w14:paraId="241CA283" w14:textId="77777777" w:rsidR="003B34F6" w:rsidRPr="00A06955" w:rsidRDefault="003B34F6">
            <w:pPr>
              <w:jc w:val="center"/>
              <w:rPr>
                <w:b/>
                <w:color w:val="auto"/>
                <w:sz w:val="20"/>
                <w:szCs w:val="20"/>
              </w:rPr>
            </w:pPr>
            <w:r w:rsidRPr="00A06955">
              <w:rPr>
                <w:b/>
                <w:color w:val="auto"/>
                <w:sz w:val="20"/>
                <w:szCs w:val="20"/>
              </w:rPr>
              <w:t>Total</w:t>
            </w:r>
          </w:p>
        </w:tc>
        <w:tc>
          <w:tcPr>
            <w:tcW w:w="1728" w:type="dxa"/>
            <w:shd w:val="clear" w:color="auto" w:fill="D0CECE"/>
            <w:vAlign w:val="center"/>
          </w:tcPr>
          <w:p w14:paraId="7993325C" w14:textId="1FB0ACC7" w:rsidR="003B34F6" w:rsidRPr="00100CD3" w:rsidRDefault="003B34F6" w:rsidP="00100CD3">
            <w:pPr>
              <w:jc w:val="center"/>
              <w:rPr>
                <w:b/>
                <w:color w:val="auto"/>
                <w:sz w:val="20"/>
                <w:szCs w:val="20"/>
                <w:vertAlign w:val="superscript"/>
              </w:rPr>
            </w:pPr>
            <w:r w:rsidRPr="00A06955">
              <w:rPr>
                <w:b/>
                <w:color w:val="auto"/>
                <w:sz w:val="20"/>
                <w:szCs w:val="20"/>
              </w:rPr>
              <w:t>Redundancies</w:t>
            </w:r>
            <w:r w:rsidR="00100CD3">
              <w:rPr>
                <w:b/>
                <w:color w:val="auto"/>
                <w:sz w:val="20"/>
                <w:szCs w:val="20"/>
                <w:vertAlign w:val="superscript"/>
              </w:rPr>
              <w:t>4</w:t>
            </w:r>
          </w:p>
        </w:tc>
      </w:tr>
      <w:tr w:rsidR="003B34F6" w:rsidRPr="003C0F16" w14:paraId="7379C6E9" w14:textId="77777777" w:rsidTr="000944CD">
        <w:trPr>
          <w:trHeight w:val="369"/>
        </w:trPr>
        <w:tc>
          <w:tcPr>
            <w:tcW w:w="2070" w:type="dxa"/>
            <w:shd w:val="clear" w:color="auto" w:fill="auto"/>
            <w:vAlign w:val="center"/>
          </w:tcPr>
          <w:p w14:paraId="5AED418F" w14:textId="5C7A783F" w:rsidR="003B34F6" w:rsidRPr="00A06955" w:rsidRDefault="003B34F6" w:rsidP="00A06955">
            <w:pPr>
              <w:jc w:val="right"/>
              <w:rPr>
                <w:color w:val="auto"/>
                <w:sz w:val="20"/>
                <w:szCs w:val="20"/>
                <w:vertAlign w:val="superscript"/>
              </w:rPr>
            </w:pPr>
            <w:r w:rsidRPr="00A06955">
              <w:rPr>
                <w:color w:val="auto"/>
                <w:sz w:val="20"/>
                <w:szCs w:val="20"/>
              </w:rPr>
              <w:t>50,000–54,999</w:t>
            </w:r>
          </w:p>
        </w:tc>
        <w:tc>
          <w:tcPr>
            <w:tcW w:w="1359" w:type="dxa"/>
            <w:shd w:val="clear" w:color="auto" w:fill="auto"/>
            <w:vAlign w:val="center"/>
          </w:tcPr>
          <w:p w14:paraId="5AF8F798" w14:textId="6163FD40" w:rsidR="003B34F6" w:rsidRPr="00A06955" w:rsidRDefault="003B34F6" w:rsidP="00A06955">
            <w:pPr>
              <w:tabs>
                <w:tab w:val="decimal" w:pos="217"/>
              </w:tabs>
              <w:jc w:val="center"/>
              <w:rPr>
                <w:color w:val="auto"/>
                <w:sz w:val="20"/>
                <w:szCs w:val="20"/>
              </w:rPr>
            </w:pPr>
            <w:r w:rsidRPr="00A06955">
              <w:rPr>
                <w:color w:val="auto"/>
                <w:sz w:val="20"/>
                <w:szCs w:val="20"/>
              </w:rPr>
              <w:t>79</w:t>
            </w:r>
          </w:p>
        </w:tc>
        <w:tc>
          <w:tcPr>
            <w:tcW w:w="1274" w:type="dxa"/>
            <w:shd w:val="clear" w:color="auto" w:fill="auto"/>
            <w:vAlign w:val="center"/>
          </w:tcPr>
          <w:p w14:paraId="1C3F6A99" w14:textId="53F75D76" w:rsidR="003B34F6" w:rsidRPr="00A06955" w:rsidRDefault="003B34F6" w:rsidP="00A06955">
            <w:pPr>
              <w:jc w:val="center"/>
              <w:rPr>
                <w:color w:val="auto"/>
                <w:sz w:val="20"/>
                <w:szCs w:val="20"/>
              </w:rPr>
            </w:pPr>
            <w:r w:rsidRPr="00A06955">
              <w:rPr>
                <w:color w:val="auto"/>
                <w:sz w:val="20"/>
                <w:szCs w:val="20"/>
              </w:rPr>
              <w:t>8</w:t>
            </w:r>
          </w:p>
        </w:tc>
        <w:tc>
          <w:tcPr>
            <w:tcW w:w="1605" w:type="dxa"/>
            <w:shd w:val="clear" w:color="auto" w:fill="auto"/>
            <w:vAlign w:val="center"/>
          </w:tcPr>
          <w:p w14:paraId="47E92408" w14:textId="53C95035" w:rsidR="003B34F6" w:rsidRPr="00A06955" w:rsidRDefault="003B34F6" w:rsidP="00A06955">
            <w:pPr>
              <w:tabs>
                <w:tab w:val="decimal" w:pos="300"/>
              </w:tabs>
              <w:jc w:val="center"/>
              <w:rPr>
                <w:color w:val="auto"/>
                <w:sz w:val="20"/>
                <w:szCs w:val="20"/>
              </w:rPr>
            </w:pPr>
            <w:r>
              <w:rPr>
                <w:color w:val="auto"/>
                <w:sz w:val="20"/>
                <w:szCs w:val="20"/>
              </w:rPr>
              <w:t>294</w:t>
            </w:r>
          </w:p>
        </w:tc>
        <w:tc>
          <w:tcPr>
            <w:tcW w:w="1720" w:type="dxa"/>
            <w:shd w:val="clear" w:color="auto" w:fill="auto"/>
            <w:vAlign w:val="center"/>
          </w:tcPr>
          <w:p w14:paraId="255BB588"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7656B38B" w14:textId="77777777" w:rsidR="003B34F6" w:rsidRPr="00A06955" w:rsidRDefault="003B34F6" w:rsidP="00A06955">
            <w:pPr>
              <w:tabs>
                <w:tab w:val="decimal" w:pos="376"/>
              </w:tabs>
              <w:jc w:val="center"/>
              <w:rPr>
                <w:color w:val="auto"/>
                <w:sz w:val="20"/>
                <w:szCs w:val="20"/>
                <w:highlight w:val="cyan"/>
              </w:rPr>
            </w:pPr>
            <w:r w:rsidRPr="00A06955">
              <w:rPr>
                <w:color w:val="auto"/>
                <w:sz w:val="20"/>
                <w:szCs w:val="20"/>
              </w:rPr>
              <w:t>381</w:t>
            </w:r>
          </w:p>
        </w:tc>
        <w:tc>
          <w:tcPr>
            <w:tcW w:w="1728" w:type="dxa"/>
            <w:shd w:val="clear" w:color="auto" w:fill="auto"/>
            <w:vAlign w:val="center"/>
          </w:tcPr>
          <w:p w14:paraId="7732D09B" w14:textId="6D16E103" w:rsidR="003B34F6" w:rsidRPr="00A06955" w:rsidRDefault="003B34F6" w:rsidP="00A06955">
            <w:pPr>
              <w:jc w:val="center"/>
              <w:rPr>
                <w:color w:val="auto"/>
                <w:sz w:val="20"/>
                <w:szCs w:val="20"/>
              </w:rPr>
            </w:pPr>
            <w:r w:rsidRPr="00A06955">
              <w:rPr>
                <w:color w:val="auto"/>
                <w:sz w:val="20"/>
                <w:szCs w:val="20"/>
              </w:rPr>
              <w:t>13</w:t>
            </w:r>
          </w:p>
        </w:tc>
      </w:tr>
      <w:tr w:rsidR="003B34F6" w:rsidRPr="003C0F16" w14:paraId="000E878B" w14:textId="77777777" w:rsidTr="000944CD">
        <w:trPr>
          <w:trHeight w:val="369"/>
        </w:trPr>
        <w:tc>
          <w:tcPr>
            <w:tcW w:w="2070" w:type="dxa"/>
            <w:shd w:val="clear" w:color="auto" w:fill="auto"/>
            <w:vAlign w:val="center"/>
          </w:tcPr>
          <w:p w14:paraId="21D0DB8C" w14:textId="5329F827" w:rsidR="003B34F6" w:rsidRPr="00A06955" w:rsidRDefault="003B34F6" w:rsidP="00A06955">
            <w:pPr>
              <w:jc w:val="right"/>
              <w:rPr>
                <w:color w:val="auto"/>
                <w:sz w:val="20"/>
                <w:szCs w:val="20"/>
                <w:vertAlign w:val="superscript"/>
              </w:rPr>
            </w:pPr>
            <w:r w:rsidRPr="00A06955">
              <w:rPr>
                <w:color w:val="auto"/>
                <w:sz w:val="20"/>
                <w:szCs w:val="20"/>
              </w:rPr>
              <w:t>55,000–59,999</w:t>
            </w:r>
          </w:p>
        </w:tc>
        <w:tc>
          <w:tcPr>
            <w:tcW w:w="1359" w:type="dxa"/>
            <w:shd w:val="clear" w:color="auto" w:fill="auto"/>
            <w:vAlign w:val="center"/>
          </w:tcPr>
          <w:p w14:paraId="648349EC" w14:textId="0C21E2F6" w:rsidR="003B34F6" w:rsidRPr="00A06955" w:rsidRDefault="003B34F6" w:rsidP="00A06955">
            <w:pPr>
              <w:tabs>
                <w:tab w:val="decimal" w:pos="217"/>
                <w:tab w:val="decimal" w:pos="742"/>
              </w:tabs>
              <w:jc w:val="center"/>
              <w:rPr>
                <w:color w:val="auto"/>
                <w:sz w:val="20"/>
                <w:szCs w:val="20"/>
              </w:rPr>
            </w:pPr>
            <w:r w:rsidRPr="00A06955">
              <w:rPr>
                <w:color w:val="auto"/>
                <w:sz w:val="20"/>
                <w:szCs w:val="20"/>
              </w:rPr>
              <w:t>50</w:t>
            </w:r>
          </w:p>
        </w:tc>
        <w:tc>
          <w:tcPr>
            <w:tcW w:w="1274" w:type="dxa"/>
            <w:shd w:val="clear" w:color="auto" w:fill="auto"/>
            <w:vAlign w:val="center"/>
          </w:tcPr>
          <w:p w14:paraId="1BB7C831" w14:textId="0B0CB556" w:rsidR="003B34F6" w:rsidRPr="00A06955" w:rsidRDefault="003B34F6" w:rsidP="00A06955">
            <w:pPr>
              <w:jc w:val="center"/>
              <w:rPr>
                <w:color w:val="auto"/>
                <w:sz w:val="20"/>
                <w:szCs w:val="20"/>
              </w:rPr>
            </w:pPr>
            <w:r w:rsidRPr="00A06955">
              <w:rPr>
                <w:color w:val="auto"/>
                <w:sz w:val="20"/>
                <w:szCs w:val="20"/>
              </w:rPr>
              <w:t>7</w:t>
            </w:r>
          </w:p>
        </w:tc>
        <w:tc>
          <w:tcPr>
            <w:tcW w:w="1605" w:type="dxa"/>
            <w:shd w:val="clear" w:color="auto" w:fill="auto"/>
            <w:vAlign w:val="center"/>
          </w:tcPr>
          <w:p w14:paraId="7487B107" w14:textId="0195600A" w:rsidR="003B34F6" w:rsidRPr="00A06955" w:rsidRDefault="003B34F6" w:rsidP="00A06955">
            <w:pPr>
              <w:tabs>
                <w:tab w:val="decimal" w:pos="300"/>
              </w:tabs>
              <w:jc w:val="center"/>
              <w:rPr>
                <w:color w:val="auto"/>
                <w:sz w:val="20"/>
                <w:szCs w:val="20"/>
              </w:rPr>
            </w:pPr>
            <w:r>
              <w:rPr>
                <w:color w:val="auto"/>
                <w:sz w:val="20"/>
                <w:szCs w:val="20"/>
              </w:rPr>
              <w:t>238</w:t>
            </w:r>
          </w:p>
        </w:tc>
        <w:tc>
          <w:tcPr>
            <w:tcW w:w="1720" w:type="dxa"/>
            <w:shd w:val="clear" w:color="auto" w:fill="auto"/>
            <w:vAlign w:val="center"/>
          </w:tcPr>
          <w:p w14:paraId="5576CDE7"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4BEB3A8B" w14:textId="77777777" w:rsidR="003B34F6" w:rsidRPr="00A06955" w:rsidRDefault="003B34F6" w:rsidP="00A06955">
            <w:pPr>
              <w:tabs>
                <w:tab w:val="decimal" w:pos="376"/>
              </w:tabs>
              <w:jc w:val="center"/>
              <w:rPr>
                <w:color w:val="auto"/>
                <w:sz w:val="20"/>
                <w:szCs w:val="20"/>
              </w:rPr>
            </w:pPr>
            <w:r w:rsidRPr="00A06955">
              <w:rPr>
                <w:color w:val="auto"/>
                <w:sz w:val="20"/>
                <w:szCs w:val="20"/>
              </w:rPr>
              <w:t>295</w:t>
            </w:r>
          </w:p>
        </w:tc>
        <w:tc>
          <w:tcPr>
            <w:tcW w:w="1728" w:type="dxa"/>
            <w:shd w:val="clear" w:color="auto" w:fill="auto"/>
            <w:vAlign w:val="center"/>
          </w:tcPr>
          <w:p w14:paraId="1A31B58C" w14:textId="5A921129" w:rsidR="003B34F6" w:rsidRPr="00A06955" w:rsidRDefault="003B34F6" w:rsidP="00A06955">
            <w:pPr>
              <w:jc w:val="center"/>
              <w:rPr>
                <w:color w:val="auto"/>
                <w:sz w:val="20"/>
                <w:szCs w:val="20"/>
              </w:rPr>
            </w:pPr>
            <w:r w:rsidRPr="00A06955">
              <w:rPr>
                <w:color w:val="auto"/>
                <w:sz w:val="20"/>
                <w:szCs w:val="20"/>
              </w:rPr>
              <w:t>12</w:t>
            </w:r>
          </w:p>
        </w:tc>
      </w:tr>
      <w:tr w:rsidR="003B34F6" w:rsidRPr="003C0F16" w14:paraId="23545DDA" w14:textId="77777777" w:rsidTr="000944CD">
        <w:trPr>
          <w:trHeight w:val="369"/>
        </w:trPr>
        <w:tc>
          <w:tcPr>
            <w:tcW w:w="2070" w:type="dxa"/>
            <w:shd w:val="clear" w:color="auto" w:fill="auto"/>
            <w:vAlign w:val="center"/>
          </w:tcPr>
          <w:p w14:paraId="48727E24" w14:textId="655E842A" w:rsidR="003B34F6" w:rsidRPr="00A06955" w:rsidRDefault="003B34F6" w:rsidP="00A06955">
            <w:pPr>
              <w:jc w:val="right"/>
              <w:rPr>
                <w:color w:val="auto"/>
                <w:sz w:val="20"/>
                <w:szCs w:val="20"/>
              </w:rPr>
            </w:pPr>
            <w:r w:rsidRPr="00A06955">
              <w:rPr>
                <w:color w:val="auto"/>
                <w:sz w:val="20"/>
                <w:szCs w:val="20"/>
              </w:rPr>
              <w:t>60,000–64,999</w:t>
            </w:r>
          </w:p>
        </w:tc>
        <w:tc>
          <w:tcPr>
            <w:tcW w:w="1359" w:type="dxa"/>
            <w:shd w:val="clear" w:color="auto" w:fill="auto"/>
            <w:vAlign w:val="center"/>
          </w:tcPr>
          <w:p w14:paraId="6B5E1015" w14:textId="76012216" w:rsidR="003B34F6" w:rsidRPr="00A06955" w:rsidRDefault="003B34F6" w:rsidP="00A06955">
            <w:pPr>
              <w:tabs>
                <w:tab w:val="decimal" w:pos="643"/>
                <w:tab w:val="decimal" w:pos="742"/>
              </w:tabs>
              <w:jc w:val="center"/>
              <w:rPr>
                <w:color w:val="auto"/>
                <w:sz w:val="20"/>
                <w:szCs w:val="20"/>
              </w:rPr>
            </w:pPr>
            <w:r w:rsidRPr="00A06955">
              <w:rPr>
                <w:color w:val="auto"/>
                <w:sz w:val="20"/>
                <w:szCs w:val="20"/>
              </w:rPr>
              <w:t>51</w:t>
            </w:r>
          </w:p>
        </w:tc>
        <w:tc>
          <w:tcPr>
            <w:tcW w:w="1274" w:type="dxa"/>
            <w:shd w:val="clear" w:color="auto" w:fill="auto"/>
            <w:vAlign w:val="center"/>
          </w:tcPr>
          <w:p w14:paraId="129BD76A" w14:textId="2485963D" w:rsidR="003B34F6" w:rsidRPr="00A06955" w:rsidRDefault="003B34F6" w:rsidP="00A06955">
            <w:pPr>
              <w:jc w:val="center"/>
              <w:rPr>
                <w:color w:val="auto"/>
                <w:sz w:val="20"/>
                <w:szCs w:val="20"/>
              </w:rPr>
            </w:pPr>
            <w:r w:rsidRPr="00A06955">
              <w:rPr>
                <w:color w:val="auto"/>
                <w:sz w:val="20"/>
                <w:szCs w:val="20"/>
              </w:rPr>
              <w:t>4</w:t>
            </w:r>
          </w:p>
        </w:tc>
        <w:tc>
          <w:tcPr>
            <w:tcW w:w="1605" w:type="dxa"/>
            <w:shd w:val="clear" w:color="auto" w:fill="auto"/>
            <w:vAlign w:val="center"/>
          </w:tcPr>
          <w:p w14:paraId="7FA3B2A1" w14:textId="33E15989" w:rsidR="003B34F6" w:rsidRPr="00A06955" w:rsidRDefault="003B34F6" w:rsidP="00A06955">
            <w:pPr>
              <w:tabs>
                <w:tab w:val="decimal" w:pos="300"/>
              </w:tabs>
              <w:jc w:val="center"/>
              <w:rPr>
                <w:color w:val="auto"/>
                <w:sz w:val="20"/>
                <w:szCs w:val="20"/>
              </w:rPr>
            </w:pPr>
            <w:r>
              <w:rPr>
                <w:color w:val="auto"/>
                <w:sz w:val="20"/>
                <w:szCs w:val="20"/>
              </w:rPr>
              <w:t>122</w:t>
            </w:r>
          </w:p>
        </w:tc>
        <w:tc>
          <w:tcPr>
            <w:tcW w:w="1720" w:type="dxa"/>
            <w:shd w:val="clear" w:color="auto" w:fill="auto"/>
            <w:vAlign w:val="center"/>
          </w:tcPr>
          <w:p w14:paraId="2EE774FC"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3DF19E3E" w14:textId="77777777" w:rsidR="003B34F6" w:rsidRPr="00A06955" w:rsidRDefault="003B34F6" w:rsidP="00A06955">
            <w:pPr>
              <w:tabs>
                <w:tab w:val="decimal" w:pos="376"/>
              </w:tabs>
              <w:jc w:val="center"/>
              <w:rPr>
                <w:color w:val="auto"/>
                <w:sz w:val="20"/>
                <w:szCs w:val="20"/>
              </w:rPr>
            </w:pPr>
            <w:r w:rsidRPr="00A06955">
              <w:rPr>
                <w:color w:val="auto"/>
                <w:sz w:val="20"/>
                <w:szCs w:val="20"/>
              </w:rPr>
              <w:t>177</w:t>
            </w:r>
          </w:p>
        </w:tc>
        <w:tc>
          <w:tcPr>
            <w:tcW w:w="1728" w:type="dxa"/>
            <w:shd w:val="clear" w:color="auto" w:fill="auto"/>
            <w:vAlign w:val="center"/>
          </w:tcPr>
          <w:p w14:paraId="79509440" w14:textId="67349929" w:rsidR="003B34F6" w:rsidRPr="00A06955" w:rsidRDefault="003B34F6" w:rsidP="00A06955">
            <w:pPr>
              <w:jc w:val="center"/>
              <w:rPr>
                <w:color w:val="auto"/>
                <w:sz w:val="20"/>
                <w:szCs w:val="20"/>
              </w:rPr>
            </w:pPr>
            <w:r w:rsidRPr="00A06955">
              <w:rPr>
                <w:color w:val="auto"/>
                <w:sz w:val="20"/>
                <w:szCs w:val="20"/>
              </w:rPr>
              <w:t>16</w:t>
            </w:r>
          </w:p>
        </w:tc>
      </w:tr>
      <w:tr w:rsidR="003B34F6" w:rsidRPr="003C0F16" w14:paraId="5C2CE517" w14:textId="77777777" w:rsidTr="000944CD">
        <w:trPr>
          <w:trHeight w:val="369"/>
        </w:trPr>
        <w:tc>
          <w:tcPr>
            <w:tcW w:w="2070" w:type="dxa"/>
            <w:shd w:val="clear" w:color="auto" w:fill="auto"/>
            <w:vAlign w:val="center"/>
          </w:tcPr>
          <w:p w14:paraId="76A13EBF" w14:textId="49548A54" w:rsidR="003B34F6" w:rsidRPr="00A06955" w:rsidRDefault="003B34F6" w:rsidP="00A06955">
            <w:pPr>
              <w:jc w:val="right"/>
              <w:rPr>
                <w:color w:val="auto"/>
                <w:sz w:val="20"/>
                <w:szCs w:val="20"/>
              </w:rPr>
            </w:pPr>
            <w:r w:rsidRPr="00A06955">
              <w:rPr>
                <w:color w:val="auto"/>
                <w:sz w:val="20"/>
                <w:szCs w:val="20"/>
              </w:rPr>
              <w:t>65,000–69,999</w:t>
            </w:r>
          </w:p>
        </w:tc>
        <w:tc>
          <w:tcPr>
            <w:tcW w:w="1359" w:type="dxa"/>
            <w:shd w:val="clear" w:color="auto" w:fill="auto"/>
            <w:vAlign w:val="center"/>
          </w:tcPr>
          <w:p w14:paraId="22F11B53" w14:textId="4B4B8CF6" w:rsidR="003B34F6" w:rsidRPr="00A06955" w:rsidRDefault="003B34F6" w:rsidP="00A06955">
            <w:pPr>
              <w:tabs>
                <w:tab w:val="decimal" w:pos="643"/>
                <w:tab w:val="decimal" w:pos="742"/>
              </w:tabs>
              <w:jc w:val="center"/>
              <w:rPr>
                <w:color w:val="auto"/>
                <w:sz w:val="20"/>
                <w:szCs w:val="20"/>
              </w:rPr>
            </w:pPr>
            <w:r w:rsidRPr="00A06955">
              <w:rPr>
                <w:color w:val="auto"/>
                <w:sz w:val="20"/>
                <w:szCs w:val="20"/>
              </w:rPr>
              <w:t>30</w:t>
            </w:r>
          </w:p>
        </w:tc>
        <w:tc>
          <w:tcPr>
            <w:tcW w:w="1274" w:type="dxa"/>
            <w:shd w:val="clear" w:color="auto" w:fill="auto"/>
            <w:vAlign w:val="center"/>
          </w:tcPr>
          <w:p w14:paraId="16B21566" w14:textId="2C6B880B" w:rsidR="003B34F6" w:rsidRPr="00A06955" w:rsidRDefault="003B34F6" w:rsidP="00A06955">
            <w:pPr>
              <w:jc w:val="center"/>
              <w:rPr>
                <w:color w:val="auto"/>
                <w:sz w:val="20"/>
                <w:szCs w:val="20"/>
              </w:rPr>
            </w:pPr>
            <w:r w:rsidRPr="00A06955">
              <w:rPr>
                <w:color w:val="auto"/>
                <w:sz w:val="20"/>
                <w:szCs w:val="20"/>
              </w:rPr>
              <w:t>1</w:t>
            </w:r>
          </w:p>
        </w:tc>
        <w:tc>
          <w:tcPr>
            <w:tcW w:w="1605" w:type="dxa"/>
            <w:shd w:val="clear" w:color="auto" w:fill="auto"/>
            <w:vAlign w:val="center"/>
          </w:tcPr>
          <w:p w14:paraId="48EBA027" w14:textId="344EDD32" w:rsidR="003B34F6" w:rsidRPr="00A06955" w:rsidRDefault="003B34F6" w:rsidP="00A06955">
            <w:pPr>
              <w:tabs>
                <w:tab w:val="decimal" w:pos="300"/>
              </w:tabs>
              <w:jc w:val="center"/>
              <w:rPr>
                <w:color w:val="auto"/>
                <w:sz w:val="20"/>
                <w:szCs w:val="20"/>
              </w:rPr>
            </w:pPr>
            <w:r>
              <w:rPr>
                <w:color w:val="auto"/>
                <w:sz w:val="20"/>
                <w:szCs w:val="20"/>
              </w:rPr>
              <w:t>4</w:t>
            </w:r>
            <w:r w:rsidRPr="00A06955">
              <w:rPr>
                <w:color w:val="auto"/>
                <w:sz w:val="20"/>
                <w:szCs w:val="20"/>
              </w:rPr>
              <w:t>9</w:t>
            </w:r>
          </w:p>
        </w:tc>
        <w:tc>
          <w:tcPr>
            <w:tcW w:w="1720" w:type="dxa"/>
            <w:shd w:val="clear" w:color="auto" w:fill="auto"/>
            <w:vAlign w:val="center"/>
          </w:tcPr>
          <w:p w14:paraId="0060865B"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6797D1A3" w14:textId="77777777" w:rsidR="003B34F6" w:rsidRPr="00A06955" w:rsidRDefault="003B34F6" w:rsidP="00A06955">
            <w:pPr>
              <w:tabs>
                <w:tab w:val="decimal" w:pos="376"/>
              </w:tabs>
              <w:jc w:val="center"/>
              <w:rPr>
                <w:color w:val="auto"/>
                <w:sz w:val="20"/>
                <w:szCs w:val="20"/>
              </w:rPr>
            </w:pPr>
            <w:r w:rsidRPr="00A06955">
              <w:rPr>
                <w:color w:val="auto"/>
                <w:sz w:val="20"/>
                <w:szCs w:val="20"/>
              </w:rPr>
              <w:t>80</w:t>
            </w:r>
          </w:p>
        </w:tc>
        <w:tc>
          <w:tcPr>
            <w:tcW w:w="1728" w:type="dxa"/>
            <w:shd w:val="clear" w:color="auto" w:fill="auto"/>
            <w:vAlign w:val="center"/>
          </w:tcPr>
          <w:p w14:paraId="46523E4D" w14:textId="5088A0C7" w:rsidR="003B34F6" w:rsidRPr="00A06955" w:rsidRDefault="003B34F6" w:rsidP="00A06955">
            <w:pPr>
              <w:jc w:val="center"/>
              <w:rPr>
                <w:color w:val="auto"/>
                <w:sz w:val="20"/>
                <w:szCs w:val="20"/>
              </w:rPr>
            </w:pPr>
            <w:r w:rsidRPr="00A06955">
              <w:rPr>
                <w:color w:val="auto"/>
                <w:sz w:val="20"/>
                <w:szCs w:val="20"/>
              </w:rPr>
              <w:t>7</w:t>
            </w:r>
          </w:p>
        </w:tc>
      </w:tr>
      <w:tr w:rsidR="003B34F6" w:rsidRPr="003C0F16" w14:paraId="39358E55" w14:textId="77777777" w:rsidTr="000944CD">
        <w:trPr>
          <w:trHeight w:val="369"/>
        </w:trPr>
        <w:tc>
          <w:tcPr>
            <w:tcW w:w="2070" w:type="dxa"/>
            <w:shd w:val="clear" w:color="auto" w:fill="auto"/>
            <w:vAlign w:val="center"/>
          </w:tcPr>
          <w:p w14:paraId="415D8A62" w14:textId="49E475FD" w:rsidR="003B34F6" w:rsidRPr="00A06955" w:rsidRDefault="003B34F6" w:rsidP="00A06955">
            <w:pPr>
              <w:jc w:val="right"/>
              <w:rPr>
                <w:color w:val="auto"/>
                <w:sz w:val="20"/>
                <w:szCs w:val="20"/>
              </w:rPr>
            </w:pPr>
            <w:r w:rsidRPr="00A06955">
              <w:rPr>
                <w:color w:val="auto"/>
                <w:sz w:val="20"/>
                <w:szCs w:val="20"/>
              </w:rPr>
              <w:t>70,000–74,999</w:t>
            </w:r>
          </w:p>
        </w:tc>
        <w:tc>
          <w:tcPr>
            <w:tcW w:w="1359" w:type="dxa"/>
            <w:shd w:val="clear" w:color="auto" w:fill="auto"/>
            <w:vAlign w:val="center"/>
          </w:tcPr>
          <w:p w14:paraId="3C92A213" w14:textId="5C8F3803" w:rsidR="003B34F6" w:rsidRPr="00A06955" w:rsidRDefault="003B34F6" w:rsidP="00A06955">
            <w:pPr>
              <w:tabs>
                <w:tab w:val="decimal" w:pos="643"/>
                <w:tab w:val="decimal" w:pos="742"/>
              </w:tabs>
              <w:jc w:val="center"/>
              <w:rPr>
                <w:color w:val="auto"/>
                <w:sz w:val="20"/>
                <w:szCs w:val="20"/>
              </w:rPr>
            </w:pPr>
            <w:r w:rsidRPr="00A06955">
              <w:rPr>
                <w:color w:val="auto"/>
                <w:sz w:val="20"/>
                <w:szCs w:val="20"/>
              </w:rPr>
              <w:t>13</w:t>
            </w:r>
          </w:p>
        </w:tc>
        <w:tc>
          <w:tcPr>
            <w:tcW w:w="1274" w:type="dxa"/>
            <w:shd w:val="clear" w:color="auto" w:fill="auto"/>
            <w:vAlign w:val="center"/>
          </w:tcPr>
          <w:p w14:paraId="60608FE3" w14:textId="7D64A167" w:rsidR="003B34F6" w:rsidRPr="00A06955" w:rsidRDefault="003B34F6" w:rsidP="00A06955">
            <w:pPr>
              <w:jc w:val="center"/>
              <w:rPr>
                <w:color w:val="auto"/>
                <w:sz w:val="20"/>
                <w:szCs w:val="20"/>
              </w:rPr>
            </w:pPr>
            <w:r w:rsidRPr="00A06955">
              <w:rPr>
                <w:color w:val="auto"/>
                <w:sz w:val="20"/>
                <w:szCs w:val="20"/>
              </w:rPr>
              <w:t>1</w:t>
            </w:r>
          </w:p>
        </w:tc>
        <w:tc>
          <w:tcPr>
            <w:tcW w:w="1605" w:type="dxa"/>
            <w:shd w:val="clear" w:color="auto" w:fill="auto"/>
            <w:vAlign w:val="center"/>
          </w:tcPr>
          <w:p w14:paraId="737CE143" w14:textId="1890F637" w:rsidR="003B34F6" w:rsidRPr="00A06955" w:rsidRDefault="003B34F6" w:rsidP="00A06955">
            <w:pPr>
              <w:tabs>
                <w:tab w:val="decimal" w:pos="300"/>
              </w:tabs>
              <w:jc w:val="center"/>
              <w:rPr>
                <w:color w:val="auto"/>
                <w:sz w:val="20"/>
                <w:szCs w:val="20"/>
              </w:rPr>
            </w:pPr>
            <w:r w:rsidRPr="00A06955">
              <w:rPr>
                <w:color w:val="auto"/>
                <w:sz w:val="20"/>
                <w:szCs w:val="20"/>
              </w:rPr>
              <w:t>2</w:t>
            </w:r>
            <w:r>
              <w:rPr>
                <w:color w:val="auto"/>
                <w:sz w:val="20"/>
                <w:szCs w:val="20"/>
              </w:rPr>
              <w:t>5</w:t>
            </w:r>
          </w:p>
        </w:tc>
        <w:tc>
          <w:tcPr>
            <w:tcW w:w="1720" w:type="dxa"/>
            <w:shd w:val="clear" w:color="auto" w:fill="auto"/>
            <w:vAlign w:val="center"/>
          </w:tcPr>
          <w:p w14:paraId="04EDDD30"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4304FD7E" w14:textId="77777777" w:rsidR="003B34F6" w:rsidRPr="00A06955" w:rsidRDefault="003B34F6" w:rsidP="00A06955">
            <w:pPr>
              <w:tabs>
                <w:tab w:val="decimal" w:pos="376"/>
              </w:tabs>
              <w:jc w:val="center"/>
              <w:rPr>
                <w:color w:val="auto"/>
                <w:sz w:val="20"/>
                <w:szCs w:val="20"/>
              </w:rPr>
            </w:pPr>
            <w:r w:rsidRPr="00A06955">
              <w:rPr>
                <w:color w:val="auto"/>
                <w:sz w:val="20"/>
                <w:szCs w:val="20"/>
              </w:rPr>
              <w:t>39</w:t>
            </w:r>
          </w:p>
        </w:tc>
        <w:tc>
          <w:tcPr>
            <w:tcW w:w="1728" w:type="dxa"/>
            <w:shd w:val="clear" w:color="auto" w:fill="auto"/>
            <w:vAlign w:val="center"/>
          </w:tcPr>
          <w:p w14:paraId="317D9122" w14:textId="0C4250F5" w:rsidR="003B34F6" w:rsidRPr="00A06955" w:rsidRDefault="003B34F6" w:rsidP="00A06955">
            <w:pPr>
              <w:jc w:val="center"/>
              <w:rPr>
                <w:color w:val="auto"/>
                <w:sz w:val="20"/>
                <w:szCs w:val="20"/>
              </w:rPr>
            </w:pPr>
            <w:r w:rsidRPr="00A06955">
              <w:rPr>
                <w:color w:val="auto"/>
                <w:sz w:val="20"/>
                <w:szCs w:val="20"/>
              </w:rPr>
              <w:t>12</w:t>
            </w:r>
          </w:p>
        </w:tc>
      </w:tr>
      <w:tr w:rsidR="003B34F6" w:rsidRPr="003C0F16" w14:paraId="7297305A" w14:textId="77777777" w:rsidTr="000944CD">
        <w:trPr>
          <w:trHeight w:val="369"/>
        </w:trPr>
        <w:tc>
          <w:tcPr>
            <w:tcW w:w="2070" w:type="dxa"/>
            <w:shd w:val="clear" w:color="auto" w:fill="auto"/>
            <w:vAlign w:val="center"/>
          </w:tcPr>
          <w:p w14:paraId="56A22992" w14:textId="1959968E" w:rsidR="003B34F6" w:rsidRPr="00A06955" w:rsidRDefault="003B34F6" w:rsidP="00A06955">
            <w:pPr>
              <w:jc w:val="right"/>
              <w:rPr>
                <w:color w:val="auto"/>
                <w:sz w:val="20"/>
                <w:szCs w:val="20"/>
              </w:rPr>
            </w:pPr>
            <w:r w:rsidRPr="00A06955">
              <w:rPr>
                <w:color w:val="auto"/>
                <w:sz w:val="20"/>
                <w:szCs w:val="20"/>
              </w:rPr>
              <w:t>75,000–79,999</w:t>
            </w:r>
          </w:p>
        </w:tc>
        <w:tc>
          <w:tcPr>
            <w:tcW w:w="1359" w:type="dxa"/>
            <w:shd w:val="clear" w:color="auto" w:fill="auto"/>
            <w:vAlign w:val="center"/>
          </w:tcPr>
          <w:p w14:paraId="2621A5F3" w14:textId="1CF174F1" w:rsidR="003B34F6" w:rsidRPr="00A06955" w:rsidRDefault="003B34F6" w:rsidP="00A06955">
            <w:pPr>
              <w:tabs>
                <w:tab w:val="decimal" w:pos="643"/>
                <w:tab w:val="decimal" w:pos="742"/>
              </w:tabs>
              <w:jc w:val="center"/>
              <w:rPr>
                <w:color w:val="auto"/>
                <w:sz w:val="20"/>
                <w:szCs w:val="20"/>
              </w:rPr>
            </w:pPr>
            <w:r w:rsidRPr="00A06955">
              <w:rPr>
                <w:color w:val="auto"/>
                <w:sz w:val="20"/>
                <w:szCs w:val="20"/>
              </w:rPr>
              <w:t>11</w:t>
            </w:r>
          </w:p>
        </w:tc>
        <w:tc>
          <w:tcPr>
            <w:tcW w:w="1274" w:type="dxa"/>
            <w:shd w:val="clear" w:color="auto" w:fill="auto"/>
            <w:vAlign w:val="center"/>
          </w:tcPr>
          <w:p w14:paraId="73E821EF" w14:textId="77777777" w:rsidR="003B34F6" w:rsidRPr="00A06955" w:rsidRDefault="003B34F6" w:rsidP="00A06955">
            <w:pPr>
              <w:jc w:val="center"/>
              <w:rPr>
                <w:color w:val="auto"/>
                <w:sz w:val="20"/>
                <w:szCs w:val="20"/>
              </w:rPr>
            </w:pPr>
            <w:r w:rsidRPr="00A06955">
              <w:rPr>
                <w:color w:val="auto"/>
                <w:sz w:val="20"/>
                <w:szCs w:val="20"/>
              </w:rPr>
              <w:t>-</w:t>
            </w:r>
          </w:p>
        </w:tc>
        <w:tc>
          <w:tcPr>
            <w:tcW w:w="1605" w:type="dxa"/>
            <w:shd w:val="clear" w:color="auto" w:fill="auto"/>
            <w:vAlign w:val="center"/>
          </w:tcPr>
          <w:p w14:paraId="2B6AB2AE" w14:textId="76201398" w:rsidR="003B34F6" w:rsidRPr="00A06955" w:rsidRDefault="003B34F6" w:rsidP="00A06955">
            <w:pPr>
              <w:tabs>
                <w:tab w:val="decimal" w:pos="300"/>
              </w:tabs>
              <w:jc w:val="center"/>
              <w:rPr>
                <w:color w:val="auto"/>
                <w:sz w:val="20"/>
                <w:szCs w:val="20"/>
              </w:rPr>
            </w:pPr>
            <w:r w:rsidRPr="00A06955">
              <w:rPr>
                <w:color w:val="auto"/>
                <w:sz w:val="20"/>
                <w:szCs w:val="20"/>
              </w:rPr>
              <w:t>1</w:t>
            </w:r>
            <w:r>
              <w:rPr>
                <w:color w:val="auto"/>
                <w:sz w:val="20"/>
                <w:szCs w:val="20"/>
              </w:rPr>
              <w:t>8</w:t>
            </w:r>
          </w:p>
        </w:tc>
        <w:tc>
          <w:tcPr>
            <w:tcW w:w="1720" w:type="dxa"/>
            <w:shd w:val="clear" w:color="auto" w:fill="auto"/>
            <w:vAlign w:val="center"/>
          </w:tcPr>
          <w:p w14:paraId="6CBC3382" w14:textId="479CAA73" w:rsidR="003B34F6" w:rsidRPr="00A06955" w:rsidRDefault="003B34F6" w:rsidP="00A06955">
            <w:pPr>
              <w:jc w:val="center"/>
              <w:rPr>
                <w:color w:val="auto"/>
                <w:sz w:val="20"/>
                <w:szCs w:val="20"/>
              </w:rPr>
            </w:pPr>
            <w:r w:rsidRPr="00A06955">
              <w:rPr>
                <w:color w:val="auto"/>
                <w:sz w:val="20"/>
                <w:szCs w:val="20"/>
              </w:rPr>
              <w:t>1</w:t>
            </w:r>
          </w:p>
        </w:tc>
        <w:tc>
          <w:tcPr>
            <w:tcW w:w="756" w:type="dxa"/>
            <w:vAlign w:val="center"/>
          </w:tcPr>
          <w:p w14:paraId="21C01F60" w14:textId="77777777" w:rsidR="003B34F6" w:rsidRPr="00A06955" w:rsidRDefault="003B34F6" w:rsidP="00A06955">
            <w:pPr>
              <w:tabs>
                <w:tab w:val="decimal" w:pos="376"/>
              </w:tabs>
              <w:jc w:val="center"/>
              <w:rPr>
                <w:color w:val="auto"/>
                <w:sz w:val="20"/>
                <w:szCs w:val="20"/>
              </w:rPr>
            </w:pPr>
            <w:r w:rsidRPr="00A06955">
              <w:rPr>
                <w:color w:val="auto"/>
                <w:sz w:val="20"/>
                <w:szCs w:val="20"/>
              </w:rPr>
              <w:t>30</w:t>
            </w:r>
          </w:p>
        </w:tc>
        <w:tc>
          <w:tcPr>
            <w:tcW w:w="1728" w:type="dxa"/>
            <w:shd w:val="clear" w:color="auto" w:fill="auto"/>
            <w:vAlign w:val="center"/>
          </w:tcPr>
          <w:p w14:paraId="6280645D" w14:textId="6043DDE9" w:rsidR="003B34F6" w:rsidRPr="00A06955" w:rsidRDefault="003B34F6" w:rsidP="00A06955">
            <w:pPr>
              <w:jc w:val="center"/>
              <w:rPr>
                <w:color w:val="auto"/>
                <w:sz w:val="20"/>
                <w:szCs w:val="20"/>
              </w:rPr>
            </w:pPr>
            <w:r w:rsidRPr="00A06955">
              <w:rPr>
                <w:color w:val="auto"/>
                <w:sz w:val="20"/>
                <w:szCs w:val="20"/>
              </w:rPr>
              <w:t>11</w:t>
            </w:r>
          </w:p>
        </w:tc>
      </w:tr>
      <w:tr w:rsidR="003B34F6" w:rsidRPr="003C0F16" w14:paraId="5E4AE4DE" w14:textId="77777777" w:rsidTr="000944CD">
        <w:trPr>
          <w:trHeight w:val="369"/>
        </w:trPr>
        <w:tc>
          <w:tcPr>
            <w:tcW w:w="2070" w:type="dxa"/>
            <w:shd w:val="clear" w:color="auto" w:fill="auto"/>
            <w:vAlign w:val="center"/>
          </w:tcPr>
          <w:p w14:paraId="2D26F478" w14:textId="25453CBF" w:rsidR="003B34F6" w:rsidRPr="00A06955" w:rsidRDefault="003B34F6" w:rsidP="00A06955">
            <w:pPr>
              <w:jc w:val="right"/>
              <w:rPr>
                <w:color w:val="auto"/>
                <w:sz w:val="20"/>
                <w:szCs w:val="20"/>
              </w:rPr>
            </w:pPr>
            <w:r w:rsidRPr="00A06955">
              <w:rPr>
                <w:color w:val="auto"/>
                <w:sz w:val="20"/>
                <w:szCs w:val="20"/>
              </w:rPr>
              <w:t>80,000–84,999</w:t>
            </w:r>
          </w:p>
        </w:tc>
        <w:tc>
          <w:tcPr>
            <w:tcW w:w="1359" w:type="dxa"/>
            <w:shd w:val="clear" w:color="auto" w:fill="auto"/>
            <w:vAlign w:val="center"/>
          </w:tcPr>
          <w:p w14:paraId="4A7D582A" w14:textId="6C3832B7" w:rsidR="003B34F6" w:rsidRPr="00A06955" w:rsidRDefault="003B34F6" w:rsidP="00A06955">
            <w:pPr>
              <w:tabs>
                <w:tab w:val="decimal" w:pos="643"/>
                <w:tab w:val="decimal" w:pos="742"/>
              </w:tabs>
              <w:jc w:val="center"/>
              <w:rPr>
                <w:color w:val="auto"/>
                <w:sz w:val="20"/>
                <w:szCs w:val="20"/>
              </w:rPr>
            </w:pPr>
            <w:r w:rsidRPr="00A06955">
              <w:rPr>
                <w:color w:val="auto"/>
                <w:sz w:val="20"/>
                <w:szCs w:val="20"/>
              </w:rPr>
              <w:t>11</w:t>
            </w:r>
          </w:p>
        </w:tc>
        <w:tc>
          <w:tcPr>
            <w:tcW w:w="1274" w:type="dxa"/>
            <w:shd w:val="clear" w:color="auto" w:fill="auto"/>
            <w:vAlign w:val="center"/>
          </w:tcPr>
          <w:p w14:paraId="45AC226B" w14:textId="77777777" w:rsidR="003B34F6" w:rsidRPr="00A06955" w:rsidRDefault="003B34F6" w:rsidP="00A06955">
            <w:pPr>
              <w:jc w:val="center"/>
              <w:rPr>
                <w:color w:val="auto"/>
                <w:sz w:val="20"/>
                <w:szCs w:val="20"/>
              </w:rPr>
            </w:pPr>
            <w:r w:rsidRPr="00A06955">
              <w:rPr>
                <w:color w:val="auto"/>
                <w:sz w:val="20"/>
                <w:szCs w:val="20"/>
              </w:rPr>
              <w:t>-</w:t>
            </w:r>
          </w:p>
        </w:tc>
        <w:tc>
          <w:tcPr>
            <w:tcW w:w="1605" w:type="dxa"/>
            <w:shd w:val="clear" w:color="auto" w:fill="auto"/>
            <w:vAlign w:val="center"/>
          </w:tcPr>
          <w:p w14:paraId="77B13092" w14:textId="42FE93B0" w:rsidR="003B34F6" w:rsidRPr="00A06955" w:rsidRDefault="003B34F6" w:rsidP="00A06955">
            <w:pPr>
              <w:tabs>
                <w:tab w:val="decimal" w:pos="300"/>
              </w:tabs>
              <w:jc w:val="center"/>
              <w:rPr>
                <w:color w:val="auto"/>
                <w:sz w:val="20"/>
                <w:szCs w:val="20"/>
              </w:rPr>
            </w:pPr>
            <w:r w:rsidRPr="00A06955">
              <w:rPr>
                <w:color w:val="auto"/>
                <w:sz w:val="20"/>
                <w:szCs w:val="20"/>
              </w:rPr>
              <w:t>1</w:t>
            </w:r>
            <w:r>
              <w:rPr>
                <w:color w:val="auto"/>
                <w:sz w:val="20"/>
                <w:szCs w:val="20"/>
              </w:rPr>
              <w:t>1</w:t>
            </w:r>
          </w:p>
        </w:tc>
        <w:tc>
          <w:tcPr>
            <w:tcW w:w="1720" w:type="dxa"/>
            <w:shd w:val="clear" w:color="auto" w:fill="auto"/>
            <w:vAlign w:val="center"/>
          </w:tcPr>
          <w:p w14:paraId="1FC8DA4F"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7E047AA6" w14:textId="77777777" w:rsidR="003B34F6" w:rsidRPr="00A06955" w:rsidRDefault="003B34F6" w:rsidP="00A06955">
            <w:pPr>
              <w:tabs>
                <w:tab w:val="decimal" w:pos="376"/>
              </w:tabs>
              <w:jc w:val="center"/>
              <w:rPr>
                <w:color w:val="auto"/>
                <w:sz w:val="20"/>
                <w:szCs w:val="20"/>
              </w:rPr>
            </w:pPr>
            <w:r w:rsidRPr="00A06955">
              <w:rPr>
                <w:color w:val="auto"/>
                <w:sz w:val="20"/>
                <w:szCs w:val="20"/>
              </w:rPr>
              <w:t>22</w:t>
            </w:r>
          </w:p>
        </w:tc>
        <w:tc>
          <w:tcPr>
            <w:tcW w:w="1728" w:type="dxa"/>
            <w:shd w:val="clear" w:color="auto" w:fill="auto"/>
            <w:vAlign w:val="center"/>
          </w:tcPr>
          <w:p w14:paraId="0CE23D00" w14:textId="3B748E7F" w:rsidR="003B34F6" w:rsidRPr="00A06955" w:rsidRDefault="003B34F6" w:rsidP="00A06955">
            <w:pPr>
              <w:jc w:val="center"/>
              <w:rPr>
                <w:color w:val="auto"/>
                <w:sz w:val="20"/>
                <w:szCs w:val="20"/>
              </w:rPr>
            </w:pPr>
            <w:r w:rsidRPr="00A06955">
              <w:rPr>
                <w:color w:val="auto"/>
                <w:sz w:val="20"/>
                <w:szCs w:val="20"/>
              </w:rPr>
              <w:t>10</w:t>
            </w:r>
          </w:p>
        </w:tc>
      </w:tr>
      <w:tr w:rsidR="003B34F6" w:rsidRPr="003C0F16" w14:paraId="23029851" w14:textId="77777777" w:rsidTr="000944CD">
        <w:trPr>
          <w:trHeight w:val="369"/>
        </w:trPr>
        <w:tc>
          <w:tcPr>
            <w:tcW w:w="2070" w:type="dxa"/>
            <w:shd w:val="clear" w:color="auto" w:fill="auto"/>
            <w:vAlign w:val="center"/>
          </w:tcPr>
          <w:p w14:paraId="7A3AF781" w14:textId="5B75C6CC" w:rsidR="003B34F6" w:rsidRPr="00A06955" w:rsidRDefault="003B34F6" w:rsidP="00A06955">
            <w:pPr>
              <w:jc w:val="right"/>
              <w:rPr>
                <w:color w:val="auto"/>
                <w:sz w:val="20"/>
                <w:szCs w:val="20"/>
              </w:rPr>
            </w:pPr>
            <w:r w:rsidRPr="00A06955">
              <w:rPr>
                <w:color w:val="auto"/>
                <w:sz w:val="20"/>
                <w:szCs w:val="20"/>
              </w:rPr>
              <w:t>85,000–89,999</w:t>
            </w:r>
          </w:p>
        </w:tc>
        <w:tc>
          <w:tcPr>
            <w:tcW w:w="1359" w:type="dxa"/>
            <w:shd w:val="clear" w:color="auto" w:fill="auto"/>
            <w:vAlign w:val="center"/>
          </w:tcPr>
          <w:p w14:paraId="43360E6B" w14:textId="50586603" w:rsidR="003B34F6" w:rsidRPr="00A06955" w:rsidRDefault="003B34F6" w:rsidP="00A06955">
            <w:pPr>
              <w:tabs>
                <w:tab w:val="decimal" w:pos="643"/>
                <w:tab w:val="decimal" w:pos="742"/>
              </w:tabs>
              <w:jc w:val="center"/>
              <w:rPr>
                <w:color w:val="auto"/>
                <w:sz w:val="20"/>
                <w:szCs w:val="20"/>
              </w:rPr>
            </w:pPr>
            <w:r w:rsidRPr="00A06955">
              <w:rPr>
                <w:color w:val="auto"/>
                <w:sz w:val="20"/>
                <w:szCs w:val="20"/>
              </w:rPr>
              <w:t>6</w:t>
            </w:r>
          </w:p>
        </w:tc>
        <w:tc>
          <w:tcPr>
            <w:tcW w:w="1274" w:type="dxa"/>
            <w:shd w:val="clear" w:color="auto" w:fill="auto"/>
            <w:vAlign w:val="center"/>
          </w:tcPr>
          <w:p w14:paraId="0BD3F0C5" w14:textId="77777777" w:rsidR="003B34F6" w:rsidRPr="00A06955" w:rsidRDefault="003B34F6" w:rsidP="00A06955">
            <w:pPr>
              <w:jc w:val="center"/>
              <w:rPr>
                <w:color w:val="auto"/>
                <w:sz w:val="20"/>
                <w:szCs w:val="20"/>
              </w:rPr>
            </w:pPr>
            <w:r w:rsidRPr="00A06955">
              <w:rPr>
                <w:color w:val="auto"/>
                <w:sz w:val="20"/>
                <w:szCs w:val="20"/>
              </w:rPr>
              <w:t>-</w:t>
            </w:r>
          </w:p>
        </w:tc>
        <w:tc>
          <w:tcPr>
            <w:tcW w:w="1605" w:type="dxa"/>
            <w:shd w:val="clear" w:color="auto" w:fill="auto"/>
            <w:vAlign w:val="center"/>
          </w:tcPr>
          <w:p w14:paraId="5CC87D7F" w14:textId="6A4E6797" w:rsidR="003B34F6" w:rsidRPr="00A06955" w:rsidRDefault="003B34F6" w:rsidP="00A06955">
            <w:pPr>
              <w:tabs>
                <w:tab w:val="decimal" w:pos="300"/>
              </w:tabs>
              <w:jc w:val="center"/>
              <w:rPr>
                <w:color w:val="auto"/>
                <w:sz w:val="20"/>
                <w:szCs w:val="20"/>
              </w:rPr>
            </w:pPr>
            <w:r>
              <w:rPr>
                <w:color w:val="auto"/>
                <w:sz w:val="20"/>
                <w:szCs w:val="20"/>
              </w:rPr>
              <w:t>11</w:t>
            </w:r>
          </w:p>
        </w:tc>
        <w:tc>
          <w:tcPr>
            <w:tcW w:w="1720" w:type="dxa"/>
            <w:shd w:val="clear" w:color="auto" w:fill="auto"/>
            <w:vAlign w:val="center"/>
          </w:tcPr>
          <w:p w14:paraId="549A682B"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5590A1A5" w14:textId="77777777" w:rsidR="003B34F6" w:rsidRPr="00A06955" w:rsidRDefault="003B34F6" w:rsidP="00A06955">
            <w:pPr>
              <w:tabs>
                <w:tab w:val="decimal" w:pos="376"/>
              </w:tabs>
              <w:jc w:val="center"/>
              <w:rPr>
                <w:color w:val="auto"/>
                <w:sz w:val="20"/>
                <w:szCs w:val="20"/>
              </w:rPr>
            </w:pPr>
            <w:r w:rsidRPr="00A06955">
              <w:rPr>
                <w:color w:val="auto"/>
                <w:sz w:val="20"/>
                <w:szCs w:val="20"/>
              </w:rPr>
              <w:t>17</w:t>
            </w:r>
          </w:p>
        </w:tc>
        <w:tc>
          <w:tcPr>
            <w:tcW w:w="1728" w:type="dxa"/>
            <w:shd w:val="clear" w:color="auto" w:fill="auto"/>
            <w:vAlign w:val="center"/>
          </w:tcPr>
          <w:p w14:paraId="2896247D" w14:textId="5CE8F846" w:rsidR="003B34F6" w:rsidRPr="00A06955" w:rsidRDefault="003B34F6" w:rsidP="00A06955">
            <w:pPr>
              <w:jc w:val="center"/>
              <w:rPr>
                <w:color w:val="auto"/>
                <w:sz w:val="20"/>
                <w:szCs w:val="20"/>
              </w:rPr>
            </w:pPr>
            <w:r w:rsidRPr="00A06955">
              <w:rPr>
                <w:color w:val="auto"/>
                <w:sz w:val="20"/>
                <w:szCs w:val="20"/>
              </w:rPr>
              <w:t>5</w:t>
            </w:r>
          </w:p>
        </w:tc>
      </w:tr>
      <w:tr w:rsidR="003B34F6" w:rsidRPr="003C0F16" w14:paraId="5FDE19BE" w14:textId="77777777" w:rsidTr="000944CD">
        <w:trPr>
          <w:trHeight w:val="369"/>
        </w:trPr>
        <w:tc>
          <w:tcPr>
            <w:tcW w:w="2070" w:type="dxa"/>
            <w:shd w:val="clear" w:color="auto" w:fill="auto"/>
            <w:vAlign w:val="center"/>
          </w:tcPr>
          <w:p w14:paraId="359A2B27" w14:textId="6849E484" w:rsidR="003B34F6" w:rsidRPr="00A06955" w:rsidRDefault="003B34F6" w:rsidP="00A06955">
            <w:pPr>
              <w:jc w:val="right"/>
              <w:rPr>
                <w:color w:val="auto"/>
                <w:sz w:val="20"/>
                <w:szCs w:val="20"/>
              </w:rPr>
            </w:pPr>
            <w:r w:rsidRPr="00A06955">
              <w:rPr>
                <w:color w:val="auto"/>
                <w:sz w:val="20"/>
                <w:szCs w:val="20"/>
              </w:rPr>
              <w:t>90,000–94,999</w:t>
            </w:r>
          </w:p>
        </w:tc>
        <w:tc>
          <w:tcPr>
            <w:tcW w:w="1359" w:type="dxa"/>
            <w:shd w:val="clear" w:color="auto" w:fill="auto"/>
            <w:vAlign w:val="center"/>
          </w:tcPr>
          <w:p w14:paraId="767634D5" w14:textId="75D07A6F" w:rsidR="003B34F6" w:rsidRPr="00A06955" w:rsidRDefault="003B34F6" w:rsidP="00A06955">
            <w:pPr>
              <w:tabs>
                <w:tab w:val="decimal" w:pos="643"/>
                <w:tab w:val="decimal" w:pos="742"/>
              </w:tabs>
              <w:jc w:val="center"/>
              <w:rPr>
                <w:color w:val="auto"/>
                <w:sz w:val="20"/>
                <w:szCs w:val="20"/>
              </w:rPr>
            </w:pPr>
            <w:r w:rsidRPr="00A06955">
              <w:rPr>
                <w:color w:val="auto"/>
                <w:sz w:val="20"/>
                <w:szCs w:val="20"/>
              </w:rPr>
              <w:t>3</w:t>
            </w:r>
          </w:p>
        </w:tc>
        <w:tc>
          <w:tcPr>
            <w:tcW w:w="1274" w:type="dxa"/>
            <w:shd w:val="clear" w:color="auto" w:fill="auto"/>
            <w:vAlign w:val="center"/>
          </w:tcPr>
          <w:p w14:paraId="2FD5BC07" w14:textId="77777777" w:rsidR="003B34F6" w:rsidRPr="00A06955" w:rsidRDefault="003B34F6" w:rsidP="00A06955">
            <w:pPr>
              <w:jc w:val="center"/>
              <w:rPr>
                <w:color w:val="auto"/>
                <w:sz w:val="20"/>
                <w:szCs w:val="20"/>
              </w:rPr>
            </w:pPr>
            <w:r w:rsidRPr="00A06955">
              <w:rPr>
                <w:color w:val="auto"/>
                <w:sz w:val="20"/>
                <w:szCs w:val="20"/>
              </w:rPr>
              <w:t>-</w:t>
            </w:r>
          </w:p>
        </w:tc>
        <w:tc>
          <w:tcPr>
            <w:tcW w:w="1605" w:type="dxa"/>
            <w:shd w:val="clear" w:color="auto" w:fill="auto"/>
            <w:vAlign w:val="center"/>
          </w:tcPr>
          <w:p w14:paraId="359B1AB5" w14:textId="59F5F666" w:rsidR="003B34F6" w:rsidRPr="00A06955" w:rsidRDefault="003B34F6" w:rsidP="00A06955">
            <w:pPr>
              <w:tabs>
                <w:tab w:val="decimal" w:pos="300"/>
              </w:tabs>
              <w:jc w:val="center"/>
              <w:rPr>
                <w:color w:val="auto"/>
                <w:sz w:val="20"/>
                <w:szCs w:val="20"/>
              </w:rPr>
            </w:pPr>
            <w:r>
              <w:rPr>
                <w:color w:val="auto"/>
                <w:sz w:val="20"/>
                <w:szCs w:val="20"/>
              </w:rPr>
              <w:t>7</w:t>
            </w:r>
          </w:p>
        </w:tc>
        <w:tc>
          <w:tcPr>
            <w:tcW w:w="1720" w:type="dxa"/>
            <w:shd w:val="clear" w:color="auto" w:fill="auto"/>
            <w:vAlign w:val="center"/>
          </w:tcPr>
          <w:p w14:paraId="2E24C771"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396AFB4C" w14:textId="77777777" w:rsidR="003B34F6" w:rsidRPr="00A06955" w:rsidRDefault="003B34F6" w:rsidP="00A06955">
            <w:pPr>
              <w:tabs>
                <w:tab w:val="decimal" w:pos="376"/>
              </w:tabs>
              <w:jc w:val="center"/>
              <w:rPr>
                <w:color w:val="auto"/>
                <w:sz w:val="20"/>
                <w:szCs w:val="20"/>
              </w:rPr>
            </w:pPr>
            <w:r w:rsidRPr="00A06955">
              <w:rPr>
                <w:color w:val="auto"/>
                <w:sz w:val="20"/>
                <w:szCs w:val="20"/>
              </w:rPr>
              <w:t>10</w:t>
            </w:r>
          </w:p>
        </w:tc>
        <w:tc>
          <w:tcPr>
            <w:tcW w:w="1728" w:type="dxa"/>
            <w:shd w:val="clear" w:color="auto" w:fill="auto"/>
            <w:vAlign w:val="center"/>
          </w:tcPr>
          <w:p w14:paraId="58376302" w14:textId="4BFA8D7B" w:rsidR="003B34F6" w:rsidRPr="00A06955" w:rsidRDefault="003B34F6" w:rsidP="00A06955">
            <w:pPr>
              <w:jc w:val="center"/>
              <w:rPr>
                <w:color w:val="auto"/>
                <w:sz w:val="20"/>
                <w:szCs w:val="20"/>
              </w:rPr>
            </w:pPr>
            <w:r w:rsidRPr="00A06955">
              <w:rPr>
                <w:color w:val="auto"/>
                <w:sz w:val="20"/>
                <w:szCs w:val="20"/>
              </w:rPr>
              <w:t>1</w:t>
            </w:r>
          </w:p>
        </w:tc>
      </w:tr>
      <w:tr w:rsidR="003B34F6" w:rsidRPr="003C0F16" w14:paraId="56608ED3" w14:textId="77777777" w:rsidTr="000944CD">
        <w:trPr>
          <w:trHeight w:val="369"/>
        </w:trPr>
        <w:tc>
          <w:tcPr>
            <w:tcW w:w="2070" w:type="dxa"/>
            <w:shd w:val="clear" w:color="auto" w:fill="auto"/>
            <w:vAlign w:val="center"/>
          </w:tcPr>
          <w:p w14:paraId="668E7BF1" w14:textId="70BD4F4E" w:rsidR="003B34F6" w:rsidRPr="00A06955" w:rsidRDefault="003B34F6" w:rsidP="00A06955">
            <w:pPr>
              <w:jc w:val="right"/>
              <w:rPr>
                <w:color w:val="auto"/>
                <w:sz w:val="20"/>
                <w:szCs w:val="20"/>
              </w:rPr>
            </w:pPr>
            <w:r w:rsidRPr="00A06955">
              <w:rPr>
                <w:color w:val="auto"/>
                <w:sz w:val="20"/>
                <w:szCs w:val="20"/>
              </w:rPr>
              <w:lastRenderedPageBreak/>
              <w:t>95,000–99,999</w:t>
            </w:r>
          </w:p>
        </w:tc>
        <w:tc>
          <w:tcPr>
            <w:tcW w:w="1359" w:type="dxa"/>
            <w:shd w:val="clear" w:color="auto" w:fill="auto"/>
            <w:vAlign w:val="center"/>
          </w:tcPr>
          <w:p w14:paraId="0335B84D" w14:textId="29984A24" w:rsidR="003B34F6" w:rsidRPr="00A06955" w:rsidRDefault="003B34F6" w:rsidP="00A06955">
            <w:pPr>
              <w:tabs>
                <w:tab w:val="decimal" w:pos="643"/>
                <w:tab w:val="decimal" w:pos="742"/>
              </w:tabs>
              <w:jc w:val="center"/>
              <w:rPr>
                <w:color w:val="auto"/>
                <w:sz w:val="20"/>
                <w:szCs w:val="20"/>
              </w:rPr>
            </w:pPr>
            <w:r w:rsidRPr="00A06955">
              <w:rPr>
                <w:color w:val="auto"/>
                <w:sz w:val="20"/>
                <w:szCs w:val="20"/>
              </w:rPr>
              <w:t>9</w:t>
            </w:r>
          </w:p>
        </w:tc>
        <w:tc>
          <w:tcPr>
            <w:tcW w:w="1274" w:type="dxa"/>
            <w:shd w:val="clear" w:color="auto" w:fill="auto"/>
            <w:vAlign w:val="center"/>
          </w:tcPr>
          <w:p w14:paraId="3EEC1D17" w14:textId="526102A5" w:rsidR="003B34F6" w:rsidRPr="00A06955" w:rsidRDefault="003B34F6" w:rsidP="00A06955">
            <w:pPr>
              <w:jc w:val="center"/>
              <w:rPr>
                <w:color w:val="auto"/>
                <w:sz w:val="20"/>
                <w:szCs w:val="20"/>
              </w:rPr>
            </w:pPr>
            <w:r w:rsidRPr="00A06955">
              <w:rPr>
                <w:color w:val="auto"/>
                <w:sz w:val="20"/>
                <w:szCs w:val="20"/>
              </w:rPr>
              <w:t>1</w:t>
            </w:r>
          </w:p>
        </w:tc>
        <w:tc>
          <w:tcPr>
            <w:tcW w:w="1605" w:type="dxa"/>
            <w:shd w:val="clear" w:color="auto" w:fill="auto"/>
            <w:vAlign w:val="center"/>
          </w:tcPr>
          <w:p w14:paraId="0324E144" w14:textId="6EAF5D4A" w:rsidR="003B34F6" w:rsidRPr="00A06955" w:rsidRDefault="003B34F6" w:rsidP="00A06955">
            <w:pPr>
              <w:tabs>
                <w:tab w:val="decimal" w:pos="300"/>
              </w:tabs>
              <w:jc w:val="center"/>
              <w:rPr>
                <w:color w:val="auto"/>
                <w:sz w:val="20"/>
                <w:szCs w:val="20"/>
              </w:rPr>
            </w:pPr>
            <w:r>
              <w:rPr>
                <w:color w:val="auto"/>
                <w:sz w:val="20"/>
                <w:szCs w:val="20"/>
              </w:rPr>
              <w:t>8</w:t>
            </w:r>
          </w:p>
        </w:tc>
        <w:tc>
          <w:tcPr>
            <w:tcW w:w="1720" w:type="dxa"/>
            <w:shd w:val="clear" w:color="auto" w:fill="auto"/>
            <w:vAlign w:val="center"/>
          </w:tcPr>
          <w:p w14:paraId="0E19F9A9"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26A562F3" w14:textId="77777777" w:rsidR="003B34F6" w:rsidRPr="00A06955" w:rsidRDefault="003B34F6" w:rsidP="00A06955">
            <w:pPr>
              <w:tabs>
                <w:tab w:val="decimal" w:pos="376"/>
              </w:tabs>
              <w:jc w:val="center"/>
              <w:rPr>
                <w:color w:val="auto"/>
                <w:sz w:val="20"/>
                <w:szCs w:val="20"/>
              </w:rPr>
            </w:pPr>
            <w:r w:rsidRPr="00A06955">
              <w:rPr>
                <w:color w:val="auto"/>
                <w:sz w:val="20"/>
                <w:szCs w:val="20"/>
              </w:rPr>
              <w:t>18</w:t>
            </w:r>
          </w:p>
        </w:tc>
        <w:tc>
          <w:tcPr>
            <w:tcW w:w="1728" w:type="dxa"/>
            <w:shd w:val="clear" w:color="auto" w:fill="auto"/>
            <w:vAlign w:val="center"/>
          </w:tcPr>
          <w:p w14:paraId="31D1BD86" w14:textId="589AC88E" w:rsidR="003B34F6" w:rsidRPr="00A06955" w:rsidRDefault="003B34F6" w:rsidP="00A06955">
            <w:pPr>
              <w:jc w:val="center"/>
              <w:rPr>
                <w:color w:val="auto"/>
                <w:sz w:val="20"/>
                <w:szCs w:val="20"/>
              </w:rPr>
            </w:pPr>
            <w:r w:rsidRPr="00A06955">
              <w:rPr>
                <w:color w:val="auto"/>
                <w:sz w:val="20"/>
                <w:szCs w:val="20"/>
              </w:rPr>
              <w:t>3</w:t>
            </w:r>
          </w:p>
        </w:tc>
      </w:tr>
      <w:tr w:rsidR="003B34F6" w:rsidRPr="003C0F16" w14:paraId="61512F83" w14:textId="77777777" w:rsidTr="000944CD">
        <w:trPr>
          <w:trHeight w:val="369"/>
        </w:trPr>
        <w:tc>
          <w:tcPr>
            <w:tcW w:w="2070" w:type="dxa"/>
            <w:shd w:val="clear" w:color="auto" w:fill="auto"/>
            <w:vAlign w:val="center"/>
          </w:tcPr>
          <w:p w14:paraId="515429FD" w14:textId="1AEDBA5A" w:rsidR="003B34F6" w:rsidRPr="00A06955" w:rsidRDefault="003B34F6" w:rsidP="00A06955">
            <w:pPr>
              <w:jc w:val="right"/>
              <w:rPr>
                <w:color w:val="auto"/>
                <w:sz w:val="20"/>
                <w:szCs w:val="20"/>
              </w:rPr>
            </w:pPr>
            <w:r w:rsidRPr="00A06955">
              <w:rPr>
                <w:color w:val="auto"/>
                <w:sz w:val="20"/>
                <w:szCs w:val="20"/>
              </w:rPr>
              <w:t>100,000–104,999</w:t>
            </w:r>
          </w:p>
        </w:tc>
        <w:tc>
          <w:tcPr>
            <w:tcW w:w="1359" w:type="dxa"/>
            <w:shd w:val="clear" w:color="auto" w:fill="auto"/>
            <w:vAlign w:val="center"/>
          </w:tcPr>
          <w:p w14:paraId="24DBB9FC" w14:textId="2D12D641" w:rsidR="003B34F6" w:rsidRPr="00A06955" w:rsidRDefault="003B34F6" w:rsidP="00A06955">
            <w:pPr>
              <w:tabs>
                <w:tab w:val="decimal" w:pos="643"/>
                <w:tab w:val="decimal" w:pos="742"/>
              </w:tabs>
              <w:jc w:val="center"/>
              <w:rPr>
                <w:color w:val="auto"/>
                <w:sz w:val="20"/>
                <w:szCs w:val="20"/>
              </w:rPr>
            </w:pPr>
            <w:r w:rsidRPr="00A06955">
              <w:rPr>
                <w:color w:val="auto"/>
                <w:sz w:val="20"/>
                <w:szCs w:val="20"/>
              </w:rPr>
              <w:t>4</w:t>
            </w:r>
          </w:p>
        </w:tc>
        <w:tc>
          <w:tcPr>
            <w:tcW w:w="1274" w:type="dxa"/>
            <w:shd w:val="clear" w:color="auto" w:fill="auto"/>
            <w:vAlign w:val="center"/>
          </w:tcPr>
          <w:p w14:paraId="1C7AC1AE" w14:textId="77777777" w:rsidR="003B34F6" w:rsidRPr="00A06955" w:rsidRDefault="003B34F6" w:rsidP="00A06955">
            <w:pPr>
              <w:jc w:val="center"/>
              <w:rPr>
                <w:color w:val="auto"/>
                <w:sz w:val="20"/>
                <w:szCs w:val="20"/>
              </w:rPr>
            </w:pPr>
            <w:r w:rsidRPr="00A06955">
              <w:rPr>
                <w:color w:val="auto"/>
                <w:sz w:val="20"/>
                <w:szCs w:val="20"/>
              </w:rPr>
              <w:t>-</w:t>
            </w:r>
          </w:p>
        </w:tc>
        <w:tc>
          <w:tcPr>
            <w:tcW w:w="1605" w:type="dxa"/>
            <w:shd w:val="clear" w:color="auto" w:fill="auto"/>
            <w:vAlign w:val="center"/>
          </w:tcPr>
          <w:p w14:paraId="2C64EE7A" w14:textId="46B240FF" w:rsidR="003B34F6" w:rsidRPr="00A06955" w:rsidRDefault="003B34F6" w:rsidP="00A06955">
            <w:pPr>
              <w:tabs>
                <w:tab w:val="decimal" w:pos="300"/>
              </w:tabs>
              <w:jc w:val="center"/>
              <w:rPr>
                <w:color w:val="auto"/>
                <w:sz w:val="20"/>
                <w:szCs w:val="20"/>
              </w:rPr>
            </w:pPr>
            <w:r w:rsidRPr="00A06955">
              <w:rPr>
                <w:color w:val="auto"/>
                <w:sz w:val="20"/>
                <w:szCs w:val="20"/>
              </w:rPr>
              <w:t>2</w:t>
            </w:r>
          </w:p>
        </w:tc>
        <w:tc>
          <w:tcPr>
            <w:tcW w:w="1720" w:type="dxa"/>
            <w:shd w:val="clear" w:color="auto" w:fill="auto"/>
            <w:vAlign w:val="center"/>
          </w:tcPr>
          <w:p w14:paraId="4B044B3C"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391DA178" w14:textId="77777777" w:rsidR="003B34F6" w:rsidRPr="00A06955" w:rsidRDefault="003B34F6" w:rsidP="00A06955">
            <w:pPr>
              <w:tabs>
                <w:tab w:val="decimal" w:pos="376"/>
              </w:tabs>
              <w:jc w:val="center"/>
              <w:rPr>
                <w:color w:val="auto"/>
                <w:sz w:val="20"/>
                <w:szCs w:val="20"/>
              </w:rPr>
            </w:pPr>
            <w:r w:rsidRPr="00A06955">
              <w:rPr>
                <w:color w:val="auto"/>
                <w:sz w:val="20"/>
                <w:szCs w:val="20"/>
              </w:rPr>
              <w:t>6</w:t>
            </w:r>
          </w:p>
        </w:tc>
        <w:tc>
          <w:tcPr>
            <w:tcW w:w="1728" w:type="dxa"/>
            <w:shd w:val="clear" w:color="auto" w:fill="auto"/>
            <w:vAlign w:val="center"/>
          </w:tcPr>
          <w:p w14:paraId="40C85AD3" w14:textId="3F74581E" w:rsidR="003B34F6" w:rsidRPr="00A06955" w:rsidRDefault="003B34F6" w:rsidP="00A06955">
            <w:pPr>
              <w:jc w:val="center"/>
              <w:rPr>
                <w:color w:val="auto"/>
                <w:sz w:val="20"/>
                <w:szCs w:val="20"/>
              </w:rPr>
            </w:pPr>
            <w:r w:rsidRPr="00A06955">
              <w:rPr>
                <w:color w:val="auto"/>
                <w:sz w:val="20"/>
                <w:szCs w:val="20"/>
              </w:rPr>
              <w:t>3</w:t>
            </w:r>
          </w:p>
        </w:tc>
      </w:tr>
      <w:tr w:rsidR="003B34F6" w:rsidRPr="003C0F16" w14:paraId="1032793D" w14:textId="77777777" w:rsidTr="000944CD">
        <w:trPr>
          <w:trHeight w:val="369"/>
        </w:trPr>
        <w:tc>
          <w:tcPr>
            <w:tcW w:w="2070" w:type="dxa"/>
            <w:shd w:val="clear" w:color="auto" w:fill="auto"/>
            <w:vAlign w:val="center"/>
          </w:tcPr>
          <w:p w14:paraId="02988CC9" w14:textId="64A5FF82" w:rsidR="003B34F6" w:rsidRPr="00A06955" w:rsidRDefault="003B34F6" w:rsidP="00A06955">
            <w:pPr>
              <w:jc w:val="right"/>
              <w:rPr>
                <w:color w:val="auto"/>
                <w:sz w:val="20"/>
                <w:szCs w:val="20"/>
              </w:rPr>
            </w:pPr>
            <w:r w:rsidRPr="00A06955">
              <w:rPr>
                <w:color w:val="auto"/>
                <w:sz w:val="20"/>
                <w:szCs w:val="20"/>
              </w:rPr>
              <w:t>105,000–109,999</w:t>
            </w:r>
          </w:p>
        </w:tc>
        <w:tc>
          <w:tcPr>
            <w:tcW w:w="1359" w:type="dxa"/>
            <w:shd w:val="clear" w:color="auto" w:fill="auto"/>
            <w:vAlign w:val="center"/>
          </w:tcPr>
          <w:p w14:paraId="315DA67B" w14:textId="4F4812BD" w:rsidR="003B34F6" w:rsidRPr="00A06955" w:rsidRDefault="003B34F6" w:rsidP="00A06955">
            <w:pPr>
              <w:tabs>
                <w:tab w:val="decimal" w:pos="643"/>
                <w:tab w:val="decimal" w:pos="742"/>
              </w:tabs>
              <w:jc w:val="center"/>
              <w:rPr>
                <w:color w:val="auto"/>
                <w:sz w:val="20"/>
                <w:szCs w:val="20"/>
              </w:rPr>
            </w:pPr>
            <w:r w:rsidRPr="00A06955">
              <w:rPr>
                <w:color w:val="auto"/>
                <w:sz w:val="20"/>
                <w:szCs w:val="20"/>
              </w:rPr>
              <w:t>2</w:t>
            </w:r>
          </w:p>
        </w:tc>
        <w:tc>
          <w:tcPr>
            <w:tcW w:w="1274" w:type="dxa"/>
            <w:shd w:val="clear" w:color="auto" w:fill="auto"/>
            <w:vAlign w:val="center"/>
          </w:tcPr>
          <w:p w14:paraId="70C87DA5" w14:textId="77777777" w:rsidR="003B34F6" w:rsidRPr="00A06955" w:rsidRDefault="003B34F6" w:rsidP="00A06955">
            <w:pPr>
              <w:jc w:val="center"/>
              <w:rPr>
                <w:color w:val="auto"/>
                <w:sz w:val="20"/>
                <w:szCs w:val="20"/>
              </w:rPr>
            </w:pPr>
            <w:r w:rsidRPr="00A06955">
              <w:rPr>
                <w:color w:val="auto"/>
                <w:sz w:val="20"/>
                <w:szCs w:val="20"/>
              </w:rPr>
              <w:t>-</w:t>
            </w:r>
          </w:p>
        </w:tc>
        <w:tc>
          <w:tcPr>
            <w:tcW w:w="1605" w:type="dxa"/>
            <w:shd w:val="clear" w:color="auto" w:fill="auto"/>
            <w:vAlign w:val="center"/>
          </w:tcPr>
          <w:p w14:paraId="5689264A" w14:textId="1B03C7CF" w:rsidR="003B34F6" w:rsidRPr="00A06955" w:rsidRDefault="003B34F6" w:rsidP="00A06955">
            <w:pPr>
              <w:tabs>
                <w:tab w:val="decimal" w:pos="300"/>
              </w:tabs>
              <w:jc w:val="center"/>
              <w:rPr>
                <w:color w:val="auto"/>
                <w:sz w:val="20"/>
                <w:szCs w:val="20"/>
              </w:rPr>
            </w:pPr>
            <w:r w:rsidRPr="00A06955">
              <w:rPr>
                <w:color w:val="auto"/>
                <w:sz w:val="20"/>
                <w:szCs w:val="20"/>
              </w:rPr>
              <w:t>1</w:t>
            </w:r>
          </w:p>
        </w:tc>
        <w:tc>
          <w:tcPr>
            <w:tcW w:w="1720" w:type="dxa"/>
            <w:shd w:val="clear" w:color="auto" w:fill="auto"/>
            <w:vAlign w:val="center"/>
          </w:tcPr>
          <w:p w14:paraId="569A65BB"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5FAE7BB2" w14:textId="77777777" w:rsidR="003B34F6" w:rsidRPr="00A06955" w:rsidRDefault="003B34F6" w:rsidP="00A06955">
            <w:pPr>
              <w:tabs>
                <w:tab w:val="decimal" w:pos="376"/>
              </w:tabs>
              <w:jc w:val="center"/>
              <w:rPr>
                <w:color w:val="auto"/>
                <w:sz w:val="20"/>
                <w:szCs w:val="20"/>
              </w:rPr>
            </w:pPr>
            <w:r w:rsidRPr="00A06955">
              <w:rPr>
                <w:color w:val="auto"/>
                <w:sz w:val="20"/>
                <w:szCs w:val="20"/>
              </w:rPr>
              <w:t>3</w:t>
            </w:r>
          </w:p>
        </w:tc>
        <w:tc>
          <w:tcPr>
            <w:tcW w:w="1728" w:type="dxa"/>
            <w:shd w:val="clear" w:color="auto" w:fill="auto"/>
            <w:vAlign w:val="center"/>
          </w:tcPr>
          <w:p w14:paraId="43CC5054" w14:textId="7B15204B" w:rsidR="003B34F6" w:rsidRPr="00A06955" w:rsidRDefault="003B34F6" w:rsidP="00A06955">
            <w:pPr>
              <w:jc w:val="center"/>
              <w:rPr>
                <w:color w:val="auto"/>
                <w:sz w:val="20"/>
                <w:szCs w:val="20"/>
              </w:rPr>
            </w:pPr>
            <w:r w:rsidRPr="00A06955">
              <w:rPr>
                <w:color w:val="auto"/>
                <w:sz w:val="20"/>
                <w:szCs w:val="20"/>
              </w:rPr>
              <w:t>2</w:t>
            </w:r>
          </w:p>
        </w:tc>
      </w:tr>
      <w:tr w:rsidR="003B34F6" w:rsidRPr="003C0F16" w14:paraId="3899FFF1" w14:textId="77777777" w:rsidTr="000944CD">
        <w:trPr>
          <w:trHeight w:val="369"/>
        </w:trPr>
        <w:tc>
          <w:tcPr>
            <w:tcW w:w="2070" w:type="dxa"/>
            <w:shd w:val="clear" w:color="auto" w:fill="auto"/>
            <w:vAlign w:val="center"/>
          </w:tcPr>
          <w:p w14:paraId="7B61E103" w14:textId="7484E41D" w:rsidR="003B34F6" w:rsidRPr="00A06955" w:rsidRDefault="003B34F6" w:rsidP="00A06955">
            <w:pPr>
              <w:jc w:val="right"/>
              <w:rPr>
                <w:color w:val="auto"/>
                <w:sz w:val="20"/>
                <w:szCs w:val="20"/>
              </w:rPr>
            </w:pPr>
            <w:r w:rsidRPr="00A06955">
              <w:rPr>
                <w:color w:val="auto"/>
                <w:sz w:val="20"/>
                <w:szCs w:val="20"/>
              </w:rPr>
              <w:t>115,000–119,999</w:t>
            </w:r>
          </w:p>
        </w:tc>
        <w:tc>
          <w:tcPr>
            <w:tcW w:w="1359" w:type="dxa"/>
            <w:shd w:val="clear" w:color="auto" w:fill="auto"/>
            <w:vAlign w:val="center"/>
          </w:tcPr>
          <w:p w14:paraId="750237B5" w14:textId="29302AF1" w:rsidR="003B34F6" w:rsidRPr="00A06955" w:rsidRDefault="003B34F6" w:rsidP="00A06955">
            <w:pPr>
              <w:tabs>
                <w:tab w:val="decimal" w:pos="643"/>
                <w:tab w:val="decimal" w:pos="742"/>
              </w:tabs>
              <w:jc w:val="center"/>
              <w:rPr>
                <w:color w:val="auto"/>
                <w:sz w:val="20"/>
                <w:szCs w:val="20"/>
              </w:rPr>
            </w:pPr>
            <w:r w:rsidRPr="00A06955">
              <w:rPr>
                <w:color w:val="auto"/>
                <w:sz w:val="20"/>
                <w:szCs w:val="20"/>
              </w:rPr>
              <w:t>3</w:t>
            </w:r>
          </w:p>
        </w:tc>
        <w:tc>
          <w:tcPr>
            <w:tcW w:w="1274" w:type="dxa"/>
            <w:shd w:val="clear" w:color="auto" w:fill="auto"/>
            <w:vAlign w:val="center"/>
          </w:tcPr>
          <w:p w14:paraId="71201243" w14:textId="37EC2383" w:rsidR="003B34F6" w:rsidRPr="00A06955" w:rsidRDefault="003B34F6" w:rsidP="00A06955">
            <w:pPr>
              <w:jc w:val="center"/>
              <w:rPr>
                <w:color w:val="auto"/>
                <w:sz w:val="20"/>
                <w:szCs w:val="20"/>
              </w:rPr>
            </w:pPr>
            <w:r>
              <w:rPr>
                <w:color w:val="auto"/>
                <w:sz w:val="20"/>
                <w:szCs w:val="20"/>
              </w:rPr>
              <w:t>-</w:t>
            </w:r>
          </w:p>
        </w:tc>
        <w:tc>
          <w:tcPr>
            <w:tcW w:w="1605" w:type="dxa"/>
            <w:shd w:val="clear" w:color="auto" w:fill="auto"/>
            <w:vAlign w:val="center"/>
          </w:tcPr>
          <w:p w14:paraId="766989C0" w14:textId="791B28C3" w:rsidR="003B34F6" w:rsidRPr="00A06955" w:rsidRDefault="003B34F6" w:rsidP="00A06955">
            <w:pPr>
              <w:tabs>
                <w:tab w:val="decimal" w:pos="300"/>
              </w:tabs>
              <w:jc w:val="center"/>
              <w:rPr>
                <w:color w:val="auto"/>
                <w:sz w:val="20"/>
                <w:szCs w:val="20"/>
              </w:rPr>
            </w:pPr>
            <w:r>
              <w:rPr>
                <w:color w:val="auto"/>
                <w:sz w:val="20"/>
                <w:szCs w:val="20"/>
              </w:rPr>
              <w:t>-</w:t>
            </w:r>
          </w:p>
        </w:tc>
        <w:tc>
          <w:tcPr>
            <w:tcW w:w="1720" w:type="dxa"/>
            <w:shd w:val="clear" w:color="auto" w:fill="auto"/>
            <w:vAlign w:val="center"/>
          </w:tcPr>
          <w:p w14:paraId="2836E6E1" w14:textId="21F7A851" w:rsidR="003B34F6" w:rsidRPr="00A06955" w:rsidRDefault="003B34F6" w:rsidP="00A06955">
            <w:pPr>
              <w:jc w:val="center"/>
              <w:rPr>
                <w:color w:val="auto"/>
                <w:sz w:val="20"/>
                <w:szCs w:val="20"/>
              </w:rPr>
            </w:pPr>
            <w:r>
              <w:rPr>
                <w:color w:val="auto"/>
                <w:sz w:val="20"/>
                <w:szCs w:val="20"/>
              </w:rPr>
              <w:t>-</w:t>
            </w:r>
          </w:p>
        </w:tc>
        <w:tc>
          <w:tcPr>
            <w:tcW w:w="756" w:type="dxa"/>
            <w:vAlign w:val="center"/>
          </w:tcPr>
          <w:p w14:paraId="181212BC" w14:textId="77777777" w:rsidR="003B34F6" w:rsidRPr="00A06955" w:rsidRDefault="003B34F6" w:rsidP="00A06955">
            <w:pPr>
              <w:tabs>
                <w:tab w:val="decimal" w:pos="376"/>
              </w:tabs>
              <w:jc w:val="center"/>
              <w:rPr>
                <w:color w:val="auto"/>
                <w:sz w:val="20"/>
                <w:szCs w:val="20"/>
              </w:rPr>
            </w:pPr>
            <w:r w:rsidRPr="00A06955">
              <w:rPr>
                <w:color w:val="auto"/>
                <w:sz w:val="20"/>
                <w:szCs w:val="20"/>
              </w:rPr>
              <w:t>3</w:t>
            </w:r>
          </w:p>
        </w:tc>
        <w:tc>
          <w:tcPr>
            <w:tcW w:w="1728" w:type="dxa"/>
            <w:shd w:val="clear" w:color="auto" w:fill="auto"/>
            <w:vAlign w:val="center"/>
          </w:tcPr>
          <w:p w14:paraId="08657DDB" w14:textId="3500FF6C" w:rsidR="003B34F6" w:rsidRPr="00A06955" w:rsidRDefault="003B34F6" w:rsidP="00A06955">
            <w:pPr>
              <w:jc w:val="center"/>
              <w:rPr>
                <w:color w:val="auto"/>
                <w:sz w:val="20"/>
                <w:szCs w:val="20"/>
              </w:rPr>
            </w:pPr>
            <w:r w:rsidRPr="00A06955">
              <w:rPr>
                <w:color w:val="auto"/>
                <w:sz w:val="20"/>
                <w:szCs w:val="20"/>
              </w:rPr>
              <w:t>1</w:t>
            </w:r>
          </w:p>
        </w:tc>
      </w:tr>
      <w:tr w:rsidR="003B34F6" w:rsidRPr="003C0F16" w14:paraId="774DDB8A" w14:textId="77777777" w:rsidTr="000944CD">
        <w:trPr>
          <w:trHeight w:val="369"/>
        </w:trPr>
        <w:tc>
          <w:tcPr>
            <w:tcW w:w="2070" w:type="dxa"/>
            <w:shd w:val="clear" w:color="auto" w:fill="auto"/>
            <w:vAlign w:val="center"/>
          </w:tcPr>
          <w:p w14:paraId="06FCA209" w14:textId="5CCC9FCB" w:rsidR="003B34F6" w:rsidRPr="00A06955" w:rsidRDefault="003B34F6" w:rsidP="00A06955">
            <w:pPr>
              <w:jc w:val="right"/>
              <w:rPr>
                <w:color w:val="auto"/>
                <w:sz w:val="20"/>
                <w:szCs w:val="20"/>
              </w:rPr>
            </w:pPr>
            <w:r w:rsidRPr="00A06955">
              <w:rPr>
                <w:color w:val="auto"/>
                <w:sz w:val="20"/>
                <w:szCs w:val="20"/>
              </w:rPr>
              <w:t>120,000–124,999</w:t>
            </w:r>
          </w:p>
        </w:tc>
        <w:tc>
          <w:tcPr>
            <w:tcW w:w="1359" w:type="dxa"/>
            <w:shd w:val="clear" w:color="auto" w:fill="auto"/>
            <w:vAlign w:val="center"/>
          </w:tcPr>
          <w:p w14:paraId="24E0F2D0" w14:textId="311B061E" w:rsidR="003B34F6" w:rsidRPr="00A06955" w:rsidRDefault="003B34F6" w:rsidP="00A06955">
            <w:pPr>
              <w:tabs>
                <w:tab w:val="decimal" w:pos="643"/>
                <w:tab w:val="decimal" w:pos="742"/>
              </w:tabs>
              <w:jc w:val="center"/>
              <w:rPr>
                <w:color w:val="auto"/>
                <w:sz w:val="20"/>
                <w:szCs w:val="20"/>
              </w:rPr>
            </w:pPr>
            <w:r w:rsidRPr="00A06955">
              <w:rPr>
                <w:color w:val="auto"/>
                <w:sz w:val="20"/>
                <w:szCs w:val="20"/>
              </w:rPr>
              <w:t>1</w:t>
            </w:r>
          </w:p>
        </w:tc>
        <w:tc>
          <w:tcPr>
            <w:tcW w:w="1274" w:type="dxa"/>
            <w:shd w:val="clear" w:color="auto" w:fill="auto"/>
            <w:vAlign w:val="center"/>
          </w:tcPr>
          <w:p w14:paraId="64CFCA3C" w14:textId="77777777" w:rsidR="003B34F6" w:rsidRPr="00A06955" w:rsidRDefault="003B34F6" w:rsidP="00A06955">
            <w:pPr>
              <w:jc w:val="center"/>
              <w:rPr>
                <w:color w:val="auto"/>
                <w:sz w:val="20"/>
                <w:szCs w:val="20"/>
              </w:rPr>
            </w:pPr>
            <w:r w:rsidRPr="00A06955">
              <w:rPr>
                <w:color w:val="auto"/>
                <w:sz w:val="20"/>
                <w:szCs w:val="20"/>
              </w:rPr>
              <w:t>-</w:t>
            </w:r>
          </w:p>
        </w:tc>
        <w:tc>
          <w:tcPr>
            <w:tcW w:w="1605" w:type="dxa"/>
            <w:shd w:val="clear" w:color="auto" w:fill="auto"/>
            <w:vAlign w:val="center"/>
          </w:tcPr>
          <w:p w14:paraId="128E543D" w14:textId="77777777" w:rsidR="003B34F6" w:rsidRPr="00A06955" w:rsidRDefault="003B34F6" w:rsidP="00A06955">
            <w:pPr>
              <w:tabs>
                <w:tab w:val="decimal" w:pos="300"/>
              </w:tabs>
              <w:jc w:val="center"/>
              <w:rPr>
                <w:color w:val="auto"/>
                <w:sz w:val="20"/>
                <w:szCs w:val="20"/>
              </w:rPr>
            </w:pPr>
            <w:r w:rsidRPr="00A06955">
              <w:rPr>
                <w:color w:val="auto"/>
                <w:sz w:val="20"/>
                <w:szCs w:val="20"/>
              </w:rPr>
              <w:t>-</w:t>
            </w:r>
          </w:p>
        </w:tc>
        <w:tc>
          <w:tcPr>
            <w:tcW w:w="1720" w:type="dxa"/>
            <w:shd w:val="clear" w:color="auto" w:fill="auto"/>
            <w:vAlign w:val="center"/>
          </w:tcPr>
          <w:p w14:paraId="0827EBC5"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72F3E3AF" w14:textId="77777777" w:rsidR="003B34F6" w:rsidRPr="00A06955" w:rsidRDefault="003B34F6" w:rsidP="00A06955">
            <w:pPr>
              <w:tabs>
                <w:tab w:val="decimal" w:pos="376"/>
              </w:tabs>
              <w:jc w:val="center"/>
              <w:rPr>
                <w:color w:val="auto"/>
                <w:sz w:val="20"/>
                <w:szCs w:val="20"/>
              </w:rPr>
            </w:pPr>
            <w:r w:rsidRPr="00A06955">
              <w:rPr>
                <w:color w:val="auto"/>
                <w:sz w:val="20"/>
                <w:szCs w:val="20"/>
              </w:rPr>
              <w:t>1</w:t>
            </w:r>
          </w:p>
        </w:tc>
        <w:tc>
          <w:tcPr>
            <w:tcW w:w="1728" w:type="dxa"/>
            <w:shd w:val="clear" w:color="auto" w:fill="auto"/>
            <w:vAlign w:val="center"/>
          </w:tcPr>
          <w:p w14:paraId="1172AC6F" w14:textId="74C66F6F" w:rsidR="003B34F6" w:rsidRPr="00A06955" w:rsidRDefault="003B34F6" w:rsidP="00A06955">
            <w:pPr>
              <w:jc w:val="center"/>
              <w:rPr>
                <w:color w:val="auto"/>
                <w:sz w:val="20"/>
                <w:szCs w:val="20"/>
              </w:rPr>
            </w:pPr>
            <w:r w:rsidRPr="00A06955">
              <w:rPr>
                <w:color w:val="auto"/>
                <w:sz w:val="20"/>
                <w:szCs w:val="20"/>
              </w:rPr>
              <w:t>1</w:t>
            </w:r>
          </w:p>
        </w:tc>
      </w:tr>
      <w:tr w:rsidR="003B34F6" w:rsidRPr="003C0F16" w14:paraId="3546BE1C" w14:textId="77777777" w:rsidTr="000944CD">
        <w:trPr>
          <w:trHeight w:val="369"/>
        </w:trPr>
        <w:tc>
          <w:tcPr>
            <w:tcW w:w="2070" w:type="dxa"/>
            <w:shd w:val="clear" w:color="auto" w:fill="auto"/>
            <w:vAlign w:val="center"/>
          </w:tcPr>
          <w:p w14:paraId="3E33EEE5" w14:textId="25A20001" w:rsidR="003B34F6" w:rsidRPr="00A06955" w:rsidRDefault="003B34F6" w:rsidP="00A06955">
            <w:pPr>
              <w:tabs>
                <w:tab w:val="decimal" w:pos="300"/>
                <w:tab w:val="decimal" w:pos="376"/>
                <w:tab w:val="decimal" w:pos="643"/>
              </w:tabs>
              <w:jc w:val="right"/>
              <w:rPr>
                <w:color w:val="auto"/>
                <w:sz w:val="20"/>
                <w:szCs w:val="20"/>
              </w:rPr>
            </w:pPr>
            <w:r w:rsidRPr="00A06955">
              <w:rPr>
                <w:color w:val="auto"/>
                <w:sz w:val="20"/>
                <w:szCs w:val="20"/>
              </w:rPr>
              <w:t>125,000–129,999</w:t>
            </w:r>
          </w:p>
        </w:tc>
        <w:tc>
          <w:tcPr>
            <w:tcW w:w="1359" w:type="dxa"/>
            <w:shd w:val="clear" w:color="auto" w:fill="auto"/>
            <w:vAlign w:val="center"/>
          </w:tcPr>
          <w:p w14:paraId="6960933E" w14:textId="52E6F02B" w:rsidR="003B34F6" w:rsidRPr="00A06955" w:rsidRDefault="003B34F6" w:rsidP="00A06955">
            <w:pPr>
              <w:tabs>
                <w:tab w:val="decimal" w:pos="643"/>
                <w:tab w:val="decimal" w:pos="742"/>
              </w:tabs>
              <w:jc w:val="center"/>
              <w:rPr>
                <w:color w:val="auto"/>
                <w:sz w:val="20"/>
                <w:szCs w:val="20"/>
              </w:rPr>
            </w:pPr>
            <w:r w:rsidRPr="00A06955">
              <w:rPr>
                <w:color w:val="auto"/>
                <w:sz w:val="20"/>
                <w:szCs w:val="20"/>
              </w:rPr>
              <w:t>4</w:t>
            </w:r>
          </w:p>
        </w:tc>
        <w:tc>
          <w:tcPr>
            <w:tcW w:w="1274" w:type="dxa"/>
            <w:shd w:val="clear" w:color="auto" w:fill="auto"/>
            <w:vAlign w:val="center"/>
          </w:tcPr>
          <w:p w14:paraId="38FD9960" w14:textId="77777777" w:rsidR="003B34F6" w:rsidRPr="00A06955" w:rsidRDefault="003B34F6" w:rsidP="00A06955">
            <w:pPr>
              <w:jc w:val="center"/>
              <w:rPr>
                <w:color w:val="auto"/>
                <w:sz w:val="20"/>
                <w:szCs w:val="20"/>
              </w:rPr>
            </w:pPr>
            <w:r w:rsidRPr="00A06955">
              <w:rPr>
                <w:color w:val="auto"/>
                <w:sz w:val="20"/>
                <w:szCs w:val="20"/>
              </w:rPr>
              <w:t>-</w:t>
            </w:r>
          </w:p>
        </w:tc>
        <w:tc>
          <w:tcPr>
            <w:tcW w:w="1605" w:type="dxa"/>
            <w:shd w:val="clear" w:color="auto" w:fill="auto"/>
            <w:vAlign w:val="center"/>
          </w:tcPr>
          <w:p w14:paraId="73F1C845" w14:textId="77777777" w:rsidR="003B34F6" w:rsidRPr="00A06955" w:rsidRDefault="003B34F6" w:rsidP="00A06955">
            <w:pPr>
              <w:tabs>
                <w:tab w:val="decimal" w:pos="300"/>
              </w:tabs>
              <w:jc w:val="center"/>
              <w:rPr>
                <w:color w:val="auto"/>
                <w:sz w:val="20"/>
                <w:szCs w:val="20"/>
              </w:rPr>
            </w:pPr>
            <w:r w:rsidRPr="00A06955">
              <w:rPr>
                <w:color w:val="auto"/>
                <w:sz w:val="20"/>
                <w:szCs w:val="20"/>
              </w:rPr>
              <w:t>-</w:t>
            </w:r>
          </w:p>
        </w:tc>
        <w:tc>
          <w:tcPr>
            <w:tcW w:w="1720" w:type="dxa"/>
            <w:shd w:val="clear" w:color="auto" w:fill="auto"/>
            <w:vAlign w:val="center"/>
          </w:tcPr>
          <w:p w14:paraId="5402D2A0"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294A9136" w14:textId="77777777" w:rsidR="003B34F6" w:rsidRPr="00A06955" w:rsidRDefault="003B34F6" w:rsidP="00A06955">
            <w:pPr>
              <w:tabs>
                <w:tab w:val="decimal" w:pos="376"/>
              </w:tabs>
              <w:jc w:val="center"/>
              <w:rPr>
                <w:color w:val="auto"/>
                <w:sz w:val="20"/>
                <w:szCs w:val="20"/>
              </w:rPr>
            </w:pPr>
            <w:r w:rsidRPr="00A06955">
              <w:rPr>
                <w:color w:val="auto"/>
                <w:sz w:val="20"/>
                <w:szCs w:val="20"/>
              </w:rPr>
              <w:t>4</w:t>
            </w:r>
          </w:p>
        </w:tc>
        <w:tc>
          <w:tcPr>
            <w:tcW w:w="1728" w:type="dxa"/>
            <w:shd w:val="clear" w:color="auto" w:fill="auto"/>
            <w:vAlign w:val="center"/>
          </w:tcPr>
          <w:p w14:paraId="2CB19FA8" w14:textId="0098783E" w:rsidR="003B34F6" w:rsidRPr="00A06955" w:rsidRDefault="003B34F6" w:rsidP="00A06955">
            <w:pPr>
              <w:jc w:val="center"/>
              <w:rPr>
                <w:color w:val="auto"/>
                <w:sz w:val="20"/>
                <w:szCs w:val="20"/>
              </w:rPr>
            </w:pPr>
            <w:r w:rsidRPr="00A06955">
              <w:rPr>
                <w:color w:val="auto"/>
                <w:sz w:val="20"/>
                <w:szCs w:val="20"/>
              </w:rPr>
              <w:t>4</w:t>
            </w:r>
          </w:p>
        </w:tc>
      </w:tr>
      <w:tr w:rsidR="003B34F6" w:rsidRPr="003C0F16" w14:paraId="43B54F48" w14:textId="77777777" w:rsidTr="000944CD">
        <w:trPr>
          <w:trHeight w:val="369"/>
        </w:trPr>
        <w:tc>
          <w:tcPr>
            <w:tcW w:w="2070" w:type="dxa"/>
            <w:shd w:val="clear" w:color="auto" w:fill="auto"/>
            <w:vAlign w:val="center"/>
          </w:tcPr>
          <w:p w14:paraId="75F7F5FC" w14:textId="14F41341" w:rsidR="003B34F6" w:rsidRPr="00A06955" w:rsidRDefault="003B34F6" w:rsidP="00A06955">
            <w:pPr>
              <w:jc w:val="right"/>
              <w:rPr>
                <w:color w:val="auto"/>
                <w:sz w:val="20"/>
                <w:szCs w:val="20"/>
              </w:rPr>
            </w:pPr>
            <w:r w:rsidRPr="00A06955">
              <w:rPr>
                <w:color w:val="auto"/>
                <w:sz w:val="20"/>
                <w:szCs w:val="20"/>
              </w:rPr>
              <w:t>130,000–134,999</w:t>
            </w:r>
          </w:p>
        </w:tc>
        <w:tc>
          <w:tcPr>
            <w:tcW w:w="1359" w:type="dxa"/>
            <w:shd w:val="clear" w:color="auto" w:fill="auto"/>
            <w:vAlign w:val="center"/>
          </w:tcPr>
          <w:p w14:paraId="44A4BF21" w14:textId="72935F6E" w:rsidR="003B34F6" w:rsidRPr="00A06955" w:rsidRDefault="003B34F6" w:rsidP="00A06955">
            <w:pPr>
              <w:tabs>
                <w:tab w:val="decimal" w:pos="643"/>
                <w:tab w:val="decimal" w:pos="742"/>
              </w:tabs>
              <w:jc w:val="center"/>
              <w:rPr>
                <w:color w:val="auto"/>
                <w:sz w:val="20"/>
                <w:szCs w:val="20"/>
              </w:rPr>
            </w:pPr>
            <w:r w:rsidRPr="00A06955">
              <w:rPr>
                <w:color w:val="auto"/>
                <w:sz w:val="20"/>
                <w:szCs w:val="20"/>
              </w:rPr>
              <w:t>1</w:t>
            </w:r>
          </w:p>
        </w:tc>
        <w:tc>
          <w:tcPr>
            <w:tcW w:w="1274" w:type="dxa"/>
            <w:shd w:val="clear" w:color="auto" w:fill="auto"/>
            <w:vAlign w:val="center"/>
          </w:tcPr>
          <w:p w14:paraId="7F45351E" w14:textId="77777777" w:rsidR="003B34F6" w:rsidRPr="00A06955" w:rsidRDefault="003B34F6" w:rsidP="00A06955">
            <w:pPr>
              <w:jc w:val="center"/>
              <w:rPr>
                <w:color w:val="auto"/>
                <w:sz w:val="20"/>
                <w:szCs w:val="20"/>
              </w:rPr>
            </w:pPr>
            <w:r w:rsidRPr="00A06955">
              <w:rPr>
                <w:color w:val="auto"/>
                <w:sz w:val="20"/>
                <w:szCs w:val="20"/>
              </w:rPr>
              <w:t>-</w:t>
            </w:r>
          </w:p>
        </w:tc>
        <w:tc>
          <w:tcPr>
            <w:tcW w:w="1605" w:type="dxa"/>
            <w:shd w:val="clear" w:color="auto" w:fill="auto"/>
            <w:vAlign w:val="center"/>
          </w:tcPr>
          <w:p w14:paraId="1D13C1D4" w14:textId="77777777" w:rsidR="003B34F6" w:rsidRPr="00A06955" w:rsidRDefault="003B34F6" w:rsidP="00A06955">
            <w:pPr>
              <w:tabs>
                <w:tab w:val="decimal" w:pos="300"/>
              </w:tabs>
              <w:jc w:val="center"/>
              <w:rPr>
                <w:color w:val="auto"/>
                <w:sz w:val="20"/>
                <w:szCs w:val="20"/>
              </w:rPr>
            </w:pPr>
            <w:r w:rsidRPr="00A06955">
              <w:rPr>
                <w:color w:val="auto"/>
                <w:sz w:val="20"/>
                <w:szCs w:val="20"/>
              </w:rPr>
              <w:t>-</w:t>
            </w:r>
          </w:p>
        </w:tc>
        <w:tc>
          <w:tcPr>
            <w:tcW w:w="1720" w:type="dxa"/>
            <w:shd w:val="clear" w:color="auto" w:fill="auto"/>
            <w:vAlign w:val="center"/>
          </w:tcPr>
          <w:p w14:paraId="0B7A548E"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03D87689" w14:textId="77777777" w:rsidR="003B34F6" w:rsidRPr="00A06955" w:rsidRDefault="003B34F6" w:rsidP="00A06955">
            <w:pPr>
              <w:tabs>
                <w:tab w:val="decimal" w:pos="376"/>
              </w:tabs>
              <w:jc w:val="center"/>
              <w:rPr>
                <w:color w:val="auto"/>
                <w:sz w:val="20"/>
                <w:szCs w:val="20"/>
              </w:rPr>
            </w:pPr>
            <w:r w:rsidRPr="00A06955">
              <w:rPr>
                <w:color w:val="auto"/>
                <w:sz w:val="20"/>
                <w:szCs w:val="20"/>
              </w:rPr>
              <w:t>1</w:t>
            </w:r>
          </w:p>
        </w:tc>
        <w:tc>
          <w:tcPr>
            <w:tcW w:w="1728" w:type="dxa"/>
            <w:shd w:val="clear" w:color="auto" w:fill="auto"/>
            <w:vAlign w:val="center"/>
          </w:tcPr>
          <w:p w14:paraId="22481E0B" w14:textId="1AC0EF5B" w:rsidR="003B34F6" w:rsidRPr="00A06955" w:rsidRDefault="003B34F6" w:rsidP="00A06955">
            <w:pPr>
              <w:jc w:val="center"/>
              <w:rPr>
                <w:color w:val="auto"/>
                <w:sz w:val="20"/>
                <w:szCs w:val="20"/>
              </w:rPr>
            </w:pPr>
            <w:r w:rsidRPr="00A06955">
              <w:rPr>
                <w:color w:val="auto"/>
                <w:sz w:val="20"/>
                <w:szCs w:val="20"/>
              </w:rPr>
              <w:t>1</w:t>
            </w:r>
          </w:p>
        </w:tc>
      </w:tr>
      <w:tr w:rsidR="003B34F6" w:rsidRPr="003C0F16" w14:paraId="11509E03" w14:textId="77777777" w:rsidTr="000944CD">
        <w:trPr>
          <w:trHeight w:val="369"/>
        </w:trPr>
        <w:tc>
          <w:tcPr>
            <w:tcW w:w="2070" w:type="dxa"/>
            <w:shd w:val="clear" w:color="auto" w:fill="auto"/>
            <w:vAlign w:val="center"/>
          </w:tcPr>
          <w:p w14:paraId="1DAF5B58" w14:textId="7552F6DE" w:rsidR="003B34F6" w:rsidRPr="00A06955" w:rsidRDefault="003B34F6" w:rsidP="00A06955">
            <w:pPr>
              <w:jc w:val="right"/>
              <w:rPr>
                <w:color w:val="auto"/>
                <w:sz w:val="20"/>
                <w:szCs w:val="20"/>
              </w:rPr>
            </w:pPr>
            <w:r w:rsidRPr="00A06955">
              <w:rPr>
                <w:color w:val="auto"/>
                <w:sz w:val="20"/>
                <w:szCs w:val="20"/>
              </w:rPr>
              <w:t>145,000–149,999</w:t>
            </w:r>
          </w:p>
        </w:tc>
        <w:tc>
          <w:tcPr>
            <w:tcW w:w="1359" w:type="dxa"/>
            <w:shd w:val="clear" w:color="auto" w:fill="auto"/>
            <w:vAlign w:val="center"/>
          </w:tcPr>
          <w:p w14:paraId="6B4FFECE" w14:textId="77777777" w:rsidR="003B34F6" w:rsidRPr="00A06955" w:rsidRDefault="003B34F6" w:rsidP="00A06955">
            <w:pPr>
              <w:tabs>
                <w:tab w:val="decimal" w:pos="643"/>
                <w:tab w:val="decimal" w:pos="742"/>
              </w:tabs>
              <w:jc w:val="center"/>
              <w:rPr>
                <w:color w:val="auto"/>
                <w:sz w:val="20"/>
                <w:szCs w:val="20"/>
              </w:rPr>
            </w:pPr>
            <w:r w:rsidRPr="00A06955">
              <w:rPr>
                <w:color w:val="auto"/>
                <w:sz w:val="20"/>
                <w:szCs w:val="20"/>
              </w:rPr>
              <w:t>-</w:t>
            </w:r>
          </w:p>
        </w:tc>
        <w:tc>
          <w:tcPr>
            <w:tcW w:w="1274" w:type="dxa"/>
            <w:shd w:val="clear" w:color="auto" w:fill="auto"/>
            <w:vAlign w:val="center"/>
          </w:tcPr>
          <w:p w14:paraId="76EF1BBE" w14:textId="77777777" w:rsidR="003B34F6" w:rsidRPr="00A06955" w:rsidRDefault="003B34F6" w:rsidP="00A06955">
            <w:pPr>
              <w:jc w:val="center"/>
              <w:rPr>
                <w:color w:val="auto"/>
                <w:sz w:val="20"/>
                <w:szCs w:val="20"/>
              </w:rPr>
            </w:pPr>
            <w:r w:rsidRPr="00A06955">
              <w:rPr>
                <w:color w:val="auto"/>
                <w:sz w:val="20"/>
                <w:szCs w:val="20"/>
              </w:rPr>
              <w:t>1</w:t>
            </w:r>
          </w:p>
        </w:tc>
        <w:tc>
          <w:tcPr>
            <w:tcW w:w="1605" w:type="dxa"/>
            <w:shd w:val="clear" w:color="auto" w:fill="auto"/>
            <w:vAlign w:val="center"/>
          </w:tcPr>
          <w:p w14:paraId="4E08526A" w14:textId="77777777" w:rsidR="003B34F6" w:rsidRPr="00A06955" w:rsidRDefault="003B34F6" w:rsidP="00A06955">
            <w:pPr>
              <w:tabs>
                <w:tab w:val="decimal" w:pos="300"/>
              </w:tabs>
              <w:jc w:val="center"/>
              <w:rPr>
                <w:color w:val="auto"/>
                <w:sz w:val="20"/>
                <w:szCs w:val="20"/>
              </w:rPr>
            </w:pPr>
            <w:r w:rsidRPr="00A06955">
              <w:rPr>
                <w:color w:val="auto"/>
                <w:sz w:val="20"/>
                <w:szCs w:val="20"/>
              </w:rPr>
              <w:t>-</w:t>
            </w:r>
          </w:p>
        </w:tc>
        <w:tc>
          <w:tcPr>
            <w:tcW w:w="1720" w:type="dxa"/>
            <w:shd w:val="clear" w:color="auto" w:fill="auto"/>
            <w:vAlign w:val="center"/>
          </w:tcPr>
          <w:p w14:paraId="4362FA33"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7E71CD57" w14:textId="77777777" w:rsidR="003B34F6" w:rsidRPr="00A06955" w:rsidRDefault="003B34F6" w:rsidP="00A06955">
            <w:pPr>
              <w:tabs>
                <w:tab w:val="decimal" w:pos="376"/>
              </w:tabs>
              <w:jc w:val="center"/>
              <w:rPr>
                <w:color w:val="auto"/>
                <w:sz w:val="20"/>
                <w:szCs w:val="20"/>
              </w:rPr>
            </w:pPr>
            <w:r w:rsidRPr="00A06955">
              <w:rPr>
                <w:color w:val="auto"/>
                <w:sz w:val="20"/>
                <w:szCs w:val="20"/>
              </w:rPr>
              <w:t>1</w:t>
            </w:r>
          </w:p>
        </w:tc>
        <w:tc>
          <w:tcPr>
            <w:tcW w:w="1728" w:type="dxa"/>
            <w:shd w:val="clear" w:color="auto" w:fill="auto"/>
            <w:vAlign w:val="center"/>
          </w:tcPr>
          <w:p w14:paraId="6EDF8DD2" w14:textId="77777777" w:rsidR="003B34F6" w:rsidRPr="00A06955" w:rsidRDefault="003B34F6" w:rsidP="00A06955">
            <w:pPr>
              <w:jc w:val="center"/>
              <w:rPr>
                <w:color w:val="auto"/>
                <w:sz w:val="20"/>
                <w:szCs w:val="20"/>
              </w:rPr>
            </w:pPr>
            <w:r w:rsidRPr="00A06955">
              <w:rPr>
                <w:color w:val="auto"/>
                <w:sz w:val="20"/>
                <w:szCs w:val="20"/>
              </w:rPr>
              <w:t>-</w:t>
            </w:r>
          </w:p>
        </w:tc>
      </w:tr>
      <w:tr w:rsidR="003B34F6" w:rsidRPr="003C0F16" w14:paraId="660396F2" w14:textId="77777777" w:rsidTr="000944CD">
        <w:trPr>
          <w:trHeight w:val="369"/>
        </w:trPr>
        <w:tc>
          <w:tcPr>
            <w:tcW w:w="2070" w:type="dxa"/>
            <w:shd w:val="clear" w:color="auto" w:fill="auto"/>
            <w:vAlign w:val="center"/>
          </w:tcPr>
          <w:p w14:paraId="5CCAA225" w14:textId="3CEFE3BE" w:rsidR="003B34F6" w:rsidRPr="00A06955" w:rsidRDefault="003B34F6" w:rsidP="00A06955">
            <w:pPr>
              <w:jc w:val="right"/>
              <w:rPr>
                <w:color w:val="auto"/>
                <w:sz w:val="20"/>
                <w:szCs w:val="20"/>
              </w:rPr>
            </w:pPr>
            <w:r w:rsidRPr="00A06955">
              <w:rPr>
                <w:color w:val="auto"/>
                <w:sz w:val="20"/>
                <w:szCs w:val="20"/>
              </w:rPr>
              <w:t>150,000–154,999</w:t>
            </w:r>
          </w:p>
        </w:tc>
        <w:tc>
          <w:tcPr>
            <w:tcW w:w="1359" w:type="dxa"/>
            <w:shd w:val="clear" w:color="auto" w:fill="auto"/>
            <w:vAlign w:val="center"/>
          </w:tcPr>
          <w:p w14:paraId="64BB431A" w14:textId="77777777" w:rsidR="003B34F6" w:rsidRPr="00A06955" w:rsidRDefault="003B34F6" w:rsidP="00A06955">
            <w:pPr>
              <w:tabs>
                <w:tab w:val="decimal" w:pos="643"/>
                <w:tab w:val="decimal" w:pos="742"/>
              </w:tabs>
              <w:jc w:val="center"/>
              <w:rPr>
                <w:color w:val="auto"/>
                <w:sz w:val="20"/>
                <w:szCs w:val="20"/>
              </w:rPr>
            </w:pPr>
            <w:r w:rsidRPr="00A06955">
              <w:rPr>
                <w:color w:val="auto"/>
                <w:sz w:val="20"/>
                <w:szCs w:val="20"/>
              </w:rPr>
              <w:t>-</w:t>
            </w:r>
          </w:p>
        </w:tc>
        <w:tc>
          <w:tcPr>
            <w:tcW w:w="1274" w:type="dxa"/>
            <w:shd w:val="clear" w:color="auto" w:fill="auto"/>
            <w:vAlign w:val="center"/>
          </w:tcPr>
          <w:p w14:paraId="7F0A183B" w14:textId="77777777" w:rsidR="003B34F6" w:rsidRPr="00A06955" w:rsidRDefault="003B34F6" w:rsidP="00A06955">
            <w:pPr>
              <w:jc w:val="center"/>
              <w:rPr>
                <w:color w:val="auto"/>
                <w:sz w:val="20"/>
                <w:szCs w:val="20"/>
              </w:rPr>
            </w:pPr>
            <w:r w:rsidRPr="00A06955">
              <w:rPr>
                <w:color w:val="auto"/>
                <w:sz w:val="20"/>
                <w:szCs w:val="20"/>
              </w:rPr>
              <w:t>-</w:t>
            </w:r>
          </w:p>
        </w:tc>
        <w:tc>
          <w:tcPr>
            <w:tcW w:w="1605" w:type="dxa"/>
            <w:shd w:val="clear" w:color="auto" w:fill="auto"/>
            <w:vAlign w:val="center"/>
          </w:tcPr>
          <w:p w14:paraId="41507CD4" w14:textId="77777777" w:rsidR="003B34F6" w:rsidRPr="00A06955" w:rsidRDefault="003B34F6" w:rsidP="00A06955">
            <w:pPr>
              <w:tabs>
                <w:tab w:val="decimal" w:pos="300"/>
              </w:tabs>
              <w:jc w:val="center"/>
              <w:rPr>
                <w:color w:val="auto"/>
                <w:sz w:val="20"/>
                <w:szCs w:val="20"/>
              </w:rPr>
            </w:pPr>
            <w:r w:rsidRPr="00A06955">
              <w:rPr>
                <w:color w:val="auto"/>
                <w:sz w:val="20"/>
                <w:szCs w:val="20"/>
              </w:rPr>
              <w:t>-</w:t>
            </w:r>
          </w:p>
        </w:tc>
        <w:tc>
          <w:tcPr>
            <w:tcW w:w="1720" w:type="dxa"/>
            <w:shd w:val="clear" w:color="auto" w:fill="auto"/>
            <w:vAlign w:val="center"/>
          </w:tcPr>
          <w:p w14:paraId="587DBEE3" w14:textId="77777777" w:rsidR="003B34F6" w:rsidRPr="00A06955" w:rsidRDefault="003B34F6" w:rsidP="00A06955">
            <w:pPr>
              <w:jc w:val="center"/>
              <w:rPr>
                <w:color w:val="auto"/>
                <w:sz w:val="20"/>
                <w:szCs w:val="20"/>
              </w:rPr>
            </w:pPr>
            <w:r w:rsidRPr="00A06955">
              <w:rPr>
                <w:color w:val="auto"/>
                <w:sz w:val="20"/>
                <w:szCs w:val="20"/>
              </w:rPr>
              <w:t>1</w:t>
            </w:r>
          </w:p>
        </w:tc>
        <w:tc>
          <w:tcPr>
            <w:tcW w:w="756" w:type="dxa"/>
            <w:vAlign w:val="center"/>
          </w:tcPr>
          <w:p w14:paraId="05F30965" w14:textId="77777777" w:rsidR="003B34F6" w:rsidRPr="00A06955" w:rsidRDefault="003B34F6" w:rsidP="00A06955">
            <w:pPr>
              <w:tabs>
                <w:tab w:val="decimal" w:pos="376"/>
              </w:tabs>
              <w:jc w:val="center"/>
              <w:rPr>
                <w:color w:val="auto"/>
                <w:sz w:val="20"/>
                <w:szCs w:val="20"/>
              </w:rPr>
            </w:pPr>
            <w:r w:rsidRPr="00A06955">
              <w:rPr>
                <w:color w:val="auto"/>
                <w:sz w:val="20"/>
                <w:szCs w:val="20"/>
              </w:rPr>
              <w:t>1</w:t>
            </w:r>
          </w:p>
        </w:tc>
        <w:tc>
          <w:tcPr>
            <w:tcW w:w="1728" w:type="dxa"/>
            <w:shd w:val="clear" w:color="auto" w:fill="auto"/>
            <w:vAlign w:val="center"/>
          </w:tcPr>
          <w:p w14:paraId="57BC1878" w14:textId="77777777" w:rsidR="003B34F6" w:rsidRPr="00A06955" w:rsidRDefault="003B34F6" w:rsidP="00A06955">
            <w:pPr>
              <w:jc w:val="center"/>
              <w:rPr>
                <w:color w:val="auto"/>
                <w:sz w:val="20"/>
                <w:szCs w:val="20"/>
              </w:rPr>
            </w:pPr>
            <w:r w:rsidRPr="00A06955">
              <w:rPr>
                <w:color w:val="auto"/>
                <w:sz w:val="20"/>
                <w:szCs w:val="20"/>
              </w:rPr>
              <w:t>1</w:t>
            </w:r>
          </w:p>
        </w:tc>
      </w:tr>
      <w:tr w:rsidR="003B34F6" w:rsidRPr="003C0F16" w14:paraId="4E347BD4" w14:textId="77777777" w:rsidTr="000944CD">
        <w:trPr>
          <w:trHeight w:val="369"/>
        </w:trPr>
        <w:tc>
          <w:tcPr>
            <w:tcW w:w="2070" w:type="dxa"/>
            <w:shd w:val="clear" w:color="auto" w:fill="auto"/>
            <w:vAlign w:val="center"/>
          </w:tcPr>
          <w:p w14:paraId="32C2BC93" w14:textId="6CD1037F" w:rsidR="003B34F6" w:rsidRPr="00A06955" w:rsidRDefault="003B34F6" w:rsidP="00A06955">
            <w:pPr>
              <w:jc w:val="right"/>
              <w:rPr>
                <w:color w:val="auto"/>
                <w:sz w:val="20"/>
                <w:szCs w:val="20"/>
              </w:rPr>
            </w:pPr>
            <w:r w:rsidRPr="00A06955">
              <w:rPr>
                <w:color w:val="auto"/>
                <w:sz w:val="20"/>
                <w:szCs w:val="20"/>
              </w:rPr>
              <w:t>180,000–184,999</w:t>
            </w:r>
          </w:p>
        </w:tc>
        <w:tc>
          <w:tcPr>
            <w:tcW w:w="1359" w:type="dxa"/>
            <w:shd w:val="clear" w:color="auto" w:fill="auto"/>
            <w:vAlign w:val="center"/>
          </w:tcPr>
          <w:p w14:paraId="73C91423" w14:textId="77777777" w:rsidR="003B34F6" w:rsidRPr="00A06955" w:rsidRDefault="003B34F6" w:rsidP="00A06955">
            <w:pPr>
              <w:tabs>
                <w:tab w:val="decimal" w:pos="643"/>
                <w:tab w:val="decimal" w:pos="742"/>
              </w:tabs>
              <w:jc w:val="center"/>
              <w:rPr>
                <w:color w:val="auto"/>
                <w:sz w:val="20"/>
                <w:szCs w:val="20"/>
              </w:rPr>
            </w:pPr>
            <w:r w:rsidRPr="00A06955">
              <w:rPr>
                <w:color w:val="auto"/>
                <w:sz w:val="20"/>
                <w:szCs w:val="20"/>
              </w:rPr>
              <w:t>1</w:t>
            </w:r>
          </w:p>
        </w:tc>
        <w:tc>
          <w:tcPr>
            <w:tcW w:w="1274" w:type="dxa"/>
            <w:shd w:val="clear" w:color="auto" w:fill="auto"/>
            <w:vAlign w:val="center"/>
          </w:tcPr>
          <w:p w14:paraId="04168086" w14:textId="77777777" w:rsidR="003B34F6" w:rsidRPr="00A06955" w:rsidRDefault="003B34F6" w:rsidP="00A06955">
            <w:pPr>
              <w:jc w:val="center"/>
              <w:rPr>
                <w:color w:val="auto"/>
                <w:sz w:val="20"/>
                <w:szCs w:val="20"/>
              </w:rPr>
            </w:pPr>
            <w:r w:rsidRPr="00A06955">
              <w:rPr>
                <w:color w:val="auto"/>
                <w:sz w:val="20"/>
                <w:szCs w:val="20"/>
              </w:rPr>
              <w:t>-</w:t>
            </w:r>
          </w:p>
        </w:tc>
        <w:tc>
          <w:tcPr>
            <w:tcW w:w="1605" w:type="dxa"/>
            <w:shd w:val="clear" w:color="auto" w:fill="auto"/>
            <w:vAlign w:val="center"/>
          </w:tcPr>
          <w:p w14:paraId="6E4D4741" w14:textId="77777777" w:rsidR="003B34F6" w:rsidRPr="00A06955" w:rsidRDefault="003B34F6" w:rsidP="00A06955">
            <w:pPr>
              <w:tabs>
                <w:tab w:val="decimal" w:pos="300"/>
              </w:tabs>
              <w:jc w:val="center"/>
              <w:rPr>
                <w:color w:val="auto"/>
                <w:sz w:val="20"/>
                <w:szCs w:val="20"/>
              </w:rPr>
            </w:pPr>
            <w:r w:rsidRPr="00A06955">
              <w:rPr>
                <w:color w:val="auto"/>
                <w:sz w:val="20"/>
                <w:szCs w:val="20"/>
              </w:rPr>
              <w:t>-</w:t>
            </w:r>
          </w:p>
        </w:tc>
        <w:tc>
          <w:tcPr>
            <w:tcW w:w="1720" w:type="dxa"/>
            <w:shd w:val="clear" w:color="auto" w:fill="auto"/>
            <w:vAlign w:val="center"/>
          </w:tcPr>
          <w:p w14:paraId="0F78E1B1" w14:textId="77777777" w:rsidR="003B34F6" w:rsidRPr="00A06955" w:rsidRDefault="003B34F6" w:rsidP="00A06955">
            <w:pPr>
              <w:jc w:val="center"/>
              <w:rPr>
                <w:color w:val="auto"/>
                <w:sz w:val="20"/>
                <w:szCs w:val="20"/>
              </w:rPr>
            </w:pPr>
            <w:r w:rsidRPr="00A06955">
              <w:rPr>
                <w:color w:val="auto"/>
                <w:sz w:val="20"/>
                <w:szCs w:val="20"/>
              </w:rPr>
              <w:t>-</w:t>
            </w:r>
          </w:p>
        </w:tc>
        <w:tc>
          <w:tcPr>
            <w:tcW w:w="756" w:type="dxa"/>
            <w:vAlign w:val="center"/>
          </w:tcPr>
          <w:p w14:paraId="10E85F4F" w14:textId="77777777" w:rsidR="003B34F6" w:rsidRPr="00A06955" w:rsidRDefault="003B34F6" w:rsidP="00A06955">
            <w:pPr>
              <w:tabs>
                <w:tab w:val="decimal" w:pos="376"/>
              </w:tabs>
              <w:jc w:val="center"/>
              <w:rPr>
                <w:color w:val="auto"/>
                <w:sz w:val="20"/>
                <w:szCs w:val="20"/>
              </w:rPr>
            </w:pPr>
            <w:r w:rsidRPr="00A06955">
              <w:rPr>
                <w:color w:val="auto"/>
                <w:sz w:val="20"/>
                <w:szCs w:val="20"/>
              </w:rPr>
              <w:t>1</w:t>
            </w:r>
          </w:p>
        </w:tc>
        <w:tc>
          <w:tcPr>
            <w:tcW w:w="1728" w:type="dxa"/>
            <w:shd w:val="clear" w:color="auto" w:fill="auto"/>
            <w:vAlign w:val="center"/>
          </w:tcPr>
          <w:p w14:paraId="3D9D14D1" w14:textId="77777777" w:rsidR="003B34F6" w:rsidRPr="00A06955" w:rsidRDefault="003B34F6" w:rsidP="00A06955">
            <w:pPr>
              <w:jc w:val="center"/>
              <w:rPr>
                <w:color w:val="auto"/>
                <w:sz w:val="20"/>
                <w:szCs w:val="20"/>
              </w:rPr>
            </w:pPr>
            <w:r w:rsidRPr="00A06955">
              <w:rPr>
                <w:color w:val="auto"/>
                <w:sz w:val="20"/>
                <w:szCs w:val="20"/>
              </w:rPr>
              <w:t>1</w:t>
            </w:r>
          </w:p>
        </w:tc>
      </w:tr>
      <w:tr w:rsidR="003B34F6" w:rsidRPr="003C0F16" w14:paraId="55093032" w14:textId="77777777" w:rsidTr="000944CD">
        <w:trPr>
          <w:trHeight w:val="369"/>
        </w:trPr>
        <w:tc>
          <w:tcPr>
            <w:tcW w:w="2070" w:type="dxa"/>
            <w:shd w:val="clear" w:color="auto" w:fill="auto"/>
            <w:vAlign w:val="center"/>
          </w:tcPr>
          <w:p w14:paraId="4E7F4F0E" w14:textId="16B18057" w:rsidR="003B34F6" w:rsidRPr="00A06955" w:rsidRDefault="003B34F6">
            <w:pPr>
              <w:jc w:val="left"/>
              <w:rPr>
                <w:b/>
                <w:color w:val="auto"/>
                <w:sz w:val="20"/>
                <w:szCs w:val="20"/>
                <w:highlight w:val="yellow"/>
              </w:rPr>
            </w:pPr>
            <w:r w:rsidRPr="00A06955">
              <w:rPr>
                <w:b/>
                <w:color w:val="auto"/>
                <w:sz w:val="20"/>
                <w:szCs w:val="20"/>
              </w:rPr>
              <w:t>Total</w:t>
            </w:r>
          </w:p>
        </w:tc>
        <w:tc>
          <w:tcPr>
            <w:tcW w:w="1359" w:type="dxa"/>
            <w:shd w:val="clear" w:color="auto" w:fill="auto"/>
            <w:vAlign w:val="center"/>
          </w:tcPr>
          <w:p w14:paraId="05089A2A" w14:textId="76AB3B37" w:rsidR="003B34F6" w:rsidRPr="00A06955" w:rsidRDefault="003B34F6" w:rsidP="00A06955">
            <w:pPr>
              <w:tabs>
                <w:tab w:val="decimal" w:pos="643"/>
                <w:tab w:val="decimal" w:pos="742"/>
              </w:tabs>
              <w:jc w:val="center"/>
              <w:rPr>
                <w:b/>
                <w:color w:val="auto"/>
                <w:sz w:val="20"/>
                <w:szCs w:val="20"/>
              </w:rPr>
            </w:pPr>
            <w:r w:rsidRPr="00A06955">
              <w:rPr>
                <w:b/>
                <w:color w:val="auto"/>
                <w:sz w:val="20"/>
                <w:szCs w:val="20"/>
              </w:rPr>
              <w:t>279</w:t>
            </w:r>
          </w:p>
        </w:tc>
        <w:tc>
          <w:tcPr>
            <w:tcW w:w="1274" w:type="dxa"/>
            <w:shd w:val="clear" w:color="auto" w:fill="auto"/>
            <w:vAlign w:val="center"/>
          </w:tcPr>
          <w:p w14:paraId="360EFB13" w14:textId="220B9FEC" w:rsidR="003B34F6" w:rsidRPr="00A06955" w:rsidRDefault="003B34F6" w:rsidP="00A06955">
            <w:pPr>
              <w:jc w:val="center"/>
              <w:rPr>
                <w:b/>
                <w:color w:val="auto"/>
                <w:sz w:val="20"/>
                <w:szCs w:val="20"/>
              </w:rPr>
            </w:pPr>
            <w:r w:rsidRPr="00A06955">
              <w:rPr>
                <w:b/>
                <w:color w:val="auto"/>
                <w:sz w:val="20"/>
                <w:szCs w:val="20"/>
              </w:rPr>
              <w:t>23</w:t>
            </w:r>
          </w:p>
        </w:tc>
        <w:tc>
          <w:tcPr>
            <w:tcW w:w="1605" w:type="dxa"/>
            <w:shd w:val="clear" w:color="auto" w:fill="auto"/>
            <w:vAlign w:val="center"/>
          </w:tcPr>
          <w:p w14:paraId="77C2DC1E" w14:textId="3302ECCA" w:rsidR="003B34F6" w:rsidRPr="00A06955" w:rsidRDefault="003B34F6" w:rsidP="00A06955">
            <w:pPr>
              <w:tabs>
                <w:tab w:val="decimal" w:pos="300"/>
              </w:tabs>
              <w:jc w:val="center"/>
              <w:rPr>
                <w:b/>
                <w:color w:val="auto"/>
                <w:sz w:val="20"/>
                <w:szCs w:val="20"/>
              </w:rPr>
            </w:pPr>
            <w:r>
              <w:rPr>
                <w:b/>
                <w:color w:val="auto"/>
                <w:sz w:val="20"/>
                <w:szCs w:val="20"/>
              </w:rPr>
              <w:t>786</w:t>
            </w:r>
          </w:p>
        </w:tc>
        <w:tc>
          <w:tcPr>
            <w:tcW w:w="1720" w:type="dxa"/>
            <w:shd w:val="clear" w:color="auto" w:fill="auto"/>
            <w:vAlign w:val="center"/>
          </w:tcPr>
          <w:p w14:paraId="12A20B55" w14:textId="1242C2E0" w:rsidR="003B34F6" w:rsidRPr="00A06955" w:rsidRDefault="003B34F6" w:rsidP="00A06955">
            <w:pPr>
              <w:jc w:val="center"/>
              <w:rPr>
                <w:b/>
                <w:color w:val="auto"/>
                <w:sz w:val="20"/>
                <w:szCs w:val="20"/>
              </w:rPr>
            </w:pPr>
            <w:r w:rsidRPr="00A06955">
              <w:rPr>
                <w:b/>
                <w:color w:val="auto"/>
                <w:sz w:val="20"/>
                <w:szCs w:val="20"/>
              </w:rPr>
              <w:t>2</w:t>
            </w:r>
          </w:p>
        </w:tc>
        <w:tc>
          <w:tcPr>
            <w:tcW w:w="756" w:type="dxa"/>
            <w:vAlign w:val="center"/>
          </w:tcPr>
          <w:p w14:paraId="6D9974F9" w14:textId="4C8CCFFE" w:rsidR="003B34F6" w:rsidRPr="00A06955" w:rsidRDefault="003B34F6" w:rsidP="00A06955">
            <w:pPr>
              <w:tabs>
                <w:tab w:val="decimal" w:pos="376"/>
              </w:tabs>
              <w:jc w:val="center"/>
              <w:rPr>
                <w:b/>
                <w:color w:val="auto"/>
                <w:sz w:val="20"/>
                <w:szCs w:val="20"/>
              </w:rPr>
            </w:pPr>
            <w:r w:rsidRPr="000944CD">
              <w:rPr>
                <w:b/>
                <w:color w:val="auto"/>
                <w:sz w:val="20"/>
                <w:szCs w:val="20"/>
              </w:rPr>
              <w:t>1</w:t>
            </w:r>
            <w:r w:rsidR="000944CD" w:rsidRPr="000944CD">
              <w:rPr>
                <w:b/>
                <w:color w:val="auto"/>
                <w:sz w:val="20"/>
                <w:szCs w:val="20"/>
              </w:rPr>
              <w:t>,</w:t>
            </w:r>
            <w:r w:rsidRPr="000944CD">
              <w:rPr>
                <w:b/>
                <w:color w:val="auto"/>
                <w:sz w:val="20"/>
                <w:szCs w:val="20"/>
              </w:rPr>
              <w:t>090</w:t>
            </w:r>
          </w:p>
        </w:tc>
        <w:tc>
          <w:tcPr>
            <w:tcW w:w="1728" w:type="dxa"/>
            <w:shd w:val="clear" w:color="auto" w:fill="auto"/>
            <w:vAlign w:val="center"/>
          </w:tcPr>
          <w:p w14:paraId="33295E08" w14:textId="263AB569" w:rsidR="003B34F6" w:rsidRPr="00A06955" w:rsidRDefault="003B34F6" w:rsidP="00A06955">
            <w:pPr>
              <w:jc w:val="center"/>
              <w:rPr>
                <w:b/>
                <w:color w:val="auto"/>
                <w:sz w:val="20"/>
                <w:szCs w:val="20"/>
              </w:rPr>
            </w:pPr>
            <w:r w:rsidRPr="00A06955">
              <w:rPr>
                <w:b/>
                <w:color w:val="auto"/>
                <w:sz w:val="20"/>
                <w:szCs w:val="20"/>
              </w:rPr>
              <w:t>104</w:t>
            </w:r>
          </w:p>
        </w:tc>
      </w:tr>
    </w:tbl>
    <w:p w14:paraId="5C8ADF74" w14:textId="77777777" w:rsidR="00484AF1" w:rsidRPr="00A06955" w:rsidRDefault="00244913" w:rsidP="00EB46B7">
      <w:pPr>
        <w:rPr>
          <w:sz w:val="20"/>
          <w:szCs w:val="20"/>
          <w:lang w:eastAsia="en-GB"/>
        </w:rPr>
      </w:pPr>
      <w:r w:rsidRPr="00A06955">
        <w:rPr>
          <w:sz w:val="20"/>
          <w:szCs w:val="20"/>
          <w:lang w:eastAsia="en-GB"/>
        </w:rPr>
        <w:t>This table does not include any of the Senior Management Team highlighted in the tables above.</w:t>
      </w:r>
    </w:p>
    <w:p w14:paraId="56AB578E" w14:textId="77777777" w:rsidR="00244913" w:rsidRPr="003C0F16" w:rsidRDefault="00244913" w:rsidP="00EB46B7">
      <w:pPr>
        <w:rPr>
          <w:sz w:val="20"/>
          <w:szCs w:val="20"/>
          <w:highlight w:val="yellow"/>
          <w:lang w:eastAsia="en-GB"/>
        </w:rPr>
      </w:pPr>
      <w:r w:rsidRPr="00A06955">
        <w:rPr>
          <w:sz w:val="20"/>
          <w:szCs w:val="20"/>
          <w:vertAlign w:val="superscript"/>
          <w:lang w:eastAsia="en-GB"/>
        </w:rPr>
        <w:t xml:space="preserve">1 </w:t>
      </w:r>
      <w:r w:rsidRPr="00A06955">
        <w:rPr>
          <w:sz w:val="20"/>
          <w:szCs w:val="20"/>
          <w:lang w:eastAsia="en-GB"/>
        </w:rPr>
        <w:t>Remuneration bands have been removed in cases where the entry for every column was zero.</w:t>
      </w:r>
    </w:p>
    <w:p w14:paraId="7E44FB15" w14:textId="71E7A7E0" w:rsidR="005D61A4" w:rsidRPr="00A06955" w:rsidRDefault="00100CD3" w:rsidP="00244913">
      <w:pPr>
        <w:rPr>
          <w:sz w:val="20"/>
          <w:szCs w:val="20"/>
          <w:lang w:eastAsia="en-GB"/>
        </w:rPr>
      </w:pPr>
      <w:r>
        <w:rPr>
          <w:sz w:val="20"/>
          <w:szCs w:val="20"/>
          <w:vertAlign w:val="superscript"/>
          <w:lang w:eastAsia="en-GB"/>
        </w:rPr>
        <w:t>2</w:t>
      </w:r>
      <w:r w:rsidR="005D61A4" w:rsidRPr="00A06955">
        <w:rPr>
          <w:sz w:val="20"/>
          <w:szCs w:val="20"/>
          <w:vertAlign w:val="superscript"/>
          <w:lang w:eastAsia="en-GB"/>
        </w:rPr>
        <w:t xml:space="preserve"> </w:t>
      </w:r>
      <w:r w:rsidR="005D61A4" w:rsidRPr="00A06955">
        <w:rPr>
          <w:sz w:val="20"/>
          <w:szCs w:val="20"/>
          <w:lang w:eastAsia="en-GB"/>
        </w:rPr>
        <w:t>Includes those who work for BT Lancashire Services (BTLS), Lancashire County Developments Limited (LCDL) and NHS England.</w:t>
      </w:r>
    </w:p>
    <w:p w14:paraId="37615103" w14:textId="7392A1FE" w:rsidR="00244913" w:rsidRPr="00A06955" w:rsidRDefault="00100CD3" w:rsidP="00244913">
      <w:pPr>
        <w:rPr>
          <w:sz w:val="20"/>
          <w:szCs w:val="20"/>
          <w:lang w:eastAsia="en-GB"/>
        </w:rPr>
      </w:pPr>
      <w:r>
        <w:rPr>
          <w:sz w:val="20"/>
          <w:szCs w:val="20"/>
          <w:vertAlign w:val="superscript"/>
          <w:lang w:eastAsia="en-GB"/>
        </w:rPr>
        <w:t>3</w:t>
      </w:r>
      <w:r w:rsidR="005D61A4" w:rsidRPr="00A06955">
        <w:rPr>
          <w:sz w:val="20"/>
          <w:szCs w:val="20"/>
          <w:lang w:eastAsia="en-GB"/>
        </w:rPr>
        <w:t xml:space="preserve"> </w:t>
      </w:r>
      <w:r w:rsidR="00244913" w:rsidRPr="00A06955">
        <w:rPr>
          <w:sz w:val="20"/>
          <w:szCs w:val="20"/>
          <w:lang w:eastAsia="en-GB"/>
        </w:rPr>
        <w:t>County Council Network Staff are those working for and paid for, by the county council's network who are hosted for pay and rations by Lancashire County Council.</w:t>
      </w:r>
    </w:p>
    <w:p w14:paraId="2B6DA7A6" w14:textId="0D00CFAD" w:rsidR="00244913" w:rsidRDefault="00100CD3" w:rsidP="00244913">
      <w:pPr>
        <w:rPr>
          <w:sz w:val="20"/>
          <w:szCs w:val="20"/>
          <w:lang w:eastAsia="en-GB"/>
        </w:rPr>
      </w:pPr>
      <w:r>
        <w:rPr>
          <w:sz w:val="20"/>
          <w:szCs w:val="20"/>
          <w:vertAlign w:val="superscript"/>
          <w:lang w:eastAsia="en-GB"/>
        </w:rPr>
        <w:t>4</w:t>
      </w:r>
      <w:r>
        <w:rPr>
          <w:sz w:val="20"/>
          <w:szCs w:val="20"/>
          <w:lang w:eastAsia="en-GB"/>
        </w:rPr>
        <w:t xml:space="preserve"> </w:t>
      </w:r>
      <w:r w:rsidR="00244913" w:rsidRPr="00A06955">
        <w:rPr>
          <w:sz w:val="20"/>
          <w:szCs w:val="20"/>
          <w:lang w:eastAsia="en-GB"/>
        </w:rPr>
        <w:t>This additional information has been included to show the number of staff whose remuneration included redundancy payments. The redundancy payments have led to some individuals moving up in the remuneration banding and has also meant additional individuals are included in this note.</w:t>
      </w:r>
    </w:p>
    <w:p w14:paraId="156FF7E1" w14:textId="77777777" w:rsidR="001B6AC1" w:rsidRDefault="001B6AC1" w:rsidP="00244913">
      <w:pPr>
        <w:rPr>
          <w:b/>
          <w:lang w:eastAsia="en-GB"/>
        </w:rPr>
      </w:pPr>
    </w:p>
    <w:p w14:paraId="03852086" w14:textId="77777777" w:rsidR="001B6AC1" w:rsidRDefault="001B6AC1" w:rsidP="00244913">
      <w:pPr>
        <w:rPr>
          <w:b/>
          <w:lang w:eastAsia="en-GB"/>
        </w:rPr>
      </w:pPr>
    </w:p>
    <w:p w14:paraId="253D677C" w14:textId="77777777" w:rsidR="001B6AC1" w:rsidRDefault="001B6AC1" w:rsidP="00244913">
      <w:pPr>
        <w:rPr>
          <w:b/>
          <w:lang w:eastAsia="en-GB"/>
        </w:rPr>
      </w:pPr>
    </w:p>
    <w:p w14:paraId="3FB7B95E" w14:textId="77777777" w:rsidR="001B6AC1" w:rsidRDefault="001B6AC1" w:rsidP="00244913">
      <w:pPr>
        <w:rPr>
          <w:b/>
          <w:lang w:eastAsia="en-GB"/>
        </w:rPr>
      </w:pPr>
    </w:p>
    <w:p w14:paraId="064F2345" w14:textId="77777777" w:rsidR="001B6AC1" w:rsidRDefault="001B6AC1" w:rsidP="00244913">
      <w:pPr>
        <w:rPr>
          <w:b/>
          <w:lang w:eastAsia="en-GB"/>
        </w:rPr>
      </w:pPr>
    </w:p>
    <w:p w14:paraId="2508B28F" w14:textId="77777777" w:rsidR="001B6AC1" w:rsidRDefault="001B6AC1" w:rsidP="00244913">
      <w:pPr>
        <w:rPr>
          <w:b/>
          <w:lang w:eastAsia="en-GB"/>
        </w:rPr>
      </w:pPr>
    </w:p>
    <w:p w14:paraId="59B6DD08" w14:textId="77777777" w:rsidR="001B6AC1" w:rsidRDefault="001B6AC1" w:rsidP="00244913">
      <w:pPr>
        <w:rPr>
          <w:b/>
          <w:lang w:eastAsia="en-GB"/>
        </w:rPr>
      </w:pPr>
    </w:p>
    <w:p w14:paraId="23C884EC" w14:textId="3135E323" w:rsidR="00B94332" w:rsidRPr="00A06955" w:rsidRDefault="009E70E9" w:rsidP="00244913">
      <w:pPr>
        <w:rPr>
          <w:b/>
          <w:lang w:eastAsia="en-GB"/>
        </w:rPr>
      </w:pPr>
      <w:r w:rsidRPr="00A06955">
        <w:rPr>
          <w:b/>
          <w:lang w:eastAsia="en-GB"/>
        </w:rPr>
        <w:t>Number of Employees – 2013/14</w:t>
      </w:r>
      <w:r w:rsidR="006C4724" w:rsidRPr="006C4724">
        <w:rPr>
          <w:b/>
          <w:vertAlign w:val="superscript"/>
          <w:lang w:eastAsia="en-GB"/>
        </w:rPr>
        <w:t>1</w:t>
      </w:r>
      <w:r w:rsidR="002A4846">
        <w:rPr>
          <w:b/>
          <w:lang w:eastAsia="en-GB"/>
        </w:rPr>
        <w:t xml:space="preserve"> </w:t>
      </w:r>
      <w:r w:rsidR="00B94332">
        <w:rPr>
          <w:b/>
          <w:lang w:eastAsia="en-GB"/>
        </w:rPr>
        <w:t xml:space="preserve"> </w:t>
      </w:r>
    </w:p>
    <w:tbl>
      <w:tblPr>
        <w:tblW w:w="5136"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72"/>
        <w:gridCol w:w="1143"/>
        <w:gridCol w:w="1277"/>
        <w:gridCol w:w="1556"/>
        <w:gridCol w:w="1559"/>
        <w:gridCol w:w="1419"/>
        <w:gridCol w:w="1808"/>
      </w:tblGrid>
      <w:tr w:rsidR="00BE3105" w:rsidRPr="002D7994" w14:paraId="27ED301E" w14:textId="77777777" w:rsidTr="000944CD">
        <w:trPr>
          <w:trHeight w:val="369"/>
          <w:tblHeader/>
        </w:trPr>
        <w:tc>
          <w:tcPr>
            <w:tcW w:w="918" w:type="pct"/>
            <w:shd w:val="clear" w:color="auto" w:fill="D0CECE"/>
            <w:vAlign w:val="center"/>
          </w:tcPr>
          <w:p w14:paraId="6E2A95F7" w14:textId="63194CC2" w:rsidR="00BE3105" w:rsidRPr="00A06955" w:rsidRDefault="00BE3105" w:rsidP="006C4724">
            <w:pPr>
              <w:ind w:right="25"/>
              <w:jc w:val="center"/>
              <w:rPr>
                <w:b/>
                <w:color w:val="auto"/>
                <w:sz w:val="20"/>
                <w:szCs w:val="20"/>
                <w:vertAlign w:val="superscript"/>
              </w:rPr>
            </w:pPr>
            <w:r w:rsidRPr="00A06955">
              <w:rPr>
                <w:b/>
                <w:color w:val="auto"/>
                <w:sz w:val="20"/>
                <w:szCs w:val="20"/>
              </w:rPr>
              <w:t>Remuneration Band (£)</w:t>
            </w:r>
            <w:r w:rsidR="006C4724">
              <w:rPr>
                <w:b/>
                <w:color w:val="auto"/>
                <w:sz w:val="20"/>
                <w:szCs w:val="20"/>
                <w:vertAlign w:val="superscript"/>
              </w:rPr>
              <w:t>2</w:t>
            </w:r>
          </w:p>
        </w:tc>
        <w:tc>
          <w:tcPr>
            <w:tcW w:w="532" w:type="pct"/>
            <w:shd w:val="clear" w:color="auto" w:fill="D0CECE"/>
            <w:vAlign w:val="center"/>
          </w:tcPr>
          <w:p w14:paraId="72C8192B" w14:textId="732BCA8E" w:rsidR="00BE3105" w:rsidRPr="00A06955" w:rsidRDefault="00BE3105" w:rsidP="00100CD3">
            <w:pPr>
              <w:jc w:val="center"/>
              <w:rPr>
                <w:b/>
                <w:color w:val="auto"/>
                <w:sz w:val="20"/>
                <w:szCs w:val="20"/>
                <w:vertAlign w:val="superscript"/>
              </w:rPr>
            </w:pPr>
            <w:r w:rsidRPr="00A06955">
              <w:rPr>
                <w:b/>
                <w:color w:val="auto"/>
                <w:sz w:val="20"/>
                <w:szCs w:val="20"/>
              </w:rPr>
              <w:t>LCC Non-Teaching Staff</w:t>
            </w:r>
          </w:p>
        </w:tc>
        <w:tc>
          <w:tcPr>
            <w:tcW w:w="595" w:type="pct"/>
            <w:shd w:val="clear" w:color="auto" w:fill="D0CECE"/>
            <w:vAlign w:val="center"/>
          </w:tcPr>
          <w:p w14:paraId="017A6AF4" w14:textId="07C700AC" w:rsidR="00BE3105" w:rsidRPr="00100CD3" w:rsidRDefault="00BE3105" w:rsidP="006C4724">
            <w:pPr>
              <w:jc w:val="center"/>
              <w:rPr>
                <w:b/>
                <w:color w:val="auto"/>
                <w:sz w:val="20"/>
                <w:szCs w:val="20"/>
                <w:vertAlign w:val="superscript"/>
              </w:rPr>
            </w:pPr>
            <w:r w:rsidRPr="00A06955">
              <w:rPr>
                <w:b/>
                <w:color w:val="auto"/>
                <w:sz w:val="20"/>
                <w:szCs w:val="20"/>
              </w:rPr>
              <w:t>Seconded Staff</w:t>
            </w:r>
            <w:r w:rsidR="006C4724">
              <w:rPr>
                <w:b/>
                <w:color w:val="auto"/>
                <w:sz w:val="20"/>
                <w:szCs w:val="20"/>
                <w:vertAlign w:val="superscript"/>
              </w:rPr>
              <w:t>3</w:t>
            </w:r>
          </w:p>
        </w:tc>
        <w:tc>
          <w:tcPr>
            <w:tcW w:w="725" w:type="pct"/>
            <w:shd w:val="clear" w:color="auto" w:fill="D0CECE"/>
            <w:vAlign w:val="center"/>
          </w:tcPr>
          <w:p w14:paraId="5065CE82" w14:textId="55BDCE9D" w:rsidR="00BE3105" w:rsidRPr="00A06955" w:rsidRDefault="00BE3105">
            <w:pPr>
              <w:jc w:val="center"/>
              <w:rPr>
                <w:b/>
                <w:color w:val="auto"/>
                <w:sz w:val="20"/>
                <w:szCs w:val="20"/>
              </w:rPr>
            </w:pPr>
            <w:r w:rsidRPr="00A06955">
              <w:rPr>
                <w:b/>
                <w:color w:val="auto"/>
                <w:sz w:val="20"/>
                <w:szCs w:val="20"/>
              </w:rPr>
              <w:t>Schools</w:t>
            </w:r>
          </w:p>
        </w:tc>
        <w:tc>
          <w:tcPr>
            <w:tcW w:w="726" w:type="pct"/>
            <w:shd w:val="clear" w:color="auto" w:fill="D0CECE"/>
            <w:vAlign w:val="center"/>
          </w:tcPr>
          <w:p w14:paraId="10C66D43" w14:textId="0FB866F9" w:rsidR="00BE3105" w:rsidRPr="00100CD3" w:rsidRDefault="00BE3105" w:rsidP="006C4724">
            <w:pPr>
              <w:jc w:val="center"/>
              <w:rPr>
                <w:b/>
                <w:color w:val="auto"/>
                <w:sz w:val="20"/>
                <w:szCs w:val="20"/>
                <w:vertAlign w:val="superscript"/>
              </w:rPr>
            </w:pPr>
            <w:r w:rsidRPr="00A06955">
              <w:rPr>
                <w:b/>
                <w:color w:val="auto"/>
                <w:sz w:val="20"/>
                <w:szCs w:val="20"/>
              </w:rPr>
              <w:t>LCC Network Staff</w:t>
            </w:r>
            <w:r w:rsidR="006C4724">
              <w:rPr>
                <w:b/>
                <w:color w:val="auto"/>
                <w:sz w:val="20"/>
                <w:szCs w:val="20"/>
                <w:vertAlign w:val="superscript"/>
              </w:rPr>
              <w:t>4</w:t>
            </w:r>
          </w:p>
        </w:tc>
        <w:tc>
          <w:tcPr>
            <w:tcW w:w="661" w:type="pct"/>
            <w:shd w:val="clear" w:color="auto" w:fill="D0CECE"/>
            <w:vAlign w:val="center"/>
          </w:tcPr>
          <w:p w14:paraId="621F2A56" w14:textId="77777777" w:rsidR="00BE3105" w:rsidRPr="00A06955" w:rsidRDefault="00BE3105">
            <w:pPr>
              <w:jc w:val="center"/>
              <w:rPr>
                <w:b/>
                <w:color w:val="auto"/>
                <w:sz w:val="20"/>
                <w:szCs w:val="20"/>
              </w:rPr>
            </w:pPr>
          </w:p>
          <w:p w14:paraId="60A802AD" w14:textId="77777777" w:rsidR="00BE3105" w:rsidRPr="00A06955" w:rsidRDefault="00BE3105">
            <w:pPr>
              <w:jc w:val="center"/>
              <w:rPr>
                <w:b/>
                <w:color w:val="auto"/>
                <w:sz w:val="20"/>
                <w:szCs w:val="20"/>
              </w:rPr>
            </w:pPr>
            <w:r w:rsidRPr="00A06955">
              <w:rPr>
                <w:b/>
                <w:color w:val="auto"/>
                <w:sz w:val="20"/>
                <w:szCs w:val="20"/>
              </w:rPr>
              <w:t>Total</w:t>
            </w:r>
          </w:p>
        </w:tc>
        <w:tc>
          <w:tcPr>
            <w:tcW w:w="842" w:type="pct"/>
            <w:shd w:val="clear" w:color="auto" w:fill="D0CECE"/>
            <w:vAlign w:val="center"/>
          </w:tcPr>
          <w:p w14:paraId="287B9418" w14:textId="1C05FEC8" w:rsidR="00BE3105" w:rsidRPr="00100CD3" w:rsidRDefault="00BE3105" w:rsidP="006C4724">
            <w:pPr>
              <w:jc w:val="center"/>
              <w:rPr>
                <w:b/>
                <w:color w:val="auto"/>
                <w:sz w:val="20"/>
                <w:szCs w:val="20"/>
                <w:vertAlign w:val="superscript"/>
              </w:rPr>
            </w:pPr>
            <w:r w:rsidRPr="00A06955">
              <w:rPr>
                <w:b/>
                <w:color w:val="auto"/>
                <w:sz w:val="20"/>
                <w:szCs w:val="20"/>
              </w:rPr>
              <w:t>Redundancies</w:t>
            </w:r>
            <w:r w:rsidR="006C4724">
              <w:rPr>
                <w:b/>
                <w:color w:val="auto"/>
                <w:sz w:val="20"/>
                <w:szCs w:val="20"/>
                <w:vertAlign w:val="superscript"/>
              </w:rPr>
              <w:t>5</w:t>
            </w:r>
          </w:p>
        </w:tc>
      </w:tr>
      <w:tr w:rsidR="00BE3105" w:rsidRPr="002D7994" w14:paraId="50EAD153" w14:textId="77777777" w:rsidTr="000944CD">
        <w:trPr>
          <w:trHeight w:val="369"/>
        </w:trPr>
        <w:tc>
          <w:tcPr>
            <w:tcW w:w="918" w:type="pct"/>
            <w:shd w:val="clear" w:color="auto" w:fill="auto"/>
            <w:vAlign w:val="center"/>
          </w:tcPr>
          <w:p w14:paraId="515BA8BE" w14:textId="4C15A126" w:rsidR="00BE3105" w:rsidRPr="00A06955" w:rsidRDefault="00BE3105" w:rsidP="00A06955">
            <w:pPr>
              <w:jc w:val="right"/>
              <w:rPr>
                <w:color w:val="auto"/>
                <w:sz w:val="20"/>
                <w:szCs w:val="20"/>
                <w:vertAlign w:val="superscript"/>
              </w:rPr>
            </w:pPr>
            <w:r w:rsidRPr="00A06955">
              <w:rPr>
                <w:color w:val="auto"/>
                <w:sz w:val="20"/>
                <w:szCs w:val="20"/>
              </w:rPr>
              <w:t>50,000–54,999</w:t>
            </w:r>
          </w:p>
        </w:tc>
        <w:tc>
          <w:tcPr>
            <w:tcW w:w="532" w:type="pct"/>
            <w:shd w:val="clear" w:color="auto" w:fill="auto"/>
            <w:vAlign w:val="center"/>
          </w:tcPr>
          <w:p w14:paraId="4465638E" w14:textId="77777777" w:rsidR="00BE3105" w:rsidRPr="00A06955" w:rsidRDefault="00BE3105" w:rsidP="00A06955">
            <w:pPr>
              <w:tabs>
                <w:tab w:val="decimal" w:pos="460"/>
              </w:tabs>
              <w:jc w:val="center"/>
              <w:rPr>
                <w:color w:val="auto"/>
                <w:sz w:val="20"/>
                <w:szCs w:val="20"/>
              </w:rPr>
            </w:pPr>
            <w:r w:rsidRPr="00A06955">
              <w:rPr>
                <w:color w:val="auto"/>
                <w:sz w:val="20"/>
                <w:szCs w:val="20"/>
              </w:rPr>
              <w:t>89</w:t>
            </w:r>
          </w:p>
        </w:tc>
        <w:tc>
          <w:tcPr>
            <w:tcW w:w="595" w:type="pct"/>
            <w:shd w:val="clear" w:color="auto" w:fill="auto"/>
            <w:vAlign w:val="center"/>
          </w:tcPr>
          <w:p w14:paraId="00A912F6" w14:textId="77777777" w:rsidR="00BE3105" w:rsidRPr="00A06955" w:rsidRDefault="00BE3105" w:rsidP="00A06955">
            <w:pPr>
              <w:tabs>
                <w:tab w:val="decimal" w:pos="317"/>
              </w:tabs>
              <w:jc w:val="center"/>
              <w:rPr>
                <w:color w:val="auto"/>
                <w:sz w:val="20"/>
                <w:szCs w:val="20"/>
              </w:rPr>
            </w:pPr>
            <w:r w:rsidRPr="00A06955">
              <w:rPr>
                <w:color w:val="auto"/>
                <w:sz w:val="20"/>
                <w:szCs w:val="20"/>
              </w:rPr>
              <w:t>16</w:t>
            </w:r>
          </w:p>
        </w:tc>
        <w:tc>
          <w:tcPr>
            <w:tcW w:w="725" w:type="pct"/>
            <w:shd w:val="clear" w:color="auto" w:fill="auto"/>
            <w:vAlign w:val="center"/>
          </w:tcPr>
          <w:p w14:paraId="714908B5" w14:textId="74D410F6" w:rsidR="00BE3105" w:rsidRPr="00A06955" w:rsidRDefault="00BE3105" w:rsidP="00A06955">
            <w:pPr>
              <w:tabs>
                <w:tab w:val="decimal" w:pos="458"/>
              </w:tabs>
              <w:jc w:val="center"/>
              <w:rPr>
                <w:color w:val="auto"/>
                <w:sz w:val="20"/>
                <w:szCs w:val="20"/>
              </w:rPr>
            </w:pPr>
            <w:r>
              <w:rPr>
                <w:color w:val="auto"/>
                <w:sz w:val="20"/>
                <w:szCs w:val="20"/>
              </w:rPr>
              <w:t>311</w:t>
            </w:r>
          </w:p>
        </w:tc>
        <w:tc>
          <w:tcPr>
            <w:tcW w:w="726" w:type="pct"/>
            <w:shd w:val="clear" w:color="auto" w:fill="auto"/>
            <w:vAlign w:val="center"/>
          </w:tcPr>
          <w:p w14:paraId="4D325CD5"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0FCD6ED8" w14:textId="77777777" w:rsidR="00BE3105" w:rsidRPr="00A06955" w:rsidRDefault="00BE3105" w:rsidP="00A06955">
            <w:pPr>
              <w:tabs>
                <w:tab w:val="decimal" w:pos="460"/>
              </w:tabs>
              <w:jc w:val="center"/>
              <w:rPr>
                <w:color w:val="auto"/>
                <w:sz w:val="20"/>
                <w:szCs w:val="20"/>
              </w:rPr>
            </w:pPr>
            <w:r w:rsidRPr="00A06955">
              <w:rPr>
                <w:color w:val="auto"/>
                <w:sz w:val="20"/>
                <w:szCs w:val="20"/>
              </w:rPr>
              <w:t>416</w:t>
            </w:r>
          </w:p>
        </w:tc>
        <w:tc>
          <w:tcPr>
            <w:tcW w:w="842" w:type="pct"/>
            <w:shd w:val="clear" w:color="auto" w:fill="auto"/>
            <w:vAlign w:val="center"/>
          </w:tcPr>
          <w:p w14:paraId="572210C9" w14:textId="77777777" w:rsidR="00BE3105" w:rsidRPr="00A06955" w:rsidRDefault="00BE3105" w:rsidP="00A06955">
            <w:pPr>
              <w:tabs>
                <w:tab w:val="decimal" w:pos="317"/>
              </w:tabs>
              <w:jc w:val="center"/>
              <w:rPr>
                <w:color w:val="auto"/>
                <w:sz w:val="20"/>
                <w:szCs w:val="20"/>
              </w:rPr>
            </w:pPr>
            <w:r w:rsidRPr="00A06955">
              <w:rPr>
                <w:color w:val="auto"/>
                <w:sz w:val="20"/>
                <w:szCs w:val="20"/>
              </w:rPr>
              <w:t>13</w:t>
            </w:r>
          </w:p>
        </w:tc>
      </w:tr>
      <w:tr w:rsidR="00BE3105" w:rsidRPr="002D7994" w14:paraId="40899400" w14:textId="77777777" w:rsidTr="000944CD">
        <w:trPr>
          <w:trHeight w:val="369"/>
        </w:trPr>
        <w:tc>
          <w:tcPr>
            <w:tcW w:w="918" w:type="pct"/>
            <w:shd w:val="clear" w:color="auto" w:fill="auto"/>
            <w:vAlign w:val="center"/>
          </w:tcPr>
          <w:p w14:paraId="5B6D42FB" w14:textId="1AC68996" w:rsidR="00BE3105" w:rsidRPr="00A06955" w:rsidRDefault="00BE3105" w:rsidP="00A06955">
            <w:pPr>
              <w:jc w:val="right"/>
              <w:rPr>
                <w:color w:val="auto"/>
                <w:sz w:val="20"/>
                <w:szCs w:val="20"/>
                <w:vertAlign w:val="superscript"/>
              </w:rPr>
            </w:pPr>
            <w:r w:rsidRPr="00A06955">
              <w:rPr>
                <w:color w:val="auto"/>
                <w:sz w:val="20"/>
                <w:szCs w:val="20"/>
              </w:rPr>
              <w:t>55,000–59,999</w:t>
            </w:r>
          </w:p>
        </w:tc>
        <w:tc>
          <w:tcPr>
            <w:tcW w:w="532" w:type="pct"/>
            <w:shd w:val="clear" w:color="auto" w:fill="auto"/>
            <w:vAlign w:val="center"/>
          </w:tcPr>
          <w:p w14:paraId="09AF6B42" w14:textId="77777777" w:rsidR="00BE3105" w:rsidRPr="00A06955" w:rsidRDefault="00BE3105" w:rsidP="00A06955">
            <w:pPr>
              <w:tabs>
                <w:tab w:val="decimal" w:pos="460"/>
              </w:tabs>
              <w:jc w:val="center"/>
              <w:rPr>
                <w:color w:val="auto"/>
                <w:sz w:val="20"/>
                <w:szCs w:val="20"/>
              </w:rPr>
            </w:pPr>
            <w:r w:rsidRPr="00A06955">
              <w:rPr>
                <w:color w:val="auto"/>
                <w:sz w:val="20"/>
                <w:szCs w:val="20"/>
              </w:rPr>
              <w:t>44</w:t>
            </w:r>
          </w:p>
        </w:tc>
        <w:tc>
          <w:tcPr>
            <w:tcW w:w="595" w:type="pct"/>
            <w:shd w:val="clear" w:color="auto" w:fill="auto"/>
            <w:vAlign w:val="center"/>
          </w:tcPr>
          <w:p w14:paraId="29B26ED0" w14:textId="77777777" w:rsidR="00BE3105" w:rsidRPr="00A06955" w:rsidRDefault="00BE3105" w:rsidP="00A06955">
            <w:pPr>
              <w:tabs>
                <w:tab w:val="decimal" w:pos="317"/>
              </w:tabs>
              <w:jc w:val="center"/>
              <w:rPr>
                <w:color w:val="auto"/>
                <w:sz w:val="20"/>
                <w:szCs w:val="20"/>
              </w:rPr>
            </w:pPr>
            <w:r w:rsidRPr="00A06955">
              <w:rPr>
                <w:color w:val="auto"/>
                <w:sz w:val="20"/>
                <w:szCs w:val="20"/>
              </w:rPr>
              <w:t>6</w:t>
            </w:r>
          </w:p>
        </w:tc>
        <w:tc>
          <w:tcPr>
            <w:tcW w:w="725" w:type="pct"/>
            <w:shd w:val="clear" w:color="auto" w:fill="auto"/>
            <w:vAlign w:val="center"/>
          </w:tcPr>
          <w:p w14:paraId="3D51DF01" w14:textId="4D9911C3" w:rsidR="00BE3105" w:rsidRPr="00A06955" w:rsidRDefault="00BE3105" w:rsidP="00A06955">
            <w:pPr>
              <w:tabs>
                <w:tab w:val="decimal" w:pos="458"/>
              </w:tabs>
              <w:jc w:val="center"/>
              <w:rPr>
                <w:color w:val="auto"/>
                <w:sz w:val="20"/>
                <w:szCs w:val="20"/>
              </w:rPr>
            </w:pPr>
            <w:r w:rsidRPr="00A06955">
              <w:rPr>
                <w:color w:val="auto"/>
                <w:sz w:val="20"/>
                <w:szCs w:val="20"/>
              </w:rPr>
              <w:t>1</w:t>
            </w:r>
            <w:r>
              <w:rPr>
                <w:color w:val="auto"/>
                <w:sz w:val="20"/>
                <w:szCs w:val="20"/>
              </w:rPr>
              <w:t>96</w:t>
            </w:r>
          </w:p>
        </w:tc>
        <w:tc>
          <w:tcPr>
            <w:tcW w:w="726" w:type="pct"/>
            <w:shd w:val="clear" w:color="auto" w:fill="auto"/>
            <w:vAlign w:val="center"/>
          </w:tcPr>
          <w:p w14:paraId="3D19DFC4"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2E7E49D2" w14:textId="77777777" w:rsidR="00BE3105" w:rsidRPr="00A06955" w:rsidRDefault="00BE3105" w:rsidP="00A06955">
            <w:pPr>
              <w:tabs>
                <w:tab w:val="decimal" w:pos="460"/>
              </w:tabs>
              <w:jc w:val="center"/>
              <w:rPr>
                <w:color w:val="auto"/>
                <w:sz w:val="20"/>
                <w:szCs w:val="20"/>
              </w:rPr>
            </w:pPr>
            <w:r w:rsidRPr="00A06955">
              <w:rPr>
                <w:color w:val="auto"/>
                <w:sz w:val="20"/>
                <w:szCs w:val="20"/>
              </w:rPr>
              <w:t>246</w:t>
            </w:r>
          </w:p>
        </w:tc>
        <w:tc>
          <w:tcPr>
            <w:tcW w:w="842" w:type="pct"/>
            <w:shd w:val="clear" w:color="auto" w:fill="auto"/>
            <w:vAlign w:val="center"/>
          </w:tcPr>
          <w:p w14:paraId="3DE2CAC4" w14:textId="77777777" w:rsidR="00BE3105" w:rsidRPr="00A06955" w:rsidRDefault="00BE3105" w:rsidP="00A06955">
            <w:pPr>
              <w:tabs>
                <w:tab w:val="decimal" w:pos="317"/>
              </w:tabs>
              <w:jc w:val="center"/>
              <w:rPr>
                <w:color w:val="auto"/>
                <w:sz w:val="20"/>
                <w:szCs w:val="20"/>
              </w:rPr>
            </w:pPr>
            <w:r w:rsidRPr="00A06955">
              <w:rPr>
                <w:color w:val="auto"/>
                <w:sz w:val="20"/>
                <w:szCs w:val="20"/>
              </w:rPr>
              <w:t>13</w:t>
            </w:r>
          </w:p>
        </w:tc>
      </w:tr>
      <w:tr w:rsidR="00BE3105" w:rsidRPr="002D7994" w14:paraId="69E693D6" w14:textId="77777777" w:rsidTr="000944CD">
        <w:trPr>
          <w:trHeight w:val="369"/>
        </w:trPr>
        <w:tc>
          <w:tcPr>
            <w:tcW w:w="918" w:type="pct"/>
            <w:shd w:val="clear" w:color="auto" w:fill="auto"/>
            <w:vAlign w:val="center"/>
          </w:tcPr>
          <w:p w14:paraId="78FF92D2" w14:textId="58606AA7" w:rsidR="00BE3105" w:rsidRPr="00A06955" w:rsidRDefault="00BE3105" w:rsidP="00A06955">
            <w:pPr>
              <w:jc w:val="right"/>
              <w:rPr>
                <w:color w:val="auto"/>
                <w:sz w:val="20"/>
                <w:szCs w:val="20"/>
              </w:rPr>
            </w:pPr>
            <w:r w:rsidRPr="00A06955">
              <w:rPr>
                <w:color w:val="auto"/>
                <w:sz w:val="20"/>
                <w:szCs w:val="20"/>
              </w:rPr>
              <w:t>60,000–64,999</w:t>
            </w:r>
          </w:p>
        </w:tc>
        <w:tc>
          <w:tcPr>
            <w:tcW w:w="532" w:type="pct"/>
            <w:shd w:val="clear" w:color="auto" w:fill="auto"/>
            <w:vAlign w:val="center"/>
          </w:tcPr>
          <w:p w14:paraId="7FB085C9" w14:textId="77777777" w:rsidR="00BE3105" w:rsidRPr="00A06955" w:rsidRDefault="00BE3105" w:rsidP="00A06955">
            <w:pPr>
              <w:tabs>
                <w:tab w:val="decimal" w:pos="460"/>
              </w:tabs>
              <w:jc w:val="center"/>
              <w:rPr>
                <w:color w:val="auto"/>
                <w:sz w:val="20"/>
                <w:szCs w:val="20"/>
              </w:rPr>
            </w:pPr>
            <w:r w:rsidRPr="00A06955">
              <w:rPr>
                <w:color w:val="auto"/>
                <w:sz w:val="20"/>
                <w:szCs w:val="20"/>
              </w:rPr>
              <w:t>52</w:t>
            </w:r>
          </w:p>
        </w:tc>
        <w:tc>
          <w:tcPr>
            <w:tcW w:w="595" w:type="pct"/>
            <w:shd w:val="clear" w:color="auto" w:fill="auto"/>
            <w:vAlign w:val="center"/>
          </w:tcPr>
          <w:p w14:paraId="320967D5" w14:textId="77777777" w:rsidR="00BE3105" w:rsidRPr="00A06955" w:rsidRDefault="00BE3105" w:rsidP="00A06955">
            <w:pPr>
              <w:tabs>
                <w:tab w:val="decimal" w:pos="317"/>
              </w:tabs>
              <w:jc w:val="center"/>
              <w:rPr>
                <w:color w:val="auto"/>
                <w:sz w:val="20"/>
                <w:szCs w:val="20"/>
              </w:rPr>
            </w:pPr>
            <w:r w:rsidRPr="00A06955">
              <w:rPr>
                <w:color w:val="auto"/>
                <w:sz w:val="20"/>
                <w:szCs w:val="20"/>
              </w:rPr>
              <w:t>6</w:t>
            </w:r>
          </w:p>
        </w:tc>
        <w:tc>
          <w:tcPr>
            <w:tcW w:w="725" w:type="pct"/>
            <w:shd w:val="clear" w:color="auto" w:fill="auto"/>
            <w:vAlign w:val="center"/>
          </w:tcPr>
          <w:p w14:paraId="2DE11AF1" w14:textId="05E87DC9" w:rsidR="00BE3105" w:rsidRPr="00A06955" w:rsidRDefault="00BE3105" w:rsidP="00A06955">
            <w:pPr>
              <w:tabs>
                <w:tab w:val="decimal" w:pos="458"/>
              </w:tabs>
              <w:jc w:val="center"/>
              <w:rPr>
                <w:color w:val="auto"/>
                <w:sz w:val="20"/>
                <w:szCs w:val="20"/>
              </w:rPr>
            </w:pPr>
            <w:r>
              <w:rPr>
                <w:color w:val="auto"/>
                <w:sz w:val="20"/>
                <w:szCs w:val="20"/>
              </w:rPr>
              <w:t>115</w:t>
            </w:r>
          </w:p>
        </w:tc>
        <w:tc>
          <w:tcPr>
            <w:tcW w:w="726" w:type="pct"/>
            <w:shd w:val="clear" w:color="auto" w:fill="auto"/>
            <w:vAlign w:val="center"/>
          </w:tcPr>
          <w:p w14:paraId="5EBDF31B"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62DC7F6B" w14:textId="77777777" w:rsidR="00BE3105" w:rsidRPr="00A06955" w:rsidRDefault="00BE3105" w:rsidP="00A06955">
            <w:pPr>
              <w:tabs>
                <w:tab w:val="decimal" w:pos="460"/>
              </w:tabs>
              <w:jc w:val="center"/>
              <w:rPr>
                <w:color w:val="auto"/>
                <w:sz w:val="20"/>
                <w:szCs w:val="20"/>
              </w:rPr>
            </w:pPr>
            <w:r w:rsidRPr="00A06955">
              <w:rPr>
                <w:color w:val="auto"/>
                <w:sz w:val="20"/>
                <w:szCs w:val="20"/>
              </w:rPr>
              <w:t>173</w:t>
            </w:r>
          </w:p>
        </w:tc>
        <w:tc>
          <w:tcPr>
            <w:tcW w:w="842" w:type="pct"/>
            <w:shd w:val="clear" w:color="auto" w:fill="auto"/>
            <w:vAlign w:val="center"/>
          </w:tcPr>
          <w:p w14:paraId="401111D9" w14:textId="77777777" w:rsidR="00BE3105" w:rsidRPr="00A06955" w:rsidRDefault="00BE3105" w:rsidP="00A06955">
            <w:pPr>
              <w:tabs>
                <w:tab w:val="decimal" w:pos="317"/>
              </w:tabs>
              <w:jc w:val="center"/>
              <w:rPr>
                <w:color w:val="auto"/>
                <w:sz w:val="20"/>
                <w:szCs w:val="20"/>
              </w:rPr>
            </w:pPr>
            <w:r w:rsidRPr="00A06955">
              <w:rPr>
                <w:color w:val="auto"/>
                <w:sz w:val="20"/>
                <w:szCs w:val="20"/>
              </w:rPr>
              <w:t>11</w:t>
            </w:r>
          </w:p>
        </w:tc>
      </w:tr>
      <w:tr w:rsidR="00BE3105" w:rsidRPr="002D7994" w14:paraId="315EE6CB" w14:textId="77777777" w:rsidTr="000944CD">
        <w:trPr>
          <w:trHeight w:val="369"/>
        </w:trPr>
        <w:tc>
          <w:tcPr>
            <w:tcW w:w="918" w:type="pct"/>
            <w:shd w:val="clear" w:color="auto" w:fill="auto"/>
            <w:vAlign w:val="center"/>
          </w:tcPr>
          <w:p w14:paraId="4DC2690F" w14:textId="5F206F25" w:rsidR="00BE3105" w:rsidRPr="00A06955" w:rsidRDefault="00BE3105" w:rsidP="00A06955">
            <w:pPr>
              <w:jc w:val="right"/>
              <w:rPr>
                <w:color w:val="auto"/>
                <w:sz w:val="20"/>
                <w:szCs w:val="20"/>
              </w:rPr>
            </w:pPr>
            <w:r w:rsidRPr="00A06955">
              <w:rPr>
                <w:color w:val="auto"/>
                <w:sz w:val="20"/>
                <w:szCs w:val="20"/>
              </w:rPr>
              <w:t>65,000–69,999</w:t>
            </w:r>
          </w:p>
        </w:tc>
        <w:tc>
          <w:tcPr>
            <w:tcW w:w="532" w:type="pct"/>
            <w:shd w:val="clear" w:color="auto" w:fill="auto"/>
            <w:vAlign w:val="center"/>
          </w:tcPr>
          <w:p w14:paraId="36454901" w14:textId="77777777" w:rsidR="00BE3105" w:rsidRPr="00A06955" w:rsidRDefault="00BE3105" w:rsidP="00A06955">
            <w:pPr>
              <w:tabs>
                <w:tab w:val="decimal" w:pos="460"/>
              </w:tabs>
              <w:jc w:val="center"/>
              <w:rPr>
                <w:color w:val="auto"/>
                <w:sz w:val="20"/>
                <w:szCs w:val="20"/>
              </w:rPr>
            </w:pPr>
            <w:r w:rsidRPr="00A06955">
              <w:rPr>
                <w:color w:val="auto"/>
                <w:sz w:val="20"/>
                <w:szCs w:val="20"/>
              </w:rPr>
              <w:t>50</w:t>
            </w:r>
          </w:p>
        </w:tc>
        <w:tc>
          <w:tcPr>
            <w:tcW w:w="595" w:type="pct"/>
            <w:shd w:val="clear" w:color="auto" w:fill="auto"/>
            <w:vAlign w:val="center"/>
          </w:tcPr>
          <w:p w14:paraId="1B0E7C10" w14:textId="77777777" w:rsidR="00BE3105" w:rsidRPr="00A06955" w:rsidRDefault="00BE3105" w:rsidP="00A06955">
            <w:pPr>
              <w:tabs>
                <w:tab w:val="decimal" w:pos="317"/>
              </w:tabs>
              <w:jc w:val="center"/>
              <w:rPr>
                <w:color w:val="auto"/>
                <w:sz w:val="20"/>
                <w:szCs w:val="20"/>
              </w:rPr>
            </w:pPr>
            <w:r w:rsidRPr="00A06955">
              <w:rPr>
                <w:color w:val="auto"/>
                <w:sz w:val="20"/>
                <w:szCs w:val="20"/>
              </w:rPr>
              <w:t>1</w:t>
            </w:r>
          </w:p>
        </w:tc>
        <w:tc>
          <w:tcPr>
            <w:tcW w:w="725" w:type="pct"/>
            <w:shd w:val="clear" w:color="auto" w:fill="auto"/>
            <w:vAlign w:val="center"/>
          </w:tcPr>
          <w:p w14:paraId="15BA3D58" w14:textId="7A54C1F1" w:rsidR="00BE3105" w:rsidRPr="00A06955" w:rsidRDefault="00BE3105" w:rsidP="00A06955">
            <w:pPr>
              <w:tabs>
                <w:tab w:val="decimal" w:pos="458"/>
              </w:tabs>
              <w:jc w:val="center"/>
              <w:rPr>
                <w:color w:val="auto"/>
                <w:sz w:val="20"/>
                <w:szCs w:val="20"/>
              </w:rPr>
            </w:pPr>
            <w:r w:rsidRPr="00A06955">
              <w:rPr>
                <w:color w:val="auto"/>
                <w:sz w:val="20"/>
                <w:szCs w:val="20"/>
              </w:rPr>
              <w:t>3</w:t>
            </w:r>
            <w:r>
              <w:rPr>
                <w:color w:val="auto"/>
                <w:sz w:val="20"/>
                <w:szCs w:val="20"/>
              </w:rPr>
              <w:t>8</w:t>
            </w:r>
          </w:p>
        </w:tc>
        <w:tc>
          <w:tcPr>
            <w:tcW w:w="726" w:type="pct"/>
            <w:shd w:val="clear" w:color="auto" w:fill="auto"/>
            <w:vAlign w:val="center"/>
          </w:tcPr>
          <w:p w14:paraId="06A05723" w14:textId="77777777" w:rsidR="00BE3105" w:rsidRPr="00A06955" w:rsidRDefault="00BE3105" w:rsidP="00A06955">
            <w:pPr>
              <w:tabs>
                <w:tab w:val="decimal" w:pos="176"/>
              </w:tabs>
              <w:jc w:val="center"/>
              <w:rPr>
                <w:color w:val="auto"/>
                <w:sz w:val="20"/>
                <w:szCs w:val="20"/>
              </w:rPr>
            </w:pPr>
            <w:r w:rsidRPr="00A06955">
              <w:rPr>
                <w:color w:val="auto"/>
                <w:sz w:val="20"/>
                <w:szCs w:val="20"/>
              </w:rPr>
              <w:t>1</w:t>
            </w:r>
          </w:p>
        </w:tc>
        <w:tc>
          <w:tcPr>
            <w:tcW w:w="661" w:type="pct"/>
            <w:vAlign w:val="center"/>
          </w:tcPr>
          <w:p w14:paraId="1898B77C" w14:textId="77777777" w:rsidR="00BE3105" w:rsidRPr="00A06955" w:rsidRDefault="00BE3105" w:rsidP="00A06955">
            <w:pPr>
              <w:tabs>
                <w:tab w:val="decimal" w:pos="460"/>
              </w:tabs>
              <w:jc w:val="center"/>
              <w:rPr>
                <w:color w:val="auto"/>
                <w:sz w:val="20"/>
                <w:szCs w:val="20"/>
              </w:rPr>
            </w:pPr>
            <w:r w:rsidRPr="00A06955">
              <w:rPr>
                <w:color w:val="auto"/>
                <w:sz w:val="20"/>
                <w:szCs w:val="20"/>
              </w:rPr>
              <w:t>90</w:t>
            </w:r>
          </w:p>
        </w:tc>
        <w:tc>
          <w:tcPr>
            <w:tcW w:w="842" w:type="pct"/>
            <w:shd w:val="clear" w:color="auto" w:fill="auto"/>
            <w:vAlign w:val="center"/>
          </w:tcPr>
          <w:p w14:paraId="35C3BE0E" w14:textId="77777777" w:rsidR="00BE3105" w:rsidRPr="00A06955" w:rsidRDefault="00BE3105" w:rsidP="00A06955">
            <w:pPr>
              <w:tabs>
                <w:tab w:val="decimal" w:pos="317"/>
              </w:tabs>
              <w:jc w:val="center"/>
              <w:rPr>
                <w:color w:val="auto"/>
                <w:sz w:val="20"/>
                <w:szCs w:val="20"/>
              </w:rPr>
            </w:pPr>
            <w:r w:rsidRPr="00A06955">
              <w:rPr>
                <w:color w:val="auto"/>
                <w:sz w:val="20"/>
                <w:szCs w:val="20"/>
              </w:rPr>
              <w:t>19</w:t>
            </w:r>
          </w:p>
        </w:tc>
      </w:tr>
      <w:tr w:rsidR="00BE3105" w:rsidRPr="002D7994" w14:paraId="7F0ED64D" w14:textId="77777777" w:rsidTr="000944CD">
        <w:trPr>
          <w:trHeight w:val="369"/>
        </w:trPr>
        <w:tc>
          <w:tcPr>
            <w:tcW w:w="918" w:type="pct"/>
            <w:shd w:val="clear" w:color="auto" w:fill="auto"/>
            <w:vAlign w:val="center"/>
          </w:tcPr>
          <w:p w14:paraId="20C8CD12" w14:textId="6599C160" w:rsidR="00BE3105" w:rsidRPr="00A06955" w:rsidRDefault="00BE3105" w:rsidP="00A06955">
            <w:pPr>
              <w:jc w:val="right"/>
              <w:rPr>
                <w:color w:val="auto"/>
                <w:sz w:val="20"/>
                <w:szCs w:val="20"/>
              </w:rPr>
            </w:pPr>
            <w:r w:rsidRPr="00A06955">
              <w:rPr>
                <w:color w:val="auto"/>
                <w:sz w:val="20"/>
                <w:szCs w:val="20"/>
              </w:rPr>
              <w:t>70,000–74,999</w:t>
            </w:r>
          </w:p>
        </w:tc>
        <w:tc>
          <w:tcPr>
            <w:tcW w:w="532" w:type="pct"/>
            <w:shd w:val="clear" w:color="auto" w:fill="auto"/>
            <w:vAlign w:val="center"/>
          </w:tcPr>
          <w:p w14:paraId="526FDE6A" w14:textId="77777777" w:rsidR="00BE3105" w:rsidRPr="00A06955" w:rsidRDefault="00BE3105" w:rsidP="00A06955">
            <w:pPr>
              <w:tabs>
                <w:tab w:val="decimal" w:pos="460"/>
              </w:tabs>
              <w:jc w:val="center"/>
              <w:rPr>
                <w:color w:val="auto"/>
                <w:sz w:val="20"/>
                <w:szCs w:val="20"/>
              </w:rPr>
            </w:pPr>
            <w:r w:rsidRPr="00A06955">
              <w:rPr>
                <w:color w:val="auto"/>
                <w:sz w:val="20"/>
                <w:szCs w:val="20"/>
              </w:rPr>
              <w:t>13</w:t>
            </w:r>
          </w:p>
        </w:tc>
        <w:tc>
          <w:tcPr>
            <w:tcW w:w="595" w:type="pct"/>
            <w:shd w:val="clear" w:color="auto" w:fill="auto"/>
            <w:vAlign w:val="center"/>
          </w:tcPr>
          <w:p w14:paraId="28B46F29" w14:textId="77777777" w:rsidR="00BE3105" w:rsidRPr="00A06955" w:rsidRDefault="00BE3105" w:rsidP="00A06955">
            <w:pPr>
              <w:tabs>
                <w:tab w:val="decimal" w:pos="317"/>
              </w:tabs>
              <w:jc w:val="center"/>
              <w:rPr>
                <w:color w:val="auto"/>
                <w:sz w:val="20"/>
                <w:szCs w:val="20"/>
              </w:rPr>
            </w:pPr>
            <w:r w:rsidRPr="00A06955">
              <w:rPr>
                <w:color w:val="auto"/>
                <w:sz w:val="20"/>
                <w:szCs w:val="20"/>
              </w:rPr>
              <w:t>-</w:t>
            </w:r>
          </w:p>
        </w:tc>
        <w:tc>
          <w:tcPr>
            <w:tcW w:w="725" w:type="pct"/>
            <w:shd w:val="clear" w:color="auto" w:fill="auto"/>
            <w:vAlign w:val="center"/>
          </w:tcPr>
          <w:p w14:paraId="2D194BE4" w14:textId="569C5F08" w:rsidR="00BE3105" w:rsidRPr="00A06955" w:rsidRDefault="00BE3105" w:rsidP="00A06955">
            <w:pPr>
              <w:tabs>
                <w:tab w:val="decimal" w:pos="458"/>
              </w:tabs>
              <w:jc w:val="center"/>
              <w:rPr>
                <w:color w:val="auto"/>
                <w:sz w:val="20"/>
                <w:szCs w:val="20"/>
              </w:rPr>
            </w:pPr>
            <w:r w:rsidRPr="00A06955">
              <w:rPr>
                <w:color w:val="auto"/>
                <w:sz w:val="20"/>
                <w:szCs w:val="20"/>
              </w:rPr>
              <w:t>2</w:t>
            </w:r>
            <w:r>
              <w:rPr>
                <w:color w:val="auto"/>
                <w:sz w:val="20"/>
                <w:szCs w:val="20"/>
              </w:rPr>
              <w:t>7</w:t>
            </w:r>
          </w:p>
        </w:tc>
        <w:tc>
          <w:tcPr>
            <w:tcW w:w="726" w:type="pct"/>
            <w:shd w:val="clear" w:color="auto" w:fill="auto"/>
            <w:vAlign w:val="center"/>
          </w:tcPr>
          <w:p w14:paraId="2C3A4475"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70780D16" w14:textId="77777777" w:rsidR="00BE3105" w:rsidRPr="00A06955" w:rsidRDefault="00BE3105" w:rsidP="00A06955">
            <w:pPr>
              <w:tabs>
                <w:tab w:val="decimal" w:pos="460"/>
              </w:tabs>
              <w:jc w:val="center"/>
              <w:rPr>
                <w:color w:val="auto"/>
                <w:sz w:val="20"/>
                <w:szCs w:val="20"/>
              </w:rPr>
            </w:pPr>
            <w:r w:rsidRPr="00A06955">
              <w:rPr>
                <w:color w:val="auto"/>
                <w:sz w:val="20"/>
                <w:szCs w:val="20"/>
              </w:rPr>
              <w:t>40</w:t>
            </w:r>
          </w:p>
        </w:tc>
        <w:tc>
          <w:tcPr>
            <w:tcW w:w="842" w:type="pct"/>
            <w:shd w:val="clear" w:color="auto" w:fill="auto"/>
            <w:vAlign w:val="center"/>
          </w:tcPr>
          <w:p w14:paraId="489B0B57" w14:textId="77777777" w:rsidR="00BE3105" w:rsidRPr="00A06955" w:rsidRDefault="00BE3105" w:rsidP="00A06955">
            <w:pPr>
              <w:tabs>
                <w:tab w:val="decimal" w:pos="317"/>
              </w:tabs>
              <w:jc w:val="center"/>
              <w:rPr>
                <w:color w:val="auto"/>
                <w:sz w:val="20"/>
                <w:szCs w:val="20"/>
              </w:rPr>
            </w:pPr>
            <w:r w:rsidRPr="00A06955">
              <w:rPr>
                <w:color w:val="auto"/>
                <w:sz w:val="20"/>
                <w:szCs w:val="20"/>
              </w:rPr>
              <w:t>11</w:t>
            </w:r>
          </w:p>
        </w:tc>
      </w:tr>
      <w:tr w:rsidR="00BE3105" w:rsidRPr="002D7994" w14:paraId="07C38128" w14:textId="77777777" w:rsidTr="000944CD">
        <w:trPr>
          <w:trHeight w:val="369"/>
        </w:trPr>
        <w:tc>
          <w:tcPr>
            <w:tcW w:w="918" w:type="pct"/>
            <w:shd w:val="clear" w:color="auto" w:fill="auto"/>
            <w:vAlign w:val="center"/>
          </w:tcPr>
          <w:p w14:paraId="77405609" w14:textId="5CE376CB" w:rsidR="00BE3105" w:rsidRPr="00A06955" w:rsidRDefault="00BE3105" w:rsidP="00A06955">
            <w:pPr>
              <w:jc w:val="right"/>
              <w:rPr>
                <w:color w:val="auto"/>
                <w:sz w:val="20"/>
                <w:szCs w:val="20"/>
              </w:rPr>
            </w:pPr>
            <w:r w:rsidRPr="00A06955">
              <w:rPr>
                <w:color w:val="auto"/>
                <w:sz w:val="20"/>
                <w:szCs w:val="20"/>
              </w:rPr>
              <w:t>75,000–79,999</w:t>
            </w:r>
          </w:p>
        </w:tc>
        <w:tc>
          <w:tcPr>
            <w:tcW w:w="532" w:type="pct"/>
            <w:shd w:val="clear" w:color="auto" w:fill="auto"/>
            <w:vAlign w:val="center"/>
          </w:tcPr>
          <w:p w14:paraId="7A318017" w14:textId="77777777" w:rsidR="00BE3105" w:rsidRPr="00A06955" w:rsidRDefault="00BE3105" w:rsidP="00A06955">
            <w:pPr>
              <w:tabs>
                <w:tab w:val="decimal" w:pos="460"/>
              </w:tabs>
              <w:jc w:val="center"/>
              <w:rPr>
                <w:color w:val="auto"/>
                <w:sz w:val="20"/>
                <w:szCs w:val="20"/>
              </w:rPr>
            </w:pPr>
            <w:r w:rsidRPr="00A06955">
              <w:rPr>
                <w:color w:val="auto"/>
                <w:sz w:val="20"/>
                <w:szCs w:val="20"/>
              </w:rPr>
              <w:t>7</w:t>
            </w:r>
          </w:p>
        </w:tc>
        <w:tc>
          <w:tcPr>
            <w:tcW w:w="595" w:type="pct"/>
            <w:shd w:val="clear" w:color="auto" w:fill="auto"/>
            <w:vAlign w:val="center"/>
          </w:tcPr>
          <w:p w14:paraId="580BF70D" w14:textId="77777777" w:rsidR="00BE3105" w:rsidRPr="00A06955" w:rsidRDefault="00BE3105" w:rsidP="00A06955">
            <w:pPr>
              <w:tabs>
                <w:tab w:val="decimal" w:pos="317"/>
              </w:tabs>
              <w:jc w:val="center"/>
              <w:rPr>
                <w:color w:val="auto"/>
                <w:sz w:val="20"/>
                <w:szCs w:val="20"/>
              </w:rPr>
            </w:pPr>
            <w:r w:rsidRPr="00A06955">
              <w:rPr>
                <w:color w:val="auto"/>
                <w:sz w:val="20"/>
                <w:szCs w:val="20"/>
              </w:rPr>
              <w:t>-</w:t>
            </w:r>
          </w:p>
        </w:tc>
        <w:tc>
          <w:tcPr>
            <w:tcW w:w="725" w:type="pct"/>
            <w:shd w:val="clear" w:color="auto" w:fill="auto"/>
            <w:vAlign w:val="center"/>
          </w:tcPr>
          <w:p w14:paraId="5E11A1EF" w14:textId="1D513293" w:rsidR="00BE3105" w:rsidRPr="00A06955" w:rsidRDefault="00BE3105" w:rsidP="00A06955">
            <w:pPr>
              <w:tabs>
                <w:tab w:val="decimal" w:pos="458"/>
              </w:tabs>
              <w:jc w:val="center"/>
              <w:rPr>
                <w:color w:val="auto"/>
                <w:sz w:val="20"/>
                <w:szCs w:val="20"/>
              </w:rPr>
            </w:pPr>
            <w:r w:rsidRPr="00A06955">
              <w:rPr>
                <w:color w:val="auto"/>
                <w:sz w:val="20"/>
                <w:szCs w:val="20"/>
              </w:rPr>
              <w:t>1</w:t>
            </w:r>
            <w:r>
              <w:rPr>
                <w:color w:val="auto"/>
                <w:sz w:val="20"/>
                <w:szCs w:val="20"/>
              </w:rPr>
              <w:t>6</w:t>
            </w:r>
          </w:p>
        </w:tc>
        <w:tc>
          <w:tcPr>
            <w:tcW w:w="726" w:type="pct"/>
            <w:shd w:val="clear" w:color="auto" w:fill="auto"/>
            <w:vAlign w:val="center"/>
          </w:tcPr>
          <w:p w14:paraId="630BA8C9"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13A03463" w14:textId="77777777" w:rsidR="00BE3105" w:rsidRPr="00A06955" w:rsidRDefault="00BE3105" w:rsidP="00A06955">
            <w:pPr>
              <w:tabs>
                <w:tab w:val="decimal" w:pos="460"/>
              </w:tabs>
              <w:jc w:val="center"/>
              <w:rPr>
                <w:color w:val="auto"/>
                <w:sz w:val="20"/>
                <w:szCs w:val="20"/>
              </w:rPr>
            </w:pPr>
            <w:r w:rsidRPr="00A06955">
              <w:rPr>
                <w:color w:val="auto"/>
                <w:sz w:val="20"/>
                <w:szCs w:val="20"/>
              </w:rPr>
              <w:t>23</w:t>
            </w:r>
          </w:p>
        </w:tc>
        <w:tc>
          <w:tcPr>
            <w:tcW w:w="842" w:type="pct"/>
            <w:shd w:val="clear" w:color="auto" w:fill="auto"/>
            <w:vAlign w:val="center"/>
          </w:tcPr>
          <w:p w14:paraId="04067BAE" w14:textId="77777777" w:rsidR="00BE3105" w:rsidRPr="00A06955" w:rsidRDefault="00BE3105" w:rsidP="00A06955">
            <w:pPr>
              <w:tabs>
                <w:tab w:val="decimal" w:pos="317"/>
              </w:tabs>
              <w:jc w:val="center"/>
              <w:rPr>
                <w:color w:val="auto"/>
                <w:sz w:val="20"/>
                <w:szCs w:val="20"/>
              </w:rPr>
            </w:pPr>
            <w:r w:rsidRPr="00A06955">
              <w:rPr>
                <w:color w:val="auto"/>
                <w:sz w:val="20"/>
                <w:szCs w:val="20"/>
              </w:rPr>
              <w:t>4</w:t>
            </w:r>
          </w:p>
        </w:tc>
      </w:tr>
      <w:tr w:rsidR="00BE3105" w:rsidRPr="002D7994" w14:paraId="0EA18AEE" w14:textId="77777777" w:rsidTr="000944CD">
        <w:trPr>
          <w:trHeight w:val="369"/>
        </w:trPr>
        <w:tc>
          <w:tcPr>
            <w:tcW w:w="918" w:type="pct"/>
            <w:shd w:val="clear" w:color="auto" w:fill="auto"/>
            <w:vAlign w:val="center"/>
          </w:tcPr>
          <w:p w14:paraId="723E7ED2" w14:textId="63BBF5C7" w:rsidR="00BE3105" w:rsidRPr="00A06955" w:rsidRDefault="00BE3105" w:rsidP="00A06955">
            <w:pPr>
              <w:jc w:val="right"/>
              <w:rPr>
                <w:color w:val="auto"/>
                <w:sz w:val="20"/>
                <w:szCs w:val="20"/>
              </w:rPr>
            </w:pPr>
            <w:r w:rsidRPr="00A06955">
              <w:rPr>
                <w:color w:val="auto"/>
                <w:sz w:val="20"/>
                <w:szCs w:val="20"/>
              </w:rPr>
              <w:t>80,000–84,999</w:t>
            </w:r>
          </w:p>
        </w:tc>
        <w:tc>
          <w:tcPr>
            <w:tcW w:w="532" w:type="pct"/>
            <w:shd w:val="clear" w:color="auto" w:fill="auto"/>
            <w:vAlign w:val="center"/>
          </w:tcPr>
          <w:p w14:paraId="62942D55" w14:textId="77777777" w:rsidR="00BE3105" w:rsidRPr="00A06955" w:rsidRDefault="00BE3105" w:rsidP="00A06955">
            <w:pPr>
              <w:tabs>
                <w:tab w:val="decimal" w:pos="460"/>
              </w:tabs>
              <w:jc w:val="center"/>
              <w:rPr>
                <w:color w:val="auto"/>
                <w:sz w:val="20"/>
                <w:szCs w:val="20"/>
              </w:rPr>
            </w:pPr>
            <w:r w:rsidRPr="00A06955">
              <w:rPr>
                <w:color w:val="auto"/>
                <w:sz w:val="20"/>
                <w:szCs w:val="20"/>
              </w:rPr>
              <w:t>8</w:t>
            </w:r>
          </w:p>
        </w:tc>
        <w:tc>
          <w:tcPr>
            <w:tcW w:w="595" w:type="pct"/>
            <w:shd w:val="clear" w:color="auto" w:fill="auto"/>
            <w:vAlign w:val="center"/>
          </w:tcPr>
          <w:p w14:paraId="699BF735" w14:textId="77777777" w:rsidR="00BE3105" w:rsidRPr="00A06955" w:rsidRDefault="00BE3105" w:rsidP="00A06955">
            <w:pPr>
              <w:tabs>
                <w:tab w:val="decimal" w:pos="317"/>
              </w:tabs>
              <w:jc w:val="center"/>
              <w:rPr>
                <w:color w:val="auto"/>
                <w:sz w:val="20"/>
                <w:szCs w:val="20"/>
              </w:rPr>
            </w:pPr>
            <w:r w:rsidRPr="00A06955">
              <w:rPr>
                <w:color w:val="auto"/>
                <w:sz w:val="20"/>
                <w:szCs w:val="20"/>
              </w:rPr>
              <w:t>1</w:t>
            </w:r>
          </w:p>
        </w:tc>
        <w:tc>
          <w:tcPr>
            <w:tcW w:w="725" w:type="pct"/>
            <w:shd w:val="clear" w:color="auto" w:fill="auto"/>
            <w:vAlign w:val="center"/>
          </w:tcPr>
          <w:p w14:paraId="1F67AA96" w14:textId="3CD0C615" w:rsidR="00BE3105" w:rsidRPr="00A06955" w:rsidRDefault="00BE3105" w:rsidP="00A06955">
            <w:pPr>
              <w:tabs>
                <w:tab w:val="decimal" w:pos="458"/>
              </w:tabs>
              <w:jc w:val="center"/>
              <w:rPr>
                <w:color w:val="auto"/>
                <w:sz w:val="20"/>
                <w:szCs w:val="20"/>
              </w:rPr>
            </w:pPr>
            <w:r>
              <w:rPr>
                <w:color w:val="auto"/>
                <w:sz w:val="20"/>
                <w:szCs w:val="20"/>
              </w:rPr>
              <w:t>9</w:t>
            </w:r>
          </w:p>
        </w:tc>
        <w:tc>
          <w:tcPr>
            <w:tcW w:w="726" w:type="pct"/>
            <w:shd w:val="clear" w:color="auto" w:fill="auto"/>
            <w:vAlign w:val="center"/>
          </w:tcPr>
          <w:p w14:paraId="3FEA2CD1"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6D8600A8" w14:textId="77777777" w:rsidR="00BE3105" w:rsidRPr="00A06955" w:rsidRDefault="00BE3105" w:rsidP="00A06955">
            <w:pPr>
              <w:tabs>
                <w:tab w:val="decimal" w:pos="460"/>
              </w:tabs>
              <w:jc w:val="center"/>
              <w:rPr>
                <w:color w:val="auto"/>
                <w:sz w:val="20"/>
                <w:szCs w:val="20"/>
              </w:rPr>
            </w:pPr>
            <w:r w:rsidRPr="00A06955">
              <w:rPr>
                <w:color w:val="auto"/>
                <w:sz w:val="20"/>
                <w:szCs w:val="20"/>
              </w:rPr>
              <w:t>18</w:t>
            </w:r>
          </w:p>
        </w:tc>
        <w:tc>
          <w:tcPr>
            <w:tcW w:w="842" w:type="pct"/>
            <w:shd w:val="clear" w:color="auto" w:fill="auto"/>
            <w:vAlign w:val="center"/>
          </w:tcPr>
          <w:p w14:paraId="48D42BCF" w14:textId="77777777" w:rsidR="00BE3105" w:rsidRPr="00A06955" w:rsidRDefault="00BE3105" w:rsidP="00A06955">
            <w:pPr>
              <w:tabs>
                <w:tab w:val="decimal" w:pos="317"/>
              </w:tabs>
              <w:jc w:val="center"/>
              <w:rPr>
                <w:color w:val="auto"/>
                <w:sz w:val="20"/>
                <w:szCs w:val="20"/>
              </w:rPr>
            </w:pPr>
            <w:r w:rsidRPr="00A06955">
              <w:rPr>
                <w:color w:val="auto"/>
                <w:sz w:val="20"/>
                <w:szCs w:val="20"/>
              </w:rPr>
              <w:t>6</w:t>
            </w:r>
          </w:p>
        </w:tc>
      </w:tr>
      <w:tr w:rsidR="00BE3105" w:rsidRPr="002D7994" w14:paraId="73643567" w14:textId="77777777" w:rsidTr="000944CD">
        <w:trPr>
          <w:trHeight w:val="369"/>
        </w:trPr>
        <w:tc>
          <w:tcPr>
            <w:tcW w:w="918" w:type="pct"/>
            <w:shd w:val="clear" w:color="auto" w:fill="auto"/>
            <w:vAlign w:val="center"/>
          </w:tcPr>
          <w:p w14:paraId="665B810F" w14:textId="6D745428" w:rsidR="00BE3105" w:rsidRPr="00A06955" w:rsidRDefault="00BE3105" w:rsidP="00A06955">
            <w:pPr>
              <w:jc w:val="right"/>
              <w:rPr>
                <w:color w:val="auto"/>
                <w:sz w:val="20"/>
                <w:szCs w:val="20"/>
              </w:rPr>
            </w:pPr>
            <w:r w:rsidRPr="00A06955">
              <w:rPr>
                <w:color w:val="auto"/>
                <w:sz w:val="20"/>
                <w:szCs w:val="20"/>
              </w:rPr>
              <w:t>85,000–89,999</w:t>
            </w:r>
          </w:p>
        </w:tc>
        <w:tc>
          <w:tcPr>
            <w:tcW w:w="532" w:type="pct"/>
            <w:shd w:val="clear" w:color="auto" w:fill="auto"/>
            <w:vAlign w:val="center"/>
          </w:tcPr>
          <w:p w14:paraId="5F7309EB" w14:textId="77777777" w:rsidR="00BE3105" w:rsidRPr="00A06955" w:rsidRDefault="00BE3105" w:rsidP="00A06955">
            <w:pPr>
              <w:tabs>
                <w:tab w:val="decimal" w:pos="460"/>
              </w:tabs>
              <w:jc w:val="center"/>
              <w:rPr>
                <w:color w:val="auto"/>
                <w:sz w:val="20"/>
                <w:szCs w:val="20"/>
              </w:rPr>
            </w:pPr>
            <w:r w:rsidRPr="00A06955">
              <w:rPr>
                <w:color w:val="auto"/>
                <w:sz w:val="20"/>
                <w:szCs w:val="20"/>
              </w:rPr>
              <w:t>6</w:t>
            </w:r>
          </w:p>
        </w:tc>
        <w:tc>
          <w:tcPr>
            <w:tcW w:w="595" w:type="pct"/>
            <w:shd w:val="clear" w:color="auto" w:fill="auto"/>
            <w:vAlign w:val="center"/>
          </w:tcPr>
          <w:p w14:paraId="5B5064AC" w14:textId="77777777" w:rsidR="00BE3105" w:rsidRPr="00A06955" w:rsidRDefault="00BE3105" w:rsidP="00A06955">
            <w:pPr>
              <w:tabs>
                <w:tab w:val="decimal" w:pos="317"/>
              </w:tabs>
              <w:jc w:val="center"/>
              <w:rPr>
                <w:color w:val="auto"/>
                <w:sz w:val="20"/>
                <w:szCs w:val="20"/>
              </w:rPr>
            </w:pPr>
            <w:r w:rsidRPr="00A06955">
              <w:rPr>
                <w:color w:val="auto"/>
                <w:sz w:val="20"/>
                <w:szCs w:val="20"/>
              </w:rPr>
              <w:t>-</w:t>
            </w:r>
          </w:p>
        </w:tc>
        <w:tc>
          <w:tcPr>
            <w:tcW w:w="725" w:type="pct"/>
            <w:shd w:val="clear" w:color="auto" w:fill="auto"/>
            <w:vAlign w:val="center"/>
          </w:tcPr>
          <w:p w14:paraId="3632EE54" w14:textId="22CD80CA" w:rsidR="00BE3105" w:rsidRPr="00A06955" w:rsidRDefault="00BE3105" w:rsidP="00A06955">
            <w:pPr>
              <w:tabs>
                <w:tab w:val="decimal" w:pos="458"/>
              </w:tabs>
              <w:jc w:val="center"/>
              <w:rPr>
                <w:color w:val="auto"/>
                <w:sz w:val="20"/>
                <w:szCs w:val="20"/>
              </w:rPr>
            </w:pPr>
            <w:r>
              <w:rPr>
                <w:color w:val="auto"/>
                <w:sz w:val="20"/>
                <w:szCs w:val="20"/>
              </w:rPr>
              <w:t>11</w:t>
            </w:r>
          </w:p>
        </w:tc>
        <w:tc>
          <w:tcPr>
            <w:tcW w:w="726" w:type="pct"/>
            <w:shd w:val="clear" w:color="auto" w:fill="auto"/>
            <w:vAlign w:val="center"/>
          </w:tcPr>
          <w:p w14:paraId="709CC8FF"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796A3167" w14:textId="77777777" w:rsidR="00BE3105" w:rsidRPr="00A06955" w:rsidRDefault="00BE3105" w:rsidP="00A06955">
            <w:pPr>
              <w:tabs>
                <w:tab w:val="decimal" w:pos="460"/>
              </w:tabs>
              <w:jc w:val="center"/>
              <w:rPr>
                <w:color w:val="auto"/>
                <w:sz w:val="20"/>
                <w:szCs w:val="20"/>
              </w:rPr>
            </w:pPr>
            <w:r w:rsidRPr="00A06955">
              <w:rPr>
                <w:color w:val="auto"/>
                <w:sz w:val="20"/>
                <w:szCs w:val="20"/>
              </w:rPr>
              <w:t>17</w:t>
            </w:r>
          </w:p>
        </w:tc>
        <w:tc>
          <w:tcPr>
            <w:tcW w:w="842" w:type="pct"/>
            <w:shd w:val="clear" w:color="auto" w:fill="auto"/>
            <w:vAlign w:val="center"/>
          </w:tcPr>
          <w:p w14:paraId="79F627DD" w14:textId="77777777" w:rsidR="00BE3105" w:rsidRPr="00A06955" w:rsidRDefault="00BE3105" w:rsidP="00A06955">
            <w:pPr>
              <w:tabs>
                <w:tab w:val="decimal" w:pos="317"/>
              </w:tabs>
              <w:jc w:val="center"/>
              <w:rPr>
                <w:color w:val="auto"/>
                <w:sz w:val="20"/>
                <w:szCs w:val="20"/>
              </w:rPr>
            </w:pPr>
            <w:r w:rsidRPr="00A06955">
              <w:rPr>
                <w:color w:val="auto"/>
                <w:sz w:val="20"/>
                <w:szCs w:val="20"/>
              </w:rPr>
              <w:t>3</w:t>
            </w:r>
          </w:p>
        </w:tc>
      </w:tr>
      <w:tr w:rsidR="00BE3105" w:rsidRPr="002D7994" w14:paraId="53DAEDDF" w14:textId="77777777" w:rsidTr="000944CD">
        <w:trPr>
          <w:trHeight w:val="369"/>
        </w:trPr>
        <w:tc>
          <w:tcPr>
            <w:tcW w:w="918" w:type="pct"/>
            <w:shd w:val="clear" w:color="auto" w:fill="auto"/>
            <w:vAlign w:val="center"/>
          </w:tcPr>
          <w:p w14:paraId="6661B4D0" w14:textId="65D51D32" w:rsidR="00BE3105" w:rsidRPr="00A06955" w:rsidRDefault="00BE3105" w:rsidP="00A06955">
            <w:pPr>
              <w:jc w:val="right"/>
              <w:rPr>
                <w:color w:val="auto"/>
                <w:sz w:val="20"/>
                <w:szCs w:val="20"/>
              </w:rPr>
            </w:pPr>
            <w:r w:rsidRPr="00A06955">
              <w:rPr>
                <w:color w:val="auto"/>
                <w:sz w:val="20"/>
                <w:szCs w:val="20"/>
              </w:rPr>
              <w:t>90,000–94,999</w:t>
            </w:r>
          </w:p>
        </w:tc>
        <w:tc>
          <w:tcPr>
            <w:tcW w:w="532" w:type="pct"/>
            <w:shd w:val="clear" w:color="auto" w:fill="auto"/>
            <w:vAlign w:val="center"/>
          </w:tcPr>
          <w:p w14:paraId="4D628E44" w14:textId="77777777" w:rsidR="00BE3105" w:rsidRPr="00A06955" w:rsidRDefault="00BE3105" w:rsidP="00A06955">
            <w:pPr>
              <w:tabs>
                <w:tab w:val="decimal" w:pos="460"/>
              </w:tabs>
              <w:jc w:val="center"/>
              <w:rPr>
                <w:color w:val="auto"/>
                <w:sz w:val="20"/>
                <w:szCs w:val="20"/>
              </w:rPr>
            </w:pPr>
            <w:r w:rsidRPr="00A06955">
              <w:rPr>
                <w:color w:val="auto"/>
                <w:sz w:val="20"/>
                <w:szCs w:val="20"/>
              </w:rPr>
              <w:t>4</w:t>
            </w:r>
          </w:p>
        </w:tc>
        <w:tc>
          <w:tcPr>
            <w:tcW w:w="595" w:type="pct"/>
            <w:shd w:val="clear" w:color="auto" w:fill="auto"/>
            <w:vAlign w:val="center"/>
          </w:tcPr>
          <w:p w14:paraId="58F8A676" w14:textId="77777777" w:rsidR="00BE3105" w:rsidRPr="00A06955" w:rsidRDefault="00BE3105" w:rsidP="00A06955">
            <w:pPr>
              <w:tabs>
                <w:tab w:val="decimal" w:pos="317"/>
              </w:tabs>
              <w:jc w:val="center"/>
              <w:rPr>
                <w:color w:val="auto"/>
                <w:sz w:val="20"/>
                <w:szCs w:val="20"/>
              </w:rPr>
            </w:pPr>
            <w:r w:rsidRPr="00A06955">
              <w:rPr>
                <w:color w:val="auto"/>
                <w:sz w:val="20"/>
                <w:szCs w:val="20"/>
              </w:rPr>
              <w:t>1</w:t>
            </w:r>
          </w:p>
        </w:tc>
        <w:tc>
          <w:tcPr>
            <w:tcW w:w="725" w:type="pct"/>
            <w:shd w:val="clear" w:color="auto" w:fill="auto"/>
            <w:vAlign w:val="center"/>
          </w:tcPr>
          <w:p w14:paraId="5616DBF3" w14:textId="3BCDEDE4" w:rsidR="00BE3105" w:rsidRPr="00A06955" w:rsidRDefault="00BE3105" w:rsidP="00A06955">
            <w:pPr>
              <w:tabs>
                <w:tab w:val="decimal" w:pos="458"/>
              </w:tabs>
              <w:jc w:val="center"/>
              <w:rPr>
                <w:color w:val="auto"/>
                <w:sz w:val="20"/>
                <w:szCs w:val="20"/>
              </w:rPr>
            </w:pPr>
            <w:r>
              <w:rPr>
                <w:color w:val="auto"/>
                <w:sz w:val="20"/>
                <w:szCs w:val="20"/>
              </w:rPr>
              <w:t>7</w:t>
            </w:r>
          </w:p>
        </w:tc>
        <w:tc>
          <w:tcPr>
            <w:tcW w:w="726" w:type="pct"/>
            <w:shd w:val="clear" w:color="auto" w:fill="auto"/>
            <w:vAlign w:val="center"/>
          </w:tcPr>
          <w:p w14:paraId="3669C354"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0629F207" w14:textId="77777777" w:rsidR="00BE3105" w:rsidRPr="00A06955" w:rsidRDefault="00BE3105" w:rsidP="00A06955">
            <w:pPr>
              <w:tabs>
                <w:tab w:val="decimal" w:pos="460"/>
              </w:tabs>
              <w:jc w:val="center"/>
              <w:rPr>
                <w:color w:val="auto"/>
                <w:sz w:val="20"/>
                <w:szCs w:val="20"/>
              </w:rPr>
            </w:pPr>
            <w:r w:rsidRPr="00A06955">
              <w:rPr>
                <w:color w:val="auto"/>
                <w:sz w:val="20"/>
                <w:szCs w:val="20"/>
              </w:rPr>
              <w:t>12</w:t>
            </w:r>
          </w:p>
        </w:tc>
        <w:tc>
          <w:tcPr>
            <w:tcW w:w="842" w:type="pct"/>
            <w:shd w:val="clear" w:color="auto" w:fill="auto"/>
            <w:vAlign w:val="center"/>
          </w:tcPr>
          <w:p w14:paraId="12369ABD" w14:textId="77777777" w:rsidR="00BE3105" w:rsidRPr="00A06955" w:rsidRDefault="00BE3105" w:rsidP="00A06955">
            <w:pPr>
              <w:tabs>
                <w:tab w:val="decimal" w:pos="317"/>
              </w:tabs>
              <w:jc w:val="center"/>
              <w:rPr>
                <w:color w:val="auto"/>
                <w:sz w:val="20"/>
                <w:szCs w:val="20"/>
              </w:rPr>
            </w:pPr>
            <w:r w:rsidRPr="00A06955">
              <w:rPr>
                <w:color w:val="auto"/>
                <w:sz w:val="20"/>
                <w:szCs w:val="20"/>
              </w:rPr>
              <w:t>4</w:t>
            </w:r>
          </w:p>
        </w:tc>
      </w:tr>
      <w:tr w:rsidR="00BE3105" w:rsidRPr="002D7994" w14:paraId="5FDDDB46" w14:textId="77777777" w:rsidTr="000944CD">
        <w:trPr>
          <w:trHeight w:val="369"/>
        </w:trPr>
        <w:tc>
          <w:tcPr>
            <w:tcW w:w="918" w:type="pct"/>
            <w:shd w:val="clear" w:color="auto" w:fill="auto"/>
            <w:vAlign w:val="center"/>
          </w:tcPr>
          <w:p w14:paraId="10E45A1C" w14:textId="45A618DA" w:rsidR="00BE3105" w:rsidRPr="00A06955" w:rsidRDefault="00BE3105" w:rsidP="00A06955">
            <w:pPr>
              <w:jc w:val="right"/>
              <w:rPr>
                <w:color w:val="auto"/>
                <w:sz w:val="20"/>
                <w:szCs w:val="20"/>
              </w:rPr>
            </w:pPr>
            <w:r w:rsidRPr="00A06955">
              <w:rPr>
                <w:color w:val="auto"/>
                <w:sz w:val="20"/>
                <w:szCs w:val="20"/>
              </w:rPr>
              <w:t>95,000–99,999</w:t>
            </w:r>
          </w:p>
        </w:tc>
        <w:tc>
          <w:tcPr>
            <w:tcW w:w="532" w:type="pct"/>
            <w:shd w:val="clear" w:color="auto" w:fill="auto"/>
            <w:vAlign w:val="center"/>
          </w:tcPr>
          <w:p w14:paraId="23618C56" w14:textId="77777777" w:rsidR="00BE3105" w:rsidRPr="00A06955" w:rsidRDefault="00BE3105" w:rsidP="00A06955">
            <w:pPr>
              <w:tabs>
                <w:tab w:val="decimal" w:pos="460"/>
              </w:tabs>
              <w:jc w:val="center"/>
              <w:rPr>
                <w:color w:val="auto"/>
                <w:sz w:val="20"/>
                <w:szCs w:val="20"/>
              </w:rPr>
            </w:pPr>
            <w:r w:rsidRPr="00A06955">
              <w:rPr>
                <w:color w:val="auto"/>
                <w:sz w:val="20"/>
                <w:szCs w:val="20"/>
              </w:rPr>
              <w:t>9</w:t>
            </w:r>
          </w:p>
        </w:tc>
        <w:tc>
          <w:tcPr>
            <w:tcW w:w="595" w:type="pct"/>
            <w:shd w:val="clear" w:color="auto" w:fill="auto"/>
            <w:vAlign w:val="center"/>
          </w:tcPr>
          <w:p w14:paraId="70518081" w14:textId="77777777" w:rsidR="00BE3105" w:rsidRPr="00A06955" w:rsidRDefault="00BE3105" w:rsidP="00A06955">
            <w:pPr>
              <w:tabs>
                <w:tab w:val="decimal" w:pos="317"/>
              </w:tabs>
              <w:jc w:val="center"/>
              <w:rPr>
                <w:color w:val="auto"/>
                <w:sz w:val="20"/>
                <w:szCs w:val="20"/>
              </w:rPr>
            </w:pPr>
            <w:r w:rsidRPr="00A06955">
              <w:rPr>
                <w:color w:val="auto"/>
                <w:sz w:val="20"/>
                <w:szCs w:val="20"/>
              </w:rPr>
              <w:t>-</w:t>
            </w:r>
          </w:p>
        </w:tc>
        <w:tc>
          <w:tcPr>
            <w:tcW w:w="725" w:type="pct"/>
            <w:shd w:val="clear" w:color="auto" w:fill="auto"/>
            <w:vAlign w:val="center"/>
          </w:tcPr>
          <w:p w14:paraId="01BBB6B9" w14:textId="10144B80" w:rsidR="00BE3105" w:rsidRPr="00A06955" w:rsidRDefault="00BE3105" w:rsidP="00A06955">
            <w:pPr>
              <w:tabs>
                <w:tab w:val="decimal" w:pos="458"/>
              </w:tabs>
              <w:jc w:val="center"/>
              <w:rPr>
                <w:color w:val="auto"/>
                <w:sz w:val="20"/>
                <w:szCs w:val="20"/>
              </w:rPr>
            </w:pPr>
            <w:r w:rsidRPr="00A06955">
              <w:rPr>
                <w:color w:val="auto"/>
                <w:sz w:val="20"/>
                <w:szCs w:val="20"/>
              </w:rPr>
              <w:t>2</w:t>
            </w:r>
          </w:p>
        </w:tc>
        <w:tc>
          <w:tcPr>
            <w:tcW w:w="726" w:type="pct"/>
            <w:shd w:val="clear" w:color="auto" w:fill="auto"/>
            <w:vAlign w:val="center"/>
          </w:tcPr>
          <w:p w14:paraId="2B22B599"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4D3183CE" w14:textId="77777777" w:rsidR="00BE3105" w:rsidRPr="00A06955" w:rsidRDefault="00BE3105" w:rsidP="00A06955">
            <w:pPr>
              <w:tabs>
                <w:tab w:val="decimal" w:pos="460"/>
              </w:tabs>
              <w:jc w:val="center"/>
              <w:rPr>
                <w:color w:val="auto"/>
                <w:sz w:val="20"/>
                <w:szCs w:val="20"/>
              </w:rPr>
            </w:pPr>
            <w:r w:rsidRPr="00A06955">
              <w:rPr>
                <w:color w:val="auto"/>
                <w:sz w:val="20"/>
                <w:szCs w:val="20"/>
              </w:rPr>
              <w:t>11</w:t>
            </w:r>
          </w:p>
        </w:tc>
        <w:tc>
          <w:tcPr>
            <w:tcW w:w="842" w:type="pct"/>
            <w:shd w:val="clear" w:color="auto" w:fill="auto"/>
            <w:vAlign w:val="center"/>
          </w:tcPr>
          <w:p w14:paraId="7F9A5C8F" w14:textId="77777777" w:rsidR="00BE3105" w:rsidRPr="00A06955" w:rsidRDefault="00BE3105" w:rsidP="00A06955">
            <w:pPr>
              <w:tabs>
                <w:tab w:val="decimal" w:pos="317"/>
              </w:tabs>
              <w:jc w:val="center"/>
              <w:rPr>
                <w:color w:val="auto"/>
                <w:sz w:val="20"/>
                <w:szCs w:val="20"/>
              </w:rPr>
            </w:pPr>
            <w:r w:rsidRPr="00A06955">
              <w:rPr>
                <w:color w:val="auto"/>
                <w:sz w:val="20"/>
                <w:szCs w:val="20"/>
              </w:rPr>
              <w:t>1</w:t>
            </w:r>
          </w:p>
        </w:tc>
      </w:tr>
      <w:tr w:rsidR="00BE3105" w:rsidRPr="002D7994" w14:paraId="6123F3BF" w14:textId="77777777" w:rsidTr="000944CD">
        <w:trPr>
          <w:trHeight w:val="369"/>
        </w:trPr>
        <w:tc>
          <w:tcPr>
            <w:tcW w:w="918" w:type="pct"/>
            <w:shd w:val="clear" w:color="auto" w:fill="auto"/>
            <w:vAlign w:val="center"/>
          </w:tcPr>
          <w:p w14:paraId="5D31FA0C" w14:textId="4094F2D7" w:rsidR="00BE3105" w:rsidRPr="00A06955" w:rsidRDefault="00BE3105" w:rsidP="00A06955">
            <w:pPr>
              <w:jc w:val="right"/>
              <w:rPr>
                <w:color w:val="auto"/>
                <w:sz w:val="20"/>
                <w:szCs w:val="20"/>
              </w:rPr>
            </w:pPr>
            <w:r w:rsidRPr="00A06955">
              <w:rPr>
                <w:color w:val="auto"/>
                <w:sz w:val="20"/>
                <w:szCs w:val="20"/>
              </w:rPr>
              <w:t>100,000–104,999</w:t>
            </w:r>
          </w:p>
        </w:tc>
        <w:tc>
          <w:tcPr>
            <w:tcW w:w="532" w:type="pct"/>
            <w:shd w:val="clear" w:color="auto" w:fill="auto"/>
            <w:vAlign w:val="center"/>
          </w:tcPr>
          <w:p w14:paraId="61529498" w14:textId="77777777" w:rsidR="00BE3105" w:rsidRPr="00A06955" w:rsidRDefault="00BE3105" w:rsidP="00A06955">
            <w:pPr>
              <w:tabs>
                <w:tab w:val="decimal" w:pos="460"/>
              </w:tabs>
              <w:ind w:left="318"/>
              <w:jc w:val="center"/>
              <w:rPr>
                <w:color w:val="auto"/>
                <w:sz w:val="20"/>
                <w:szCs w:val="20"/>
              </w:rPr>
            </w:pPr>
            <w:r w:rsidRPr="00A06955">
              <w:rPr>
                <w:color w:val="auto"/>
                <w:sz w:val="20"/>
                <w:szCs w:val="20"/>
              </w:rPr>
              <w:t>2</w:t>
            </w:r>
          </w:p>
        </w:tc>
        <w:tc>
          <w:tcPr>
            <w:tcW w:w="595" w:type="pct"/>
            <w:shd w:val="clear" w:color="auto" w:fill="auto"/>
            <w:vAlign w:val="center"/>
          </w:tcPr>
          <w:p w14:paraId="381B7D2F" w14:textId="77777777" w:rsidR="00BE3105" w:rsidRPr="00A06955" w:rsidRDefault="00BE3105" w:rsidP="00A06955">
            <w:pPr>
              <w:tabs>
                <w:tab w:val="decimal" w:pos="317"/>
              </w:tabs>
              <w:jc w:val="center"/>
              <w:rPr>
                <w:color w:val="auto"/>
                <w:sz w:val="20"/>
                <w:szCs w:val="20"/>
              </w:rPr>
            </w:pPr>
            <w:r w:rsidRPr="00A06955">
              <w:rPr>
                <w:color w:val="auto"/>
                <w:sz w:val="20"/>
                <w:szCs w:val="20"/>
              </w:rPr>
              <w:t>-</w:t>
            </w:r>
          </w:p>
        </w:tc>
        <w:tc>
          <w:tcPr>
            <w:tcW w:w="725" w:type="pct"/>
            <w:shd w:val="clear" w:color="auto" w:fill="auto"/>
            <w:vAlign w:val="center"/>
          </w:tcPr>
          <w:p w14:paraId="119E587B" w14:textId="2D34EC10" w:rsidR="00BE3105" w:rsidRPr="00A06955" w:rsidRDefault="00BE3105" w:rsidP="00A06955">
            <w:pPr>
              <w:tabs>
                <w:tab w:val="decimal" w:pos="458"/>
              </w:tabs>
              <w:jc w:val="center"/>
              <w:rPr>
                <w:color w:val="auto"/>
                <w:sz w:val="20"/>
                <w:szCs w:val="20"/>
              </w:rPr>
            </w:pPr>
            <w:r w:rsidRPr="00A06955">
              <w:rPr>
                <w:color w:val="auto"/>
                <w:sz w:val="20"/>
                <w:szCs w:val="20"/>
              </w:rPr>
              <w:t>1</w:t>
            </w:r>
          </w:p>
        </w:tc>
        <w:tc>
          <w:tcPr>
            <w:tcW w:w="726" w:type="pct"/>
            <w:shd w:val="clear" w:color="auto" w:fill="auto"/>
            <w:vAlign w:val="center"/>
          </w:tcPr>
          <w:p w14:paraId="5C09BDC3" w14:textId="77777777" w:rsidR="00BE3105" w:rsidRPr="00A06955" w:rsidRDefault="00BE3105" w:rsidP="00A06955">
            <w:pPr>
              <w:tabs>
                <w:tab w:val="decimal" w:pos="176"/>
              </w:tabs>
              <w:jc w:val="center"/>
              <w:rPr>
                <w:color w:val="auto"/>
                <w:sz w:val="20"/>
                <w:szCs w:val="20"/>
              </w:rPr>
            </w:pPr>
            <w:r w:rsidRPr="00A06955">
              <w:rPr>
                <w:color w:val="auto"/>
                <w:sz w:val="20"/>
                <w:szCs w:val="20"/>
              </w:rPr>
              <w:t>1</w:t>
            </w:r>
          </w:p>
        </w:tc>
        <w:tc>
          <w:tcPr>
            <w:tcW w:w="661" w:type="pct"/>
            <w:vAlign w:val="center"/>
          </w:tcPr>
          <w:p w14:paraId="30F340BE" w14:textId="77777777" w:rsidR="00BE3105" w:rsidRPr="00A06955" w:rsidRDefault="00BE3105" w:rsidP="00A06955">
            <w:pPr>
              <w:tabs>
                <w:tab w:val="decimal" w:pos="460"/>
              </w:tabs>
              <w:jc w:val="center"/>
              <w:rPr>
                <w:color w:val="auto"/>
                <w:sz w:val="20"/>
                <w:szCs w:val="20"/>
              </w:rPr>
            </w:pPr>
            <w:r w:rsidRPr="00A06955">
              <w:rPr>
                <w:color w:val="auto"/>
                <w:sz w:val="20"/>
                <w:szCs w:val="20"/>
              </w:rPr>
              <w:t>4</w:t>
            </w:r>
          </w:p>
        </w:tc>
        <w:tc>
          <w:tcPr>
            <w:tcW w:w="842" w:type="pct"/>
            <w:shd w:val="clear" w:color="auto" w:fill="auto"/>
            <w:vAlign w:val="center"/>
          </w:tcPr>
          <w:p w14:paraId="7F079675" w14:textId="77777777" w:rsidR="00BE3105" w:rsidRPr="00A06955" w:rsidRDefault="00BE3105" w:rsidP="00A06955">
            <w:pPr>
              <w:tabs>
                <w:tab w:val="decimal" w:pos="317"/>
              </w:tabs>
              <w:jc w:val="center"/>
              <w:rPr>
                <w:color w:val="auto"/>
                <w:sz w:val="20"/>
                <w:szCs w:val="20"/>
              </w:rPr>
            </w:pPr>
            <w:r w:rsidRPr="00A06955">
              <w:rPr>
                <w:color w:val="auto"/>
                <w:sz w:val="20"/>
                <w:szCs w:val="20"/>
              </w:rPr>
              <w:t>1</w:t>
            </w:r>
          </w:p>
        </w:tc>
      </w:tr>
      <w:tr w:rsidR="00BE3105" w:rsidRPr="002D7994" w14:paraId="450BFF41" w14:textId="77777777" w:rsidTr="000944CD">
        <w:trPr>
          <w:trHeight w:val="369"/>
        </w:trPr>
        <w:tc>
          <w:tcPr>
            <w:tcW w:w="918" w:type="pct"/>
            <w:shd w:val="clear" w:color="auto" w:fill="auto"/>
            <w:vAlign w:val="center"/>
          </w:tcPr>
          <w:p w14:paraId="3B4AE04C" w14:textId="53AE570F" w:rsidR="00BE3105" w:rsidRPr="00A06955" w:rsidRDefault="00BE3105" w:rsidP="00A06955">
            <w:pPr>
              <w:jc w:val="right"/>
              <w:rPr>
                <w:color w:val="auto"/>
                <w:sz w:val="20"/>
                <w:szCs w:val="20"/>
              </w:rPr>
            </w:pPr>
            <w:r w:rsidRPr="00A06955">
              <w:rPr>
                <w:color w:val="auto"/>
                <w:sz w:val="20"/>
                <w:szCs w:val="20"/>
              </w:rPr>
              <w:t>105,000–109,999</w:t>
            </w:r>
          </w:p>
        </w:tc>
        <w:tc>
          <w:tcPr>
            <w:tcW w:w="532" w:type="pct"/>
            <w:shd w:val="clear" w:color="auto" w:fill="auto"/>
            <w:vAlign w:val="center"/>
          </w:tcPr>
          <w:p w14:paraId="428B8B64" w14:textId="77777777" w:rsidR="00BE3105" w:rsidRPr="00A06955" w:rsidRDefault="00BE3105" w:rsidP="00A06955">
            <w:pPr>
              <w:tabs>
                <w:tab w:val="decimal" w:pos="460"/>
              </w:tabs>
              <w:jc w:val="center"/>
              <w:rPr>
                <w:color w:val="auto"/>
                <w:sz w:val="20"/>
                <w:szCs w:val="20"/>
              </w:rPr>
            </w:pPr>
            <w:r w:rsidRPr="00A06955">
              <w:rPr>
                <w:color w:val="auto"/>
                <w:sz w:val="20"/>
                <w:szCs w:val="20"/>
              </w:rPr>
              <w:t>-</w:t>
            </w:r>
          </w:p>
        </w:tc>
        <w:tc>
          <w:tcPr>
            <w:tcW w:w="595" w:type="pct"/>
            <w:shd w:val="clear" w:color="auto" w:fill="auto"/>
            <w:vAlign w:val="center"/>
          </w:tcPr>
          <w:p w14:paraId="7E6F559D" w14:textId="77777777" w:rsidR="00BE3105" w:rsidRPr="00A06955" w:rsidRDefault="00BE3105" w:rsidP="00A06955">
            <w:pPr>
              <w:tabs>
                <w:tab w:val="decimal" w:pos="317"/>
              </w:tabs>
              <w:jc w:val="center"/>
              <w:rPr>
                <w:color w:val="auto"/>
                <w:sz w:val="20"/>
                <w:szCs w:val="20"/>
              </w:rPr>
            </w:pPr>
            <w:r w:rsidRPr="00A06955">
              <w:rPr>
                <w:color w:val="auto"/>
                <w:sz w:val="20"/>
                <w:szCs w:val="20"/>
              </w:rPr>
              <w:t>-</w:t>
            </w:r>
          </w:p>
        </w:tc>
        <w:tc>
          <w:tcPr>
            <w:tcW w:w="725" w:type="pct"/>
            <w:shd w:val="clear" w:color="auto" w:fill="auto"/>
            <w:vAlign w:val="center"/>
          </w:tcPr>
          <w:p w14:paraId="10346385" w14:textId="77777777" w:rsidR="00BE3105" w:rsidRPr="00A06955" w:rsidRDefault="00BE3105" w:rsidP="00A06955">
            <w:pPr>
              <w:tabs>
                <w:tab w:val="decimal" w:pos="458"/>
              </w:tabs>
              <w:jc w:val="center"/>
              <w:rPr>
                <w:color w:val="auto"/>
                <w:sz w:val="20"/>
                <w:szCs w:val="20"/>
              </w:rPr>
            </w:pPr>
            <w:r w:rsidRPr="00A06955">
              <w:rPr>
                <w:color w:val="auto"/>
                <w:sz w:val="20"/>
                <w:szCs w:val="20"/>
              </w:rPr>
              <w:t>1</w:t>
            </w:r>
          </w:p>
        </w:tc>
        <w:tc>
          <w:tcPr>
            <w:tcW w:w="726" w:type="pct"/>
            <w:shd w:val="clear" w:color="auto" w:fill="auto"/>
            <w:vAlign w:val="center"/>
          </w:tcPr>
          <w:p w14:paraId="0F223005"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5FB8CA5F" w14:textId="77777777" w:rsidR="00BE3105" w:rsidRPr="00A06955" w:rsidRDefault="00BE3105" w:rsidP="00A06955">
            <w:pPr>
              <w:tabs>
                <w:tab w:val="decimal" w:pos="460"/>
              </w:tabs>
              <w:jc w:val="center"/>
              <w:rPr>
                <w:color w:val="auto"/>
                <w:sz w:val="20"/>
                <w:szCs w:val="20"/>
              </w:rPr>
            </w:pPr>
            <w:r w:rsidRPr="00A06955">
              <w:rPr>
                <w:color w:val="auto"/>
                <w:sz w:val="20"/>
                <w:szCs w:val="20"/>
              </w:rPr>
              <w:t>1</w:t>
            </w:r>
          </w:p>
        </w:tc>
        <w:tc>
          <w:tcPr>
            <w:tcW w:w="842" w:type="pct"/>
            <w:shd w:val="clear" w:color="auto" w:fill="auto"/>
            <w:vAlign w:val="center"/>
          </w:tcPr>
          <w:p w14:paraId="4F387C79" w14:textId="77777777" w:rsidR="00BE3105" w:rsidRPr="00A06955" w:rsidRDefault="00BE3105" w:rsidP="00A06955">
            <w:pPr>
              <w:tabs>
                <w:tab w:val="decimal" w:pos="317"/>
              </w:tabs>
              <w:jc w:val="center"/>
              <w:rPr>
                <w:color w:val="auto"/>
                <w:sz w:val="20"/>
                <w:szCs w:val="20"/>
              </w:rPr>
            </w:pPr>
            <w:r w:rsidRPr="00A06955">
              <w:rPr>
                <w:color w:val="auto"/>
                <w:sz w:val="20"/>
                <w:szCs w:val="20"/>
              </w:rPr>
              <w:t>-</w:t>
            </w:r>
          </w:p>
        </w:tc>
      </w:tr>
      <w:tr w:rsidR="00BE3105" w:rsidRPr="002D7994" w14:paraId="77EED0BC" w14:textId="77777777" w:rsidTr="000944CD">
        <w:trPr>
          <w:trHeight w:val="369"/>
        </w:trPr>
        <w:tc>
          <w:tcPr>
            <w:tcW w:w="918" w:type="pct"/>
            <w:shd w:val="clear" w:color="auto" w:fill="auto"/>
            <w:vAlign w:val="center"/>
          </w:tcPr>
          <w:p w14:paraId="784C3D85" w14:textId="0402030C" w:rsidR="00BE3105" w:rsidRPr="00A06955" w:rsidRDefault="00BE3105" w:rsidP="00A06955">
            <w:pPr>
              <w:jc w:val="right"/>
              <w:rPr>
                <w:color w:val="auto"/>
                <w:sz w:val="20"/>
                <w:szCs w:val="20"/>
              </w:rPr>
            </w:pPr>
            <w:r w:rsidRPr="00A06955">
              <w:rPr>
                <w:color w:val="auto"/>
                <w:sz w:val="20"/>
                <w:szCs w:val="20"/>
              </w:rPr>
              <w:t>110,000–114,999</w:t>
            </w:r>
          </w:p>
        </w:tc>
        <w:tc>
          <w:tcPr>
            <w:tcW w:w="532" w:type="pct"/>
            <w:shd w:val="clear" w:color="auto" w:fill="auto"/>
            <w:vAlign w:val="center"/>
          </w:tcPr>
          <w:p w14:paraId="1FE12083" w14:textId="77777777" w:rsidR="00BE3105" w:rsidRPr="00A06955" w:rsidRDefault="00BE3105" w:rsidP="00A06955">
            <w:pPr>
              <w:tabs>
                <w:tab w:val="decimal" w:pos="460"/>
              </w:tabs>
              <w:jc w:val="center"/>
              <w:rPr>
                <w:color w:val="auto"/>
                <w:sz w:val="20"/>
                <w:szCs w:val="20"/>
              </w:rPr>
            </w:pPr>
            <w:r w:rsidRPr="00A06955">
              <w:rPr>
                <w:color w:val="auto"/>
                <w:sz w:val="20"/>
                <w:szCs w:val="20"/>
              </w:rPr>
              <w:t>1</w:t>
            </w:r>
          </w:p>
        </w:tc>
        <w:tc>
          <w:tcPr>
            <w:tcW w:w="595" w:type="pct"/>
            <w:shd w:val="clear" w:color="auto" w:fill="auto"/>
            <w:vAlign w:val="center"/>
          </w:tcPr>
          <w:p w14:paraId="1AA90B8C" w14:textId="77777777" w:rsidR="00BE3105" w:rsidRPr="00A06955" w:rsidRDefault="00BE3105" w:rsidP="00A06955">
            <w:pPr>
              <w:tabs>
                <w:tab w:val="decimal" w:pos="317"/>
              </w:tabs>
              <w:jc w:val="center"/>
              <w:rPr>
                <w:color w:val="auto"/>
                <w:sz w:val="20"/>
                <w:szCs w:val="20"/>
              </w:rPr>
            </w:pPr>
            <w:r w:rsidRPr="00A06955">
              <w:rPr>
                <w:color w:val="auto"/>
                <w:sz w:val="20"/>
                <w:szCs w:val="20"/>
              </w:rPr>
              <w:t>-</w:t>
            </w:r>
          </w:p>
        </w:tc>
        <w:tc>
          <w:tcPr>
            <w:tcW w:w="725" w:type="pct"/>
            <w:shd w:val="clear" w:color="auto" w:fill="auto"/>
            <w:vAlign w:val="center"/>
          </w:tcPr>
          <w:p w14:paraId="622CB80C" w14:textId="77777777" w:rsidR="00BE3105" w:rsidRPr="00A06955" w:rsidRDefault="00BE3105" w:rsidP="00A06955">
            <w:pPr>
              <w:tabs>
                <w:tab w:val="decimal" w:pos="458"/>
              </w:tabs>
              <w:jc w:val="center"/>
              <w:rPr>
                <w:color w:val="auto"/>
                <w:sz w:val="20"/>
                <w:szCs w:val="20"/>
              </w:rPr>
            </w:pPr>
            <w:r w:rsidRPr="00A06955">
              <w:rPr>
                <w:color w:val="auto"/>
                <w:sz w:val="20"/>
                <w:szCs w:val="20"/>
              </w:rPr>
              <w:t>-</w:t>
            </w:r>
          </w:p>
        </w:tc>
        <w:tc>
          <w:tcPr>
            <w:tcW w:w="726" w:type="pct"/>
            <w:shd w:val="clear" w:color="auto" w:fill="auto"/>
            <w:vAlign w:val="center"/>
          </w:tcPr>
          <w:p w14:paraId="65FA9B46"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279700B5" w14:textId="77777777" w:rsidR="00BE3105" w:rsidRPr="00A06955" w:rsidRDefault="00BE3105" w:rsidP="00A06955">
            <w:pPr>
              <w:tabs>
                <w:tab w:val="decimal" w:pos="460"/>
              </w:tabs>
              <w:jc w:val="center"/>
              <w:rPr>
                <w:color w:val="auto"/>
                <w:sz w:val="20"/>
                <w:szCs w:val="20"/>
              </w:rPr>
            </w:pPr>
            <w:r w:rsidRPr="00A06955">
              <w:rPr>
                <w:color w:val="auto"/>
                <w:sz w:val="20"/>
                <w:szCs w:val="20"/>
              </w:rPr>
              <w:t>1</w:t>
            </w:r>
          </w:p>
        </w:tc>
        <w:tc>
          <w:tcPr>
            <w:tcW w:w="842" w:type="pct"/>
            <w:shd w:val="clear" w:color="auto" w:fill="auto"/>
            <w:vAlign w:val="center"/>
          </w:tcPr>
          <w:p w14:paraId="6702F7F1" w14:textId="77777777" w:rsidR="00BE3105" w:rsidRPr="00A06955" w:rsidRDefault="00BE3105" w:rsidP="00A06955">
            <w:pPr>
              <w:tabs>
                <w:tab w:val="decimal" w:pos="317"/>
              </w:tabs>
              <w:jc w:val="center"/>
              <w:rPr>
                <w:color w:val="auto"/>
                <w:sz w:val="20"/>
                <w:szCs w:val="20"/>
              </w:rPr>
            </w:pPr>
            <w:r w:rsidRPr="00A06955">
              <w:rPr>
                <w:color w:val="auto"/>
                <w:sz w:val="20"/>
                <w:szCs w:val="20"/>
              </w:rPr>
              <w:t>-</w:t>
            </w:r>
          </w:p>
        </w:tc>
      </w:tr>
      <w:tr w:rsidR="00BE3105" w:rsidRPr="002D7994" w14:paraId="17951A2E" w14:textId="77777777" w:rsidTr="000944CD">
        <w:trPr>
          <w:trHeight w:val="369"/>
        </w:trPr>
        <w:tc>
          <w:tcPr>
            <w:tcW w:w="918" w:type="pct"/>
            <w:shd w:val="clear" w:color="auto" w:fill="auto"/>
            <w:vAlign w:val="center"/>
          </w:tcPr>
          <w:p w14:paraId="1FCAA3A0" w14:textId="723F2221" w:rsidR="00BE3105" w:rsidRPr="00A06955" w:rsidRDefault="00BE3105" w:rsidP="00A06955">
            <w:pPr>
              <w:jc w:val="right"/>
              <w:rPr>
                <w:color w:val="auto"/>
                <w:sz w:val="20"/>
                <w:szCs w:val="20"/>
              </w:rPr>
            </w:pPr>
            <w:r w:rsidRPr="00A06955">
              <w:rPr>
                <w:color w:val="auto"/>
                <w:sz w:val="20"/>
                <w:szCs w:val="20"/>
              </w:rPr>
              <w:t>115,000–119,999</w:t>
            </w:r>
          </w:p>
        </w:tc>
        <w:tc>
          <w:tcPr>
            <w:tcW w:w="532" w:type="pct"/>
            <w:shd w:val="clear" w:color="auto" w:fill="auto"/>
            <w:vAlign w:val="center"/>
          </w:tcPr>
          <w:p w14:paraId="3BF3F72F" w14:textId="77777777" w:rsidR="00BE3105" w:rsidRPr="00A06955" w:rsidRDefault="00BE3105" w:rsidP="00A06955">
            <w:pPr>
              <w:tabs>
                <w:tab w:val="decimal" w:pos="460"/>
              </w:tabs>
              <w:jc w:val="center"/>
              <w:rPr>
                <w:color w:val="auto"/>
                <w:sz w:val="20"/>
                <w:szCs w:val="20"/>
              </w:rPr>
            </w:pPr>
            <w:r w:rsidRPr="00A06955">
              <w:rPr>
                <w:color w:val="auto"/>
                <w:sz w:val="20"/>
                <w:szCs w:val="20"/>
              </w:rPr>
              <w:t>2</w:t>
            </w:r>
          </w:p>
        </w:tc>
        <w:tc>
          <w:tcPr>
            <w:tcW w:w="595" w:type="pct"/>
            <w:shd w:val="clear" w:color="auto" w:fill="auto"/>
            <w:vAlign w:val="center"/>
          </w:tcPr>
          <w:p w14:paraId="195E998C" w14:textId="77777777" w:rsidR="00BE3105" w:rsidRPr="00A06955" w:rsidRDefault="00BE3105" w:rsidP="00A06955">
            <w:pPr>
              <w:tabs>
                <w:tab w:val="decimal" w:pos="317"/>
              </w:tabs>
              <w:jc w:val="center"/>
              <w:rPr>
                <w:color w:val="auto"/>
                <w:sz w:val="20"/>
                <w:szCs w:val="20"/>
              </w:rPr>
            </w:pPr>
            <w:r w:rsidRPr="00A06955">
              <w:rPr>
                <w:color w:val="auto"/>
                <w:sz w:val="20"/>
                <w:szCs w:val="20"/>
              </w:rPr>
              <w:t>-</w:t>
            </w:r>
          </w:p>
        </w:tc>
        <w:tc>
          <w:tcPr>
            <w:tcW w:w="725" w:type="pct"/>
            <w:shd w:val="clear" w:color="auto" w:fill="auto"/>
            <w:vAlign w:val="center"/>
          </w:tcPr>
          <w:p w14:paraId="5D3550AC" w14:textId="77777777" w:rsidR="00BE3105" w:rsidRPr="00A06955" w:rsidRDefault="00BE3105" w:rsidP="00A06955">
            <w:pPr>
              <w:tabs>
                <w:tab w:val="decimal" w:pos="458"/>
              </w:tabs>
              <w:jc w:val="center"/>
              <w:rPr>
                <w:color w:val="auto"/>
                <w:sz w:val="20"/>
                <w:szCs w:val="20"/>
              </w:rPr>
            </w:pPr>
            <w:r w:rsidRPr="00A06955">
              <w:rPr>
                <w:color w:val="auto"/>
                <w:sz w:val="20"/>
                <w:szCs w:val="20"/>
              </w:rPr>
              <w:t>-</w:t>
            </w:r>
          </w:p>
        </w:tc>
        <w:tc>
          <w:tcPr>
            <w:tcW w:w="726" w:type="pct"/>
            <w:shd w:val="clear" w:color="auto" w:fill="auto"/>
            <w:vAlign w:val="center"/>
          </w:tcPr>
          <w:p w14:paraId="17C48060"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36B2B8B6" w14:textId="77777777" w:rsidR="00BE3105" w:rsidRPr="00A06955" w:rsidRDefault="00BE3105" w:rsidP="00A06955">
            <w:pPr>
              <w:tabs>
                <w:tab w:val="decimal" w:pos="460"/>
              </w:tabs>
              <w:jc w:val="center"/>
              <w:rPr>
                <w:color w:val="auto"/>
                <w:sz w:val="20"/>
                <w:szCs w:val="20"/>
              </w:rPr>
            </w:pPr>
            <w:r w:rsidRPr="00A06955">
              <w:rPr>
                <w:color w:val="auto"/>
                <w:sz w:val="20"/>
                <w:szCs w:val="20"/>
              </w:rPr>
              <w:t>2</w:t>
            </w:r>
          </w:p>
        </w:tc>
        <w:tc>
          <w:tcPr>
            <w:tcW w:w="842" w:type="pct"/>
            <w:shd w:val="clear" w:color="auto" w:fill="auto"/>
            <w:vAlign w:val="center"/>
          </w:tcPr>
          <w:p w14:paraId="0164EAEC" w14:textId="77777777" w:rsidR="00BE3105" w:rsidRPr="00A06955" w:rsidRDefault="00BE3105" w:rsidP="00A06955">
            <w:pPr>
              <w:tabs>
                <w:tab w:val="decimal" w:pos="317"/>
              </w:tabs>
              <w:jc w:val="center"/>
              <w:rPr>
                <w:color w:val="auto"/>
                <w:sz w:val="20"/>
                <w:szCs w:val="20"/>
              </w:rPr>
            </w:pPr>
            <w:r w:rsidRPr="00A06955">
              <w:rPr>
                <w:color w:val="auto"/>
                <w:sz w:val="20"/>
                <w:szCs w:val="20"/>
              </w:rPr>
              <w:t>1</w:t>
            </w:r>
          </w:p>
        </w:tc>
      </w:tr>
      <w:tr w:rsidR="00BE3105" w:rsidRPr="002D7994" w14:paraId="0833348E" w14:textId="77777777" w:rsidTr="000944CD">
        <w:trPr>
          <w:trHeight w:val="369"/>
        </w:trPr>
        <w:tc>
          <w:tcPr>
            <w:tcW w:w="918" w:type="pct"/>
            <w:shd w:val="clear" w:color="auto" w:fill="auto"/>
            <w:vAlign w:val="center"/>
          </w:tcPr>
          <w:p w14:paraId="4E1A2443" w14:textId="49251A7B" w:rsidR="00BE3105" w:rsidRPr="00A06955" w:rsidRDefault="00BE3105" w:rsidP="00A06955">
            <w:pPr>
              <w:jc w:val="right"/>
              <w:rPr>
                <w:color w:val="auto"/>
                <w:sz w:val="20"/>
                <w:szCs w:val="20"/>
              </w:rPr>
            </w:pPr>
            <w:r w:rsidRPr="00A06955">
              <w:rPr>
                <w:color w:val="auto"/>
                <w:sz w:val="20"/>
                <w:szCs w:val="20"/>
              </w:rPr>
              <w:t>120,000–124,999</w:t>
            </w:r>
          </w:p>
        </w:tc>
        <w:tc>
          <w:tcPr>
            <w:tcW w:w="532" w:type="pct"/>
            <w:shd w:val="clear" w:color="auto" w:fill="auto"/>
            <w:vAlign w:val="center"/>
          </w:tcPr>
          <w:p w14:paraId="5BEE039B" w14:textId="77777777" w:rsidR="00BE3105" w:rsidRPr="00A06955" w:rsidRDefault="00BE3105" w:rsidP="00A06955">
            <w:pPr>
              <w:tabs>
                <w:tab w:val="decimal" w:pos="460"/>
              </w:tabs>
              <w:jc w:val="center"/>
              <w:rPr>
                <w:color w:val="auto"/>
                <w:sz w:val="20"/>
                <w:szCs w:val="20"/>
              </w:rPr>
            </w:pPr>
            <w:r w:rsidRPr="00A06955">
              <w:rPr>
                <w:color w:val="auto"/>
                <w:sz w:val="20"/>
                <w:szCs w:val="20"/>
              </w:rPr>
              <w:t>1</w:t>
            </w:r>
          </w:p>
        </w:tc>
        <w:tc>
          <w:tcPr>
            <w:tcW w:w="595" w:type="pct"/>
            <w:shd w:val="clear" w:color="auto" w:fill="auto"/>
            <w:vAlign w:val="center"/>
          </w:tcPr>
          <w:p w14:paraId="550D2A9F" w14:textId="77777777" w:rsidR="00BE3105" w:rsidRPr="00A06955" w:rsidRDefault="00BE3105" w:rsidP="00A06955">
            <w:pPr>
              <w:tabs>
                <w:tab w:val="decimal" w:pos="317"/>
              </w:tabs>
              <w:jc w:val="center"/>
              <w:rPr>
                <w:color w:val="auto"/>
                <w:sz w:val="20"/>
                <w:szCs w:val="20"/>
              </w:rPr>
            </w:pPr>
            <w:r w:rsidRPr="00A06955">
              <w:rPr>
                <w:color w:val="auto"/>
                <w:sz w:val="20"/>
                <w:szCs w:val="20"/>
              </w:rPr>
              <w:t>-</w:t>
            </w:r>
          </w:p>
        </w:tc>
        <w:tc>
          <w:tcPr>
            <w:tcW w:w="725" w:type="pct"/>
            <w:shd w:val="clear" w:color="auto" w:fill="auto"/>
            <w:vAlign w:val="center"/>
          </w:tcPr>
          <w:p w14:paraId="75290361" w14:textId="77777777" w:rsidR="00BE3105" w:rsidRPr="00A06955" w:rsidRDefault="00BE3105" w:rsidP="00A06955">
            <w:pPr>
              <w:tabs>
                <w:tab w:val="decimal" w:pos="458"/>
              </w:tabs>
              <w:jc w:val="center"/>
              <w:rPr>
                <w:color w:val="auto"/>
                <w:sz w:val="20"/>
                <w:szCs w:val="20"/>
              </w:rPr>
            </w:pPr>
            <w:r w:rsidRPr="00A06955">
              <w:rPr>
                <w:color w:val="auto"/>
                <w:sz w:val="20"/>
                <w:szCs w:val="20"/>
              </w:rPr>
              <w:t>-</w:t>
            </w:r>
          </w:p>
        </w:tc>
        <w:tc>
          <w:tcPr>
            <w:tcW w:w="726" w:type="pct"/>
            <w:shd w:val="clear" w:color="auto" w:fill="auto"/>
            <w:vAlign w:val="center"/>
          </w:tcPr>
          <w:p w14:paraId="35D0AEE1"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08F07E49" w14:textId="77777777" w:rsidR="00BE3105" w:rsidRPr="00A06955" w:rsidRDefault="00BE3105" w:rsidP="00A06955">
            <w:pPr>
              <w:tabs>
                <w:tab w:val="decimal" w:pos="460"/>
              </w:tabs>
              <w:jc w:val="center"/>
              <w:rPr>
                <w:color w:val="auto"/>
                <w:sz w:val="20"/>
                <w:szCs w:val="20"/>
              </w:rPr>
            </w:pPr>
            <w:r w:rsidRPr="00A06955">
              <w:rPr>
                <w:color w:val="auto"/>
                <w:sz w:val="20"/>
                <w:szCs w:val="20"/>
              </w:rPr>
              <w:t>1</w:t>
            </w:r>
          </w:p>
        </w:tc>
        <w:tc>
          <w:tcPr>
            <w:tcW w:w="842" w:type="pct"/>
            <w:shd w:val="clear" w:color="auto" w:fill="auto"/>
            <w:vAlign w:val="center"/>
          </w:tcPr>
          <w:p w14:paraId="0D2965CD" w14:textId="77777777" w:rsidR="00BE3105" w:rsidRPr="00A06955" w:rsidRDefault="00BE3105" w:rsidP="00A06955">
            <w:pPr>
              <w:tabs>
                <w:tab w:val="decimal" w:pos="317"/>
              </w:tabs>
              <w:jc w:val="center"/>
              <w:rPr>
                <w:color w:val="auto"/>
                <w:sz w:val="20"/>
                <w:szCs w:val="20"/>
              </w:rPr>
            </w:pPr>
            <w:r w:rsidRPr="00A06955">
              <w:rPr>
                <w:color w:val="auto"/>
                <w:sz w:val="20"/>
                <w:szCs w:val="20"/>
              </w:rPr>
              <w:t>1</w:t>
            </w:r>
          </w:p>
        </w:tc>
      </w:tr>
      <w:tr w:rsidR="00BE3105" w:rsidRPr="002D7994" w14:paraId="7FCCAA68" w14:textId="77777777" w:rsidTr="000944CD">
        <w:trPr>
          <w:trHeight w:val="369"/>
        </w:trPr>
        <w:tc>
          <w:tcPr>
            <w:tcW w:w="918" w:type="pct"/>
            <w:shd w:val="clear" w:color="auto" w:fill="auto"/>
            <w:vAlign w:val="center"/>
          </w:tcPr>
          <w:p w14:paraId="2F73DF36" w14:textId="51B281AA" w:rsidR="00BE3105" w:rsidRPr="00A06955" w:rsidRDefault="00BE3105" w:rsidP="00A06955">
            <w:pPr>
              <w:jc w:val="right"/>
              <w:rPr>
                <w:color w:val="auto"/>
                <w:sz w:val="20"/>
                <w:szCs w:val="20"/>
                <w:highlight w:val="yellow"/>
              </w:rPr>
            </w:pPr>
            <w:r w:rsidRPr="00A06955">
              <w:rPr>
                <w:color w:val="auto"/>
                <w:sz w:val="20"/>
                <w:szCs w:val="20"/>
              </w:rPr>
              <w:t>135,000–139,999</w:t>
            </w:r>
          </w:p>
        </w:tc>
        <w:tc>
          <w:tcPr>
            <w:tcW w:w="532" w:type="pct"/>
            <w:shd w:val="clear" w:color="auto" w:fill="auto"/>
            <w:vAlign w:val="center"/>
          </w:tcPr>
          <w:p w14:paraId="0B46FA3B" w14:textId="77777777" w:rsidR="00BE3105" w:rsidRPr="00A06955" w:rsidRDefault="00BE3105" w:rsidP="00A06955">
            <w:pPr>
              <w:tabs>
                <w:tab w:val="decimal" w:pos="460"/>
              </w:tabs>
              <w:jc w:val="center"/>
              <w:rPr>
                <w:color w:val="auto"/>
                <w:sz w:val="20"/>
                <w:szCs w:val="20"/>
              </w:rPr>
            </w:pPr>
            <w:r w:rsidRPr="00A06955">
              <w:rPr>
                <w:color w:val="auto"/>
                <w:sz w:val="20"/>
                <w:szCs w:val="20"/>
              </w:rPr>
              <w:t>1</w:t>
            </w:r>
          </w:p>
        </w:tc>
        <w:tc>
          <w:tcPr>
            <w:tcW w:w="595" w:type="pct"/>
            <w:shd w:val="clear" w:color="auto" w:fill="auto"/>
            <w:vAlign w:val="center"/>
          </w:tcPr>
          <w:p w14:paraId="3CFA5438" w14:textId="77777777" w:rsidR="00BE3105" w:rsidRPr="00A06955" w:rsidRDefault="00BE3105" w:rsidP="00A06955">
            <w:pPr>
              <w:tabs>
                <w:tab w:val="decimal" w:pos="317"/>
              </w:tabs>
              <w:jc w:val="center"/>
              <w:rPr>
                <w:color w:val="auto"/>
                <w:sz w:val="20"/>
                <w:szCs w:val="20"/>
              </w:rPr>
            </w:pPr>
            <w:r w:rsidRPr="00A06955">
              <w:rPr>
                <w:color w:val="auto"/>
                <w:sz w:val="20"/>
                <w:szCs w:val="20"/>
              </w:rPr>
              <w:t>-</w:t>
            </w:r>
          </w:p>
        </w:tc>
        <w:tc>
          <w:tcPr>
            <w:tcW w:w="725" w:type="pct"/>
            <w:shd w:val="clear" w:color="auto" w:fill="auto"/>
            <w:vAlign w:val="center"/>
          </w:tcPr>
          <w:p w14:paraId="6A7DB751" w14:textId="77777777" w:rsidR="00BE3105" w:rsidRPr="00A06955" w:rsidRDefault="00BE3105" w:rsidP="00A06955">
            <w:pPr>
              <w:tabs>
                <w:tab w:val="decimal" w:pos="458"/>
              </w:tabs>
              <w:jc w:val="center"/>
              <w:rPr>
                <w:color w:val="auto"/>
                <w:sz w:val="20"/>
                <w:szCs w:val="20"/>
              </w:rPr>
            </w:pPr>
            <w:r w:rsidRPr="00A06955">
              <w:rPr>
                <w:color w:val="auto"/>
                <w:sz w:val="20"/>
                <w:szCs w:val="20"/>
              </w:rPr>
              <w:t>-</w:t>
            </w:r>
          </w:p>
        </w:tc>
        <w:tc>
          <w:tcPr>
            <w:tcW w:w="726" w:type="pct"/>
            <w:shd w:val="clear" w:color="auto" w:fill="auto"/>
            <w:vAlign w:val="center"/>
          </w:tcPr>
          <w:p w14:paraId="0CDA511F"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37695915" w14:textId="77777777" w:rsidR="00BE3105" w:rsidRPr="00A06955" w:rsidRDefault="00BE3105" w:rsidP="00A06955">
            <w:pPr>
              <w:tabs>
                <w:tab w:val="decimal" w:pos="460"/>
              </w:tabs>
              <w:jc w:val="center"/>
              <w:rPr>
                <w:color w:val="auto"/>
                <w:sz w:val="20"/>
                <w:szCs w:val="20"/>
              </w:rPr>
            </w:pPr>
            <w:r w:rsidRPr="00A06955">
              <w:rPr>
                <w:color w:val="auto"/>
                <w:sz w:val="20"/>
                <w:szCs w:val="20"/>
              </w:rPr>
              <w:t>1</w:t>
            </w:r>
          </w:p>
        </w:tc>
        <w:tc>
          <w:tcPr>
            <w:tcW w:w="842" w:type="pct"/>
            <w:shd w:val="clear" w:color="auto" w:fill="auto"/>
            <w:vAlign w:val="center"/>
          </w:tcPr>
          <w:p w14:paraId="5F8B5870" w14:textId="77777777" w:rsidR="00BE3105" w:rsidRPr="00A06955" w:rsidRDefault="00BE3105" w:rsidP="00A06955">
            <w:pPr>
              <w:tabs>
                <w:tab w:val="decimal" w:pos="317"/>
              </w:tabs>
              <w:jc w:val="center"/>
              <w:rPr>
                <w:color w:val="auto"/>
                <w:sz w:val="20"/>
                <w:szCs w:val="20"/>
              </w:rPr>
            </w:pPr>
            <w:r w:rsidRPr="00A06955">
              <w:rPr>
                <w:color w:val="auto"/>
                <w:sz w:val="20"/>
                <w:szCs w:val="20"/>
              </w:rPr>
              <w:t>1</w:t>
            </w:r>
          </w:p>
        </w:tc>
      </w:tr>
      <w:tr w:rsidR="00BE3105" w:rsidRPr="002D7994" w14:paraId="5F0E07EC" w14:textId="77777777" w:rsidTr="000944CD">
        <w:trPr>
          <w:trHeight w:val="369"/>
        </w:trPr>
        <w:tc>
          <w:tcPr>
            <w:tcW w:w="918" w:type="pct"/>
            <w:shd w:val="clear" w:color="auto" w:fill="auto"/>
            <w:vAlign w:val="center"/>
          </w:tcPr>
          <w:p w14:paraId="69B2634C" w14:textId="0503B46A" w:rsidR="00BE3105" w:rsidRPr="00A06955" w:rsidRDefault="00BE3105" w:rsidP="00A06955">
            <w:pPr>
              <w:jc w:val="right"/>
              <w:rPr>
                <w:color w:val="auto"/>
                <w:sz w:val="20"/>
                <w:szCs w:val="20"/>
              </w:rPr>
            </w:pPr>
            <w:r w:rsidRPr="00A06955">
              <w:rPr>
                <w:color w:val="auto"/>
                <w:sz w:val="20"/>
                <w:szCs w:val="20"/>
              </w:rPr>
              <w:t>145,000–149,999</w:t>
            </w:r>
          </w:p>
        </w:tc>
        <w:tc>
          <w:tcPr>
            <w:tcW w:w="532" w:type="pct"/>
            <w:shd w:val="clear" w:color="auto" w:fill="auto"/>
            <w:vAlign w:val="center"/>
          </w:tcPr>
          <w:p w14:paraId="7B983CD6" w14:textId="77777777" w:rsidR="00BE3105" w:rsidRPr="00A06955" w:rsidRDefault="00BE3105" w:rsidP="00A06955">
            <w:pPr>
              <w:tabs>
                <w:tab w:val="decimal" w:pos="460"/>
              </w:tabs>
              <w:jc w:val="center"/>
              <w:rPr>
                <w:color w:val="auto"/>
                <w:sz w:val="20"/>
                <w:szCs w:val="20"/>
              </w:rPr>
            </w:pPr>
            <w:r w:rsidRPr="00A06955">
              <w:rPr>
                <w:color w:val="auto"/>
                <w:sz w:val="20"/>
                <w:szCs w:val="20"/>
              </w:rPr>
              <w:t>-</w:t>
            </w:r>
          </w:p>
        </w:tc>
        <w:tc>
          <w:tcPr>
            <w:tcW w:w="595" w:type="pct"/>
            <w:shd w:val="clear" w:color="auto" w:fill="auto"/>
            <w:vAlign w:val="center"/>
          </w:tcPr>
          <w:p w14:paraId="1A62E2F8" w14:textId="77777777" w:rsidR="00BE3105" w:rsidRPr="00A06955" w:rsidRDefault="00BE3105" w:rsidP="00A06955">
            <w:pPr>
              <w:tabs>
                <w:tab w:val="decimal" w:pos="317"/>
              </w:tabs>
              <w:jc w:val="center"/>
              <w:rPr>
                <w:color w:val="auto"/>
                <w:sz w:val="20"/>
                <w:szCs w:val="20"/>
              </w:rPr>
            </w:pPr>
            <w:r w:rsidRPr="00A06955">
              <w:rPr>
                <w:color w:val="auto"/>
                <w:sz w:val="20"/>
                <w:szCs w:val="20"/>
              </w:rPr>
              <w:t>1</w:t>
            </w:r>
          </w:p>
        </w:tc>
        <w:tc>
          <w:tcPr>
            <w:tcW w:w="725" w:type="pct"/>
            <w:shd w:val="clear" w:color="auto" w:fill="auto"/>
            <w:vAlign w:val="center"/>
          </w:tcPr>
          <w:p w14:paraId="5EA9F612" w14:textId="77777777" w:rsidR="00BE3105" w:rsidRPr="00A06955" w:rsidRDefault="00BE3105" w:rsidP="00A06955">
            <w:pPr>
              <w:tabs>
                <w:tab w:val="decimal" w:pos="458"/>
              </w:tabs>
              <w:jc w:val="center"/>
              <w:rPr>
                <w:color w:val="auto"/>
                <w:sz w:val="20"/>
                <w:szCs w:val="20"/>
              </w:rPr>
            </w:pPr>
            <w:r w:rsidRPr="00A06955">
              <w:rPr>
                <w:color w:val="auto"/>
                <w:sz w:val="20"/>
                <w:szCs w:val="20"/>
              </w:rPr>
              <w:t>-</w:t>
            </w:r>
          </w:p>
        </w:tc>
        <w:tc>
          <w:tcPr>
            <w:tcW w:w="726" w:type="pct"/>
            <w:shd w:val="clear" w:color="auto" w:fill="auto"/>
            <w:vAlign w:val="center"/>
          </w:tcPr>
          <w:p w14:paraId="1C48DD66"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01C4250B" w14:textId="77777777" w:rsidR="00BE3105" w:rsidRPr="00A06955" w:rsidRDefault="00BE3105" w:rsidP="00A06955">
            <w:pPr>
              <w:tabs>
                <w:tab w:val="decimal" w:pos="460"/>
              </w:tabs>
              <w:jc w:val="center"/>
              <w:rPr>
                <w:color w:val="auto"/>
                <w:sz w:val="20"/>
                <w:szCs w:val="20"/>
              </w:rPr>
            </w:pPr>
            <w:r w:rsidRPr="00A06955">
              <w:rPr>
                <w:color w:val="auto"/>
                <w:sz w:val="20"/>
                <w:szCs w:val="20"/>
              </w:rPr>
              <w:t>1</w:t>
            </w:r>
          </w:p>
        </w:tc>
        <w:tc>
          <w:tcPr>
            <w:tcW w:w="842" w:type="pct"/>
            <w:shd w:val="clear" w:color="auto" w:fill="auto"/>
            <w:vAlign w:val="center"/>
          </w:tcPr>
          <w:p w14:paraId="5CCDD26A" w14:textId="77777777" w:rsidR="00BE3105" w:rsidRPr="00A06955" w:rsidRDefault="00BE3105" w:rsidP="00A06955">
            <w:pPr>
              <w:tabs>
                <w:tab w:val="decimal" w:pos="317"/>
              </w:tabs>
              <w:jc w:val="center"/>
              <w:rPr>
                <w:color w:val="auto"/>
                <w:sz w:val="20"/>
                <w:szCs w:val="20"/>
              </w:rPr>
            </w:pPr>
            <w:r w:rsidRPr="00A06955">
              <w:rPr>
                <w:color w:val="auto"/>
                <w:sz w:val="20"/>
                <w:szCs w:val="20"/>
              </w:rPr>
              <w:t>-</w:t>
            </w:r>
          </w:p>
        </w:tc>
      </w:tr>
      <w:tr w:rsidR="00BE3105" w:rsidRPr="002D7994" w14:paraId="71249955" w14:textId="77777777" w:rsidTr="000944CD">
        <w:trPr>
          <w:trHeight w:val="369"/>
        </w:trPr>
        <w:tc>
          <w:tcPr>
            <w:tcW w:w="918" w:type="pct"/>
            <w:shd w:val="clear" w:color="auto" w:fill="auto"/>
            <w:vAlign w:val="center"/>
          </w:tcPr>
          <w:p w14:paraId="3852CA4B" w14:textId="542E019E" w:rsidR="00BE3105" w:rsidRPr="00A06955" w:rsidRDefault="00BE3105" w:rsidP="00A06955">
            <w:pPr>
              <w:jc w:val="right"/>
              <w:rPr>
                <w:color w:val="auto"/>
                <w:sz w:val="20"/>
                <w:szCs w:val="20"/>
                <w:highlight w:val="yellow"/>
              </w:rPr>
            </w:pPr>
            <w:r w:rsidRPr="00A06955">
              <w:rPr>
                <w:color w:val="auto"/>
                <w:sz w:val="20"/>
                <w:szCs w:val="20"/>
              </w:rPr>
              <w:lastRenderedPageBreak/>
              <w:t>190,000–194,999</w:t>
            </w:r>
          </w:p>
        </w:tc>
        <w:tc>
          <w:tcPr>
            <w:tcW w:w="532" w:type="pct"/>
            <w:shd w:val="clear" w:color="auto" w:fill="auto"/>
            <w:vAlign w:val="center"/>
          </w:tcPr>
          <w:p w14:paraId="5B2765C1" w14:textId="77777777" w:rsidR="00BE3105" w:rsidRPr="00A06955" w:rsidRDefault="00BE3105" w:rsidP="00A06955">
            <w:pPr>
              <w:tabs>
                <w:tab w:val="decimal" w:pos="460"/>
              </w:tabs>
              <w:jc w:val="center"/>
              <w:rPr>
                <w:color w:val="auto"/>
                <w:sz w:val="20"/>
                <w:szCs w:val="20"/>
              </w:rPr>
            </w:pPr>
            <w:r w:rsidRPr="00A06955">
              <w:rPr>
                <w:color w:val="auto"/>
                <w:sz w:val="20"/>
                <w:szCs w:val="20"/>
              </w:rPr>
              <w:t>-</w:t>
            </w:r>
          </w:p>
        </w:tc>
        <w:tc>
          <w:tcPr>
            <w:tcW w:w="595" w:type="pct"/>
            <w:shd w:val="clear" w:color="auto" w:fill="auto"/>
            <w:vAlign w:val="center"/>
          </w:tcPr>
          <w:p w14:paraId="11777409" w14:textId="77777777" w:rsidR="00BE3105" w:rsidRPr="00A06955" w:rsidRDefault="00BE3105" w:rsidP="00A06955">
            <w:pPr>
              <w:tabs>
                <w:tab w:val="decimal" w:pos="317"/>
              </w:tabs>
              <w:jc w:val="center"/>
              <w:rPr>
                <w:color w:val="auto"/>
                <w:sz w:val="20"/>
                <w:szCs w:val="20"/>
              </w:rPr>
            </w:pPr>
            <w:r w:rsidRPr="00A06955">
              <w:rPr>
                <w:color w:val="auto"/>
                <w:sz w:val="20"/>
                <w:szCs w:val="20"/>
              </w:rPr>
              <w:t>1</w:t>
            </w:r>
          </w:p>
        </w:tc>
        <w:tc>
          <w:tcPr>
            <w:tcW w:w="725" w:type="pct"/>
            <w:shd w:val="clear" w:color="auto" w:fill="auto"/>
            <w:vAlign w:val="center"/>
          </w:tcPr>
          <w:p w14:paraId="2EAB255C" w14:textId="77777777" w:rsidR="00BE3105" w:rsidRPr="00A06955" w:rsidRDefault="00BE3105" w:rsidP="00A06955">
            <w:pPr>
              <w:tabs>
                <w:tab w:val="decimal" w:pos="458"/>
              </w:tabs>
              <w:jc w:val="center"/>
              <w:rPr>
                <w:color w:val="auto"/>
                <w:sz w:val="20"/>
                <w:szCs w:val="20"/>
              </w:rPr>
            </w:pPr>
            <w:r w:rsidRPr="00A06955">
              <w:rPr>
                <w:color w:val="auto"/>
                <w:sz w:val="20"/>
                <w:szCs w:val="20"/>
              </w:rPr>
              <w:t>-</w:t>
            </w:r>
          </w:p>
        </w:tc>
        <w:tc>
          <w:tcPr>
            <w:tcW w:w="726" w:type="pct"/>
            <w:shd w:val="clear" w:color="auto" w:fill="auto"/>
            <w:vAlign w:val="center"/>
          </w:tcPr>
          <w:p w14:paraId="29B7C896" w14:textId="77777777" w:rsidR="00BE3105" w:rsidRPr="00A06955" w:rsidRDefault="00BE3105" w:rsidP="00A06955">
            <w:pPr>
              <w:tabs>
                <w:tab w:val="decimal" w:pos="176"/>
              </w:tabs>
              <w:jc w:val="center"/>
              <w:rPr>
                <w:color w:val="auto"/>
                <w:sz w:val="20"/>
                <w:szCs w:val="20"/>
              </w:rPr>
            </w:pPr>
            <w:r w:rsidRPr="00A06955">
              <w:rPr>
                <w:color w:val="auto"/>
                <w:sz w:val="20"/>
                <w:szCs w:val="20"/>
              </w:rPr>
              <w:t>-</w:t>
            </w:r>
          </w:p>
        </w:tc>
        <w:tc>
          <w:tcPr>
            <w:tcW w:w="661" w:type="pct"/>
            <w:vAlign w:val="center"/>
          </w:tcPr>
          <w:p w14:paraId="5C07E9CF" w14:textId="77777777" w:rsidR="00BE3105" w:rsidRPr="00A06955" w:rsidRDefault="00BE3105" w:rsidP="00A06955">
            <w:pPr>
              <w:tabs>
                <w:tab w:val="decimal" w:pos="460"/>
              </w:tabs>
              <w:jc w:val="center"/>
              <w:rPr>
                <w:color w:val="auto"/>
                <w:sz w:val="20"/>
                <w:szCs w:val="20"/>
              </w:rPr>
            </w:pPr>
            <w:r w:rsidRPr="00A06955">
              <w:rPr>
                <w:color w:val="auto"/>
                <w:sz w:val="20"/>
                <w:szCs w:val="20"/>
              </w:rPr>
              <w:t>1</w:t>
            </w:r>
          </w:p>
        </w:tc>
        <w:tc>
          <w:tcPr>
            <w:tcW w:w="842" w:type="pct"/>
            <w:shd w:val="clear" w:color="auto" w:fill="auto"/>
            <w:vAlign w:val="center"/>
          </w:tcPr>
          <w:p w14:paraId="36A19D84" w14:textId="77777777" w:rsidR="00BE3105" w:rsidRPr="00A06955" w:rsidRDefault="00BE3105" w:rsidP="00A06955">
            <w:pPr>
              <w:tabs>
                <w:tab w:val="decimal" w:pos="317"/>
              </w:tabs>
              <w:jc w:val="center"/>
              <w:rPr>
                <w:color w:val="auto"/>
                <w:sz w:val="20"/>
                <w:szCs w:val="20"/>
              </w:rPr>
            </w:pPr>
            <w:r w:rsidRPr="00A06955">
              <w:rPr>
                <w:color w:val="auto"/>
                <w:sz w:val="20"/>
                <w:szCs w:val="20"/>
              </w:rPr>
              <w:t>1</w:t>
            </w:r>
          </w:p>
        </w:tc>
      </w:tr>
      <w:tr w:rsidR="00BE3105" w:rsidRPr="002D7994" w14:paraId="0656FB86" w14:textId="77777777" w:rsidTr="000944CD">
        <w:trPr>
          <w:trHeight w:val="369"/>
        </w:trPr>
        <w:tc>
          <w:tcPr>
            <w:tcW w:w="918" w:type="pct"/>
            <w:shd w:val="clear" w:color="auto" w:fill="auto"/>
            <w:vAlign w:val="bottom"/>
          </w:tcPr>
          <w:p w14:paraId="241B3D8E" w14:textId="77777777" w:rsidR="00BE3105" w:rsidRPr="00A06955" w:rsidRDefault="00BE3105" w:rsidP="005B29BD">
            <w:pPr>
              <w:jc w:val="left"/>
              <w:rPr>
                <w:b/>
                <w:color w:val="auto"/>
                <w:sz w:val="20"/>
                <w:szCs w:val="20"/>
              </w:rPr>
            </w:pPr>
            <w:r w:rsidRPr="00A06955">
              <w:rPr>
                <w:b/>
                <w:color w:val="auto"/>
                <w:sz w:val="20"/>
                <w:szCs w:val="20"/>
              </w:rPr>
              <w:t xml:space="preserve"> Total</w:t>
            </w:r>
          </w:p>
        </w:tc>
        <w:tc>
          <w:tcPr>
            <w:tcW w:w="532" w:type="pct"/>
            <w:shd w:val="clear" w:color="auto" w:fill="auto"/>
            <w:vAlign w:val="center"/>
          </w:tcPr>
          <w:p w14:paraId="441524D0" w14:textId="77777777" w:rsidR="00BE3105" w:rsidRPr="00A06955" w:rsidRDefault="00BE3105" w:rsidP="00A06955">
            <w:pPr>
              <w:tabs>
                <w:tab w:val="decimal" w:pos="460"/>
              </w:tabs>
              <w:jc w:val="center"/>
              <w:rPr>
                <w:b/>
                <w:color w:val="auto"/>
                <w:sz w:val="20"/>
                <w:szCs w:val="20"/>
              </w:rPr>
            </w:pPr>
            <w:r w:rsidRPr="00A06955">
              <w:rPr>
                <w:b/>
                <w:color w:val="auto"/>
                <w:sz w:val="20"/>
                <w:szCs w:val="20"/>
              </w:rPr>
              <w:t>289</w:t>
            </w:r>
          </w:p>
        </w:tc>
        <w:tc>
          <w:tcPr>
            <w:tcW w:w="595" w:type="pct"/>
            <w:shd w:val="clear" w:color="auto" w:fill="auto"/>
            <w:vAlign w:val="center"/>
          </w:tcPr>
          <w:p w14:paraId="7A320A30" w14:textId="0400ED88" w:rsidR="00BE3105" w:rsidRPr="00A06955" w:rsidRDefault="00BE3105" w:rsidP="00A06955">
            <w:pPr>
              <w:tabs>
                <w:tab w:val="decimal" w:pos="317"/>
              </w:tabs>
              <w:jc w:val="center"/>
              <w:rPr>
                <w:b/>
                <w:color w:val="auto"/>
                <w:sz w:val="20"/>
                <w:szCs w:val="20"/>
              </w:rPr>
            </w:pPr>
            <w:r w:rsidRPr="00A06955">
              <w:rPr>
                <w:b/>
                <w:color w:val="auto"/>
                <w:sz w:val="20"/>
                <w:szCs w:val="20"/>
              </w:rPr>
              <w:t>33</w:t>
            </w:r>
          </w:p>
        </w:tc>
        <w:tc>
          <w:tcPr>
            <w:tcW w:w="725" w:type="pct"/>
            <w:shd w:val="clear" w:color="auto" w:fill="auto"/>
            <w:vAlign w:val="center"/>
          </w:tcPr>
          <w:p w14:paraId="6CBDD057" w14:textId="32A539CC" w:rsidR="00BE3105" w:rsidRPr="00A06955" w:rsidRDefault="00BE3105" w:rsidP="00A06955">
            <w:pPr>
              <w:tabs>
                <w:tab w:val="decimal" w:pos="458"/>
              </w:tabs>
              <w:jc w:val="center"/>
              <w:rPr>
                <w:b/>
                <w:color w:val="auto"/>
                <w:sz w:val="20"/>
                <w:szCs w:val="20"/>
              </w:rPr>
            </w:pPr>
            <w:r>
              <w:rPr>
                <w:b/>
                <w:color w:val="auto"/>
                <w:sz w:val="20"/>
                <w:szCs w:val="20"/>
              </w:rPr>
              <w:t>734</w:t>
            </w:r>
          </w:p>
        </w:tc>
        <w:tc>
          <w:tcPr>
            <w:tcW w:w="726" w:type="pct"/>
            <w:shd w:val="clear" w:color="auto" w:fill="auto"/>
            <w:vAlign w:val="center"/>
          </w:tcPr>
          <w:p w14:paraId="03647966" w14:textId="77777777" w:rsidR="00BE3105" w:rsidRPr="00A06955" w:rsidRDefault="00BE3105" w:rsidP="00A06955">
            <w:pPr>
              <w:tabs>
                <w:tab w:val="decimal" w:pos="176"/>
              </w:tabs>
              <w:jc w:val="center"/>
              <w:rPr>
                <w:b/>
                <w:color w:val="auto"/>
                <w:sz w:val="20"/>
                <w:szCs w:val="20"/>
              </w:rPr>
            </w:pPr>
            <w:r w:rsidRPr="00A06955">
              <w:rPr>
                <w:b/>
                <w:color w:val="auto"/>
                <w:sz w:val="20"/>
                <w:szCs w:val="20"/>
              </w:rPr>
              <w:t>2</w:t>
            </w:r>
          </w:p>
        </w:tc>
        <w:tc>
          <w:tcPr>
            <w:tcW w:w="661" w:type="pct"/>
            <w:vAlign w:val="center"/>
          </w:tcPr>
          <w:p w14:paraId="4091FEA5" w14:textId="679F5E50" w:rsidR="00BE3105" w:rsidRPr="00A06955" w:rsidRDefault="00BE3105" w:rsidP="00A06955">
            <w:pPr>
              <w:tabs>
                <w:tab w:val="decimal" w:pos="460"/>
              </w:tabs>
              <w:jc w:val="center"/>
              <w:rPr>
                <w:b/>
                <w:color w:val="auto"/>
                <w:sz w:val="20"/>
                <w:szCs w:val="20"/>
              </w:rPr>
            </w:pPr>
            <w:r w:rsidRPr="00A06955">
              <w:rPr>
                <w:b/>
                <w:color w:val="auto"/>
                <w:sz w:val="20"/>
                <w:szCs w:val="20"/>
              </w:rPr>
              <w:t>1</w:t>
            </w:r>
            <w:r w:rsidR="000944CD">
              <w:rPr>
                <w:b/>
                <w:color w:val="auto"/>
                <w:sz w:val="20"/>
                <w:szCs w:val="20"/>
              </w:rPr>
              <w:t>,</w:t>
            </w:r>
            <w:r w:rsidRPr="00A06955">
              <w:rPr>
                <w:b/>
                <w:color w:val="auto"/>
                <w:sz w:val="20"/>
                <w:szCs w:val="20"/>
              </w:rPr>
              <w:t>058</w:t>
            </w:r>
          </w:p>
        </w:tc>
        <w:tc>
          <w:tcPr>
            <w:tcW w:w="842" w:type="pct"/>
            <w:shd w:val="clear" w:color="auto" w:fill="auto"/>
            <w:vAlign w:val="center"/>
          </w:tcPr>
          <w:p w14:paraId="3BE2C972" w14:textId="77777777" w:rsidR="00BE3105" w:rsidRPr="00A06955" w:rsidRDefault="00BE3105" w:rsidP="00A06955">
            <w:pPr>
              <w:tabs>
                <w:tab w:val="decimal" w:pos="317"/>
              </w:tabs>
              <w:jc w:val="center"/>
              <w:rPr>
                <w:b/>
                <w:color w:val="auto"/>
                <w:sz w:val="20"/>
                <w:szCs w:val="20"/>
              </w:rPr>
            </w:pPr>
            <w:r w:rsidRPr="00A06955">
              <w:rPr>
                <w:b/>
                <w:color w:val="auto"/>
                <w:sz w:val="20"/>
                <w:szCs w:val="20"/>
              </w:rPr>
              <w:t>90</w:t>
            </w:r>
          </w:p>
        </w:tc>
      </w:tr>
    </w:tbl>
    <w:p w14:paraId="51FC06BD" w14:textId="77777777" w:rsidR="00E721A9" w:rsidRDefault="00E721A9" w:rsidP="00E721A9">
      <w:pPr>
        <w:rPr>
          <w:sz w:val="20"/>
          <w:szCs w:val="20"/>
          <w:lang w:eastAsia="en-GB"/>
        </w:rPr>
      </w:pPr>
      <w:r w:rsidRPr="00A06955">
        <w:rPr>
          <w:sz w:val="20"/>
          <w:szCs w:val="20"/>
          <w:lang w:eastAsia="en-GB"/>
        </w:rPr>
        <w:t>This table does not include any of the Senior Management Team highlighted in the tables above.</w:t>
      </w:r>
    </w:p>
    <w:p w14:paraId="0F314A20" w14:textId="41A4CDDF" w:rsidR="006C4724" w:rsidRPr="00A06955" w:rsidRDefault="006C4724" w:rsidP="006C4724">
      <w:pPr>
        <w:rPr>
          <w:sz w:val="20"/>
          <w:szCs w:val="20"/>
          <w:lang w:eastAsia="en-GB"/>
        </w:rPr>
      </w:pPr>
      <w:r>
        <w:rPr>
          <w:sz w:val="20"/>
          <w:szCs w:val="20"/>
          <w:vertAlign w:val="superscript"/>
          <w:lang w:eastAsia="en-GB"/>
        </w:rPr>
        <w:t xml:space="preserve">1 </w:t>
      </w:r>
      <w:r w:rsidRPr="006C4724">
        <w:rPr>
          <w:sz w:val="20"/>
          <w:szCs w:val="20"/>
          <w:lang w:eastAsia="en-GB"/>
        </w:rPr>
        <w:t>Prior year comparative</w:t>
      </w:r>
      <w:r>
        <w:rPr>
          <w:sz w:val="20"/>
          <w:szCs w:val="20"/>
          <w:lang w:eastAsia="en-GB"/>
        </w:rPr>
        <w:t>s</w:t>
      </w:r>
      <w:r w:rsidRPr="006C4724">
        <w:rPr>
          <w:sz w:val="20"/>
          <w:szCs w:val="20"/>
          <w:lang w:eastAsia="en-GB"/>
        </w:rPr>
        <w:t xml:space="preserve"> restated as a result of improvements made to reporting systems</w:t>
      </w:r>
      <w:r>
        <w:rPr>
          <w:sz w:val="20"/>
          <w:szCs w:val="20"/>
          <w:lang w:eastAsia="en-GB"/>
        </w:rPr>
        <w:t>.</w:t>
      </w:r>
    </w:p>
    <w:p w14:paraId="4C9B704E" w14:textId="123313A1" w:rsidR="009E70E9" w:rsidRPr="00A06955" w:rsidRDefault="006C4724" w:rsidP="00E721A9">
      <w:pPr>
        <w:rPr>
          <w:sz w:val="20"/>
          <w:szCs w:val="20"/>
          <w:lang w:eastAsia="en-GB"/>
        </w:rPr>
      </w:pPr>
      <w:r>
        <w:rPr>
          <w:sz w:val="20"/>
          <w:szCs w:val="20"/>
          <w:vertAlign w:val="superscript"/>
          <w:lang w:eastAsia="en-GB"/>
        </w:rPr>
        <w:t xml:space="preserve">2 </w:t>
      </w:r>
      <w:r w:rsidR="00E721A9" w:rsidRPr="00A06955">
        <w:rPr>
          <w:sz w:val="20"/>
          <w:szCs w:val="20"/>
          <w:lang w:eastAsia="en-GB"/>
        </w:rPr>
        <w:t>Remuneration bands have been removed in cases where the entry for every column was zero.</w:t>
      </w:r>
    </w:p>
    <w:p w14:paraId="0D29798F" w14:textId="4C84C681" w:rsidR="005B29BD" w:rsidRPr="00A06955" w:rsidRDefault="006C4724" w:rsidP="005B29BD">
      <w:pPr>
        <w:rPr>
          <w:sz w:val="20"/>
          <w:szCs w:val="20"/>
          <w:lang w:eastAsia="en-GB"/>
        </w:rPr>
      </w:pPr>
      <w:r>
        <w:rPr>
          <w:sz w:val="20"/>
          <w:szCs w:val="20"/>
          <w:vertAlign w:val="superscript"/>
          <w:lang w:eastAsia="en-GB"/>
        </w:rPr>
        <w:t xml:space="preserve">3 </w:t>
      </w:r>
      <w:r w:rsidR="005B29BD" w:rsidRPr="00A06955">
        <w:rPr>
          <w:sz w:val="20"/>
          <w:szCs w:val="20"/>
          <w:lang w:eastAsia="en-GB"/>
        </w:rPr>
        <w:t>Includes those who work</w:t>
      </w:r>
      <w:r w:rsidR="00271A9D">
        <w:rPr>
          <w:sz w:val="20"/>
          <w:szCs w:val="20"/>
          <w:lang w:eastAsia="en-GB"/>
        </w:rPr>
        <w:t>ed</w:t>
      </w:r>
      <w:r w:rsidR="005B29BD" w:rsidRPr="00A06955">
        <w:rPr>
          <w:sz w:val="20"/>
          <w:szCs w:val="20"/>
          <w:lang w:eastAsia="en-GB"/>
        </w:rPr>
        <w:t xml:space="preserve"> for </w:t>
      </w:r>
      <w:r w:rsidR="00271A9D">
        <w:rPr>
          <w:sz w:val="20"/>
          <w:szCs w:val="20"/>
          <w:lang w:eastAsia="en-GB"/>
        </w:rPr>
        <w:t>One Connect Limited (OCL)</w:t>
      </w:r>
      <w:r w:rsidR="008742B4" w:rsidRPr="00A06955">
        <w:rPr>
          <w:sz w:val="20"/>
          <w:szCs w:val="20"/>
          <w:lang w:eastAsia="en-GB"/>
        </w:rPr>
        <w:t>,</w:t>
      </w:r>
      <w:r w:rsidR="005B29BD" w:rsidRPr="00A06955">
        <w:rPr>
          <w:sz w:val="20"/>
          <w:szCs w:val="20"/>
          <w:lang w:eastAsia="en-GB"/>
        </w:rPr>
        <w:t xml:space="preserve"> Lancashire County Developments Limited (LCDL)</w:t>
      </w:r>
      <w:r w:rsidR="008742B4" w:rsidRPr="00A06955">
        <w:rPr>
          <w:sz w:val="20"/>
          <w:szCs w:val="20"/>
          <w:lang w:eastAsia="en-GB"/>
        </w:rPr>
        <w:t xml:space="preserve"> and NHS England</w:t>
      </w:r>
      <w:r w:rsidR="005B29BD" w:rsidRPr="00A06955">
        <w:rPr>
          <w:sz w:val="20"/>
          <w:szCs w:val="20"/>
          <w:lang w:eastAsia="en-GB"/>
        </w:rPr>
        <w:t xml:space="preserve">.  </w:t>
      </w:r>
    </w:p>
    <w:p w14:paraId="0B292B1C" w14:textId="7F0BE22C" w:rsidR="005B29BD" w:rsidRPr="00A06955" w:rsidRDefault="006C4724" w:rsidP="005B29BD">
      <w:pPr>
        <w:rPr>
          <w:sz w:val="20"/>
          <w:szCs w:val="20"/>
          <w:lang w:eastAsia="en-GB"/>
        </w:rPr>
      </w:pPr>
      <w:r>
        <w:rPr>
          <w:sz w:val="20"/>
          <w:szCs w:val="20"/>
          <w:vertAlign w:val="superscript"/>
          <w:lang w:eastAsia="en-GB"/>
        </w:rPr>
        <w:t>4</w:t>
      </w:r>
      <w:r w:rsidR="005B29BD" w:rsidRPr="00A06955">
        <w:rPr>
          <w:sz w:val="20"/>
          <w:szCs w:val="20"/>
          <w:vertAlign w:val="superscript"/>
          <w:lang w:eastAsia="en-GB"/>
        </w:rPr>
        <w:t xml:space="preserve"> </w:t>
      </w:r>
      <w:r w:rsidR="005B29BD" w:rsidRPr="00A06955">
        <w:rPr>
          <w:sz w:val="20"/>
          <w:szCs w:val="20"/>
          <w:lang w:eastAsia="en-GB"/>
        </w:rPr>
        <w:t>County Council Network Staff are those working for and paid for, by the county council's network who are hosted for pay and rations by Lancashire County Council.</w:t>
      </w:r>
    </w:p>
    <w:p w14:paraId="45679892" w14:textId="7D809226" w:rsidR="005B29BD" w:rsidRDefault="006C4724" w:rsidP="005B29BD">
      <w:pPr>
        <w:rPr>
          <w:sz w:val="20"/>
          <w:szCs w:val="20"/>
          <w:lang w:eastAsia="en-GB"/>
        </w:rPr>
      </w:pPr>
      <w:r>
        <w:rPr>
          <w:sz w:val="20"/>
          <w:szCs w:val="20"/>
          <w:vertAlign w:val="superscript"/>
          <w:lang w:eastAsia="en-GB"/>
        </w:rPr>
        <w:t>5</w:t>
      </w:r>
      <w:r w:rsidR="005B29BD" w:rsidRPr="00A06955">
        <w:rPr>
          <w:sz w:val="20"/>
          <w:szCs w:val="20"/>
          <w:vertAlign w:val="superscript"/>
          <w:lang w:eastAsia="en-GB"/>
        </w:rPr>
        <w:t xml:space="preserve"> </w:t>
      </w:r>
      <w:r w:rsidR="005B29BD" w:rsidRPr="00A06955">
        <w:rPr>
          <w:sz w:val="20"/>
          <w:szCs w:val="20"/>
          <w:lang w:eastAsia="en-GB"/>
        </w:rPr>
        <w:t>This additional information has been included to show the number of staff whose remuneration included redundancy payments. The redundancy payments have led to some individuals moving up in the remuneration banding and has also meant additional individuals are included in this note.</w:t>
      </w:r>
    </w:p>
    <w:p w14:paraId="08EE3C6C" w14:textId="77777777" w:rsidR="006C4724" w:rsidRDefault="006C4724" w:rsidP="005B29BD">
      <w:pPr>
        <w:rPr>
          <w:sz w:val="20"/>
          <w:szCs w:val="20"/>
          <w:lang w:eastAsia="en-GB"/>
        </w:rPr>
      </w:pPr>
    </w:p>
    <w:p w14:paraId="3254E798" w14:textId="503BD1F9" w:rsidR="00861533" w:rsidRPr="009C1D66" w:rsidRDefault="00861533" w:rsidP="005B29BD">
      <w:pPr>
        <w:rPr>
          <w:b/>
          <w:lang w:eastAsia="en-GB"/>
        </w:rPr>
      </w:pPr>
      <w:r w:rsidRPr="009C1D66">
        <w:rPr>
          <w:b/>
          <w:lang w:eastAsia="en-GB"/>
        </w:rPr>
        <w:t xml:space="preserve">Exit </w:t>
      </w:r>
      <w:r w:rsidR="00246A2C">
        <w:rPr>
          <w:b/>
          <w:lang w:eastAsia="en-GB"/>
        </w:rPr>
        <w:t>p</w:t>
      </w:r>
      <w:r w:rsidRPr="009C1D66">
        <w:rPr>
          <w:b/>
          <w:lang w:eastAsia="en-GB"/>
        </w:rPr>
        <w:t>ackages</w:t>
      </w:r>
    </w:p>
    <w:p w14:paraId="7E457AE5" w14:textId="77777777" w:rsidR="00861533" w:rsidRPr="00A06955" w:rsidRDefault="00861533" w:rsidP="005B29BD">
      <w:pPr>
        <w:rPr>
          <w:lang w:eastAsia="en-GB"/>
        </w:rPr>
      </w:pPr>
      <w:r w:rsidRPr="00A06955">
        <w:rPr>
          <w:lang w:eastAsia="en-GB"/>
        </w:rPr>
        <w:t>When an employee leaves Lancashire County Council through the ongoing voluntary severance scheme, two types of costs are incurred:</w:t>
      </w:r>
    </w:p>
    <w:p w14:paraId="4A88AABD" w14:textId="77777777" w:rsidR="00861533" w:rsidRPr="00A06955" w:rsidRDefault="00861533" w:rsidP="00EC401F">
      <w:pPr>
        <w:numPr>
          <w:ilvl w:val="0"/>
          <w:numId w:val="34"/>
        </w:numPr>
        <w:rPr>
          <w:lang w:eastAsia="en-GB"/>
        </w:rPr>
      </w:pPr>
      <w:r w:rsidRPr="00A06955">
        <w:rPr>
          <w:lang w:eastAsia="en-GB"/>
        </w:rPr>
        <w:t>A redundancy payment received by the employee calculated in line with the relevant policies agreed by the council;</w:t>
      </w:r>
    </w:p>
    <w:p w14:paraId="780ADEC3" w14:textId="77777777" w:rsidR="00861533" w:rsidRPr="00A06955" w:rsidRDefault="00861533" w:rsidP="00EC401F">
      <w:pPr>
        <w:numPr>
          <w:ilvl w:val="0"/>
          <w:numId w:val="34"/>
        </w:numPr>
        <w:rPr>
          <w:lang w:eastAsia="en-GB"/>
        </w:rPr>
      </w:pPr>
      <w:r w:rsidRPr="00A06955">
        <w:rPr>
          <w:lang w:eastAsia="en-GB"/>
        </w:rPr>
        <w:lastRenderedPageBreak/>
        <w:t xml:space="preserve">Where the employee is able to immediately receive any benefits they have built up in the Pension Fund, a payment calculated by the independent actuary is made to compensate the fund for both the employer and employee contributions that will be received due to the early payment of benefits. This payment is </w:t>
      </w:r>
      <w:r w:rsidRPr="00A06955">
        <w:rPr>
          <w:b/>
          <w:lang w:eastAsia="en-GB"/>
        </w:rPr>
        <w:t>not</w:t>
      </w:r>
      <w:r w:rsidRPr="00A06955">
        <w:rPr>
          <w:lang w:eastAsia="en-GB"/>
        </w:rPr>
        <w:t xml:space="preserve"> made to the individual.</w:t>
      </w:r>
    </w:p>
    <w:p w14:paraId="5410D154" w14:textId="19E8096A" w:rsidR="00861533" w:rsidRDefault="00861533" w:rsidP="00220AA6">
      <w:pPr>
        <w:rPr>
          <w:lang w:eastAsia="en-GB"/>
        </w:rPr>
      </w:pPr>
      <w:r w:rsidRPr="00A06955">
        <w:rPr>
          <w:lang w:eastAsia="en-GB"/>
        </w:rPr>
        <w:t>The table below shows the cost to the council of exit packages, not the amount received by an employee (which forms only part of the cost)</w:t>
      </w:r>
      <w:r w:rsidR="008742B4">
        <w:rPr>
          <w:lang w:eastAsia="en-GB"/>
        </w:rPr>
        <w:t>:</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8"/>
        <w:gridCol w:w="993"/>
        <w:gridCol w:w="993"/>
        <w:gridCol w:w="1003"/>
        <w:gridCol w:w="1110"/>
        <w:gridCol w:w="1114"/>
        <w:gridCol w:w="1112"/>
        <w:gridCol w:w="1112"/>
        <w:gridCol w:w="1175"/>
      </w:tblGrid>
      <w:tr w:rsidR="00F3439E" w:rsidRPr="00861533" w14:paraId="3F93640E" w14:textId="77777777" w:rsidTr="00F3439E">
        <w:trPr>
          <w:trHeight w:val="369"/>
          <w:tblHeader/>
        </w:trPr>
        <w:tc>
          <w:tcPr>
            <w:tcW w:w="880" w:type="pct"/>
            <w:vMerge w:val="restart"/>
            <w:shd w:val="clear" w:color="auto" w:fill="D0CECE"/>
            <w:vAlign w:val="bottom"/>
          </w:tcPr>
          <w:p w14:paraId="243B7256" w14:textId="77777777" w:rsidR="00F3439E" w:rsidRPr="00A06955" w:rsidRDefault="00F3439E" w:rsidP="00861533">
            <w:pPr>
              <w:jc w:val="center"/>
              <w:rPr>
                <w:b/>
                <w:color w:val="auto"/>
                <w:sz w:val="20"/>
                <w:szCs w:val="20"/>
              </w:rPr>
            </w:pPr>
            <w:r w:rsidRPr="00A06955">
              <w:rPr>
                <w:b/>
                <w:color w:val="auto"/>
                <w:sz w:val="20"/>
                <w:szCs w:val="20"/>
              </w:rPr>
              <w:t>Exit package cost band (including special payments)</w:t>
            </w:r>
          </w:p>
        </w:tc>
        <w:tc>
          <w:tcPr>
            <w:tcW w:w="950" w:type="pct"/>
            <w:gridSpan w:val="2"/>
            <w:shd w:val="clear" w:color="auto" w:fill="D0CECE"/>
            <w:vAlign w:val="bottom"/>
          </w:tcPr>
          <w:p w14:paraId="179E1986" w14:textId="77777777" w:rsidR="00F3439E" w:rsidRPr="00A06955" w:rsidRDefault="00F3439E" w:rsidP="00A657ED">
            <w:pPr>
              <w:jc w:val="center"/>
              <w:rPr>
                <w:b/>
                <w:color w:val="auto"/>
                <w:sz w:val="20"/>
                <w:szCs w:val="20"/>
              </w:rPr>
            </w:pPr>
            <w:r w:rsidRPr="00A06955">
              <w:rPr>
                <w:b/>
                <w:color w:val="auto"/>
                <w:sz w:val="20"/>
                <w:szCs w:val="20"/>
              </w:rPr>
              <w:t>Number of compulsory redundancies</w:t>
            </w:r>
          </w:p>
        </w:tc>
        <w:tc>
          <w:tcPr>
            <w:tcW w:w="1011" w:type="pct"/>
            <w:gridSpan w:val="2"/>
            <w:shd w:val="clear" w:color="auto" w:fill="D0CECE"/>
            <w:vAlign w:val="bottom"/>
          </w:tcPr>
          <w:p w14:paraId="2745D9B6" w14:textId="77777777" w:rsidR="00F3439E" w:rsidRPr="00A06955" w:rsidRDefault="00F3439E" w:rsidP="00861533">
            <w:pPr>
              <w:jc w:val="center"/>
              <w:rPr>
                <w:b/>
                <w:color w:val="auto"/>
                <w:sz w:val="20"/>
                <w:szCs w:val="20"/>
              </w:rPr>
            </w:pPr>
            <w:r w:rsidRPr="00A06955">
              <w:rPr>
                <w:b/>
                <w:color w:val="auto"/>
                <w:sz w:val="20"/>
                <w:szCs w:val="20"/>
              </w:rPr>
              <w:t>Number of other departures agreed</w:t>
            </w:r>
          </w:p>
        </w:tc>
        <w:tc>
          <w:tcPr>
            <w:tcW w:w="1065" w:type="pct"/>
            <w:gridSpan w:val="2"/>
            <w:shd w:val="clear" w:color="auto" w:fill="D0CECE"/>
            <w:vAlign w:val="bottom"/>
          </w:tcPr>
          <w:p w14:paraId="3DBDDF27" w14:textId="77777777" w:rsidR="00F3439E" w:rsidRPr="00A06955" w:rsidRDefault="00F3439E" w:rsidP="00861533">
            <w:pPr>
              <w:jc w:val="center"/>
              <w:rPr>
                <w:b/>
                <w:color w:val="auto"/>
                <w:sz w:val="20"/>
                <w:szCs w:val="20"/>
              </w:rPr>
            </w:pPr>
            <w:r w:rsidRPr="00A06955">
              <w:rPr>
                <w:b/>
                <w:color w:val="auto"/>
                <w:sz w:val="20"/>
                <w:szCs w:val="20"/>
              </w:rPr>
              <w:t>Total number of exit packages by cost band</w:t>
            </w:r>
          </w:p>
        </w:tc>
        <w:tc>
          <w:tcPr>
            <w:tcW w:w="1094" w:type="pct"/>
            <w:gridSpan w:val="2"/>
            <w:shd w:val="clear" w:color="auto" w:fill="D0CECE"/>
            <w:vAlign w:val="bottom"/>
          </w:tcPr>
          <w:p w14:paraId="3826B24F" w14:textId="77777777" w:rsidR="00F3439E" w:rsidRPr="0074670A" w:rsidRDefault="00F3439E" w:rsidP="00861533">
            <w:pPr>
              <w:jc w:val="center"/>
              <w:rPr>
                <w:b/>
                <w:color w:val="auto"/>
                <w:sz w:val="20"/>
                <w:szCs w:val="20"/>
              </w:rPr>
            </w:pPr>
            <w:r w:rsidRPr="00A06955">
              <w:rPr>
                <w:b/>
                <w:color w:val="auto"/>
                <w:sz w:val="20"/>
                <w:szCs w:val="20"/>
              </w:rPr>
              <w:t>Total cost of exit packages in each band</w:t>
            </w:r>
          </w:p>
        </w:tc>
      </w:tr>
      <w:tr w:rsidR="00F3439E" w:rsidRPr="00861533" w14:paraId="738136AF" w14:textId="77777777" w:rsidTr="00F3439E">
        <w:trPr>
          <w:trHeight w:val="369"/>
          <w:tblHeader/>
        </w:trPr>
        <w:tc>
          <w:tcPr>
            <w:tcW w:w="880" w:type="pct"/>
            <w:vMerge/>
            <w:shd w:val="clear" w:color="auto" w:fill="D0CECE"/>
            <w:vAlign w:val="bottom"/>
          </w:tcPr>
          <w:p w14:paraId="14724162" w14:textId="77777777" w:rsidR="00F3439E" w:rsidRPr="00A06955" w:rsidRDefault="00F3439E" w:rsidP="009223F2">
            <w:pPr>
              <w:jc w:val="center"/>
              <w:rPr>
                <w:b/>
                <w:color w:val="auto"/>
                <w:sz w:val="20"/>
                <w:szCs w:val="20"/>
                <w:vertAlign w:val="superscript"/>
              </w:rPr>
            </w:pPr>
          </w:p>
        </w:tc>
        <w:tc>
          <w:tcPr>
            <w:tcW w:w="475" w:type="pct"/>
            <w:shd w:val="clear" w:color="auto" w:fill="D0CECE"/>
            <w:vAlign w:val="bottom"/>
          </w:tcPr>
          <w:p w14:paraId="7E430D56" w14:textId="77777777" w:rsidR="00F3439E" w:rsidRPr="00A06955" w:rsidRDefault="00F3439E" w:rsidP="009223F2">
            <w:pPr>
              <w:jc w:val="center"/>
              <w:rPr>
                <w:b/>
                <w:color w:val="auto"/>
                <w:sz w:val="20"/>
                <w:szCs w:val="20"/>
              </w:rPr>
            </w:pPr>
            <w:r w:rsidRPr="00A06955">
              <w:rPr>
                <w:b/>
                <w:color w:val="auto"/>
                <w:sz w:val="20"/>
                <w:szCs w:val="20"/>
              </w:rPr>
              <w:t>2014/15</w:t>
            </w:r>
          </w:p>
        </w:tc>
        <w:tc>
          <w:tcPr>
            <w:tcW w:w="475" w:type="pct"/>
            <w:shd w:val="clear" w:color="auto" w:fill="D0CECE"/>
            <w:vAlign w:val="bottom"/>
          </w:tcPr>
          <w:p w14:paraId="6D639A0B" w14:textId="77777777" w:rsidR="00F3439E" w:rsidRPr="00A06955" w:rsidRDefault="00F3439E" w:rsidP="009223F2">
            <w:pPr>
              <w:jc w:val="center"/>
              <w:rPr>
                <w:b/>
                <w:color w:val="auto"/>
                <w:sz w:val="20"/>
                <w:szCs w:val="20"/>
              </w:rPr>
            </w:pPr>
            <w:r w:rsidRPr="00A06955">
              <w:rPr>
                <w:b/>
                <w:color w:val="auto"/>
                <w:sz w:val="20"/>
                <w:szCs w:val="20"/>
              </w:rPr>
              <w:t>2013/14</w:t>
            </w:r>
          </w:p>
        </w:tc>
        <w:tc>
          <w:tcPr>
            <w:tcW w:w="480" w:type="pct"/>
            <w:shd w:val="clear" w:color="auto" w:fill="D0CECE"/>
            <w:vAlign w:val="bottom"/>
          </w:tcPr>
          <w:p w14:paraId="2119974D" w14:textId="77777777" w:rsidR="00F3439E" w:rsidRPr="00A06955" w:rsidRDefault="00F3439E" w:rsidP="009223F2">
            <w:pPr>
              <w:jc w:val="center"/>
              <w:rPr>
                <w:b/>
                <w:color w:val="auto"/>
                <w:sz w:val="20"/>
                <w:szCs w:val="20"/>
              </w:rPr>
            </w:pPr>
            <w:r w:rsidRPr="00A06955">
              <w:rPr>
                <w:b/>
                <w:color w:val="auto"/>
                <w:sz w:val="20"/>
                <w:szCs w:val="20"/>
              </w:rPr>
              <w:t>2014/15</w:t>
            </w:r>
          </w:p>
        </w:tc>
        <w:tc>
          <w:tcPr>
            <w:tcW w:w="531" w:type="pct"/>
            <w:shd w:val="clear" w:color="auto" w:fill="D0CECE"/>
            <w:vAlign w:val="bottom"/>
          </w:tcPr>
          <w:p w14:paraId="6DCE2FD3" w14:textId="77777777" w:rsidR="00F3439E" w:rsidRPr="00A06955" w:rsidRDefault="00F3439E" w:rsidP="009223F2">
            <w:pPr>
              <w:jc w:val="center"/>
              <w:rPr>
                <w:b/>
                <w:color w:val="auto"/>
                <w:sz w:val="20"/>
                <w:szCs w:val="20"/>
              </w:rPr>
            </w:pPr>
            <w:r w:rsidRPr="00A06955">
              <w:rPr>
                <w:b/>
                <w:color w:val="auto"/>
                <w:sz w:val="20"/>
                <w:szCs w:val="20"/>
              </w:rPr>
              <w:t>2013/14</w:t>
            </w:r>
          </w:p>
        </w:tc>
        <w:tc>
          <w:tcPr>
            <w:tcW w:w="533" w:type="pct"/>
            <w:shd w:val="clear" w:color="auto" w:fill="D0CECE"/>
            <w:vAlign w:val="bottom"/>
          </w:tcPr>
          <w:p w14:paraId="1A0D9D1A" w14:textId="77777777" w:rsidR="00F3439E" w:rsidRPr="00A06955" w:rsidRDefault="00F3439E" w:rsidP="009223F2">
            <w:pPr>
              <w:jc w:val="center"/>
              <w:rPr>
                <w:b/>
                <w:color w:val="auto"/>
                <w:sz w:val="20"/>
                <w:szCs w:val="20"/>
              </w:rPr>
            </w:pPr>
            <w:r w:rsidRPr="00A06955">
              <w:rPr>
                <w:b/>
                <w:color w:val="auto"/>
                <w:sz w:val="20"/>
                <w:szCs w:val="20"/>
              </w:rPr>
              <w:t>2014/15</w:t>
            </w:r>
          </w:p>
        </w:tc>
        <w:tc>
          <w:tcPr>
            <w:tcW w:w="532" w:type="pct"/>
            <w:shd w:val="clear" w:color="auto" w:fill="D0CECE"/>
            <w:vAlign w:val="bottom"/>
          </w:tcPr>
          <w:p w14:paraId="1750B435" w14:textId="77777777" w:rsidR="00F3439E" w:rsidRPr="00A06955" w:rsidRDefault="00F3439E" w:rsidP="009223F2">
            <w:pPr>
              <w:jc w:val="center"/>
              <w:rPr>
                <w:b/>
                <w:color w:val="auto"/>
                <w:sz w:val="20"/>
                <w:szCs w:val="20"/>
              </w:rPr>
            </w:pPr>
            <w:r w:rsidRPr="00A06955">
              <w:rPr>
                <w:b/>
                <w:color w:val="auto"/>
                <w:sz w:val="20"/>
                <w:szCs w:val="20"/>
              </w:rPr>
              <w:t>2013/14</w:t>
            </w:r>
          </w:p>
        </w:tc>
        <w:tc>
          <w:tcPr>
            <w:tcW w:w="532" w:type="pct"/>
            <w:shd w:val="clear" w:color="auto" w:fill="D0CECE"/>
            <w:vAlign w:val="bottom"/>
          </w:tcPr>
          <w:p w14:paraId="0E1E0CDB" w14:textId="77777777" w:rsidR="00F3439E" w:rsidRPr="00A06955" w:rsidRDefault="00F3439E" w:rsidP="009223F2">
            <w:pPr>
              <w:jc w:val="center"/>
              <w:rPr>
                <w:b/>
                <w:color w:val="auto"/>
                <w:sz w:val="20"/>
                <w:szCs w:val="20"/>
              </w:rPr>
            </w:pPr>
            <w:r w:rsidRPr="00A06955">
              <w:rPr>
                <w:b/>
                <w:color w:val="auto"/>
                <w:sz w:val="20"/>
                <w:szCs w:val="20"/>
              </w:rPr>
              <w:t>2014/15</w:t>
            </w:r>
          </w:p>
        </w:tc>
        <w:tc>
          <w:tcPr>
            <w:tcW w:w="562" w:type="pct"/>
            <w:shd w:val="clear" w:color="auto" w:fill="D0CECE"/>
            <w:vAlign w:val="bottom"/>
          </w:tcPr>
          <w:p w14:paraId="31DFD87E" w14:textId="77777777" w:rsidR="00F3439E" w:rsidRPr="00A06955" w:rsidRDefault="00F3439E" w:rsidP="009223F2">
            <w:pPr>
              <w:jc w:val="center"/>
              <w:rPr>
                <w:b/>
                <w:color w:val="auto"/>
                <w:sz w:val="20"/>
                <w:szCs w:val="20"/>
              </w:rPr>
            </w:pPr>
            <w:r w:rsidRPr="00A06955">
              <w:rPr>
                <w:b/>
                <w:color w:val="auto"/>
                <w:sz w:val="20"/>
                <w:szCs w:val="20"/>
              </w:rPr>
              <w:t>2013/14</w:t>
            </w:r>
          </w:p>
        </w:tc>
      </w:tr>
      <w:tr w:rsidR="00771D81" w:rsidRPr="009223F2" w14:paraId="68D3E743" w14:textId="77777777" w:rsidTr="00F3439E">
        <w:trPr>
          <w:trHeight w:val="369"/>
          <w:tblHeader/>
        </w:trPr>
        <w:tc>
          <w:tcPr>
            <w:tcW w:w="880" w:type="pct"/>
            <w:shd w:val="clear" w:color="auto" w:fill="D0CECE"/>
            <w:vAlign w:val="bottom"/>
          </w:tcPr>
          <w:p w14:paraId="3F1BBA68" w14:textId="77777777" w:rsidR="009223F2" w:rsidRPr="00A06955" w:rsidRDefault="009223F2" w:rsidP="009C1D66">
            <w:pPr>
              <w:jc w:val="center"/>
              <w:rPr>
                <w:b/>
                <w:color w:val="auto"/>
                <w:sz w:val="20"/>
                <w:szCs w:val="20"/>
              </w:rPr>
            </w:pPr>
            <w:r w:rsidRPr="00A06955">
              <w:rPr>
                <w:b/>
                <w:color w:val="auto"/>
                <w:sz w:val="20"/>
                <w:szCs w:val="20"/>
              </w:rPr>
              <w:t>£</w:t>
            </w:r>
          </w:p>
        </w:tc>
        <w:tc>
          <w:tcPr>
            <w:tcW w:w="475" w:type="pct"/>
            <w:shd w:val="clear" w:color="auto" w:fill="D0CECE"/>
            <w:vAlign w:val="bottom"/>
          </w:tcPr>
          <w:p w14:paraId="25CAF1BD" w14:textId="77777777" w:rsidR="009223F2" w:rsidRPr="00A06955" w:rsidRDefault="009223F2" w:rsidP="009223F2">
            <w:pPr>
              <w:jc w:val="center"/>
              <w:rPr>
                <w:b/>
                <w:color w:val="auto"/>
                <w:sz w:val="20"/>
                <w:szCs w:val="20"/>
              </w:rPr>
            </w:pPr>
          </w:p>
        </w:tc>
        <w:tc>
          <w:tcPr>
            <w:tcW w:w="475" w:type="pct"/>
            <w:shd w:val="clear" w:color="auto" w:fill="D0CECE"/>
            <w:vAlign w:val="bottom"/>
          </w:tcPr>
          <w:p w14:paraId="75A89DD9" w14:textId="77777777" w:rsidR="009223F2" w:rsidRPr="00A06955" w:rsidRDefault="009223F2" w:rsidP="009223F2">
            <w:pPr>
              <w:jc w:val="center"/>
              <w:rPr>
                <w:b/>
                <w:color w:val="auto"/>
                <w:sz w:val="20"/>
                <w:szCs w:val="20"/>
              </w:rPr>
            </w:pPr>
          </w:p>
        </w:tc>
        <w:tc>
          <w:tcPr>
            <w:tcW w:w="480" w:type="pct"/>
            <w:shd w:val="clear" w:color="auto" w:fill="D0CECE"/>
            <w:vAlign w:val="bottom"/>
          </w:tcPr>
          <w:p w14:paraId="60BC84E4" w14:textId="77777777" w:rsidR="009223F2" w:rsidRPr="00A06955" w:rsidRDefault="009223F2" w:rsidP="009223F2">
            <w:pPr>
              <w:jc w:val="center"/>
              <w:rPr>
                <w:b/>
                <w:color w:val="auto"/>
                <w:sz w:val="20"/>
                <w:szCs w:val="20"/>
              </w:rPr>
            </w:pPr>
          </w:p>
        </w:tc>
        <w:tc>
          <w:tcPr>
            <w:tcW w:w="531" w:type="pct"/>
            <w:shd w:val="clear" w:color="auto" w:fill="D0CECE"/>
            <w:vAlign w:val="bottom"/>
          </w:tcPr>
          <w:p w14:paraId="3B4310CB" w14:textId="77777777" w:rsidR="009223F2" w:rsidRPr="00A06955" w:rsidRDefault="009223F2" w:rsidP="009223F2">
            <w:pPr>
              <w:jc w:val="center"/>
              <w:rPr>
                <w:b/>
                <w:color w:val="auto"/>
                <w:sz w:val="20"/>
                <w:szCs w:val="20"/>
              </w:rPr>
            </w:pPr>
          </w:p>
        </w:tc>
        <w:tc>
          <w:tcPr>
            <w:tcW w:w="533" w:type="pct"/>
            <w:shd w:val="clear" w:color="auto" w:fill="D0CECE"/>
            <w:vAlign w:val="bottom"/>
          </w:tcPr>
          <w:p w14:paraId="16E82027" w14:textId="77777777" w:rsidR="009223F2" w:rsidRPr="00A06955" w:rsidRDefault="009223F2" w:rsidP="009223F2">
            <w:pPr>
              <w:jc w:val="center"/>
              <w:rPr>
                <w:b/>
                <w:color w:val="auto"/>
                <w:sz w:val="20"/>
                <w:szCs w:val="20"/>
              </w:rPr>
            </w:pPr>
          </w:p>
        </w:tc>
        <w:tc>
          <w:tcPr>
            <w:tcW w:w="532" w:type="pct"/>
            <w:shd w:val="clear" w:color="auto" w:fill="D0CECE"/>
            <w:vAlign w:val="bottom"/>
          </w:tcPr>
          <w:p w14:paraId="62263AED" w14:textId="77777777" w:rsidR="009223F2" w:rsidRPr="00A06955" w:rsidRDefault="009223F2" w:rsidP="009223F2">
            <w:pPr>
              <w:jc w:val="center"/>
              <w:rPr>
                <w:b/>
                <w:color w:val="auto"/>
                <w:sz w:val="20"/>
                <w:szCs w:val="20"/>
              </w:rPr>
            </w:pPr>
          </w:p>
        </w:tc>
        <w:tc>
          <w:tcPr>
            <w:tcW w:w="532" w:type="pct"/>
            <w:shd w:val="clear" w:color="auto" w:fill="D0CECE"/>
            <w:vAlign w:val="bottom"/>
          </w:tcPr>
          <w:p w14:paraId="6FAF903A" w14:textId="77777777" w:rsidR="009223F2" w:rsidRPr="00A06955" w:rsidRDefault="009223F2" w:rsidP="009223F2">
            <w:pPr>
              <w:jc w:val="center"/>
              <w:rPr>
                <w:b/>
                <w:color w:val="auto"/>
                <w:sz w:val="20"/>
                <w:szCs w:val="20"/>
              </w:rPr>
            </w:pPr>
            <w:r w:rsidRPr="00A06955">
              <w:rPr>
                <w:b/>
                <w:color w:val="auto"/>
                <w:sz w:val="20"/>
                <w:szCs w:val="20"/>
              </w:rPr>
              <w:t>£000</w:t>
            </w:r>
          </w:p>
        </w:tc>
        <w:tc>
          <w:tcPr>
            <w:tcW w:w="562" w:type="pct"/>
            <w:shd w:val="clear" w:color="auto" w:fill="D0CECE"/>
            <w:vAlign w:val="bottom"/>
          </w:tcPr>
          <w:p w14:paraId="3D3D041F" w14:textId="77777777" w:rsidR="009223F2" w:rsidRPr="00A06955" w:rsidRDefault="009223F2" w:rsidP="009223F2">
            <w:pPr>
              <w:jc w:val="center"/>
              <w:rPr>
                <w:b/>
                <w:color w:val="auto"/>
                <w:sz w:val="20"/>
                <w:szCs w:val="20"/>
              </w:rPr>
            </w:pPr>
            <w:r w:rsidRPr="00A06955">
              <w:rPr>
                <w:b/>
                <w:color w:val="auto"/>
                <w:sz w:val="20"/>
                <w:szCs w:val="20"/>
              </w:rPr>
              <w:t>£000</w:t>
            </w:r>
          </w:p>
        </w:tc>
      </w:tr>
      <w:tr w:rsidR="00771D81" w:rsidRPr="00861533" w14:paraId="4B69EDD3" w14:textId="77777777" w:rsidTr="00F3439E">
        <w:trPr>
          <w:trHeight w:val="369"/>
        </w:trPr>
        <w:tc>
          <w:tcPr>
            <w:tcW w:w="880" w:type="pct"/>
            <w:shd w:val="clear" w:color="auto" w:fill="auto"/>
            <w:vAlign w:val="bottom"/>
          </w:tcPr>
          <w:p w14:paraId="71A9438F" w14:textId="1204EA83" w:rsidR="009223F2" w:rsidRPr="00A06955" w:rsidRDefault="009223F2" w:rsidP="00A06955">
            <w:pPr>
              <w:jc w:val="right"/>
              <w:rPr>
                <w:color w:val="auto"/>
                <w:sz w:val="20"/>
                <w:szCs w:val="20"/>
              </w:rPr>
            </w:pPr>
            <w:r w:rsidRPr="00A06955">
              <w:rPr>
                <w:color w:val="auto"/>
                <w:sz w:val="20"/>
                <w:szCs w:val="20"/>
              </w:rPr>
              <w:t>0–20,000</w:t>
            </w:r>
          </w:p>
        </w:tc>
        <w:tc>
          <w:tcPr>
            <w:tcW w:w="475" w:type="pct"/>
            <w:shd w:val="clear" w:color="auto" w:fill="auto"/>
            <w:vAlign w:val="bottom"/>
          </w:tcPr>
          <w:p w14:paraId="0591CB13" w14:textId="446525F2" w:rsidR="009223F2" w:rsidRPr="009C1D66" w:rsidRDefault="00141057" w:rsidP="00771D81">
            <w:pPr>
              <w:tabs>
                <w:tab w:val="decimal" w:pos="459"/>
              </w:tabs>
              <w:jc w:val="center"/>
              <w:rPr>
                <w:color w:val="auto"/>
                <w:sz w:val="20"/>
                <w:szCs w:val="20"/>
              </w:rPr>
            </w:pPr>
            <w:r w:rsidRPr="009C1D66">
              <w:rPr>
                <w:color w:val="auto"/>
                <w:sz w:val="20"/>
                <w:szCs w:val="20"/>
              </w:rPr>
              <w:t>20</w:t>
            </w:r>
          </w:p>
        </w:tc>
        <w:tc>
          <w:tcPr>
            <w:tcW w:w="475" w:type="pct"/>
            <w:shd w:val="clear" w:color="auto" w:fill="auto"/>
            <w:vAlign w:val="bottom"/>
          </w:tcPr>
          <w:p w14:paraId="452850C6" w14:textId="77777777" w:rsidR="009223F2" w:rsidRPr="009C1D66" w:rsidRDefault="009223F2" w:rsidP="00771D81">
            <w:pPr>
              <w:tabs>
                <w:tab w:val="decimal" w:pos="459"/>
              </w:tabs>
              <w:jc w:val="center"/>
              <w:rPr>
                <w:color w:val="auto"/>
                <w:sz w:val="20"/>
                <w:szCs w:val="20"/>
              </w:rPr>
            </w:pPr>
            <w:r w:rsidRPr="009C1D66">
              <w:rPr>
                <w:color w:val="auto"/>
                <w:sz w:val="20"/>
                <w:szCs w:val="20"/>
              </w:rPr>
              <w:t>11</w:t>
            </w:r>
          </w:p>
        </w:tc>
        <w:tc>
          <w:tcPr>
            <w:tcW w:w="480" w:type="pct"/>
            <w:shd w:val="clear" w:color="auto" w:fill="auto"/>
            <w:vAlign w:val="bottom"/>
          </w:tcPr>
          <w:p w14:paraId="36AF9099" w14:textId="61ACED49" w:rsidR="009223F2" w:rsidRPr="009C1D66" w:rsidRDefault="00141057" w:rsidP="00E17D8F">
            <w:pPr>
              <w:tabs>
                <w:tab w:val="decimal" w:pos="459"/>
              </w:tabs>
              <w:jc w:val="center"/>
              <w:rPr>
                <w:color w:val="auto"/>
                <w:sz w:val="20"/>
                <w:szCs w:val="20"/>
              </w:rPr>
            </w:pPr>
            <w:r w:rsidRPr="009C1D66">
              <w:rPr>
                <w:color w:val="auto"/>
                <w:sz w:val="20"/>
                <w:szCs w:val="20"/>
              </w:rPr>
              <w:t>5</w:t>
            </w:r>
            <w:r w:rsidR="00E17D8F">
              <w:rPr>
                <w:color w:val="auto"/>
                <w:sz w:val="20"/>
                <w:szCs w:val="20"/>
              </w:rPr>
              <w:t>76</w:t>
            </w:r>
          </w:p>
        </w:tc>
        <w:tc>
          <w:tcPr>
            <w:tcW w:w="531" w:type="pct"/>
            <w:shd w:val="clear" w:color="auto" w:fill="auto"/>
            <w:vAlign w:val="bottom"/>
          </w:tcPr>
          <w:p w14:paraId="084B212A" w14:textId="77777777" w:rsidR="009223F2" w:rsidRPr="009C1D66" w:rsidRDefault="009223F2" w:rsidP="00771D81">
            <w:pPr>
              <w:tabs>
                <w:tab w:val="decimal" w:pos="597"/>
              </w:tabs>
              <w:jc w:val="center"/>
              <w:rPr>
                <w:color w:val="auto"/>
                <w:sz w:val="20"/>
                <w:szCs w:val="20"/>
              </w:rPr>
            </w:pPr>
            <w:r w:rsidRPr="009C1D66">
              <w:rPr>
                <w:color w:val="auto"/>
                <w:sz w:val="20"/>
                <w:szCs w:val="20"/>
              </w:rPr>
              <w:t>243</w:t>
            </w:r>
          </w:p>
        </w:tc>
        <w:tc>
          <w:tcPr>
            <w:tcW w:w="533" w:type="pct"/>
            <w:shd w:val="clear" w:color="auto" w:fill="auto"/>
            <w:vAlign w:val="bottom"/>
          </w:tcPr>
          <w:p w14:paraId="45440B18" w14:textId="1D135374" w:rsidR="009223F2" w:rsidRPr="009C1D66" w:rsidRDefault="00E17D8F" w:rsidP="00257261">
            <w:pPr>
              <w:tabs>
                <w:tab w:val="decimal" w:pos="458"/>
              </w:tabs>
              <w:jc w:val="center"/>
              <w:rPr>
                <w:color w:val="auto"/>
                <w:sz w:val="20"/>
                <w:szCs w:val="20"/>
              </w:rPr>
            </w:pPr>
            <w:r>
              <w:rPr>
                <w:color w:val="auto"/>
                <w:sz w:val="20"/>
                <w:szCs w:val="20"/>
              </w:rPr>
              <w:t>596</w:t>
            </w:r>
          </w:p>
        </w:tc>
        <w:tc>
          <w:tcPr>
            <w:tcW w:w="532" w:type="pct"/>
            <w:shd w:val="clear" w:color="auto" w:fill="auto"/>
            <w:vAlign w:val="bottom"/>
          </w:tcPr>
          <w:p w14:paraId="5E6A7275" w14:textId="77777777" w:rsidR="009223F2" w:rsidRPr="009C1D66" w:rsidRDefault="00771D81" w:rsidP="00771D81">
            <w:pPr>
              <w:tabs>
                <w:tab w:val="decimal" w:pos="600"/>
              </w:tabs>
              <w:jc w:val="center"/>
              <w:rPr>
                <w:color w:val="auto"/>
                <w:sz w:val="20"/>
                <w:szCs w:val="20"/>
              </w:rPr>
            </w:pPr>
            <w:r w:rsidRPr="009C1D66">
              <w:rPr>
                <w:color w:val="auto"/>
                <w:sz w:val="20"/>
                <w:szCs w:val="20"/>
              </w:rPr>
              <w:t>254</w:t>
            </w:r>
          </w:p>
        </w:tc>
        <w:tc>
          <w:tcPr>
            <w:tcW w:w="532" w:type="pct"/>
            <w:shd w:val="clear" w:color="auto" w:fill="auto"/>
            <w:vAlign w:val="bottom"/>
          </w:tcPr>
          <w:p w14:paraId="34B5CB12" w14:textId="47B8B401" w:rsidR="009223F2" w:rsidRPr="009C1D66" w:rsidRDefault="00141057" w:rsidP="00E17D8F">
            <w:pPr>
              <w:tabs>
                <w:tab w:val="decimal" w:pos="458"/>
              </w:tabs>
              <w:jc w:val="center"/>
              <w:rPr>
                <w:color w:val="auto"/>
                <w:sz w:val="20"/>
                <w:szCs w:val="20"/>
              </w:rPr>
            </w:pPr>
            <w:r w:rsidRPr="009C1D66">
              <w:rPr>
                <w:color w:val="auto"/>
                <w:sz w:val="20"/>
                <w:szCs w:val="20"/>
              </w:rPr>
              <w:t>5,2</w:t>
            </w:r>
            <w:r w:rsidR="00E17D8F">
              <w:rPr>
                <w:color w:val="auto"/>
                <w:sz w:val="20"/>
                <w:szCs w:val="20"/>
              </w:rPr>
              <w:t>23</w:t>
            </w:r>
          </w:p>
        </w:tc>
        <w:tc>
          <w:tcPr>
            <w:tcW w:w="562" w:type="pct"/>
            <w:shd w:val="clear" w:color="auto" w:fill="auto"/>
            <w:vAlign w:val="bottom"/>
          </w:tcPr>
          <w:p w14:paraId="3D3C3FD7" w14:textId="77777777" w:rsidR="009223F2" w:rsidRPr="009C1D66" w:rsidRDefault="00771D81" w:rsidP="00771D81">
            <w:pPr>
              <w:tabs>
                <w:tab w:val="decimal" w:pos="599"/>
              </w:tabs>
              <w:jc w:val="center"/>
              <w:rPr>
                <w:color w:val="auto"/>
                <w:sz w:val="20"/>
                <w:szCs w:val="20"/>
              </w:rPr>
            </w:pPr>
            <w:r w:rsidRPr="009C1D66">
              <w:rPr>
                <w:color w:val="auto"/>
                <w:sz w:val="20"/>
                <w:szCs w:val="20"/>
              </w:rPr>
              <w:t>1,930</w:t>
            </w:r>
          </w:p>
        </w:tc>
      </w:tr>
      <w:tr w:rsidR="00771D81" w:rsidRPr="00861533" w14:paraId="403C7083" w14:textId="77777777" w:rsidTr="00F3439E">
        <w:trPr>
          <w:trHeight w:val="369"/>
        </w:trPr>
        <w:tc>
          <w:tcPr>
            <w:tcW w:w="880" w:type="pct"/>
            <w:shd w:val="clear" w:color="auto" w:fill="auto"/>
            <w:vAlign w:val="bottom"/>
          </w:tcPr>
          <w:p w14:paraId="39D5A5DF" w14:textId="1FD8EF8A" w:rsidR="009223F2" w:rsidRPr="00A06955" w:rsidRDefault="009223F2" w:rsidP="00A06955">
            <w:pPr>
              <w:jc w:val="right"/>
              <w:rPr>
                <w:color w:val="auto"/>
                <w:sz w:val="20"/>
                <w:szCs w:val="20"/>
              </w:rPr>
            </w:pPr>
            <w:r w:rsidRPr="00A06955">
              <w:rPr>
                <w:color w:val="auto"/>
                <w:sz w:val="20"/>
                <w:szCs w:val="20"/>
              </w:rPr>
              <w:t>20,001–</w:t>
            </w:r>
            <w:r w:rsidR="0074670A" w:rsidRPr="00A06955">
              <w:rPr>
                <w:color w:val="auto"/>
                <w:sz w:val="20"/>
                <w:szCs w:val="20"/>
              </w:rPr>
              <w:t>4</w:t>
            </w:r>
            <w:r w:rsidRPr="00A06955">
              <w:rPr>
                <w:color w:val="auto"/>
                <w:sz w:val="20"/>
                <w:szCs w:val="20"/>
              </w:rPr>
              <w:t>0,000</w:t>
            </w:r>
          </w:p>
        </w:tc>
        <w:tc>
          <w:tcPr>
            <w:tcW w:w="475" w:type="pct"/>
            <w:shd w:val="clear" w:color="auto" w:fill="auto"/>
            <w:vAlign w:val="bottom"/>
          </w:tcPr>
          <w:p w14:paraId="54493D45" w14:textId="15714668" w:rsidR="009223F2" w:rsidRPr="009C1D66" w:rsidRDefault="00141057" w:rsidP="00771D81">
            <w:pPr>
              <w:tabs>
                <w:tab w:val="decimal" w:pos="459"/>
              </w:tabs>
              <w:jc w:val="center"/>
              <w:rPr>
                <w:color w:val="auto"/>
                <w:sz w:val="20"/>
                <w:szCs w:val="20"/>
              </w:rPr>
            </w:pPr>
            <w:r w:rsidRPr="009C1D66">
              <w:rPr>
                <w:color w:val="auto"/>
                <w:sz w:val="20"/>
                <w:szCs w:val="20"/>
              </w:rPr>
              <w:t>2</w:t>
            </w:r>
          </w:p>
        </w:tc>
        <w:tc>
          <w:tcPr>
            <w:tcW w:w="475" w:type="pct"/>
            <w:shd w:val="clear" w:color="auto" w:fill="auto"/>
            <w:vAlign w:val="bottom"/>
          </w:tcPr>
          <w:p w14:paraId="18C05111" w14:textId="77777777" w:rsidR="009223F2" w:rsidRPr="009C1D66" w:rsidRDefault="009223F2" w:rsidP="00771D81">
            <w:pPr>
              <w:tabs>
                <w:tab w:val="decimal" w:pos="459"/>
              </w:tabs>
              <w:jc w:val="center"/>
              <w:rPr>
                <w:color w:val="auto"/>
                <w:sz w:val="20"/>
                <w:szCs w:val="20"/>
              </w:rPr>
            </w:pPr>
            <w:r w:rsidRPr="009C1D66">
              <w:rPr>
                <w:color w:val="auto"/>
                <w:sz w:val="20"/>
                <w:szCs w:val="20"/>
              </w:rPr>
              <w:t>-</w:t>
            </w:r>
          </w:p>
        </w:tc>
        <w:tc>
          <w:tcPr>
            <w:tcW w:w="480" w:type="pct"/>
            <w:shd w:val="clear" w:color="auto" w:fill="auto"/>
            <w:vAlign w:val="bottom"/>
          </w:tcPr>
          <w:p w14:paraId="24F2BA37" w14:textId="2AB08421" w:rsidR="009223F2" w:rsidRPr="009C1D66" w:rsidRDefault="00141057" w:rsidP="00E17D8F">
            <w:pPr>
              <w:tabs>
                <w:tab w:val="decimal" w:pos="459"/>
              </w:tabs>
              <w:jc w:val="center"/>
              <w:rPr>
                <w:color w:val="auto"/>
                <w:sz w:val="20"/>
                <w:szCs w:val="20"/>
              </w:rPr>
            </w:pPr>
            <w:r w:rsidRPr="009C1D66">
              <w:rPr>
                <w:color w:val="auto"/>
                <w:sz w:val="20"/>
                <w:szCs w:val="20"/>
              </w:rPr>
              <w:t>19</w:t>
            </w:r>
            <w:r w:rsidR="00E17D8F">
              <w:rPr>
                <w:color w:val="auto"/>
                <w:sz w:val="20"/>
                <w:szCs w:val="20"/>
              </w:rPr>
              <w:t>0</w:t>
            </w:r>
          </w:p>
        </w:tc>
        <w:tc>
          <w:tcPr>
            <w:tcW w:w="531" w:type="pct"/>
            <w:shd w:val="clear" w:color="auto" w:fill="auto"/>
            <w:vAlign w:val="bottom"/>
          </w:tcPr>
          <w:p w14:paraId="0EDE9CEF" w14:textId="77777777" w:rsidR="009223F2" w:rsidRPr="009C1D66" w:rsidRDefault="009223F2" w:rsidP="00771D81">
            <w:pPr>
              <w:tabs>
                <w:tab w:val="decimal" w:pos="597"/>
              </w:tabs>
              <w:jc w:val="center"/>
              <w:rPr>
                <w:color w:val="auto"/>
                <w:sz w:val="20"/>
                <w:szCs w:val="20"/>
              </w:rPr>
            </w:pPr>
            <w:r w:rsidRPr="009C1D66">
              <w:rPr>
                <w:color w:val="auto"/>
                <w:sz w:val="20"/>
                <w:szCs w:val="20"/>
              </w:rPr>
              <w:t>97</w:t>
            </w:r>
          </w:p>
        </w:tc>
        <w:tc>
          <w:tcPr>
            <w:tcW w:w="533" w:type="pct"/>
            <w:shd w:val="clear" w:color="auto" w:fill="auto"/>
            <w:vAlign w:val="bottom"/>
          </w:tcPr>
          <w:p w14:paraId="0D374535" w14:textId="71896C3B" w:rsidR="009223F2" w:rsidRPr="009C1D66" w:rsidRDefault="00141057" w:rsidP="00E17D8F">
            <w:pPr>
              <w:tabs>
                <w:tab w:val="decimal" w:pos="458"/>
              </w:tabs>
              <w:jc w:val="center"/>
              <w:rPr>
                <w:color w:val="auto"/>
                <w:sz w:val="20"/>
                <w:szCs w:val="20"/>
              </w:rPr>
            </w:pPr>
            <w:r w:rsidRPr="009C1D66">
              <w:rPr>
                <w:color w:val="auto"/>
                <w:sz w:val="20"/>
                <w:szCs w:val="20"/>
              </w:rPr>
              <w:t>19</w:t>
            </w:r>
            <w:r w:rsidR="00E17D8F">
              <w:rPr>
                <w:color w:val="auto"/>
                <w:sz w:val="20"/>
                <w:szCs w:val="20"/>
              </w:rPr>
              <w:t>2</w:t>
            </w:r>
          </w:p>
        </w:tc>
        <w:tc>
          <w:tcPr>
            <w:tcW w:w="532" w:type="pct"/>
            <w:shd w:val="clear" w:color="auto" w:fill="auto"/>
            <w:vAlign w:val="bottom"/>
          </w:tcPr>
          <w:p w14:paraId="1C66C791" w14:textId="77777777" w:rsidR="009223F2" w:rsidRPr="009C1D66" w:rsidRDefault="00771D81" w:rsidP="00771D81">
            <w:pPr>
              <w:tabs>
                <w:tab w:val="decimal" w:pos="600"/>
              </w:tabs>
              <w:jc w:val="center"/>
              <w:rPr>
                <w:color w:val="auto"/>
                <w:sz w:val="20"/>
                <w:szCs w:val="20"/>
              </w:rPr>
            </w:pPr>
            <w:r w:rsidRPr="009C1D66">
              <w:rPr>
                <w:color w:val="auto"/>
                <w:sz w:val="20"/>
                <w:szCs w:val="20"/>
              </w:rPr>
              <w:t>97</w:t>
            </w:r>
          </w:p>
        </w:tc>
        <w:tc>
          <w:tcPr>
            <w:tcW w:w="532" w:type="pct"/>
            <w:shd w:val="clear" w:color="auto" w:fill="auto"/>
            <w:vAlign w:val="bottom"/>
          </w:tcPr>
          <w:p w14:paraId="2E02B9D4" w14:textId="6587BECF" w:rsidR="009223F2" w:rsidRPr="009C1D66" w:rsidRDefault="00141057" w:rsidP="00E17D8F">
            <w:pPr>
              <w:tabs>
                <w:tab w:val="decimal" w:pos="458"/>
              </w:tabs>
              <w:jc w:val="center"/>
              <w:rPr>
                <w:color w:val="auto"/>
                <w:sz w:val="20"/>
                <w:szCs w:val="20"/>
              </w:rPr>
            </w:pPr>
            <w:r w:rsidRPr="009C1D66">
              <w:rPr>
                <w:color w:val="auto"/>
                <w:sz w:val="20"/>
                <w:szCs w:val="20"/>
              </w:rPr>
              <w:t>5,</w:t>
            </w:r>
            <w:r w:rsidR="00E17D8F">
              <w:rPr>
                <w:color w:val="auto"/>
                <w:sz w:val="20"/>
                <w:szCs w:val="20"/>
              </w:rPr>
              <w:t>287</w:t>
            </w:r>
          </w:p>
        </w:tc>
        <w:tc>
          <w:tcPr>
            <w:tcW w:w="562" w:type="pct"/>
            <w:shd w:val="clear" w:color="auto" w:fill="auto"/>
            <w:vAlign w:val="bottom"/>
          </w:tcPr>
          <w:p w14:paraId="399FBDAD" w14:textId="77777777" w:rsidR="009223F2" w:rsidRPr="009C1D66" w:rsidRDefault="00771D81" w:rsidP="00771D81">
            <w:pPr>
              <w:tabs>
                <w:tab w:val="decimal" w:pos="599"/>
              </w:tabs>
              <w:jc w:val="center"/>
              <w:rPr>
                <w:color w:val="auto"/>
                <w:sz w:val="20"/>
                <w:szCs w:val="20"/>
              </w:rPr>
            </w:pPr>
            <w:r w:rsidRPr="009C1D66">
              <w:rPr>
                <w:color w:val="auto"/>
                <w:sz w:val="20"/>
                <w:szCs w:val="20"/>
              </w:rPr>
              <w:t>2,753</w:t>
            </w:r>
          </w:p>
        </w:tc>
      </w:tr>
      <w:tr w:rsidR="00771D81" w:rsidRPr="00861533" w14:paraId="6D1324BC" w14:textId="77777777" w:rsidTr="00F3439E">
        <w:trPr>
          <w:trHeight w:val="369"/>
        </w:trPr>
        <w:tc>
          <w:tcPr>
            <w:tcW w:w="880" w:type="pct"/>
            <w:shd w:val="clear" w:color="auto" w:fill="auto"/>
            <w:vAlign w:val="bottom"/>
          </w:tcPr>
          <w:p w14:paraId="69B5232F" w14:textId="66E6C588" w:rsidR="009223F2" w:rsidRPr="00A06955" w:rsidRDefault="009223F2" w:rsidP="00A06955">
            <w:pPr>
              <w:jc w:val="right"/>
              <w:rPr>
                <w:color w:val="auto"/>
                <w:sz w:val="20"/>
                <w:szCs w:val="20"/>
              </w:rPr>
            </w:pPr>
            <w:r w:rsidRPr="00A06955">
              <w:rPr>
                <w:color w:val="auto"/>
                <w:sz w:val="20"/>
                <w:szCs w:val="20"/>
              </w:rPr>
              <w:t>40,001–60,000</w:t>
            </w:r>
          </w:p>
        </w:tc>
        <w:tc>
          <w:tcPr>
            <w:tcW w:w="475" w:type="pct"/>
            <w:shd w:val="clear" w:color="auto" w:fill="auto"/>
            <w:vAlign w:val="bottom"/>
          </w:tcPr>
          <w:p w14:paraId="6513BADB" w14:textId="77777777" w:rsidR="009223F2" w:rsidRPr="009C1D66" w:rsidRDefault="009223F2" w:rsidP="00771D81">
            <w:pPr>
              <w:tabs>
                <w:tab w:val="decimal" w:pos="459"/>
              </w:tabs>
              <w:jc w:val="center"/>
              <w:rPr>
                <w:color w:val="auto"/>
                <w:sz w:val="20"/>
                <w:szCs w:val="20"/>
              </w:rPr>
            </w:pPr>
            <w:r w:rsidRPr="009C1D66">
              <w:rPr>
                <w:color w:val="auto"/>
                <w:sz w:val="20"/>
                <w:szCs w:val="20"/>
              </w:rPr>
              <w:t>-</w:t>
            </w:r>
          </w:p>
        </w:tc>
        <w:tc>
          <w:tcPr>
            <w:tcW w:w="475" w:type="pct"/>
            <w:shd w:val="clear" w:color="auto" w:fill="auto"/>
            <w:vAlign w:val="bottom"/>
          </w:tcPr>
          <w:p w14:paraId="40F45C45" w14:textId="77777777" w:rsidR="009223F2" w:rsidRPr="009C1D66" w:rsidRDefault="009223F2" w:rsidP="00771D81">
            <w:pPr>
              <w:tabs>
                <w:tab w:val="decimal" w:pos="459"/>
              </w:tabs>
              <w:jc w:val="center"/>
              <w:rPr>
                <w:color w:val="auto"/>
                <w:sz w:val="20"/>
                <w:szCs w:val="20"/>
              </w:rPr>
            </w:pPr>
            <w:r w:rsidRPr="009C1D66">
              <w:rPr>
                <w:color w:val="auto"/>
                <w:sz w:val="20"/>
                <w:szCs w:val="20"/>
              </w:rPr>
              <w:t>-</w:t>
            </w:r>
          </w:p>
        </w:tc>
        <w:tc>
          <w:tcPr>
            <w:tcW w:w="480" w:type="pct"/>
            <w:shd w:val="clear" w:color="auto" w:fill="auto"/>
            <w:vAlign w:val="bottom"/>
          </w:tcPr>
          <w:p w14:paraId="79848E71" w14:textId="0C4ED48A" w:rsidR="009223F2" w:rsidRPr="009C1D66" w:rsidRDefault="00141057" w:rsidP="00771D81">
            <w:pPr>
              <w:tabs>
                <w:tab w:val="decimal" w:pos="459"/>
              </w:tabs>
              <w:jc w:val="center"/>
              <w:rPr>
                <w:color w:val="auto"/>
                <w:sz w:val="20"/>
                <w:szCs w:val="20"/>
              </w:rPr>
            </w:pPr>
            <w:r w:rsidRPr="009C1D66">
              <w:rPr>
                <w:color w:val="auto"/>
                <w:sz w:val="20"/>
                <w:szCs w:val="20"/>
              </w:rPr>
              <w:t>55</w:t>
            </w:r>
          </w:p>
        </w:tc>
        <w:tc>
          <w:tcPr>
            <w:tcW w:w="531" w:type="pct"/>
            <w:shd w:val="clear" w:color="auto" w:fill="auto"/>
            <w:vAlign w:val="bottom"/>
          </w:tcPr>
          <w:p w14:paraId="6D597AE9" w14:textId="77777777" w:rsidR="009223F2" w:rsidRPr="009C1D66" w:rsidRDefault="009223F2" w:rsidP="00771D81">
            <w:pPr>
              <w:tabs>
                <w:tab w:val="decimal" w:pos="597"/>
              </w:tabs>
              <w:jc w:val="center"/>
              <w:rPr>
                <w:color w:val="auto"/>
                <w:sz w:val="20"/>
                <w:szCs w:val="20"/>
              </w:rPr>
            </w:pPr>
            <w:r w:rsidRPr="009C1D66">
              <w:rPr>
                <w:color w:val="auto"/>
                <w:sz w:val="20"/>
                <w:szCs w:val="20"/>
              </w:rPr>
              <w:t>43</w:t>
            </w:r>
          </w:p>
        </w:tc>
        <w:tc>
          <w:tcPr>
            <w:tcW w:w="533" w:type="pct"/>
            <w:shd w:val="clear" w:color="auto" w:fill="auto"/>
            <w:vAlign w:val="bottom"/>
          </w:tcPr>
          <w:p w14:paraId="1CCD3236" w14:textId="473C5CEB" w:rsidR="009223F2" w:rsidRPr="009C1D66" w:rsidRDefault="00141057" w:rsidP="00771D81">
            <w:pPr>
              <w:tabs>
                <w:tab w:val="decimal" w:pos="458"/>
              </w:tabs>
              <w:jc w:val="center"/>
              <w:rPr>
                <w:color w:val="auto"/>
                <w:sz w:val="20"/>
                <w:szCs w:val="20"/>
              </w:rPr>
            </w:pPr>
            <w:r w:rsidRPr="009C1D66">
              <w:rPr>
                <w:color w:val="auto"/>
                <w:sz w:val="20"/>
                <w:szCs w:val="20"/>
              </w:rPr>
              <w:t>55</w:t>
            </w:r>
          </w:p>
        </w:tc>
        <w:tc>
          <w:tcPr>
            <w:tcW w:w="532" w:type="pct"/>
            <w:shd w:val="clear" w:color="auto" w:fill="auto"/>
            <w:vAlign w:val="bottom"/>
          </w:tcPr>
          <w:p w14:paraId="070BF4F2" w14:textId="77777777" w:rsidR="009223F2" w:rsidRPr="009C1D66" w:rsidRDefault="00771D81" w:rsidP="00771D81">
            <w:pPr>
              <w:tabs>
                <w:tab w:val="decimal" w:pos="600"/>
              </w:tabs>
              <w:jc w:val="center"/>
              <w:rPr>
                <w:color w:val="auto"/>
                <w:sz w:val="20"/>
                <w:szCs w:val="20"/>
              </w:rPr>
            </w:pPr>
            <w:r w:rsidRPr="009C1D66">
              <w:rPr>
                <w:color w:val="auto"/>
                <w:sz w:val="20"/>
                <w:szCs w:val="20"/>
              </w:rPr>
              <w:t>43</w:t>
            </w:r>
          </w:p>
        </w:tc>
        <w:tc>
          <w:tcPr>
            <w:tcW w:w="532" w:type="pct"/>
            <w:shd w:val="clear" w:color="auto" w:fill="auto"/>
            <w:vAlign w:val="bottom"/>
          </w:tcPr>
          <w:p w14:paraId="70C0ABA6" w14:textId="71C57258" w:rsidR="009223F2" w:rsidRPr="009C1D66" w:rsidRDefault="00141057" w:rsidP="00771D81">
            <w:pPr>
              <w:tabs>
                <w:tab w:val="decimal" w:pos="458"/>
              </w:tabs>
              <w:jc w:val="center"/>
              <w:rPr>
                <w:color w:val="auto"/>
                <w:sz w:val="20"/>
                <w:szCs w:val="20"/>
              </w:rPr>
            </w:pPr>
            <w:r w:rsidRPr="009C1D66">
              <w:rPr>
                <w:color w:val="auto"/>
                <w:sz w:val="20"/>
                <w:szCs w:val="20"/>
              </w:rPr>
              <w:t>2,611</w:t>
            </w:r>
          </w:p>
        </w:tc>
        <w:tc>
          <w:tcPr>
            <w:tcW w:w="562" w:type="pct"/>
            <w:shd w:val="clear" w:color="auto" w:fill="auto"/>
            <w:vAlign w:val="bottom"/>
          </w:tcPr>
          <w:p w14:paraId="2A85E0F0" w14:textId="77777777" w:rsidR="009223F2" w:rsidRPr="009C1D66" w:rsidRDefault="00771D81" w:rsidP="00771D81">
            <w:pPr>
              <w:tabs>
                <w:tab w:val="decimal" w:pos="599"/>
              </w:tabs>
              <w:jc w:val="center"/>
              <w:rPr>
                <w:color w:val="auto"/>
                <w:sz w:val="20"/>
                <w:szCs w:val="20"/>
              </w:rPr>
            </w:pPr>
            <w:r w:rsidRPr="009C1D66">
              <w:rPr>
                <w:color w:val="auto"/>
                <w:sz w:val="20"/>
                <w:szCs w:val="20"/>
              </w:rPr>
              <w:t>2,060</w:t>
            </w:r>
          </w:p>
        </w:tc>
      </w:tr>
      <w:tr w:rsidR="00771D81" w:rsidRPr="00861533" w14:paraId="0208D24D" w14:textId="77777777" w:rsidTr="00F3439E">
        <w:trPr>
          <w:trHeight w:val="369"/>
        </w:trPr>
        <w:tc>
          <w:tcPr>
            <w:tcW w:w="880" w:type="pct"/>
            <w:shd w:val="clear" w:color="auto" w:fill="auto"/>
            <w:vAlign w:val="bottom"/>
          </w:tcPr>
          <w:p w14:paraId="1275406D" w14:textId="0AAEDD03" w:rsidR="009223F2" w:rsidRPr="00A06955" w:rsidRDefault="009223F2" w:rsidP="00A06955">
            <w:pPr>
              <w:jc w:val="right"/>
              <w:rPr>
                <w:color w:val="auto"/>
                <w:sz w:val="20"/>
                <w:szCs w:val="20"/>
              </w:rPr>
            </w:pPr>
            <w:r w:rsidRPr="00A06955">
              <w:rPr>
                <w:color w:val="auto"/>
                <w:sz w:val="20"/>
                <w:szCs w:val="20"/>
              </w:rPr>
              <w:t>60,001–80,000</w:t>
            </w:r>
          </w:p>
        </w:tc>
        <w:tc>
          <w:tcPr>
            <w:tcW w:w="475" w:type="pct"/>
            <w:shd w:val="clear" w:color="auto" w:fill="auto"/>
            <w:vAlign w:val="bottom"/>
          </w:tcPr>
          <w:p w14:paraId="37356074" w14:textId="77777777" w:rsidR="009223F2" w:rsidRPr="009C1D66" w:rsidRDefault="009223F2" w:rsidP="00771D81">
            <w:pPr>
              <w:tabs>
                <w:tab w:val="decimal" w:pos="459"/>
              </w:tabs>
              <w:jc w:val="center"/>
              <w:rPr>
                <w:color w:val="auto"/>
                <w:sz w:val="20"/>
                <w:szCs w:val="20"/>
              </w:rPr>
            </w:pPr>
            <w:r w:rsidRPr="009C1D66">
              <w:rPr>
                <w:color w:val="auto"/>
                <w:sz w:val="20"/>
                <w:szCs w:val="20"/>
              </w:rPr>
              <w:t>-</w:t>
            </w:r>
          </w:p>
        </w:tc>
        <w:tc>
          <w:tcPr>
            <w:tcW w:w="475" w:type="pct"/>
            <w:shd w:val="clear" w:color="auto" w:fill="auto"/>
            <w:vAlign w:val="bottom"/>
          </w:tcPr>
          <w:p w14:paraId="15C2073A" w14:textId="77777777" w:rsidR="009223F2" w:rsidRPr="009C1D66" w:rsidRDefault="009223F2" w:rsidP="00771D81">
            <w:pPr>
              <w:tabs>
                <w:tab w:val="decimal" w:pos="459"/>
              </w:tabs>
              <w:jc w:val="center"/>
              <w:rPr>
                <w:color w:val="auto"/>
                <w:sz w:val="20"/>
                <w:szCs w:val="20"/>
              </w:rPr>
            </w:pPr>
            <w:r w:rsidRPr="009C1D66">
              <w:rPr>
                <w:color w:val="auto"/>
                <w:sz w:val="20"/>
                <w:szCs w:val="20"/>
              </w:rPr>
              <w:t>-</w:t>
            </w:r>
          </w:p>
        </w:tc>
        <w:tc>
          <w:tcPr>
            <w:tcW w:w="480" w:type="pct"/>
            <w:shd w:val="clear" w:color="auto" w:fill="auto"/>
            <w:vAlign w:val="bottom"/>
          </w:tcPr>
          <w:p w14:paraId="4F9C01AE" w14:textId="3EC0850B" w:rsidR="009223F2" w:rsidRPr="009C1D66" w:rsidRDefault="00141057" w:rsidP="00771D81">
            <w:pPr>
              <w:tabs>
                <w:tab w:val="decimal" w:pos="459"/>
              </w:tabs>
              <w:jc w:val="center"/>
              <w:rPr>
                <w:color w:val="auto"/>
                <w:sz w:val="20"/>
                <w:szCs w:val="20"/>
              </w:rPr>
            </w:pPr>
            <w:r w:rsidRPr="009C1D66">
              <w:rPr>
                <w:color w:val="auto"/>
                <w:sz w:val="20"/>
                <w:szCs w:val="20"/>
              </w:rPr>
              <w:t>48</w:t>
            </w:r>
          </w:p>
        </w:tc>
        <w:tc>
          <w:tcPr>
            <w:tcW w:w="531" w:type="pct"/>
            <w:shd w:val="clear" w:color="auto" w:fill="auto"/>
            <w:vAlign w:val="bottom"/>
          </w:tcPr>
          <w:p w14:paraId="2EF9403C" w14:textId="77777777" w:rsidR="009223F2" w:rsidRPr="009C1D66" w:rsidRDefault="009223F2" w:rsidP="00771D81">
            <w:pPr>
              <w:tabs>
                <w:tab w:val="decimal" w:pos="597"/>
              </w:tabs>
              <w:jc w:val="center"/>
              <w:rPr>
                <w:color w:val="auto"/>
                <w:sz w:val="20"/>
                <w:szCs w:val="20"/>
              </w:rPr>
            </w:pPr>
            <w:r w:rsidRPr="009C1D66">
              <w:rPr>
                <w:color w:val="auto"/>
                <w:sz w:val="20"/>
                <w:szCs w:val="20"/>
              </w:rPr>
              <w:t>9</w:t>
            </w:r>
          </w:p>
        </w:tc>
        <w:tc>
          <w:tcPr>
            <w:tcW w:w="533" w:type="pct"/>
            <w:shd w:val="clear" w:color="auto" w:fill="auto"/>
            <w:vAlign w:val="bottom"/>
          </w:tcPr>
          <w:p w14:paraId="2B221756" w14:textId="7ABCC033" w:rsidR="009223F2" w:rsidRPr="009C1D66" w:rsidRDefault="00141057" w:rsidP="00771D81">
            <w:pPr>
              <w:tabs>
                <w:tab w:val="decimal" w:pos="458"/>
              </w:tabs>
              <w:jc w:val="center"/>
              <w:rPr>
                <w:color w:val="auto"/>
                <w:sz w:val="20"/>
                <w:szCs w:val="20"/>
              </w:rPr>
            </w:pPr>
            <w:r w:rsidRPr="009C1D66">
              <w:rPr>
                <w:color w:val="auto"/>
                <w:sz w:val="20"/>
                <w:szCs w:val="20"/>
              </w:rPr>
              <w:t>48</w:t>
            </w:r>
          </w:p>
        </w:tc>
        <w:tc>
          <w:tcPr>
            <w:tcW w:w="532" w:type="pct"/>
            <w:shd w:val="clear" w:color="auto" w:fill="auto"/>
            <w:vAlign w:val="bottom"/>
          </w:tcPr>
          <w:p w14:paraId="55E61A67" w14:textId="77777777" w:rsidR="009223F2" w:rsidRPr="009C1D66" w:rsidRDefault="00771D81" w:rsidP="00771D81">
            <w:pPr>
              <w:tabs>
                <w:tab w:val="decimal" w:pos="600"/>
              </w:tabs>
              <w:jc w:val="center"/>
              <w:rPr>
                <w:color w:val="auto"/>
                <w:sz w:val="20"/>
                <w:szCs w:val="20"/>
              </w:rPr>
            </w:pPr>
            <w:r w:rsidRPr="009C1D66">
              <w:rPr>
                <w:color w:val="auto"/>
                <w:sz w:val="20"/>
                <w:szCs w:val="20"/>
              </w:rPr>
              <w:t>9</w:t>
            </w:r>
          </w:p>
        </w:tc>
        <w:tc>
          <w:tcPr>
            <w:tcW w:w="532" w:type="pct"/>
            <w:shd w:val="clear" w:color="auto" w:fill="auto"/>
            <w:vAlign w:val="bottom"/>
          </w:tcPr>
          <w:p w14:paraId="778FCB4A" w14:textId="36265020" w:rsidR="009223F2" w:rsidRPr="009C1D66" w:rsidRDefault="00141057" w:rsidP="00771D81">
            <w:pPr>
              <w:tabs>
                <w:tab w:val="decimal" w:pos="458"/>
              </w:tabs>
              <w:jc w:val="center"/>
              <w:rPr>
                <w:color w:val="auto"/>
                <w:sz w:val="20"/>
                <w:szCs w:val="20"/>
              </w:rPr>
            </w:pPr>
            <w:r w:rsidRPr="009C1D66">
              <w:rPr>
                <w:color w:val="auto"/>
                <w:sz w:val="20"/>
                <w:szCs w:val="20"/>
              </w:rPr>
              <w:t>3,266</w:t>
            </w:r>
          </w:p>
        </w:tc>
        <w:tc>
          <w:tcPr>
            <w:tcW w:w="562" w:type="pct"/>
            <w:shd w:val="clear" w:color="auto" w:fill="auto"/>
            <w:vAlign w:val="bottom"/>
          </w:tcPr>
          <w:p w14:paraId="6276C8F9" w14:textId="77777777" w:rsidR="009223F2" w:rsidRPr="009C1D66" w:rsidRDefault="00771D81" w:rsidP="00771D81">
            <w:pPr>
              <w:tabs>
                <w:tab w:val="decimal" w:pos="599"/>
              </w:tabs>
              <w:jc w:val="center"/>
              <w:rPr>
                <w:color w:val="auto"/>
                <w:sz w:val="20"/>
                <w:szCs w:val="20"/>
              </w:rPr>
            </w:pPr>
            <w:r w:rsidRPr="009C1D66">
              <w:rPr>
                <w:color w:val="auto"/>
                <w:sz w:val="20"/>
                <w:szCs w:val="20"/>
              </w:rPr>
              <w:t>644</w:t>
            </w:r>
          </w:p>
        </w:tc>
      </w:tr>
      <w:tr w:rsidR="00771D81" w:rsidRPr="00861533" w14:paraId="46CC2667" w14:textId="77777777" w:rsidTr="00F3439E">
        <w:trPr>
          <w:trHeight w:val="369"/>
        </w:trPr>
        <w:tc>
          <w:tcPr>
            <w:tcW w:w="880" w:type="pct"/>
            <w:shd w:val="clear" w:color="auto" w:fill="auto"/>
            <w:vAlign w:val="bottom"/>
          </w:tcPr>
          <w:p w14:paraId="27787F48" w14:textId="40473344" w:rsidR="009223F2" w:rsidRPr="00A06955" w:rsidRDefault="009223F2" w:rsidP="00A06955">
            <w:pPr>
              <w:jc w:val="right"/>
              <w:rPr>
                <w:color w:val="auto"/>
                <w:sz w:val="20"/>
                <w:szCs w:val="20"/>
              </w:rPr>
            </w:pPr>
            <w:r w:rsidRPr="00A06955">
              <w:rPr>
                <w:color w:val="auto"/>
                <w:sz w:val="20"/>
                <w:szCs w:val="20"/>
              </w:rPr>
              <w:t>80,001–100,000</w:t>
            </w:r>
          </w:p>
        </w:tc>
        <w:tc>
          <w:tcPr>
            <w:tcW w:w="475" w:type="pct"/>
            <w:shd w:val="clear" w:color="auto" w:fill="auto"/>
            <w:vAlign w:val="bottom"/>
          </w:tcPr>
          <w:p w14:paraId="54B7C68C" w14:textId="77777777" w:rsidR="009223F2" w:rsidRPr="009C1D66" w:rsidRDefault="009223F2" w:rsidP="00771D81">
            <w:pPr>
              <w:tabs>
                <w:tab w:val="decimal" w:pos="459"/>
              </w:tabs>
              <w:jc w:val="center"/>
              <w:rPr>
                <w:color w:val="auto"/>
                <w:sz w:val="20"/>
                <w:szCs w:val="20"/>
              </w:rPr>
            </w:pPr>
            <w:r w:rsidRPr="009C1D66">
              <w:rPr>
                <w:color w:val="auto"/>
                <w:sz w:val="20"/>
                <w:szCs w:val="20"/>
              </w:rPr>
              <w:t>-</w:t>
            </w:r>
          </w:p>
        </w:tc>
        <w:tc>
          <w:tcPr>
            <w:tcW w:w="475" w:type="pct"/>
            <w:shd w:val="clear" w:color="auto" w:fill="auto"/>
            <w:vAlign w:val="bottom"/>
          </w:tcPr>
          <w:p w14:paraId="2948CE17" w14:textId="77777777" w:rsidR="009223F2" w:rsidRPr="009C1D66" w:rsidRDefault="009223F2" w:rsidP="00771D81">
            <w:pPr>
              <w:tabs>
                <w:tab w:val="decimal" w:pos="459"/>
              </w:tabs>
              <w:jc w:val="center"/>
              <w:rPr>
                <w:color w:val="auto"/>
                <w:sz w:val="20"/>
                <w:szCs w:val="20"/>
              </w:rPr>
            </w:pPr>
            <w:r w:rsidRPr="009C1D66">
              <w:rPr>
                <w:color w:val="auto"/>
                <w:sz w:val="20"/>
                <w:szCs w:val="20"/>
              </w:rPr>
              <w:t>-</w:t>
            </w:r>
          </w:p>
        </w:tc>
        <w:tc>
          <w:tcPr>
            <w:tcW w:w="480" w:type="pct"/>
            <w:shd w:val="clear" w:color="auto" w:fill="auto"/>
            <w:vAlign w:val="bottom"/>
          </w:tcPr>
          <w:p w14:paraId="69170B0A" w14:textId="76DCAF2B" w:rsidR="009223F2" w:rsidRPr="009C1D66" w:rsidRDefault="00141057" w:rsidP="00771D81">
            <w:pPr>
              <w:tabs>
                <w:tab w:val="decimal" w:pos="459"/>
              </w:tabs>
              <w:jc w:val="center"/>
              <w:rPr>
                <w:color w:val="auto"/>
                <w:sz w:val="20"/>
                <w:szCs w:val="20"/>
              </w:rPr>
            </w:pPr>
            <w:r w:rsidRPr="009C1D66">
              <w:rPr>
                <w:color w:val="auto"/>
                <w:sz w:val="20"/>
                <w:szCs w:val="20"/>
              </w:rPr>
              <w:t>41</w:t>
            </w:r>
          </w:p>
        </w:tc>
        <w:tc>
          <w:tcPr>
            <w:tcW w:w="531" w:type="pct"/>
            <w:shd w:val="clear" w:color="auto" w:fill="auto"/>
            <w:vAlign w:val="bottom"/>
          </w:tcPr>
          <w:p w14:paraId="340F71CC" w14:textId="77777777" w:rsidR="009223F2" w:rsidRPr="009C1D66" w:rsidRDefault="009223F2" w:rsidP="00771D81">
            <w:pPr>
              <w:tabs>
                <w:tab w:val="decimal" w:pos="597"/>
              </w:tabs>
              <w:jc w:val="center"/>
              <w:rPr>
                <w:color w:val="auto"/>
                <w:sz w:val="20"/>
                <w:szCs w:val="20"/>
              </w:rPr>
            </w:pPr>
            <w:r w:rsidRPr="009C1D66">
              <w:rPr>
                <w:color w:val="auto"/>
                <w:sz w:val="20"/>
                <w:szCs w:val="20"/>
              </w:rPr>
              <w:t>14</w:t>
            </w:r>
          </w:p>
        </w:tc>
        <w:tc>
          <w:tcPr>
            <w:tcW w:w="533" w:type="pct"/>
            <w:shd w:val="clear" w:color="auto" w:fill="auto"/>
            <w:vAlign w:val="bottom"/>
          </w:tcPr>
          <w:p w14:paraId="4F8D7FEB" w14:textId="0B38F2C5" w:rsidR="009223F2" w:rsidRPr="009C1D66" w:rsidRDefault="00141057" w:rsidP="00771D81">
            <w:pPr>
              <w:tabs>
                <w:tab w:val="decimal" w:pos="458"/>
              </w:tabs>
              <w:jc w:val="center"/>
              <w:rPr>
                <w:color w:val="auto"/>
                <w:sz w:val="20"/>
                <w:szCs w:val="20"/>
              </w:rPr>
            </w:pPr>
            <w:r w:rsidRPr="009C1D66">
              <w:rPr>
                <w:color w:val="auto"/>
                <w:sz w:val="20"/>
                <w:szCs w:val="20"/>
              </w:rPr>
              <w:t>41</w:t>
            </w:r>
          </w:p>
        </w:tc>
        <w:tc>
          <w:tcPr>
            <w:tcW w:w="532" w:type="pct"/>
            <w:shd w:val="clear" w:color="auto" w:fill="auto"/>
            <w:vAlign w:val="bottom"/>
          </w:tcPr>
          <w:p w14:paraId="027127ED" w14:textId="77777777" w:rsidR="009223F2" w:rsidRPr="009C1D66" w:rsidRDefault="00771D81" w:rsidP="00771D81">
            <w:pPr>
              <w:tabs>
                <w:tab w:val="decimal" w:pos="600"/>
              </w:tabs>
              <w:jc w:val="center"/>
              <w:rPr>
                <w:color w:val="auto"/>
                <w:sz w:val="20"/>
                <w:szCs w:val="20"/>
              </w:rPr>
            </w:pPr>
            <w:r w:rsidRPr="009C1D66">
              <w:rPr>
                <w:color w:val="auto"/>
                <w:sz w:val="20"/>
                <w:szCs w:val="20"/>
              </w:rPr>
              <w:t>14</w:t>
            </w:r>
          </w:p>
        </w:tc>
        <w:tc>
          <w:tcPr>
            <w:tcW w:w="532" w:type="pct"/>
            <w:shd w:val="clear" w:color="auto" w:fill="auto"/>
            <w:vAlign w:val="bottom"/>
          </w:tcPr>
          <w:p w14:paraId="4A156280" w14:textId="22C623A5" w:rsidR="009223F2" w:rsidRPr="009C1D66" w:rsidRDefault="00141057" w:rsidP="00771D81">
            <w:pPr>
              <w:tabs>
                <w:tab w:val="decimal" w:pos="458"/>
              </w:tabs>
              <w:jc w:val="center"/>
              <w:rPr>
                <w:color w:val="auto"/>
                <w:sz w:val="20"/>
                <w:szCs w:val="20"/>
              </w:rPr>
            </w:pPr>
            <w:r w:rsidRPr="009C1D66">
              <w:rPr>
                <w:color w:val="auto"/>
                <w:sz w:val="20"/>
                <w:szCs w:val="20"/>
              </w:rPr>
              <w:t>3,654</w:t>
            </w:r>
          </w:p>
        </w:tc>
        <w:tc>
          <w:tcPr>
            <w:tcW w:w="562" w:type="pct"/>
            <w:shd w:val="clear" w:color="auto" w:fill="auto"/>
            <w:vAlign w:val="bottom"/>
          </w:tcPr>
          <w:p w14:paraId="31709335" w14:textId="77777777" w:rsidR="009223F2" w:rsidRPr="009C1D66" w:rsidRDefault="00771D81" w:rsidP="00771D81">
            <w:pPr>
              <w:tabs>
                <w:tab w:val="decimal" w:pos="599"/>
              </w:tabs>
              <w:jc w:val="center"/>
              <w:rPr>
                <w:color w:val="auto"/>
                <w:sz w:val="20"/>
                <w:szCs w:val="20"/>
              </w:rPr>
            </w:pPr>
            <w:r w:rsidRPr="009C1D66">
              <w:rPr>
                <w:color w:val="auto"/>
                <w:sz w:val="20"/>
                <w:szCs w:val="20"/>
              </w:rPr>
              <w:t>1,230</w:t>
            </w:r>
          </w:p>
        </w:tc>
      </w:tr>
      <w:tr w:rsidR="00771D81" w:rsidRPr="00861533" w14:paraId="3CE661B9" w14:textId="77777777" w:rsidTr="00F3439E">
        <w:trPr>
          <w:trHeight w:val="369"/>
        </w:trPr>
        <w:tc>
          <w:tcPr>
            <w:tcW w:w="880" w:type="pct"/>
            <w:shd w:val="clear" w:color="auto" w:fill="auto"/>
            <w:vAlign w:val="bottom"/>
          </w:tcPr>
          <w:p w14:paraId="20EA2891" w14:textId="70D87234" w:rsidR="009223F2" w:rsidRPr="00A06955" w:rsidRDefault="009223F2" w:rsidP="00A06955">
            <w:pPr>
              <w:jc w:val="right"/>
              <w:rPr>
                <w:color w:val="auto"/>
                <w:sz w:val="20"/>
                <w:szCs w:val="20"/>
              </w:rPr>
            </w:pPr>
            <w:r w:rsidRPr="00A06955">
              <w:rPr>
                <w:color w:val="auto"/>
                <w:sz w:val="20"/>
                <w:szCs w:val="20"/>
              </w:rPr>
              <w:t>100,001–150,000</w:t>
            </w:r>
          </w:p>
        </w:tc>
        <w:tc>
          <w:tcPr>
            <w:tcW w:w="475" w:type="pct"/>
            <w:shd w:val="clear" w:color="auto" w:fill="auto"/>
            <w:vAlign w:val="bottom"/>
          </w:tcPr>
          <w:p w14:paraId="522312C6" w14:textId="77777777" w:rsidR="009223F2" w:rsidRPr="009C1D66" w:rsidRDefault="009223F2" w:rsidP="00771D81">
            <w:pPr>
              <w:tabs>
                <w:tab w:val="decimal" w:pos="459"/>
              </w:tabs>
              <w:jc w:val="center"/>
              <w:rPr>
                <w:color w:val="auto"/>
                <w:sz w:val="20"/>
                <w:szCs w:val="20"/>
              </w:rPr>
            </w:pPr>
            <w:r w:rsidRPr="009C1D66">
              <w:rPr>
                <w:color w:val="auto"/>
                <w:sz w:val="20"/>
                <w:szCs w:val="20"/>
              </w:rPr>
              <w:t>-</w:t>
            </w:r>
          </w:p>
        </w:tc>
        <w:tc>
          <w:tcPr>
            <w:tcW w:w="475" w:type="pct"/>
            <w:shd w:val="clear" w:color="auto" w:fill="auto"/>
            <w:vAlign w:val="bottom"/>
          </w:tcPr>
          <w:p w14:paraId="26941670" w14:textId="77777777" w:rsidR="009223F2" w:rsidRPr="009C1D66" w:rsidRDefault="009223F2" w:rsidP="00771D81">
            <w:pPr>
              <w:tabs>
                <w:tab w:val="decimal" w:pos="459"/>
              </w:tabs>
              <w:jc w:val="center"/>
              <w:rPr>
                <w:color w:val="auto"/>
                <w:sz w:val="20"/>
                <w:szCs w:val="20"/>
              </w:rPr>
            </w:pPr>
            <w:r w:rsidRPr="009C1D66">
              <w:rPr>
                <w:color w:val="auto"/>
                <w:sz w:val="20"/>
                <w:szCs w:val="20"/>
              </w:rPr>
              <w:t>-</w:t>
            </w:r>
          </w:p>
        </w:tc>
        <w:tc>
          <w:tcPr>
            <w:tcW w:w="480" w:type="pct"/>
            <w:shd w:val="clear" w:color="auto" w:fill="auto"/>
            <w:vAlign w:val="bottom"/>
          </w:tcPr>
          <w:p w14:paraId="1A2D9EBB" w14:textId="26522DA3" w:rsidR="009223F2" w:rsidRPr="009C1D66" w:rsidRDefault="00141057" w:rsidP="00771D81">
            <w:pPr>
              <w:tabs>
                <w:tab w:val="decimal" w:pos="459"/>
              </w:tabs>
              <w:jc w:val="center"/>
              <w:rPr>
                <w:color w:val="auto"/>
                <w:sz w:val="20"/>
                <w:szCs w:val="20"/>
              </w:rPr>
            </w:pPr>
            <w:r w:rsidRPr="009C1D66">
              <w:rPr>
                <w:color w:val="auto"/>
                <w:sz w:val="20"/>
                <w:szCs w:val="20"/>
              </w:rPr>
              <w:t>55</w:t>
            </w:r>
          </w:p>
        </w:tc>
        <w:tc>
          <w:tcPr>
            <w:tcW w:w="531" w:type="pct"/>
            <w:shd w:val="clear" w:color="auto" w:fill="auto"/>
            <w:vAlign w:val="bottom"/>
          </w:tcPr>
          <w:p w14:paraId="632F2FD1" w14:textId="77777777" w:rsidR="009223F2" w:rsidRPr="009C1D66" w:rsidRDefault="009223F2" w:rsidP="00771D81">
            <w:pPr>
              <w:tabs>
                <w:tab w:val="decimal" w:pos="597"/>
              </w:tabs>
              <w:jc w:val="center"/>
              <w:rPr>
                <w:color w:val="auto"/>
                <w:sz w:val="20"/>
                <w:szCs w:val="20"/>
              </w:rPr>
            </w:pPr>
            <w:r w:rsidRPr="009C1D66">
              <w:rPr>
                <w:color w:val="auto"/>
                <w:sz w:val="20"/>
                <w:szCs w:val="20"/>
              </w:rPr>
              <w:t>4</w:t>
            </w:r>
          </w:p>
        </w:tc>
        <w:tc>
          <w:tcPr>
            <w:tcW w:w="533" w:type="pct"/>
            <w:shd w:val="clear" w:color="auto" w:fill="auto"/>
            <w:vAlign w:val="bottom"/>
          </w:tcPr>
          <w:p w14:paraId="244A547F" w14:textId="39AD7EA3" w:rsidR="009223F2" w:rsidRPr="009C1D66" w:rsidRDefault="00141057" w:rsidP="00771D81">
            <w:pPr>
              <w:tabs>
                <w:tab w:val="decimal" w:pos="458"/>
              </w:tabs>
              <w:jc w:val="center"/>
              <w:rPr>
                <w:color w:val="auto"/>
                <w:sz w:val="20"/>
                <w:szCs w:val="20"/>
              </w:rPr>
            </w:pPr>
            <w:r w:rsidRPr="009C1D66">
              <w:rPr>
                <w:color w:val="auto"/>
                <w:sz w:val="20"/>
                <w:szCs w:val="20"/>
              </w:rPr>
              <w:t>55</w:t>
            </w:r>
          </w:p>
        </w:tc>
        <w:tc>
          <w:tcPr>
            <w:tcW w:w="532" w:type="pct"/>
            <w:shd w:val="clear" w:color="auto" w:fill="auto"/>
            <w:vAlign w:val="bottom"/>
          </w:tcPr>
          <w:p w14:paraId="5298515F" w14:textId="77777777" w:rsidR="009223F2" w:rsidRPr="009C1D66" w:rsidRDefault="00771D81" w:rsidP="00771D81">
            <w:pPr>
              <w:tabs>
                <w:tab w:val="decimal" w:pos="600"/>
              </w:tabs>
              <w:jc w:val="center"/>
              <w:rPr>
                <w:color w:val="auto"/>
                <w:sz w:val="20"/>
                <w:szCs w:val="20"/>
              </w:rPr>
            </w:pPr>
            <w:r w:rsidRPr="009C1D66">
              <w:rPr>
                <w:color w:val="auto"/>
                <w:sz w:val="20"/>
                <w:szCs w:val="20"/>
              </w:rPr>
              <w:t>4</w:t>
            </w:r>
          </w:p>
        </w:tc>
        <w:tc>
          <w:tcPr>
            <w:tcW w:w="532" w:type="pct"/>
            <w:shd w:val="clear" w:color="auto" w:fill="auto"/>
            <w:vAlign w:val="bottom"/>
          </w:tcPr>
          <w:p w14:paraId="38767D0F" w14:textId="4FE00470" w:rsidR="009223F2" w:rsidRPr="009C1D66" w:rsidRDefault="00141057" w:rsidP="00771D81">
            <w:pPr>
              <w:tabs>
                <w:tab w:val="decimal" w:pos="458"/>
              </w:tabs>
              <w:jc w:val="center"/>
              <w:rPr>
                <w:color w:val="auto"/>
                <w:sz w:val="20"/>
                <w:szCs w:val="20"/>
              </w:rPr>
            </w:pPr>
            <w:r w:rsidRPr="009C1D66">
              <w:rPr>
                <w:color w:val="auto"/>
                <w:sz w:val="20"/>
                <w:szCs w:val="20"/>
              </w:rPr>
              <w:t>6,684</w:t>
            </w:r>
          </w:p>
        </w:tc>
        <w:tc>
          <w:tcPr>
            <w:tcW w:w="562" w:type="pct"/>
            <w:shd w:val="clear" w:color="auto" w:fill="auto"/>
            <w:vAlign w:val="bottom"/>
          </w:tcPr>
          <w:p w14:paraId="34A8703B" w14:textId="77777777" w:rsidR="009223F2" w:rsidRPr="009C1D66" w:rsidRDefault="00771D81" w:rsidP="00771D81">
            <w:pPr>
              <w:tabs>
                <w:tab w:val="decimal" w:pos="599"/>
              </w:tabs>
              <w:jc w:val="center"/>
              <w:rPr>
                <w:color w:val="auto"/>
                <w:sz w:val="20"/>
                <w:szCs w:val="20"/>
              </w:rPr>
            </w:pPr>
            <w:r w:rsidRPr="009C1D66">
              <w:rPr>
                <w:color w:val="auto"/>
                <w:sz w:val="20"/>
                <w:szCs w:val="20"/>
              </w:rPr>
              <w:t>448</w:t>
            </w:r>
          </w:p>
        </w:tc>
      </w:tr>
      <w:tr w:rsidR="00771D81" w:rsidRPr="00861533" w14:paraId="074A6583" w14:textId="77777777" w:rsidTr="00F3439E">
        <w:trPr>
          <w:trHeight w:val="369"/>
        </w:trPr>
        <w:tc>
          <w:tcPr>
            <w:tcW w:w="880" w:type="pct"/>
            <w:shd w:val="clear" w:color="auto" w:fill="auto"/>
            <w:vAlign w:val="bottom"/>
          </w:tcPr>
          <w:p w14:paraId="6D3FCB53" w14:textId="7A887AB9" w:rsidR="009223F2" w:rsidRPr="00A06955" w:rsidRDefault="009223F2" w:rsidP="00A06955">
            <w:pPr>
              <w:jc w:val="right"/>
              <w:rPr>
                <w:color w:val="auto"/>
                <w:sz w:val="20"/>
                <w:szCs w:val="20"/>
              </w:rPr>
            </w:pPr>
            <w:r w:rsidRPr="00A06955">
              <w:rPr>
                <w:color w:val="auto"/>
                <w:sz w:val="20"/>
                <w:szCs w:val="20"/>
              </w:rPr>
              <w:t>150,001–200,000</w:t>
            </w:r>
          </w:p>
        </w:tc>
        <w:tc>
          <w:tcPr>
            <w:tcW w:w="475" w:type="pct"/>
            <w:shd w:val="clear" w:color="auto" w:fill="auto"/>
            <w:vAlign w:val="bottom"/>
          </w:tcPr>
          <w:p w14:paraId="4368162E" w14:textId="77777777" w:rsidR="009223F2" w:rsidRPr="009C1D66" w:rsidRDefault="009223F2" w:rsidP="00771D81">
            <w:pPr>
              <w:tabs>
                <w:tab w:val="decimal" w:pos="459"/>
              </w:tabs>
              <w:jc w:val="center"/>
              <w:rPr>
                <w:color w:val="auto"/>
                <w:sz w:val="20"/>
                <w:szCs w:val="20"/>
              </w:rPr>
            </w:pPr>
            <w:r w:rsidRPr="009C1D66">
              <w:rPr>
                <w:color w:val="auto"/>
                <w:sz w:val="20"/>
                <w:szCs w:val="20"/>
              </w:rPr>
              <w:t>-</w:t>
            </w:r>
          </w:p>
        </w:tc>
        <w:tc>
          <w:tcPr>
            <w:tcW w:w="475" w:type="pct"/>
            <w:shd w:val="clear" w:color="auto" w:fill="auto"/>
            <w:vAlign w:val="bottom"/>
          </w:tcPr>
          <w:p w14:paraId="0B27B343" w14:textId="77777777" w:rsidR="009223F2" w:rsidRPr="009C1D66" w:rsidRDefault="009223F2" w:rsidP="00771D81">
            <w:pPr>
              <w:tabs>
                <w:tab w:val="decimal" w:pos="459"/>
              </w:tabs>
              <w:jc w:val="center"/>
              <w:rPr>
                <w:color w:val="auto"/>
                <w:sz w:val="20"/>
                <w:szCs w:val="20"/>
              </w:rPr>
            </w:pPr>
            <w:r w:rsidRPr="009C1D66">
              <w:rPr>
                <w:color w:val="auto"/>
                <w:sz w:val="20"/>
                <w:szCs w:val="20"/>
              </w:rPr>
              <w:t>-</w:t>
            </w:r>
          </w:p>
        </w:tc>
        <w:tc>
          <w:tcPr>
            <w:tcW w:w="480" w:type="pct"/>
            <w:shd w:val="clear" w:color="auto" w:fill="auto"/>
            <w:vAlign w:val="bottom"/>
          </w:tcPr>
          <w:p w14:paraId="0D14CEEF" w14:textId="601712A1" w:rsidR="009223F2" w:rsidRPr="009C1D66" w:rsidRDefault="00141057" w:rsidP="00771D81">
            <w:pPr>
              <w:tabs>
                <w:tab w:val="decimal" w:pos="459"/>
              </w:tabs>
              <w:jc w:val="center"/>
              <w:rPr>
                <w:color w:val="auto"/>
                <w:sz w:val="20"/>
                <w:szCs w:val="20"/>
              </w:rPr>
            </w:pPr>
            <w:r w:rsidRPr="009C1D66">
              <w:rPr>
                <w:color w:val="auto"/>
                <w:sz w:val="20"/>
                <w:szCs w:val="20"/>
              </w:rPr>
              <w:t>15</w:t>
            </w:r>
          </w:p>
        </w:tc>
        <w:tc>
          <w:tcPr>
            <w:tcW w:w="531" w:type="pct"/>
            <w:shd w:val="clear" w:color="auto" w:fill="auto"/>
            <w:vAlign w:val="bottom"/>
          </w:tcPr>
          <w:p w14:paraId="72536623" w14:textId="77777777" w:rsidR="009223F2" w:rsidRPr="009C1D66" w:rsidRDefault="009223F2" w:rsidP="00771D81">
            <w:pPr>
              <w:tabs>
                <w:tab w:val="decimal" w:pos="597"/>
              </w:tabs>
              <w:jc w:val="center"/>
              <w:rPr>
                <w:color w:val="auto"/>
                <w:sz w:val="20"/>
                <w:szCs w:val="20"/>
              </w:rPr>
            </w:pPr>
            <w:r w:rsidRPr="009C1D66">
              <w:rPr>
                <w:color w:val="auto"/>
                <w:sz w:val="20"/>
                <w:szCs w:val="20"/>
              </w:rPr>
              <w:t>-</w:t>
            </w:r>
          </w:p>
        </w:tc>
        <w:tc>
          <w:tcPr>
            <w:tcW w:w="533" w:type="pct"/>
            <w:shd w:val="clear" w:color="auto" w:fill="auto"/>
            <w:vAlign w:val="bottom"/>
          </w:tcPr>
          <w:p w14:paraId="04823937" w14:textId="70329170" w:rsidR="009223F2" w:rsidRPr="009C1D66" w:rsidRDefault="00141057" w:rsidP="00771D81">
            <w:pPr>
              <w:tabs>
                <w:tab w:val="decimal" w:pos="458"/>
              </w:tabs>
              <w:jc w:val="center"/>
              <w:rPr>
                <w:color w:val="auto"/>
                <w:sz w:val="20"/>
                <w:szCs w:val="20"/>
              </w:rPr>
            </w:pPr>
            <w:r w:rsidRPr="009C1D66">
              <w:rPr>
                <w:color w:val="auto"/>
                <w:sz w:val="20"/>
                <w:szCs w:val="20"/>
              </w:rPr>
              <w:t>15</w:t>
            </w:r>
          </w:p>
        </w:tc>
        <w:tc>
          <w:tcPr>
            <w:tcW w:w="532" w:type="pct"/>
            <w:shd w:val="clear" w:color="auto" w:fill="auto"/>
            <w:vAlign w:val="bottom"/>
          </w:tcPr>
          <w:p w14:paraId="12D9A70F" w14:textId="77777777" w:rsidR="009223F2" w:rsidRPr="009C1D66" w:rsidRDefault="009223F2" w:rsidP="00771D81">
            <w:pPr>
              <w:tabs>
                <w:tab w:val="decimal" w:pos="600"/>
              </w:tabs>
              <w:jc w:val="center"/>
              <w:rPr>
                <w:color w:val="auto"/>
                <w:sz w:val="20"/>
                <w:szCs w:val="20"/>
              </w:rPr>
            </w:pPr>
            <w:r w:rsidRPr="009C1D66">
              <w:rPr>
                <w:color w:val="auto"/>
                <w:sz w:val="20"/>
                <w:szCs w:val="20"/>
              </w:rPr>
              <w:t>-</w:t>
            </w:r>
          </w:p>
        </w:tc>
        <w:tc>
          <w:tcPr>
            <w:tcW w:w="532" w:type="pct"/>
            <w:shd w:val="clear" w:color="auto" w:fill="auto"/>
            <w:vAlign w:val="bottom"/>
          </w:tcPr>
          <w:p w14:paraId="42EAA724" w14:textId="5F02658E" w:rsidR="009223F2" w:rsidRPr="009C1D66" w:rsidRDefault="00141057" w:rsidP="00771D81">
            <w:pPr>
              <w:tabs>
                <w:tab w:val="decimal" w:pos="458"/>
              </w:tabs>
              <w:jc w:val="center"/>
              <w:rPr>
                <w:color w:val="auto"/>
                <w:sz w:val="20"/>
                <w:szCs w:val="20"/>
              </w:rPr>
            </w:pPr>
            <w:r w:rsidRPr="009C1D66">
              <w:rPr>
                <w:color w:val="auto"/>
                <w:sz w:val="20"/>
                <w:szCs w:val="20"/>
              </w:rPr>
              <w:t>2,496</w:t>
            </w:r>
          </w:p>
        </w:tc>
        <w:tc>
          <w:tcPr>
            <w:tcW w:w="562" w:type="pct"/>
            <w:shd w:val="clear" w:color="auto" w:fill="auto"/>
            <w:vAlign w:val="bottom"/>
          </w:tcPr>
          <w:p w14:paraId="3F1AEEDD" w14:textId="77777777" w:rsidR="009223F2" w:rsidRPr="009C1D66" w:rsidRDefault="009223F2" w:rsidP="00771D81">
            <w:pPr>
              <w:tabs>
                <w:tab w:val="decimal" w:pos="599"/>
              </w:tabs>
              <w:jc w:val="center"/>
              <w:rPr>
                <w:color w:val="auto"/>
                <w:sz w:val="20"/>
                <w:szCs w:val="20"/>
              </w:rPr>
            </w:pPr>
            <w:r w:rsidRPr="009C1D66">
              <w:rPr>
                <w:color w:val="auto"/>
                <w:sz w:val="20"/>
                <w:szCs w:val="20"/>
              </w:rPr>
              <w:t>-</w:t>
            </w:r>
          </w:p>
        </w:tc>
      </w:tr>
      <w:tr w:rsidR="00141057" w:rsidRPr="00861533" w14:paraId="43C4BE0B" w14:textId="77777777" w:rsidTr="00F3439E">
        <w:trPr>
          <w:trHeight w:val="369"/>
        </w:trPr>
        <w:tc>
          <w:tcPr>
            <w:tcW w:w="880" w:type="pct"/>
            <w:shd w:val="clear" w:color="auto" w:fill="auto"/>
            <w:vAlign w:val="bottom"/>
          </w:tcPr>
          <w:p w14:paraId="7306C00E" w14:textId="02F23009" w:rsidR="00141057" w:rsidRPr="00A06955" w:rsidRDefault="00141057" w:rsidP="00A06955">
            <w:pPr>
              <w:jc w:val="right"/>
              <w:rPr>
                <w:color w:val="auto"/>
                <w:sz w:val="20"/>
                <w:szCs w:val="20"/>
              </w:rPr>
            </w:pPr>
            <w:r>
              <w:rPr>
                <w:color w:val="auto"/>
                <w:sz w:val="20"/>
                <w:szCs w:val="20"/>
              </w:rPr>
              <w:t>200,001-250,000</w:t>
            </w:r>
          </w:p>
        </w:tc>
        <w:tc>
          <w:tcPr>
            <w:tcW w:w="475" w:type="pct"/>
            <w:shd w:val="clear" w:color="auto" w:fill="auto"/>
            <w:vAlign w:val="bottom"/>
          </w:tcPr>
          <w:p w14:paraId="6502CD26" w14:textId="202981C5" w:rsidR="00141057" w:rsidRPr="009C1D66" w:rsidRDefault="00141057" w:rsidP="00771D81">
            <w:pPr>
              <w:tabs>
                <w:tab w:val="decimal" w:pos="459"/>
              </w:tabs>
              <w:jc w:val="center"/>
              <w:rPr>
                <w:color w:val="auto"/>
                <w:sz w:val="20"/>
                <w:szCs w:val="20"/>
              </w:rPr>
            </w:pPr>
            <w:r w:rsidRPr="009C1D66">
              <w:rPr>
                <w:color w:val="auto"/>
                <w:sz w:val="20"/>
                <w:szCs w:val="20"/>
              </w:rPr>
              <w:t>-</w:t>
            </w:r>
          </w:p>
        </w:tc>
        <w:tc>
          <w:tcPr>
            <w:tcW w:w="475" w:type="pct"/>
            <w:shd w:val="clear" w:color="auto" w:fill="auto"/>
            <w:vAlign w:val="bottom"/>
          </w:tcPr>
          <w:p w14:paraId="37851295" w14:textId="73641465" w:rsidR="00141057" w:rsidRPr="009C1D66" w:rsidRDefault="00141057" w:rsidP="00771D81">
            <w:pPr>
              <w:tabs>
                <w:tab w:val="decimal" w:pos="459"/>
              </w:tabs>
              <w:jc w:val="center"/>
              <w:rPr>
                <w:color w:val="auto"/>
                <w:sz w:val="20"/>
                <w:szCs w:val="20"/>
              </w:rPr>
            </w:pPr>
            <w:r w:rsidRPr="009C1D66">
              <w:rPr>
                <w:color w:val="auto"/>
                <w:sz w:val="20"/>
                <w:szCs w:val="20"/>
              </w:rPr>
              <w:t>-</w:t>
            </w:r>
          </w:p>
        </w:tc>
        <w:tc>
          <w:tcPr>
            <w:tcW w:w="480" w:type="pct"/>
            <w:shd w:val="clear" w:color="auto" w:fill="auto"/>
            <w:vAlign w:val="bottom"/>
          </w:tcPr>
          <w:p w14:paraId="0726A790" w14:textId="616F4F84" w:rsidR="00141057" w:rsidRPr="009C1D66" w:rsidRDefault="00141057" w:rsidP="00771D81">
            <w:pPr>
              <w:tabs>
                <w:tab w:val="decimal" w:pos="459"/>
              </w:tabs>
              <w:jc w:val="center"/>
              <w:rPr>
                <w:color w:val="auto"/>
                <w:sz w:val="20"/>
                <w:szCs w:val="20"/>
              </w:rPr>
            </w:pPr>
            <w:r w:rsidRPr="009C1D66">
              <w:rPr>
                <w:color w:val="auto"/>
                <w:sz w:val="20"/>
                <w:szCs w:val="20"/>
              </w:rPr>
              <w:t>4</w:t>
            </w:r>
          </w:p>
        </w:tc>
        <w:tc>
          <w:tcPr>
            <w:tcW w:w="531" w:type="pct"/>
            <w:shd w:val="clear" w:color="auto" w:fill="auto"/>
            <w:vAlign w:val="bottom"/>
          </w:tcPr>
          <w:p w14:paraId="70F6F316" w14:textId="064A594B" w:rsidR="00141057" w:rsidRPr="009C1D66" w:rsidRDefault="00141057" w:rsidP="00771D81">
            <w:pPr>
              <w:tabs>
                <w:tab w:val="decimal" w:pos="597"/>
              </w:tabs>
              <w:jc w:val="center"/>
              <w:rPr>
                <w:color w:val="auto"/>
                <w:sz w:val="20"/>
                <w:szCs w:val="20"/>
              </w:rPr>
            </w:pPr>
            <w:r w:rsidRPr="009C1D66">
              <w:rPr>
                <w:color w:val="auto"/>
                <w:sz w:val="20"/>
                <w:szCs w:val="20"/>
              </w:rPr>
              <w:t>-</w:t>
            </w:r>
          </w:p>
        </w:tc>
        <w:tc>
          <w:tcPr>
            <w:tcW w:w="533" w:type="pct"/>
            <w:shd w:val="clear" w:color="auto" w:fill="auto"/>
            <w:vAlign w:val="bottom"/>
          </w:tcPr>
          <w:p w14:paraId="4CD88089" w14:textId="3A25BB43" w:rsidR="00141057" w:rsidRPr="009C1D66" w:rsidRDefault="00141057" w:rsidP="00771D81">
            <w:pPr>
              <w:tabs>
                <w:tab w:val="decimal" w:pos="458"/>
              </w:tabs>
              <w:jc w:val="center"/>
              <w:rPr>
                <w:color w:val="auto"/>
                <w:sz w:val="20"/>
                <w:szCs w:val="20"/>
              </w:rPr>
            </w:pPr>
            <w:r w:rsidRPr="009C1D66">
              <w:rPr>
                <w:color w:val="auto"/>
                <w:sz w:val="20"/>
                <w:szCs w:val="20"/>
              </w:rPr>
              <w:t>4</w:t>
            </w:r>
          </w:p>
        </w:tc>
        <w:tc>
          <w:tcPr>
            <w:tcW w:w="532" w:type="pct"/>
            <w:shd w:val="clear" w:color="auto" w:fill="auto"/>
            <w:vAlign w:val="bottom"/>
          </w:tcPr>
          <w:p w14:paraId="28C7F731" w14:textId="548DB9ED" w:rsidR="00141057" w:rsidRPr="009C1D66" w:rsidRDefault="00141057" w:rsidP="00771D81">
            <w:pPr>
              <w:tabs>
                <w:tab w:val="decimal" w:pos="600"/>
              </w:tabs>
              <w:jc w:val="center"/>
              <w:rPr>
                <w:color w:val="auto"/>
                <w:sz w:val="20"/>
                <w:szCs w:val="20"/>
              </w:rPr>
            </w:pPr>
            <w:r w:rsidRPr="009C1D66">
              <w:rPr>
                <w:color w:val="auto"/>
                <w:sz w:val="20"/>
                <w:szCs w:val="20"/>
              </w:rPr>
              <w:t>-</w:t>
            </w:r>
          </w:p>
        </w:tc>
        <w:tc>
          <w:tcPr>
            <w:tcW w:w="532" w:type="pct"/>
            <w:shd w:val="clear" w:color="auto" w:fill="auto"/>
            <w:vAlign w:val="bottom"/>
          </w:tcPr>
          <w:p w14:paraId="1A62CA1A" w14:textId="182FE0B6" w:rsidR="00141057" w:rsidRPr="009C1D66" w:rsidRDefault="00141057" w:rsidP="00771D81">
            <w:pPr>
              <w:tabs>
                <w:tab w:val="decimal" w:pos="458"/>
              </w:tabs>
              <w:jc w:val="center"/>
              <w:rPr>
                <w:color w:val="auto"/>
                <w:sz w:val="20"/>
                <w:szCs w:val="20"/>
              </w:rPr>
            </w:pPr>
            <w:r w:rsidRPr="009C1D66">
              <w:rPr>
                <w:color w:val="auto"/>
                <w:sz w:val="20"/>
                <w:szCs w:val="20"/>
              </w:rPr>
              <w:t>845</w:t>
            </w:r>
          </w:p>
        </w:tc>
        <w:tc>
          <w:tcPr>
            <w:tcW w:w="562" w:type="pct"/>
            <w:shd w:val="clear" w:color="auto" w:fill="auto"/>
            <w:vAlign w:val="bottom"/>
          </w:tcPr>
          <w:p w14:paraId="5AEFFCDE" w14:textId="7FCC5D09" w:rsidR="00141057" w:rsidRPr="009C1D66" w:rsidRDefault="00141057" w:rsidP="00771D81">
            <w:pPr>
              <w:tabs>
                <w:tab w:val="decimal" w:pos="599"/>
              </w:tabs>
              <w:jc w:val="center"/>
              <w:rPr>
                <w:color w:val="auto"/>
                <w:sz w:val="20"/>
                <w:szCs w:val="20"/>
              </w:rPr>
            </w:pPr>
            <w:r w:rsidRPr="009C1D66">
              <w:rPr>
                <w:color w:val="auto"/>
                <w:sz w:val="20"/>
                <w:szCs w:val="20"/>
              </w:rPr>
              <w:t>-</w:t>
            </w:r>
          </w:p>
        </w:tc>
      </w:tr>
      <w:tr w:rsidR="00141057" w:rsidRPr="00861533" w14:paraId="4A4689DB" w14:textId="77777777" w:rsidTr="00F3439E">
        <w:trPr>
          <w:trHeight w:val="369"/>
        </w:trPr>
        <w:tc>
          <w:tcPr>
            <w:tcW w:w="880" w:type="pct"/>
            <w:shd w:val="clear" w:color="auto" w:fill="auto"/>
            <w:vAlign w:val="bottom"/>
          </w:tcPr>
          <w:p w14:paraId="5B7C8000" w14:textId="5E1A27F1" w:rsidR="00141057" w:rsidRPr="00A06955" w:rsidRDefault="00141057" w:rsidP="00A06955">
            <w:pPr>
              <w:jc w:val="right"/>
              <w:rPr>
                <w:color w:val="auto"/>
                <w:sz w:val="20"/>
                <w:szCs w:val="20"/>
              </w:rPr>
            </w:pPr>
            <w:r>
              <w:rPr>
                <w:color w:val="auto"/>
                <w:sz w:val="20"/>
                <w:szCs w:val="20"/>
              </w:rPr>
              <w:t>250,001-300,000</w:t>
            </w:r>
          </w:p>
        </w:tc>
        <w:tc>
          <w:tcPr>
            <w:tcW w:w="475" w:type="pct"/>
            <w:shd w:val="clear" w:color="auto" w:fill="auto"/>
            <w:vAlign w:val="bottom"/>
          </w:tcPr>
          <w:p w14:paraId="52477603" w14:textId="2C7B2431" w:rsidR="00141057" w:rsidRPr="009C1D66" w:rsidRDefault="00141057" w:rsidP="00771D81">
            <w:pPr>
              <w:tabs>
                <w:tab w:val="decimal" w:pos="459"/>
              </w:tabs>
              <w:jc w:val="center"/>
              <w:rPr>
                <w:color w:val="auto"/>
                <w:sz w:val="20"/>
                <w:szCs w:val="20"/>
              </w:rPr>
            </w:pPr>
            <w:r w:rsidRPr="009C1D66">
              <w:rPr>
                <w:color w:val="auto"/>
                <w:sz w:val="20"/>
                <w:szCs w:val="20"/>
              </w:rPr>
              <w:t>-</w:t>
            </w:r>
          </w:p>
        </w:tc>
        <w:tc>
          <w:tcPr>
            <w:tcW w:w="475" w:type="pct"/>
            <w:shd w:val="clear" w:color="auto" w:fill="auto"/>
            <w:vAlign w:val="bottom"/>
          </w:tcPr>
          <w:p w14:paraId="1A87399E" w14:textId="0B2824E6" w:rsidR="00141057" w:rsidRPr="009C1D66" w:rsidRDefault="00141057" w:rsidP="00771D81">
            <w:pPr>
              <w:tabs>
                <w:tab w:val="decimal" w:pos="459"/>
              </w:tabs>
              <w:jc w:val="center"/>
              <w:rPr>
                <w:color w:val="auto"/>
                <w:sz w:val="20"/>
                <w:szCs w:val="20"/>
              </w:rPr>
            </w:pPr>
            <w:r w:rsidRPr="009C1D66">
              <w:rPr>
                <w:color w:val="auto"/>
                <w:sz w:val="20"/>
                <w:szCs w:val="20"/>
              </w:rPr>
              <w:t>-</w:t>
            </w:r>
          </w:p>
        </w:tc>
        <w:tc>
          <w:tcPr>
            <w:tcW w:w="480" w:type="pct"/>
            <w:shd w:val="clear" w:color="auto" w:fill="auto"/>
            <w:vAlign w:val="bottom"/>
          </w:tcPr>
          <w:p w14:paraId="50BA24C9" w14:textId="1E1C4EC5" w:rsidR="00141057" w:rsidRPr="009C1D66" w:rsidRDefault="00141057" w:rsidP="00771D81">
            <w:pPr>
              <w:tabs>
                <w:tab w:val="decimal" w:pos="459"/>
              </w:tabs>
              <w:jc w:val="center"/>
              <w:rPr>
                <w:color w:val="auto"/>
                <w:sz w:val="20"/>
                <w:szCs w:val="20"/>
              </w:rPr>
            </w:pPr>
            <w:r w:rsidRPr="009C1D66">
              <w:rPr>
                <w:color w:val="auto"/>
                <w:sz w:val="20"/>
                <w:szCs w:val="20"/>
              </w:rPr>
              <w:t>1</w:t>
            </w:r>
          </w:p>
        </w:tc>
        <w:tc>
          <w:tcPr>
            <w:tcW w:w="531" w:type="pct"/>
            <w:shd w:val="clear" w:color="auto" w:fill="auto"/>
            <w:vAlign w:val="bottom"/>
          </w:tcPr>
          <w:p w14:paraId="10220A50" w14:textId="3F068C6C" w:rsidR="00141057" w:rsidRPr="009C1D66" w:rsidRDefault="00141057" w:rsidP="00771D81">
            <w:pPr>
              <w:tabs>
                <w:tab w:val="decimal" w:pos="597"/>
              </w:tabs>
              <w:jc w:val="center"/>
              <w:rPr>
                <w:color w:val="auto"/>
                <w:sz w:val="20"/>
                <w:szCs w:val="20"/>
              </w:rPr>
            </w:pPr>
            <w:r w:rsidRPr="009C1D66">
              <w:rPr>
                <w:color w:val="auto"/>
                <w:sz w:val="20"/>
                <w:szCs w:val="20"/>
              </w:rPr>
              <w:t>-</w:t>
            </w:r>
          </w:p>
        </w:tc>
        <w:tc>
          <w:tcPr>
            <w:tcW w:w="533" w:type="pct"/>
            <w:shd w:val="clear" w:color="auto" w:fill="auto"/>
            <w:vAlign w:val="bottom"/>
          </w:tcPr>
          <w:p w14:paraId="04F269FF" w14:textId="7945CF31" w:rsidR="00141057" w:rsidRPr="009C1D66" w:rsidRDefault="00141057" w:rsidP="00771D81">
            <w:pPr>
              <w:tabs>
                <w:tab w:val="decimal" w:pos="458"/>
              </w:tabs>
              <w:jc w:val="center"/>
              <w:rPr>
                <w:color w:val="auto"/>
                <w:sz w:val="20"/>
                <w:szCs w:val="20"/>
              </w:rPr>
            </w:pPr>
            <w:r w:rsidRPr="009C1D66">
              <w:rPr>
                <w:color w:val="auto"/>
                <w:sz w:val="20"/>
                <w:szCs w:val="20"/>
              </w:rPr>
              <w:t>1</w:t>
            </w:r>
          </w:p>
        </w:tc>
        <w:tc>
          <w:tcPr>
            <w:tcW w:w="532" w:type="pct"/>
            <w:shd w:val="clear" w:color="auto" w:fill="auto"/>
            <w:vAlign w:val="bottom"/>
          </w:tcPr>
          <w:p w14:paraId="62D90153" w14:textId="062A8157" w:rsidR="00141057" w:rsidRPr="009C1D66" w:rsidRDefault="00141057" w:rsidP="00771D81">
            <w:pPr>
              <w:tabs>
                <w:tab w:val="decimal" w:pos="600"/>
              </w:tabs>
              <w:jc w:val="center"/>
              <w:rPr>
                <w:color w:val="auto"/>
                <w:sz w:val="20"/>
                <w:szCs w:val="20"/>
              </w:rPr>
            </w:pPr>
            <w:r w:rsidRPr="009C1D66">
              <w:rPr>
                <w:color w:val="auto"/>
                <w:sz w:val="20"/>
                <w:szCs w:val="20"/>
              </w:rPr>
              <w:t>-</w:t>
            </w:r>
          </w:p>
        </w:tc>
        <w:tc>
          <w:tcPr>
            <w:tcW w:w="532" w:type="pct"/>
            <w:shd w:val="clear" w:color="auto" w:fill="auto"/>
            <w:vAlign w:val="bottom"/>
          </w:tcPr>
          <w:p w14:paraId="3A14B501" w14:textId="27B0A7DF" w:rsidR="00141057" w:rsidRPr="009C1D66" w:rsidRDefault="00141057" w:rsidP="00771D81">
            <w:pPr>
              <w:tabs>
                <w:tab w:val="decimal" w:pos="458"/>
              </w:tabs>
              <w:jc w:val="center"/>
              <w:rPr>
                <w:color w:val="auto"/>
                <w:sz w:val="20"/>
                <w:szCs w:val="20"/>
              </w:rPr>
            </w:pPr>
            <w:r w:rsidRPr="009C1D66">
              <w:rPr>
                <w:color w:val="auto"/>
                <w:sz w:val="20"/>
                <w:szCs w:val="20"/>
              </w:rPr>
              <w:t>258</w:t>
            </w:r>
          </w:p>
        </w:tc>
        <w:tc>
          <w:tcPr>
            <w:tcW w:w="562" w:type="pct"/>
            <w:shd w:val="clear" w:color="auto" w:fill="auto"/>
            <w:vAlign w:val="bottom"/>
          </w:tcPr>
          <w:p w14:paraId="4770B7C3" w14:textId="3F24D181" w:rsidR="00141057" w:rsidRPr="009C1D66" w:rsidRDefault="00141057" w:rsidP="00771D81">
            <w:pPr>
              <w:tabs>
                <w:tab w:val="decimal" w:pos="599"/>
              </w:tabs>
              <w:jc w:val="center"/>
              <w:rPr>
                <w:color w:val="auto"/>
                <w:sz w:val="20"/>
                <w:szCs w:val="20"/>
              </w:rPr>
            </w:pPr>
            <w:r w:rsidRPr="009C1D66">
              <w:rPr>
                <w:color w:val="auto"/>
                <w:sz w:val="20"/>
                <w:szCs w:val="20"/>
              </w:rPr>
              <w:t>-</w:t>
            </w:r>
          </w:p>
        </w:tc>
      </w:tr>
      <w:tr w:rsidR="00141057" w:rsidRPr="00861533" w14:paraId="680A833A" w14:textId="77777777" w:rsidTr="00F3439E">
        <w:trPr>
          <w:trHeight w:val="369"/>
        </w:trPr>
        <w:tc>
          <w:tcPr>
            <w:tcW w:w="880" w:type="pct"/>
            <w:shd w:val="clear" w:color="auto" w:fill="auto"/>
            <w:vAlign w:val="bottom"/>
          </w:tcPr>
          <w:p w14:paraId="39946275" w14:textId="02862440" w:rsidR="00141057" w:rsidRPr="00A06955" w:rsidRDefault="00141057" w:rsidP="00A06955">
            <w:pPr>
              <w:jc w:val="right"/>
              <w:rPr>
                <w:color w:val="auto"/>
                <w:sz w:val="20"/>
                <w:szCs w:val="20"/>
              </w:rPr>
            </w:pPr>
            <w:r>
              <w:rPr>
                <w:color w:val="auto"/>
                <w:sz w:val="20"/>
                <w:szCs w:val="20"/>
              </w:rPr>
              <w:t>400,001-450,000</w:t>
            </w:r>
          </w:p>
        </w:tc>
        <w:tc>
          <w:tcPr>
            <w:tcW w:w="475" w:type="pct"/>
            <w:shd w:val="clear" w:color="auto" w:fill="auto"/>
            <w:vAlign w:val="bottom"/>
          </w:tcPr>
          <w:p w14:paraId="0C91F155" w14:textId="6F294B51" w:rsidR="00141057" w:rsidRPr="009C1D66" w:rsidRDefault="00141057" w:rsidP="00771D81">
            <w:pPr>
              <w:tabs>
                <w:tab w:val="decimal" w:pos="459"/>
              </w:tabs>
              <w:jc w:val="center"/>
              <w:rPr>
                <w:color w:val="auto"/>
                <w:sz w:val="20"/>
                <w:szCs w:val="20"/>
              </w:rPr>
            </w:pPr>
            <w:r w:rsidRPr="009C1D66">
              <w:rPr>
                <w:color w:val="auto"/>
                <w:sz w:val="20"/>
                <w:szCs w:val="20"/>
              </w:rPr>
              <w:t>-</w:t>
            </w:r>
          </w:p>
        </w:tc>
        <w:tc>
          <w:tcPr>
            <w:tcW w:w="475" w:type="pct"/>
            <w:shd w:val="clear" w:color="auto" w:fill="auto"/>
            <w:vAlign w:val="bottom"/>
          </w:tcPr>
          <w:p w14:paraId="55E400A7" w14:textId="1E3B58BE" w:rsidR="00141057" w:rsidRPr="009C1D66" w:rsidRDefault="00141057" w:rsidP="00771D81">
            <w:pPr>
              <w:tabs>
                <w:tab w:val="decimal" w:pos="459"/>
              </w:tabs>
              <w:jc w:val="center"/>
              <w:rPr>
                <w:color w:val="auto"/>
                <w:sz w:val="20"/>
                <w:szCs w:val="20"/>
              </w:rPr>
            </w:pPr>
            <w:r w:rsidRPr="009C1D66">
              <w:rPr>
                <w:color w:val="auto"/>
                <w:sz w:val="20"/>
                <w:szCs w:val="20"/>
              </w:rPr>
              <w:t>-</w:t>
            </w:r>
          </w:p>
        </w:tc>
        <w:tc>
          <w:tcPr>
            <w:tcW w:w="480" w:type="pct"/>
            <w:shd w:val="clear" w:color="auto" w:fill="auto"/>
            <w:vAlign w:val="bottom"/>
          </w:tcPr>
          <w:p w14:paraId="26F9D80B" w14:textId="65C8343B" w:rsidR="00141057" w:rsidRPr="009C1D66" w:rsidRDefault="00141057" w:rsidP="00771D81">
            <w:pPr>
              <w:tabs>
                <w:tab w:val="decimal" w:pos="459"/>
              </w:tabs>
              <w:jc w:val="center"/>
              <w:rPr>
                <w:color w:val="auto"/>
                <w:sz w:val="20"/>
                <w:szCs w:val="20"/>
              </w:rPr>
            </w:pPr>
            <w:r w:rsidRPr="009C1D66">
              <w:rPr>
                <w:color w:val="auto"/>
                <w:sz w:val="20"/>
                <w:szCs w:val="20"/>
              </w:rPr>
              <w:t>1</w:t>
            </w:r>
          </w:p>
        </w:tc>
        <w:tc>
          <w:tcPr>
            <w:tcW w:w="531" w:type="pct"/>
            <w:shd w:val="clear" w:color="auto" w:fill="auto"/>
            <w:vAlign w:val="bottom"/>
          </w:tcPr>
          <w:p w14:paraId="59E1DB83" w14:textId="4C88B903" w:rsidR="00141057" w:rsidRPr="009C1D66" w:rsidRDefault="00141057" w:rsidP="00771D81">
            <w:pPr>
              <w:tabs>
                <w:tab w:val="decimal" w:pos="597"/>
              </w:tabs>
              <w:jc w:val="center"/>
              <w:rPr>
                <w:color w:val="auto"/>
                <w:sz w:val="20"/>
                <w:szCs w:val="20"/>
              </w:rPr>
            </w:pPr>
            <w:r w:rsidRPr="009C1D66">
              <w:rPr>
                <w:color w:val="auto"/>
                <w:sz w:val="20"/>
                <w:szCs w:val="20"/>
              </w:rPr>
              <w:t>-</w:t>
            </w:r>
          </w:p>
        </w:tc>
        <w:tc>
          <w:tcPr>
            <w:tcW w:w="533" w:type="pct"/>
            <w:shd w:val="clear" w:color="auto" w:fill="auto"/>
            <w:vAlign w:val="bottom"/>
          </w:tcPr>
          <w:p w14:paraId="48AF0F4D" w14:textId="342E926A" w:rsidR="00141057" w:rsidRPr="009C1D66" w:rsidRDefault="00141057" w:rsidP="00771D81">
            <w:pPr>
              <w:tabs>
                <w:tab w:val="decimal" w:pos="458"/>
              </w:tabs>
              <w:jc w:val="center"/>
              <w:rPr>
                <w:color w:val="auto"/>
                <w:sz w:val="20"/>
                <w:szCs w:val="20"/>
              </w:rPr>
            </w:pPr>
            <w:r w:rsidRPr="009C1D66">
              <w:rPr>
                <w:color w:val="auto"/>
                <w:sz w:val="20"/>
                <w:szCs w:val="20"/>
              </w:rPr>
              <w:t>1</w:t>
            </w:r>
          </w:p>
        </w:tc>
        <w:tc>
          <w:tcPr>
            <w:tcW w:w="532" w:type="pct"/>
            <w:shd w:val="clear" w:color="auto" w:fill="auto"/>
            <w:vAlign w:val="bottom"/>
          </w:tcPr>
          <w:p w14:paraId="7EEAC739" w14:textId="79B3BCAE" w:rsidR="00141057" w:rsidRPr="009C1D66" w:rsidRDefault="00141057" w:rsidP="00771D81">
            <w:pPr>
              <w:tabs>
                <w:tab w:val="decimal" w:pos="600"/>
              </w:tabs>
              <w:jc w:val="center"/>
              <w:rPr>
                <w:color w:val="auto"/>
                <w:sz w:val="20"/>
                <w:szCs w:val="20"/>
              </w:rPr>
            </w:pPr>
            <w:r w:rsidRPr="009C1D66">
              <w:rPr>
                <w:color w:val="auto"/>
                <w:sz w:val="20"/>
                <w:szCs w:val="20"/>
              </w:rPr>
              <w:t>-</w:t>
            </w:r>
          </w:p>
        </w:tc>
        <w:tc>
          <w:tcPr>
            <w:tcW w:w="532" w:type="pct"/>
            <w:shd w:val="clear" w:color="auto" w:fill="auto"/>
            <w:vAlign w:val="bottom"/>
          </w:tcPr>
          <w:p w14:paraId="0FE9D623" w14:textId="7F5A46AF" w:rsidR="00141057" w:rsidRPr="009C1D66" w:rsidRDefault="00141057" w:rsidP="00771D81">
            <w:pPr>
              <w:tabs>
                <w:tab w:val="decimal" w:pos="458"/>
              </w:tabs>
              <w:jc w:val="center"/>
              <w:rPr>
                <w:color w:val="auto"/>
                <w:sz w:val="20"/>
                <w:szCs w:val="20"/>
              </w:rPr>
            </w:pPr>
            <w:r w:rsidRPr="009C1D66">
              <w:rPr>
                <w:color w:val="auto"/>
                <w:sz w:val="20"/>
                <w:szCs w:val="20"/>
              </w:rPr>
              <w:t>406</w:t>
            </w:r>
          </w:p>
        </w:tc>
        <w:tc>
          <w:tcPr>
            <w:tcW w:w="562" w:type="pct"/>
            <w:shd w:val="clear" w:color="auto" w:fill="auto"/>
            <w:vAlign w:val="bottom"/>
          </w:tcPr>
          <w:p w14:paraId="18C8BD15" w14:textId="4556A1EF" w:rsidR="00141057" w:rsidRPr="009C1D66" w:rsidRDefault="00141057" w:rsidP="00771D81">
            <w:pPr>
              <w:tabs>
                <w:tab w:val="decimal" w:pos="599"/>
              </w:tabs>
              <w:jc w:val="center"/>
              <w:rPr>
                <w:color w:val="auto"/>
                <w:sz w:val="20"/>
                <w:szCs w:val="20"/>
              </w:rPr>
            </w:pPr>
            <w:r w:rsidRPr="009C1D66">
              <w:rPr>
                <w:color w:val="auto"/>
                <w:sz w:val="20"/>
                <w:szCs w:val="20"/>
              </w:rPr>
              <w:t>-</w:t>
            </w:r>
          </w:p>
        </w:tc>
      </w:tr>
      <w:tr w:rsidR="00771D81" w:rsidRPr="00861533" w14:paraId="27A1DA42" w14:textId="77777777" w:rsidTr="00F3439E">
        <w:trPr>
          <w:trHeight w:val="369"/>
        </w:trPr>
        <w:tc>
          <w:tcPr>
            <w:tcW w:w="880" w:type="pct"/>
            <w:shd w:val="clear" w:color="auto" w:fill="auto"/>
            <w:vAlign w:val="bottom"/>
          </w:tcPr>
          <w:p w14:paraId="4C25022B" w14:textId="77777777" w:rsidR="009223F2" w:rsidRPr="00A06955" w:rsidRDefault="009223F2" w:rsidP="009C1D66">
            <w:pPr>
              <w:jc w:val="center"/>
              <w:rPr>
                <w:b/>
                <w:color w:val="auto"/>
                <w:sz w:val="20"/>
                <w:szCs w:val="20"/>
              </w:rPr>
            </w:pPr>
            <w:r w:rsidRPr="00A06955">
              <w:rPr>
                <w:b/>
                <w:color w:val="auto"/>
                <w:sz w:val="20"/>
                <w:szCs w:val="20"/>
              </w:rPr>
              <w:t>Total</w:t>
            </w:r>
          </w:p>
        </w:tc>
        <w:tc>
          <w:tcPr>
            <w:tcW w:w="475" w:type="pct"/>
            <w:shd w:val="clear" w:color="auto" w:fill="auto"/>
            <w:vAlign w:val="bottom"/>
          </w:tcPr>
          <w:p w14:paraId="42D11293" w14:textId="79FED9C4" w:rsidR="009223F2" w:rsidRPr="009C1D66" w:rsidRDefault="00141057" w:rsidP="00771D81">
            <w:pPr>
              <w:tabs>
                <w:tab w:val="decimal" w:pos="459"/>
              </w:tabs>
              <w:jc w:val="center"/>
              <w:rPr>
                <w:b/>
                <w:color w:val="auto"/>
                <w:sz w:val="20"/>
                <w:szCs w:val="20"/>
              </w:rPr>
            </w:pPr>
            <w:r w:rsidRPr="009C1D66">
              <w:rPr>
                <w:b/>
                <w:color w:val="auto"/>
                <w:sz w:val="20"/>
                <w:szCs w:val="20"/>
              </w:rPr>
              <w:t>22</w:t>
            </w:r>
          </w:p>
        </w:tc>
        <w:tc>
          <w:tcPr>
            <w:tcW w:w="475" w:type="pct"/>
            <w:shd w:val="clear" w:color="auto" w:fill="auto"/>
            <w:vAlign w:val="bottom"/>
          </w:tcPr>
          <w:p w14:paraId="69C25AE8" w14:textId="77777777" w:rsidR="009223F2" w:rsidRPr="009C1D66" w:rsidRDefault="009223F2" w:rsidP="00771D81">
            <w:pPr>
              <w:tabs>
                <w:tab w:val="decimal" w:pos="459"/>
              </w:tabs>
              <w:jc w:val="center"/>
              <w:rPr>
                <w:b/>
                <w:color w:val="auto"/>
                <w:sz w:val="20"/>
                <w:szCs w:val="20"/>
              </w:rPr>
            </w:pPr>
            <w:r w:rsidRPr="009C1D66">
              <w:rPr>
                <w:b/>
                <w:color w:val="auto"/>
                <w:sz w:val="20"/>
                <w:szCs w:val="20"/>
              </w:rPr>
              <w:t>11</w:t>
            </w:r>
          </w:p>
        </w:tc>
        <w:tc>
          <w:tcPr>
            <w:tcW w:w="480" w:type="pct"/>
            <w:shd w:val="clear" w:color="auto" w:fill="auto"/>
            <w:vAlign w:val="bottom"/>
          </w:tcPr>
          <w:p w14:paraId="60265763" w14:textId="37A9CCA9" w:rsidR="009223F2" w:rsidRPr="009C1D66" w:rsidRDefault="00257261" w:rsidP="00E17D8F">
            <w:pPr>
              <w:tabs>
                <w:tab w:val="decimal" w:pos="459"/>
              </w:tabs>
              <w:jc w:val="center"/>
              <w:rPr>
                <w:b/>
                <w:color w:val="auto"/>
                <w:sz w:val="20"/>
                <w:szCs w:val="20"/>
              </w:rPr>
            </w:pPr>
            <w:r>
              <w:rPr>
                <w:b/>
                <w:color w:val="auto"/>
                <w:sz w:val="20"/>
                <w:szCs w:val="20"/>
              </w:rPr>
              <w:t>9</w:t>
            </w:r>
            <w:r w:rsidR="00E17D8F">
              <w:rPr>
                <w:b/>
                <w:color w:val="auto"/>
                <w:sz w:val="20"/>
                <w:szCs w:val="20"/>
              </w:rPr>
              <w:t>86</w:t>
            </w:r>
          </w:p>
        </w:tc>
        <w:tc>
          <w:tcPr>
            <w:tcW w:w="531" w:type="pct"/>
            <w:shd w:val="clear" w:color="auto" w:fill="auto"/>
            <w:vAlign w:val="bottom"/>
          </w:tcPr>
          <w:p w14:paraId="39F35A64" w14:textId="77777777" w:rsidR="009223F2" w:rsidRPr="009C1D66" w:rsidRDefault="009223F2" w:rsidP="00771D81">
            <w:pPr>
              <w:tabs>
                <w:tab w:val="decimal" w:pos="597"/>
              </w:tabs>
              <w:jc w:val="center"/>
              <w:rPr>
                <w:b/>
                <w:color w:val="auto"/>
                <w:sz w:val="20"/>
                <w:szCs w:val="20"/>
              </w:rPr>
            </w:pPr>
            <w:r w:rsidRPr="009C1D66">
              <w:rPr>
                <w:b/>
                <w:color w:val="auto"/>
                <w:sz w:val="20"/>
                <w:szCs w:val="20"/>
              </w:rPr>
              <w:t>410</w:t>
            </w:r>
          </w:p>
        </w:tc>
        <w:tc>
          <w:tcPr>
            <w:tcW w:w="533" w:type="pct"/>
            <w:shd w:val="clear" w:color="auto" w:fill="auto"/>
            <w:vAlign w:val="bottom"/>
          </w:tcPr>
          <w:p w14:paraId="47DF779C" w14:textId="7B86CB5E" w:rsidR="009223F2" w:rsidRPr="009C1D66" w:rsidRDefault="00141057" w:rsidP="00E17D8F">
            <w:pPr>
              <w:tabs>
                <w:tab w:val="decimal" w:pos="458"/>
              </w:tabs>
              <w:jc w:val="center"/>
              <w:rPr>
                <w:b/>
                <w:color w:val="auto"/>
                <w:sz w:val="20"/>
                <w:szCs w:val="20"/>
              </w:rPr>
            </w:pPr>
            <w:r w:rsidRPr="009C1D66">
              <w:rPr>
                <w:b/>
                <w:color w:val="auto"/>
                <w:sz w:val="20"/>
                <w:szCs w:val="20"/>
              </w:rPr>
              <w:t>1,0</w:t>
            </w:r>
            <w:r w:rsidR="00E17D8F">
              <w:rPr>
                <w:b/>
                <w:color w:val="auto"/>
                <w:sz w:val="20"/>
                <w:szCs w:val="20"/>
              </w:rPr>
              <w:t>08</w:t>
            </w:r>
          </w:p>
        </w:tc>
        <w:tc>
          <w:tcPr>
            <w:tcW w:w="532" w:type="pct"/>
            <w:shd w:val="clear" w:color="auto" w:fill="auto"/>
            <w:vAlign w:val="bottom"/>
          </w:tcPr>
          <w:p w14:paraId="62FC67DF" w14:textId="77777777" w:rsidR="009223F2" w:rsidRPr="009C1D66" w:rsidRDefault="00771D81" w:rsidP="00771D81">
            <w:pPr>
              <w:tabs>
                <w:tab w:val="decimal" w:pos="600"/>
              </w:tabs>
              <w:jc w:val="center"/>
              <w:rPr>
                <w:b/>
                <w:color w:val="auto"/>
                <w:sz w:val="20"/>
                <w:szCs w:val="20"/>
              </w:rPr>
            </w:pPr>
            <w:r w:rsidRPr="009C1D66">
              <w:rPr>
                <w:b/>
                <w:color w:val="auto"/>
                <w:sz w:val="20"/>
                <w:szCs w:val="20"/>
              </w:rPr>
              <w:t>421</w:t>
            </w:r>
          </w:p>
        </w:tc>
        <w:tc>
          <w:tcPr>
            <w:tcW w:w="532" w:type="pct"/>
            <w:shd w:val="clear" w:color="auto" w:fill="auto"/>
            <w:vAlign w:val="bottom"/>
          </w:tcPr>
          <w:p w14:paraId="0829CBCD" w14:textId="1063BA4B" w:rsidR="009223F2" w:rsidRPr="009C1D66" w:rsidRDefault="00141057" w:rsidP="00E17D8F">
            <w:pPr>
              <w:tabs>
                <w:tab w:val="decimal" w:pos="458"/>
              </w:tabs>
              <w:jc w:val="center"/>
              <w:rPr>
                <w:b/>
                <w:color w:val="auto"/>
                <w:sz w:val="20"/>
                <w:szCs w:val="20"/>
              </w:rPr>
            </w:pPr>
            <w:r w:rsidRPr="009C1D66">
              <w:rPr>
                <w:b/>
                <w:color w:val="auto"/>
                <w:sz w:val="20"/>
                <w:szCs w:val="20"/>
              </w:rPr>
              <w:t>30,</w:t>
            </w:r>
            <w:r w:rsidR="00E17D8F">
              <w:rPr>
                <w:b/>
                <w:color w:val="auto"/>
                <w:sz w:val="20"/>
                <w:szCs w:val="20"/>
              </w:rPr>
              <w:t>730</w:t>
            </w:r>
          </w:p>
        </w:tc>
        <w:tc>
          <w:tcPr>
            <w:tcW w:w="562" w:type="pct"/>
            <w:shd w:val="clear" w:color="auto" w:fill="auto"/>
            <w:vAlign w:val="bottom"/>
          </w:tcPr>
          <w:p w14:paraId="467C3FA1" w14:textId="77777777" w:rsidR="009223F2" w:rsidRPr="009C1D66" w:rsidRDefault="00771D81" w:rsidP="00771D81">
            <w:pPr>
              <w:tabs>
                <w:tab w:val="decimal" w:pos="599"/>
              </w:tabs>
              <w:jc w:val="center"/>
              <w:rPr>
                <w:b/>
                <w:color w:val="auto"/>
                <w:sz w:val="20"/>
                <w:szCs w:val="20"/>
              </w:rPr>
            </w:pPr>
            <w:r w:rsidRPr="009C1D66">
              <w:rPr>
                <w:b/>
                <w:color w:val="auto"/>
                <w:sz w:val="20"/>
                <w:szCs w:val="20"/>
              </w:rPr>
              <w:t>9,065</w:t>
            </w:r>
          </w:p>
        </w:tc>
      </w:tr>
    </w:tbl>
    <w:p w14:paraId="073ED67E" w14:textId="77777777" w:rsidR="00861533" w:rsidRDefault="00861533" w:rsidP="00771D81">
      <w:pPr>
        <w:rPr>
          <w:lang w:eastAsia="en-GB"/>
        </w:rPr>
      </w:pPr>
    </w:p>
    <w:p w14:paraId="10B76250" w14:textId="77777777" w:rsidR="00220AA6" w:rsidRDefault="00220AA6" w:rsidP="00771D81">
      <w:pPr>
        <w:rPr>
          <w:lang w:eastAsia="en-GB"/>
        </w:rPr>
      </w:pPr>
    </w:p>
    <w:p w14:paraId="664355ED" w14:textId="0877F1C4" w:rsidR="00771D81" w:rsidRPr="00A06955" w:rsidRDefault="00CE7A1F" w:rsidP="00CE7A1F">
      <w:pPr>
        <w:pStyle w:val="Heading2"/>
      </w:pPr>
      <w:r w:rsidRPr="00A06955">
        <w:lastRenderedPageBreak/>
        <w:t>19. Private Finance Initi</w:t>
      </w:r>
      <w:r w:rsidR="00246A2C">
        <w:t>ative (PFI) s</w:t>
      </w:r>
      <w:r w:rsidRPr="00A06955">
        <w:t>chemes</w:t>
      </w:r>
    </w:p>
    <w:p w14:paraId="40444E26" w14:textId="77777777" w:rsidR="00CE7A1F" w:rsidRPr="000F6A36" w:rsidRDefault="00EF3750" w:rsidP="00CE7A1F">
      <w:pPr>
        <w:rPr>
          <w:b/>
          <w:lang w:eastAsia="en-GB"/>
        </w:rPr>
      </w:pPr>
      <w:r w:rsidRPr="000F6A36">
        <w:rPr>
          <w:b/>
          <w:lang w:eastAsia="en-GB"/>
        </w:rPr>
        <w:t>Fleetwood Sports College</w:t>
      </w:r>
    </w:p>
    <w:p w14:paraId="1776D49C" w14:textId="2D26BCBF" w:rsidR="00EF3750" w:rsidRPr="000F6A36" w:rsidRDefault="00EF3750" w:rsidP="00EF3750">
      <w:pPr>
        <w:rPr>
          <w:lang w:eastAsia="en-GB"/>
        </w:rPr>
      </w:pPr>
      <w:r w:rsidRPr="000F6A36">
        <w:rPr>
          <w:lang w:eastAsia="en-GB"/>
        </w:rPr>
        <w:t>In 2001 we signed a PFI contract with Fleetwood PPP Limited to build and service a new single site school. Payments made under the contract are performance-related, so deductions are made if parts of the building are not available or if service performance (including caretaking and maintenance) falls below an agreed standard. The estimated capital value of the scheme is £13.4</w:t>
      </w:r>
      <w:r w:rsidR="009E2E9D">
        <w:rPr>
          <w:lang w:eastAsia="en-GB"/>
        </w:rPr>
        <w:t>m</w:t>
      </w:r>
      <w:r w:rsidRPr="000F6A36">
        <w:rPr>
          <w:lang w:eastAsia="en-GB"/>
        </w:rPr>
        <w:t>.</w:t>
      </w:r>
    </w:p>
    <w:p w14:paraId="44C71F1E" w14:textId="77777777" w:rsidR="00EF3750" w:rsidRPr="000F6A36" w:rsidRDefault="00EF3750" w:rsidP="00EF3750">
      <w:pPr>
        <w:rPr>
          <w:lang w:eastAsia="en-GB"/>
        </w:rPr>
      </w:pPr>
      <w:r w:rsidRPr="000F6A36">
        <w:rPr>
          <w:lang w:eastAsia="en-GB"/>
        </w:rPr>
        <w:t>The arrangement runs from September 2002 (when the college opened) to August 2027.</w:t>
      </w:r>
    </w:p>
    <w:p w14:paraId="26018F73" w14:textId="5D665268" w:rsidR="00EF3750" w:rsidRPr="000F6A36" w:rsidRDefault="00EF3750" w:rsidP="00EF3750">
      <w:pPr>
        <w:rPr>
          <w:lang w:eastAsia="en-GB"/>
        </w:rPr>
      </w:pPr>
      <w:r w:rsidRPr="000F6A36">
        <w:rPr>
          <w:lang w:eastAsia="en-GB"/>
        </w:rPr>
        <w:t>The council makes an agreed payment each year which is increased by inflation and can be reduced if the contractor fails to meet the agreed availability and performance standards in any year but is otherwise fixed</w:t>
      </w:r>
      <w:r w:rsidRPr="00DB1F5D">
        <w:rPr>
          <w:lang w:eastAsia="en-GB"/>
        </w:rPr>
        <w:t xml:space="preserve">. An estimate of </w:t>
      </w:r>
      <w:r w:rsidR="008A32DA" w:rsidRPr="008D0533">
        <w:rPr>
          <w:lang w:eastAsia="en-GB"/>
        </w:rPr>
        <w:t>1.1</w:t>
      </w:r>
      <w:r w:rsidRPr="00DB1F5D">
        <w:rPr>
          <w:lang w:eastAsia="en-GB"/>
        </w:rPr>
        <w:t>% is made</w:t>
      </w:r>
      <w:r w:rsidRPr="000F6A36">
        <w:rPr>
          <w:lang w:eastAsia="en-GB"/>
        </w:rPr>
        <w:t xml:space="preserve"> for future inflation within the model.</w:t>
      </w:r>
    </w:p>
    <w:p w14:paraId="24E9088B" w14:textId="397450EC" w:rsidR="00EF3750" w:rsidRPr="000F6A36" w:rsidRDefault="00EF3750" w:rsidP="00EF3750">
      <w:pPr>
        <w:rPr>
          <w:lang w:eastAsia="en-GB"/>
        </w:rPr>
      </w:pPr>
      <w:r w:rsidRPr="000F6A36">
        <w:rPr>
          <w:lang w:eastAsia="en-GB"/>
        </w:rPr>
        <w:t>Payments remaining to be made under the PFI contract at 31 March 2015 (excluding any availability/performance deductions) are as follows: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29"/>
        <w:gridCol w:w="1526"/>
        <w:gridCol w:w="1528"/>
        <w:gridCol w:w="1666"/>
        <w:gridCol w:w="1601"/>
      </w:tblGrid>
      <w:tr w:rsidR="00EF3750" w:rsidRPr="000F6A36" w14:paraId="72DCE969" w14:textId="77777777" w:rsidTr="00A06955">
        <w:trPr>
          <w:trHeight w:val="369"/>
          <w:tblHeader/>
        </w:trPr>
        <w:tc>
          <w:tcPr>
            <w:tcW w:w="1975" w:type="pct"/>
            <w:shd w:val="clear" w:color="auto" w:fill="D0CECE"/>
            <w:vAlign w:val="bottom"/>
          </w:tcPr>
          <w:p w14:paraId="1AF98734" w14:textId="77777777" w:rsidR="00EF3750" w:rsidRPr="000F6A36" w:rsidRDefault="00EF3750" w:rsidP="00730385">
            <w:pPr>
              <w:jc w:val="center"/>
              <w:rPr>
                <w:b/>
                <w:color w:val="auto"/>
                <w:u w:val="single"/>
              </w:rPr>
            </w:pPr>
          </w:p>
        </w:tc>
        <w:tc>
          <w:tcPr>
            <w:tcW w:w="730" w:type="pct"/>
            <w:shd w:val="clear" w:color="auto" w:fill="D0CECE"/>
            <w:vAlign w:val="bottom"/>
          </w:tcPr>
          <w:p w14:paraId="71C48D09" w14:textId="77777777" w:rsidR="00EF3750" w:rsidRPr="000F6A36" w:rsidRDefault="00EF3750" w:rsidP="00730385">
            <w:pPr>
              <w:jc w:val="center"/>
              <w:rPr>
                <w:b/>
                <w:color w:val="auto"/>
              </w:rPr>
            </w:pPr>
            <w:r w:rsidRPr="000F6A36">
              <w:rPr>
                <w:b/>
                <w:color w:val="auto"/>
              </w:rPr>
              <w:t>Payments for Services</w:t>
            </w:r>
          </w:p>
        </w:tc>
        <w:tc>
          <w:tcPr>
            <w:tcW w:w="731" w:type="pct"/>
            <w:shd w:val="clear" w:color="auto" w:fill="D0CECE"/>
            <w:vAlign w:val="bottom"/>
          </w:tcPr>
          <w:p w14:paraId="1C63867C" w14:textId="77777777" w:rsidR="00EF3750" w:rsidRPr="000F6A36" w:rsidRDefault="00EF3750" w:rsidP="00730385">
            <w:pPr>
              <w:jc w:val="center"/>
              <w:rPr>
                <w:b/>
                <w:color w:val="auto"/>
              </w:rPr>
            </w:pPr>
            <w:r w:rsidRPr="000F6A36">
              <w:rPr>
                <w:b/>
                <w:color w:val="auto"/>
              </w:rPr>
              <w:t>Repayment of Liability</w:t>
            </w:r>
          </w:p>
        </w:tc>
        <w:tc>
          <w:tcPr>
            <w:tcW w:w="797" w:type="pct"/>
            <w:shd w:val="clear" w:color="auto" w:fill="D0CECE"/>
            <w:vAlign w:val="bottom"/>
          </w:tcPr>
          <w:p w14:paraId="312B1266" w14:textId="77777777" w:rsidR="00EF3750" w:rsidRPr="000F6A36" w:rsidRDefault="00EF3750" w:rsidP="00730385">
            <w:pPr>
              <w:jc w:val="center"/>
              <w:rPr>
                <w:b/>
                <w:color w:val="auto"/>
              </w:rPr>
            </w:pPr>
            <w:r w:rsidRPr="000F6A36">
              <w:rPr>
                <w:b/>
                <w:color w:val="auto"/>
              </w:rPr>
              <w:t>Interest Charges</w:t>
            </w:r>
          </w:p>
        </w:tc>
        <w:tc>
          <w:tcPr>
            <w:tcW w:w="766" w:type="pct"/>
            <w:shd w:val="clear" w:color="auto" w:fill="D0CECE"/>
            <w:vAlign w:val="bottom"/>
          </w:tcPr>
          <w:p w14:paraId="5C6D943E" w14:textId="77777777" w:rsidR="00EF3750" w:rsidRPr="000F6A36" w:rsidRDefault="00EF3750" w:rsidP="00730385">
            <w:pPr>
              <w:jc w:val="center"/>
              <w:rPr>
                <w:b/>
                <w:color w:val="auto"/>
              </w:rPr>
            </w:pPr>
            <w:r w:rsidRPr="000F6A36">
              <w:rPr>
                <w:b/>
                <w:color w:val="auto"/>
              </w:rPr>
              <w:t>Total Payments Due</w:t>
            </w:r>
          </w:p>
        </w:tc>
      </w:tr>
      <w:tr w:rsidR="00EF3750" w:rsidRPr="000F6A36" w14:paraId="6FA4CB7D" w14:textId="77777777" w:rsidTr="00A06955">
        <w:trPr>
          <w:trHeight w:val="369"/>
          <w:tblHeader/>
        </w:trPr>
        <w:tc>
          <w:tcPr>
            <w:tcW w:w="1975" w:type="pct"/>
            <w:shd w:val="clear" w:color="auto" w:fill="D0CECE"/>
            <w:vAlign w:val="bottom"/>
          </w:tcPr>
          <w:p w14:paraId="1FF347A6" w14:textId="77777777" w:rsidR="00EF3750" w:rsidRPr="000F6A36" w:rsidRDefault="00EF3750" w:rsidP="00730385">
            <w:pPr>
              <w:jc w:val="left"/>
              <w:rPr>
                <w:color w:val="auto"/>
              </w:rPr>
            </w:pPr>
          </w:p>
        </w:tc>
        <w:tc>
          <w:tcPr>
            <w:tcW w:w="730" w:type="pct"/>
            <w:shd w:val="clear" w:color="auto" w:fill="D0CECE"/>
            <w:vAlign w:val="bottom"/>
          </w:tcPr>
          <w:p w14:paraId="5310715D" w14:textId="77777777" w:rsidR="00EF3750" w:rsidRPr="000F6A36" w:rsidRDefault="00EF3750" w:rsidP="00730385">
            <w:pPr>
              <w:jc w:val="center"/>
              <w:rPr>
                <w:b/>
                <w:color w:val="auto"/>
              </w:rPr>
            </w:pPr>
            <w:r w:rsidRPr="000F6A36">
              <w:rPr>
                <w:b/>
                <w:color w:val="auto"/>
              </w:rPr>
              <w:t>£m</w:t>
            </w:r>
          </w:p>
        </w:tc>
        <w:tc>
          <w:tcPr>
            <w:tcW w:w="731" w:type="pct"/>
            <w:shd w:val="clear" w:color="auto" w:fill="D0CECE"/>
            <w:vAlign w:val="bottom"/>
          </w:tcPr>
          <w:p w14:paraId="38D9D042" w14:textId="77777777" w:rsidR="00EF3750" w:rsidRPr="000F6A36" w:rsidRDefault="00EF3750" w:rsidP="00730385">
            <w:pPr>
              <w:jc w:val="center"/>
              <w:rPr>
                <w:b/>
                <w:color w:val="auto"/>
              </w:rPr>
            </w:pPr>
            <w:r w:rsidRPr="000F6A36">
              <w:rPr>
                <w:b/>
                <w:color w:val="auto"/>
              </w:rPr>
              <w:t>£m</w:t>
            </w:r>
          </w:p>
        </w:tc>
        <w:tc>
          <w:tcPr>
            <w:tcW w:w="797" w:type="pct"/>
            <w:shd w:val="clear" w:color="auto" w:fill="D0CECE"/>
            <w:vAlign w:val="bottom"/>
          </w:tcPr>
          <w:p w14:paraId="171734CB" w14:textId="77777777" w:rsidR="00EF3750" w:rsidRPr="000F6A36" w:rsidRDefault="00EF3750" w:rsidP="00730385">
            <w:pPr>
              <w:jc w:val="center"/>
              <w:rPr>
                <w:b/>
                <w:color w:val="auto"/>
              </w:rPr>
            </w:pPr>
            <w:r w:rsidRPr="000F6A36">
              <w:rPr>
                <w:b/>
                <w:color w:val="auto"/>
              </w:rPr>
              <w:t>£m</w:t>
            </w:r>
          </w:p>
        </w:tc>
        <w:tc>
          <w:tcPr>
            <w:tcW w:w="766" w:type="pct"/>
            <w:shd w:val="clear" w:color="auto" w:fill="D0CECE"/>
            <w:vAlign w:val="bottom"/>
          </w:tcPr>
          <w:p w14:paraId="705107CA" w14:textId="77777777" w:rsidR="00EF3750" w:rsidRPr="000F6A36" w:rsidRDefault="00EF3750" w:rsidP="00730385">
            <w:pPr>
              <w:jc w:val="center"/>
              <w:rPr>
                <w:b/>
                <w:color w:val="auto"/>
              </w:rPr>
            </w:pPr>
            <w:r w:rsidRPr="000F6A36">
              <w:rPr>
                <w:b/>
                <w:color w:val="auto"/>
              </w:rPr>
              <w:t>£m</w:t>
            </w:r>
          </w:p>
        </w:tc>
      </w:tr>
      <w:tr w:rsidR="00EF3750" w:rsidRPr="000F6A36" w14:paraId="5C642A72" w14:textId="77777777" w:rsidTr="00250CDF">
        <w:trPr>
          <w:trHeight w:val="369"/>
        </w:trPr>
        <w:tc>
          <w:tcPr>
            <w:tcW w:w="1975" w:type="pct"/>
            <w:shd w:val="clear" w:color="auto" w:fill="auto"/>
            <w:vAlign w:val="bottom"/>
          </w:tcPr>
          <w:p w14:paraId="201F6509" w14:textId="77777777" w:rsidR="00EF3750" w:rsidRPr="000F6A36" w:rsidRDefault="00EF3750" w:rsidP="00EF3750">
            <w:pPr>
              <w:jc w:val="left"/>
              <w:rPr>
                <w:color w:val="auto"/>
              </w:rPr>
            </w:pPr>
            <w:r w:rsidRPr="000F6A36">
              <w:rPr>
                <w:color w:val="auto"/>
              </w:rPr>
              <w:t>Payable in  2015/16</w:t>
            </w:r>
          </w:p>
        </w:tc>
        <w:tc>
          <w:tcPr>
            <w:tcW w:w="730" w:type="pct"/>
            <w:vAlign w:val="bottom"/>
          </w:tcPr>
          <w:p w14:paraId="6F73D006" w14:textId="77777777" w:rsidR="00EF3750" w:rsidRPr="00DB1F5D" w:rsidRDefault="000C0011" w:rsidP="00730385">
            <w:pPr>
              <w:tabs>
                <w:tab w:val="decimal" w:pos="744"/>
              </w:tabs>
              <w:rPr>
                <w:color w:val="auto"/>
              </w:rPr>
            </w:pPr>
            <w:r w:rsidRPr="00DB1F5D">
              <w:rPr>
                <w:color w:val="auto"/>
              </w:rPr>
              <w:t>0.3</w:t>
            </w:r>
          </w:p>
        </w:tc>
        <w:tc>
          <w:tcPr>
            <w:tcW w:w="731" w:type="pct"/>
            <w:vAlign w:val="bottom"/>
          </w:tcPr>
          <w:p w14:paraId="49007A81" w14:textId="77777777" w:rsidR="00EF3750" w:rsidRPr="00DB1F5D" w:rsidRDefault="000C0011" w:rsidP="00250CDF">
            <w:pPr>
              <w:tabs>
                <w:tab w:val="decimal" w:pos="744"/>
              </w:tabs>
              <w:rPr>
                <w:color w:val="auto"/>
              </w:rPr>
            </w:pPr>
            <w:r w:rsidRPr="00DB1F5D">
              <w:rPr>
                <w:color w:val="auto"/>
              </w:rPr>
              <w:t>0.3</w:t>
            </w:r>
          </w:p>
        </w:tc>
        <w:tc>
          <w:tcPr>
            <w:tcW w:w="797" w:type="pct"/>
            <w:shd w:val="clear" w:color="auto" w:fill="auto"/>
            <w:vAlign w:val="bottom"/>
          </w:tcPr>
          <w:p w14:paraId="32687850" w14:textId="77777777" w:rsidR="00EF3750" w:rsidRPr="00DB1F5D" w:rsidRDefault="000C0011" w:rsidP="00730385">
            <w:pPr>
              <w:tabs>
                <w:tab w:val="decimal" w:pos="785"/>
              </w:tabs>
              <w:rPr>
                <w:color w:val="auto"/>
              </w:rPr>
            </w:pPr>
            <w:r w:rsidRPr="00DB1F5D">
              <w:rPr>
                <w:color w:val="auto"/>
              </w:rPr>
              <w:t>1.1</w:t>
            </w:r>
          </w:p>
        </w:tc>
        <w:tc>
          <w:tcPr>
            <w:tcW w:w="766" w:type="pct"/>
            <w:shd w:val="clear" w:color="auto" w:fill="auto"/>
            <w:vAlign w:val="bottom"/>
          </w:tcPr>
          <w:p w14:paraId="6CDC598B" w14:textId="0010FAF6" w:rsidR="00EF3750" w:rsidRPr="00DB1F5D" w:rsidRDefault="00F44077" w:rsidP="00730385">
            <w:pPr>
              <w:tabs>
                <w:tab w:val="decimal" w:pos="743"/>
              </w:tabs>
              <w:rPr>
                <w:color w:val="auto"/>
              </w:rPr>
            </w:pPr>
            <w:r w:rsidRPr="00DB1F5D">
              <w:rPr>
                <w:color w:val="auto"/>
              </w:rPr>
              <w:t>1.7</w:t>
            </w:r>
          </w:p>
        </w:tc>
      </w:tr>
      <w:tr w:rsidR="00EF3750" w:rsidRPr="000F6A36" w14:paraId="78B14F40" w14:textId="77777777" w:rsidTr="00250CDF">
        <w:trPr>
          <w:trHeight w:val="369"/>
        </w:trPr>
        <w:tc>
          <w:tcPr>
            <w:tcW w:w="1975" w:type="pct"/>
            <w:shd w:val="clear" w:color="auto" w:fill="auto"/>
            <w:vAlign w:val="bottom"/>
          </w:tcPr>
          <w:p w14:paraId="09BD487C" w14:textId="77777777" w:rsidR="00EF3750" w:rsidRPr="000F6A36" w:rsidRDefault="00EF3750" w:rsidP="00730385">
            <w:pPr>
              <w:jc w:val="left"/>
              <w:rPr>
                <w:color w:val="auto"/>
              </w:rPr>
            </w:pPr>
            <w:r w:rsidRPr="000F6A36">
              <w:rPr>
                <w:color w:val="auto"/>
              </w:rPr>
              <w:t>Payable within two to five years</w:t>
            </w:r>
          </w:p>
        </w:tc>
        <w:tc>
          <w:tcPr>
            <w:tcW w:w="730" w:type="pct"/>
            <w:vAlign w:val="bottom"/>
          </w:tcPr>
          <w:p w14:paraId="3D927432" w14:textId="3E515237" w:rsidR="00EF3750" w:rsidRPr="00DB1F5D" w:rsidRDefault="000C0011" w:rsidP="00730385">
            <w:pPr>
              <w:tabs>
                <w:tab w:val="decimal" w:pos="744"/>
              </w:tabs>
              <w:rPr>
                <w:color w:val="auto"/>
              </w:rPr>
            </w:pPr>
            <w:r w:rsidRPr="00DB1F5D">
              <w:rPr>
                <w:color w:val="auto"/>
              </w:rPr>
              <w:t>1.</w:t>
            </w:r>
            <w:r w:rsidR="002D1E49" w:rsidRPr="00DB1F5D">
              <w:rPr>
                <w:color w:val="auto"/>
              </w:rPr>
              <w:t>4</w:t>
            </w:r>
          </w:p>
        </w:tc>
        <w:tc>
          <w:tcPr>
            <w:tcW w:w="731" w:type="pct"/>
            <w:vAlign w:val="bottom"/>
          </w:tcPr>
          <w:p w14:paraId="36807004" w14:textId="77777777" w:rsidR="00EF3750" w:rsidRPr="00DB1F5D" w:rsidRDefault="000C0011" w:rsidP="00250CDF">
            <w:pPr>
              <w:tabs>
                <w:tab w:val="decimal" w:pos="744"/>
              </w:tabs>
              <w:rPr>
                <w:color w:val="auto"/>
              </w:rPr>
            </w:pPr>
            <w:r w:rsidRPr="00DB1F5D">
              <w:rPr>
                <w:color w:val="auto"/>
              </w:rPr>
              <w:t>1.8</w:t>
            </w:r>
          </w:p>
        </w:tc>
        <w:tc>
          <w:tcPr>
            <w:tcW w:w="797" w:type="pct"/>
            <w:shd w:val="clear" w:color="auto" w:fill="auto"/>
            <w:vAlign w:val="bottom"/>
          </w:tcPr>
          <w:p w14:paraId="785618B9" w14:textId="50CBD1B6" w:rsidR="00EF3750" w:rsidRPr="00DB1F5D" w:rsidRDefault="000C0011" w:rsidP="00730385">
            <w:pPr>
              <w:tabs>
                <w:tab w:val="decimal" w:pos="785"/>
              </w:tabs>
              <w:rPr>
                <w:color w:val="auto"/>
              </w:rPr>
            </w:pPr>
            <w:r w:rsidRPr="00DB1F5D">
              <w:rPr>
                <w:color w:val="auto"/>
              </w:rPr>
              <w:t>4.</w:t>
            </w:r>
            <w:r w:rsidR="002D1E49" w:rsidRPr="00DB1F5D">
              <w:rPr>
                <w:color w:val="auto"/>
              </w:rPr>
              <w:t>2</w:t>
            </w:r>
          </w:p>
        </w:tc>
        <w:tc>
          <w:tcPr>
            <w:tcW w:w="766" w:type="pct"/>
            <w:shd w:val="clear" w:color="auto" w:fill="auto"/>
            <w:vAlign w:val="bottom"/>
          </w:tcPr>
          <w:p w14:paraId="19FF7828" w14:textId="363902C4" w:rsidR="00EF3750" w:rsidRPr="00DB1F5D" w:rsidRDefault="00F44077" w:rsidP="00730385">
            <w:pPr>
              <w:tabs>
                <w:tab w:val="decimal" w:pos="743"/>
              </w:tabs>
              <w:rPr>
                <w:color w:val="auto"/>
              </w:rPr>
            </w:pPr>
            <w:r w:rsidRPr="00DB1F5D">
              <w:rPr>
                <w:color w:val="auto"/>
              </w:rPr>
              <w:t>7.</w:t>
            </w:r>
            <w:r w:rsidR="002D1E49" w:rsidRPr="00DB1F5D">
              <w:rPr>
                <w:color w:val="auto"/>
              </w:rPr>
              <w:t>4</w:t>
            </w:r>
          </w:p>
        </w:tc>
      </w:tr>
      <w:tr w:rsidR="00EF3750" w:rsidRPr="000F6A36" w14:paraId="33FB6D41" w14:textId="77777777" w:rsidTr="00250CDF">
        <w:trPr>
          <w:trHeight w:val="369"/>
        </w:trPr>
        <w:tc>
          <w:tcPr>
            <w:tcW w:w="1975" w:type="pct"/>
            <w:shd w:val="clear" w:color="auto" w:fill="auto"/>
            <w:vAlign w:val="bottom"/>
          </w:tcPr>
          <w:p w14:paraId="453A3758" w14:textId="77777777" w:rsidR="00EF3750" w:rsidRPr="000F6A36" w:rsidRDefault="00EF3750" w:rsidP="00730385">
            <w:pPr>
              <w:jc w:val="left"/>
              <w:rPr>
                <w:color w:val="auto"/>
              </w:rPr>
            </w:pPr>
            <w:r w:rsidRPr="000F6A36">
              <w:rPr>
                <w:color w:val="auto"/>
              </w:rPr>
              <w:lastRenderedPageBreak/>
              <w:t>Payable within six to ten years</w:t>
            </w:r>
          </w:p>
        </w:tc>
        <w:tc>
          <w:tcPr>
            <w:tcW w:w="730" w:type="pct"/>
            <w:vAlign w:val="bottom"/>
          </w:tcPr>
          <w:p w14:paraId="656A16CA" w14:textId="77777777" w:rsidR="00EF3750" w:rsidRPr="00DB1F5D" w:rsidRDefault="000F6A36" w:rsidP="00730385">
            <w:pPr>
              <w:tabs>
                <w:tab w:val="decimal" w:pos="744"/>
              </w:tabs>
              <w:rPr>
                <w:color w:val="auto"/>
              </w:rPr>
            </w:pPr>
            <w:r w:rsidRPr="00DB1F5D">
              <w:rPr>
                <w:color w:val="auto"/>
              </w:rPr>
              <w:t>1.7</w:t>
            </w:r>
          </w:p>
        </w:tc>
        <w:tc>
          <w:tcPr>
            <w:tcW w:w="731" w:type="pct"/>
            <w:vAlign w:val="bottom"/>
          </w:tcPr>
          <w:p w14:paraId="31F92BD6" w14:textId="77777777" w:rsidR="00EF3750" w:rsidRPr="00DB1F5D" w:rsidRDefault="000F6A36" w:rsidP="00250CDF">
            <w:pPr>
              <w:tabs>
                <w:tab w:val="decimal" w:pos="744"/>
              </w:tabs>
              <w:rPr>
                <w:color w:val="auto"/>
              </w:rPr>
            </w:pPr>
            <w:r w:rsidRPr="00DB1F5D">
              <w:rPr>
                <w:color w:val="auto"/>
              </w:rPr>
              <w:t>3.8</w:t>
            </w:r>
          </w:p>
        </w:tc>
        <w:tc>
          <w:tcPr>
            <w:tcW w:w="797" w:type="pct"/>
            <w:shd w:val="clear" w:color="auto" w:fill="auto"/>
            <w:vAlign w:val="bottom"/>
          </w:tcPr>
          <w:p w14:paraId="3F136C29" w14:textId="442BF644" w:rsidR="00EF3750" w:rsidRPr="00DB1F5D" w:rsidRDefault="002D1E49" w:rsidP="00730385">
            <w:pPr>
              <w:tabs>
                <w:tab w:val="decimal" w:pos="785"/>
              </w:tabs>
              <w:rPr>
                <w:color w:val="auto"/>
              </w:rPr>
            </w:pPr>
            <w:r w:rsidRPr="00DB1F5D">
              <w:rPr>
                <w:color w:val="auto"/>
              </w:rPr>
              <w:t>4.3</w:t>
            </w:r>
          </w:p>
        </w:tc>
        <w:tc>
          <w:tcPr>
            <w:tcW w:w="766" w:type="pct"/>
            <w:shd w:val="clear" w:color="auto" w:fill="auto"/>
            <w:vAlign w:val="bottom"/>
          </w:tcPr>
          <w:p w14:paraId="67293C4E" w14:textId="6593591B" w:rsidR="00EF3750" w:rsidRPr="00DB1F5D" w:rsidRDefault="00F44077" w:rsidP="008559AD">
            <w:pPr>
              <w:tabs>
                <w:tab w:val="decimal" w:pos="743"/>
              </w:tabs>
              <w:rPr>
                <w:color w:val="auto"/>
              </w:rPr>
            </w:pPr>
            <w:r w:rsidRPr="00DB1F5D">
              <w:rPr>
                <w:color w:val="auto"/>
              </w:rPr>
              <w:t>9.</w:t>
            </w:r>
            <w:r w:rsidR="008A32DA" w:rsidRPr="00DB1F5D">
              <w:rPr>
                <w:color w:val="auto"/>
              </w:rPr>
              <w:t>8</w:t>
            </w:r>
          </w:p>
        </w:tc>
      </w:tr>
      <w:tr w:rsidR="00EF3750" w:rsidRPr="000F6A36" w14:paraId="2BBB3237" w14:textId="77777777" w:rsidTr="00250CDF">
        <w:trPr>
          <w:trHeight w:val="369"/>
        </w:trPr>
        <w:tc>
          <w:tcPr>
            <w:tcW w:w="1975" w:type="pct"/>
            <w:shd w:val="clear" w:color="auto" w:fill="auto"/>
            <w:vAlign w:val="bottom"/>
          </w:tcPr>
          <w:p w14:paraId="4F9B2630" w14:textId="77777777" w:rsidR="00EF3750" w:rsidRPr="000F6A36" w:rsidRDefault="00EF3750" w:rsidP="00730385">
            <w:pPr>
              <w:jc w:val="left"/>
              <w:rPr>
                <w:color w:val="auto"/>
              </w:rPr>
            </w:pPr>
            <w:r w:rsidRPr="000F6A36">
              <w:rPr>
                <w:color w:val="auto"/>
              </w:rPr>
              <w:t>Payable within eleven to fifteen years</w:t>
            </w:r>
          </w:p>
        </w:tc>
        <w:tc>
          <w:tcPr>
            <w:tcW w:w="730" w:type="pct"/>
            <w:tcBorders>
              <w:bottom w:val="single" w:sz="4" w:space="0" w:color="auto"/>
            </w:tcBorders>
            <w:vAlign w:val="bottom"/>
          </w:tcPr>
          <w:p w14:paraId="0E14D589" w14:textId="60CE48CF" w:rsidR="00EF3750" w:rsidRPr="00DB1F5D" w:rsidRDefault="000C0011" w:rsidP="00730385">
            <w:pPr>
              <w:tabs>
                <w:tab w:val="decimal" w:pos="744"/>
              </w:tabs>
              <w:rPr>
                <w:color w:val="auto"/>
              </w:rPr>
            </w:pPr>
            <w:r w:rsidRPr="00DB1F5D">
              <w:rPr>
                <w:color w:val="auto"/>
              </w:rPr>
              <w:t>1.</w:t>
            </w:r>
            <w:r w:rsidR="008A32DA" w:rsidRPr="00DB1F5D">
              <w:rPr>
                <w:color w:val="auto"/>
              </w:rPr>
              <w:t>4</w:t>
            </w:r>
          </w:p>
        </w:tc>
        <w:tc>
          <w:tcPr>
            <w:tcW w:w="731" w:type="pct"/>
            <w:tcBorders>
              <w:bottom w:val="single" w:sz="4" w:space="0" w:color="auto"/>
            </w:tcBorders>
            <w:vAlign w:val="bottom"/>
          </w:tcPr>
          <w:p w14:paraId="505090EE" w14:textId="77777777" w:rsidR="00EF3750" w:rsidRPr="00DB1F5D" w:rsidRDefault="000C0011" w:rsidP="00250CDF">
            <w:pPr>
              <w:tabs>
                <w:tab w:val="decimal" w:pos="744"/>
              </w:tabs>
              <w:rPr>
                <w:color w:val="auto"/>
              </w:rPr>
            </w:pPr>
            <w:r w:rsidRPr="00DB1F5D">
              <w:rPr>
                <w:color w:val="auto"/>
              </w:rPr>
              <w:t>2.2</w:t>
            </w:r>
          </w:p>
        </w:tc>
        <w:tc>
          <w:tcPr>
            <w:tcW w:w="797" w:type="pct"/>
            <w:tcBorders>
              <w:bottom w:val="single" w:sz="4" w:space="0" w:color="auto"/>
            </w:tcBorders>
            <w:shd w:val="clear" w:color="auto" w:fill="auto"/>
            <w:vAlign w:val="bottom"/>
          </w:tcPr>
          <w:p w14:paraId="3DD4E216" w14:textId="64CC0B88" w:rsidR="00EF3750" w:rsidRPr="00DB1F5D" w:rsidRDefault="000C0011" w:rsidP="00730385">
            <w:pPr>
              <w:tabs>
                <w:tab w:val="decimal" w:pos="785"/>
              </w:tabs>
              <w:rPr>
                <w:color w:val="auto"/>
              </w:rPr>
            </w:pPr>
            <w:r w:rsidRPr="00DB1F5D">
              <w:rPr>
                <w:color w:val="auto"/>
              </w:rPr>
              <w:t>1.</w:t>
            </w:r>
            <w:r w:rsidR="002D1E49" w:rsidRPr="00DB1F5D">
              <w:rPr>
                <w:color w:val="auto"/>
              </w:rPr>
              <w:t>4</w:t>
            </w:r>
          </w:p>
        </w:tc>
        <w:tc>
          <w:tcPr>
            <w:tcW w:w="766" w:type="pct"/>
            <w:tcBorders>
              <w:bottom w:val="single" w:sz="4" w:space="0" w:color="auto"/>
            </w:tcBorders>
            <w:shd w:val="clear" w:color="auto" w:fill="auto"/>
            <w:vAlign w:val="bottom"/>
          </w:tcPr>
          <w:p w14:paraId="2AF247DA" w14:textId="662F472A" w:rsidR="00EF3750" w:rsidRPr="00DB1F5D" w:rsidRDefault="008A32DA" w:rsidP="00730385">
            <w:pPr>
              <w:tabs>
                <w:tab w:val="decimal" w:pos="743"/>
              </w:tabs>
              <w:rPr>
                <w:color w:val="auto"/>
              </w:rPr>
            </w:pPr>
            <w:r w:rsidRPr="00DB1F5D">
              <w:rPr>
                <w:color w:val="auto"/>
              </w:rPr>
              <w:t>5.0</w:t>
            </w:r>
          </w:p>
        </w:tc>
      </w:tr>
      <w:tr w:rsidR="00EF3750" w:rsidRPr="000F6A36" w14:paraId="088F6BA7" w14:textId="77777777" w:rsidTr="00250CDF">
        <w:trPr>
          <w:trHeight w:val="369"/>
        </w:trPr>
        <w:tc>
          <w:tcPr>
            <w:tcW w:w="1975" w:type="pct"/>
            <w:shd w:val="clear" w:color="auto" w:fill="auto"/>
            <w:vAlign w:val="bottom"/>
          </w:tcPr>
          <w:p w14:paraId="47822E6A" w14:textId="77777777" w:rsidR="00EF3750" w:rsidRPr="000F6A36" w:rsidRDefault="00EF3750" w:rsidP="00730385">
            <w:pPr>
              <w:jc w:val="left"/>
              <w:rPr>
                <w:b/>
                <w:color w:val="auto"/>
              </w:rPr>
            </w:pPr>
            <w:r w:rsidRPr="000F6A36">
              <w:rPr>
                <w:b/>
                <w:color w:val="auto"/>
              </w:rPr>
              <w:t>Total</w:t>
            </w:r>
          </w:p>
        </w:tc>
        <w:tc>
          <w:tcPr>
            <w:tcW w:w="730" w:type="pct"/>
            <w:tcBorders>
              <w:top w:val="single" w:sz="4" w:space="0" w:color="auto"/>
            </w:tcBorders>
            <w:vAlign w:val="bottom"/>
          </w:tcPr>
          <w:p w14:paraId="683B6874" w14:textId="3EC9FAF7" w:rsidR="00EF3750" w:rsidRPr="00DB1F5D" w:rsidRDefault="000C0011" w:rsidP="00730385">
            <w:pPr>
              <w:tabs>
                <w:tab w:val="decimal" w:pos="744"/>
              </w:tabs>
              <w:rPr>
                <w:b/>
                <w:color w:val="auto"/>
              </w:rPr>
            </w:pPr>
            <w:r w:rsidRPr="00DB1F5D">
              <w:rPr>
                <w:b/>
                <w:color w:val="auto"/>
              </w:rPr>
              <w:t>4.</w:t>
            </w:r>
            <w:r w:rsidR="008A32DA" w:rsidRPr="00DB1F5D">
              <w:rPr>
                <w:b/>
                <w:color w:val="auto"/>
              </w:rPr>
              <w:t>8</w:t>
            </w:r>
          </w:p>
        </w:tc>
        <w:tc>
          <w:tcPr>
            <w:tcW w:w="731" w:type="pct"/>
            <w:tcBorders>
              <w:top w:val="single" w:sz="4" w:space="0" w:color="auto"/>
            </w:tcBorders>
            <w:vAlign w:val="bottom"/>
          </w:tcPr>
          <w:p w14:paraId="4A232313" w14:textId="77777777" w:rsidR="00EF3750" w:rsidRPr="00DB1F5D" w:rsidRDefault="000C0011" w:rsidP="00250CDF">
            <w:pPr>
              <w:tabs>
                <w:tab w:val="decimal" w:pos="744"/>
              </w:tabs>
              <w:rPr>
                <w:b/>
                <w:color w:val="auto"/>
              </w:rPr>
            </w:pPr>
            <w:r w:rsidRPr="00DB1F5D">
              <w:rPr>
                <w:b/>
                <w:color w:val="auto"/>
              </w:rPr>
              <w:t>8.1</w:t>
            </w:r>
          </w:p>
        </w:tc>
        <w:tc>
          <w:tcPr>
            <w:tcW w:w="797" w:type="pct"/>
            <w:tcBorders>
              <w:top w:val="single" w:sz="4" w:space="0" w:color="auto"/>
            </w:tcBorders>
            <w:shd w:val="clear" w:color="auto" w:fill="auto"/>
            <w:vAlign w:val="bottom"/>
          </w:tcPr>
          <w:p w14:paraId="4105702F" w14:textId="65ADA501" w:rsidR="00EF3750" w:rsidRPr="00DB1F5D" w:rsidRDefault="008A32DA" w:rsidP="00730385">
            <w:pPr>
              <w:tabs>
                <w:tab w:val="decimal" w:pos="785"/>
              </w:tabs>
              <w:rPr>
                <w:b/>
                <w:color w:val="auto"/>
              </w:rPr>
            </w:pPr>
            <w:r w:rsidRPr="00DB1F5D">
              <w:rPr>
                <w:b/>
                <w:color w:val="auto"/>
              </w:rPr>
              <w:t>11.0</w:t>
            </w:r>
          </w:p>
        </w:tc>
        <w:tc>
          <w:tcPr>
            <w:tcW w:w="766" w:type="pct"/>
            <w:tcBorders>
              <w:top w:val="single" w:sz="4" w:space="0" w:color="auto"/>
            </w:tcBorders>
            <w:shd w:val="clear" w:color="auto" w:fill="auto"/>
            <w:vAlign w:val="bottom"/>
          </w:tcPr>
          <w:p w14:paraId="08ADA494" w14:textId="00F7DDED" w:rsidR="00EF3750" w:rsidRPr="00DB1F5D" w:rsidRDefault="008A32DA" w:rsidP="008559AD">
            <w:pPr>
              <w:tabs>
                <w:tab w:val="decimal" w:pos="743"/>
              </w:tabs>
              <w:rPr>
                <w:b/>
                <w:color w:val="auto"/>
              </w:rPr>
            </w:pPr>
            <w:r w:rsidRPr="00DB1F5D">
              <w:rPr>
                <w:b/>
                <w:color w:val="auto"/>
              </w:rPr>
              <w:t>23.9</w:t>
            </w:r>
          </w:p>
        </w:tc>
      </w:tr>
    </w:tbl>
    <w:p w14:paraId="10A7B55F" w14:textId="77777777" w:rsidR="003931E0" w:rsidRDefault="003931E0" w:rsidP="00EF3750">
      <w:pPr>
        <w:rPr>
          <w:lang w:eastAsia="en-GB"/>
        </w:rPr>
      </w:pPr>
    </w:p>
    <w:p w14:paraId="0CE5A6BA" w14:textId="77777777" w:rsidR="003931E0" w:rsidRDefault="003931E0" w:rsidP="00EF3750">
      <w:pPr>
        <w:rPr>
          <w:lang w:eastAsia="en-GB"/>
        </w:rPr>
      </w:pPr>
    </w:p>
    <w:p w14:paraId="04136E8D" w14:textId="77777777" w:rsidR="00250CDF" w:rsidRDefault="00250CDF" w:rsidP="00EF3750">
      <w:pPr>
        <w:rPr>
          <w:lang w:eastAsia="en-GB"/>
        </w:rPr>
      </w:pPr>
      <w:r w:rsidRPr="000F6A36">
        <w:rPr>
          <w:lang w:eastAsia="en-GB"/>
        </w:rPr>
        <w:t>To help finance the scheme we received the following income: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250CDF" w:rsidRPr="00052104" w14:paraId="7045A4F5" w14:textId="77777777" w:rsidTr="00A06955">
        <w:trPr>
          <w:trHeight w:val="369"/>
          <w:tblHeader/>
        </w:trPr>
        <w:tc>
          <w:tcPr>
            <w:tcW w:w="3105" w:type="pct"/>
            <w:shd w:val="clear" w:color="auto" w:fill="D0CECE"/>
            <w:vAlign w:val="bottom"/>
          </w:tcPr>
          <w:p w14:paraId="7884DBDB" w14:textId="77777777" w:rsidR="00250CDF" w:rsidRPr="000F6A36" w:rsidRDefault="00250CDF" w:rsidP="00730385">
            <w:pPr>
              <w:jc w:val="left"/>
              <w:rPr>
                <w:color w:val="auto"/>
              </w:rPr>
            </w:pPr>
            <w:bookmarkStart w:id="8" w:name="_GoBack"/>
            <w:bookmarkEnd w:id="8"/>
          </w:p>
        </w:tc>
        <w:tc>
          <w:tcPr>
            <w:tcW w:w="929" w:type="pct"/>
            <w:shd w:val="clear" w:color="auto" w:fill="D0CECE"/>
            <w:vAlign w:val="bottom"/>
          </w:tcPr>
          <w:p w14:paraId="1BF35495" w14:textId="77777777" w:rsidR="00250CDF" w:rsidRPr="000F6A36" w:rsidRDefault="00250CDF" w:rsidP="00730385">
            <w:pPr>
              <w:jc w:val="center"/>
              <w:rPr>
                <w:b/>
                <w:color w:val="auto"/>
              </w:rPr>
            </w:pPr>
            <w:r w:rsidRPr="000F6A36">
              <w:rPr>
                <w:b/>
                <w:color w:val="auto"/>
              </w:rPr>
              <w:t>2014/15</w:t>
            </w:r>
          </w:p>
        </w:tc>
        <w:tc>
          <w:tcPr>
            <w:tcW w:w="966" w:type="pct"/>
            <w:shd w:val="clear" w:color="auto" w:fill="D0CECE"/>
            <w:vAlign w:val="bottom"/>
          </w:tcPr>
          <w:p w14:paraId="6100A1A2" w14:textId="77777777" w:rsidR="00250CDF" w:rsidRPr="00052104" w:rsidRDefault="00250CDF" w:rsidP="00730385">
            <w:pPr>
              <w:jc w:val="center"/>
              <w:rPr>
                <w:b/>
                <w:color w:val="auto"/>
              </w:rPr>
            </w:pPr>
            <w:r w:rsidRPr="00052104">
              <w:rPr>
                <w:b/>
                <w:color w:val="auto"/>
              </w:rPr>
              <w:t>2013/14</w:t>
            </w:r>
          </w:p>
        </w:tc>
      </w:tr>
      <w:tr w:rsidR="00250CDF" w:rsidRPr="00052104" w14:paraId="637447E2" w14:textId="77777777" w:rsidTr="00A06955">
        <w:trPr>
          <w:trHeight w:val="369"/>
          <w:tblHeader/>
        </w:trPr>
        <w:tc>
          <w:tcPr>
            <w:tcW w:w="3105" w:type="pct"/>
            <w:shd w:val="clear" w:color="auto" w:fill="D0CECE"/>
            <w:vAlign w:val="bottom"/>
          </w:tcPr>
          <w:p w14:paraId="3AD6346E" w14:textId="77777777" w:rsidR="00250CDF" w:rsidRPr="000F6A36" w:rsidRDefault="00250CDF" w:rsidP="00730385">
            <w:pPr>
              <w:jc w:val="left"/>
              <w:rPr>
                <w:color w:val="auto"/>
              </w:rPr>
            </w:pPr>
          </w:p>
        </w:tc>
        <w:tc>
          <w:tcPr>
            <w:tcW w:w="929" w:type="pct"/>
            <w:tcBorders>
              <w:bottom w:val="nil"/>
            </w:tcBorders>
            <w:shd w:val="clear" w:color="auto" w:fill="D0CECE"/>
            <w:vAlign w:val="bottom"/>
          </w:tcPr>
          <w:p w14:paraId="46A62951" w14:textId="77777777" w:rsidR="00250CDF" w:rsidRPr="000F6A36" w:rsidRDefault="00250CDF" w:rsidP="00730385">
            <w:pPr>
              <w:jc w:val="center"/>
              <w:rPr>
                <w:b/>
                <w:color w:val="auto"/>
              </w:rPr>
            </w:pPr>
            <w:r w:rsidRPr="000F6A36">
              <w:rPr>
                <w:b/>
                <w:color w:val="auto"/>
              </w:rPr>
              <w:t>£m</w:t>
            </w:r>
          </w:p>
        </w:tc>
        <w:tc>
          <w:tcPr>
            <w:tcW w:w="966" w:type="pct"/>
            <w:tcBorders>
              <w:bottom w:val="nil"/>
            </w:tcBorders>
            <w:shd w:val="clear" w:color="auto" w:fill="D0CECE"/>
            <w:vAlign w:val="bottom"/>
          </w:tcPr>
          <w:p w14:paraId="6F8BDB98" w14:textId="77777777" w:rsidR="00250CDF" w:rsidRPr="00052104" w:rsidRDefault="00250CDF" w:rsidP="00730385">
            <w:pPr>
              <w:jc w:val="center"/>
              <w:rPr>
                <w:b/>
                <w:color w:val="auto"/>
              </w:rPr>
            </w:pPr>
            <w:r w:rsidRPr="00052104">
              <w:rPr>
                <w:b/>
                <w:color w:val="auto"/>
              </w:rPr>
              <w:t>£m</w:t>
            </w:r>
          </w:p>
        </w:tc>
      </w:tr>
      <w:tr w:rsidR="00250CDF" w:rsidRPr="00052104" w14:paraId="41FD6B7D" w14:textId="77777777" w:rsidTr="00A06955">
        <w:trPr>
          <w:trHeight w:val="369"/>
        </w:trPr>
        <w:tc>
          <w:tcPr>
            <w:tcW w:w="3105" w:type="pct"/>
            <w:shd w:val="clear" w:color="auto" w:fill="auto"/>
            <w:vAlign w:val="bottom"/>
          </w:tcPr>
          <w:p w14:paraId="7EF69811" w14:textId="77777777" w:rsidR="00250CDF" w:rsidRPr="000F6A36" w:rsidRDefault="00250CDF" w:rsidP="00730385">
            <w:pPr>
              <w:jc w:val="left"/>
              <w:rPr>
                <w:color w:val="auto"/>
              </w:rPr>
            </w:pPr>
            <w:r w:rsidRPr="000F6A36">
              <w:rPr>
                <w:color w:val="auto"/>
              </w:rPr>
              <w:t>PFI grant from the government</w:t>
            </w:r>
          </w:p>
        </w:tc>
        <w:tc>
          <w:tcPr>
            <w:tcW w:w="929" w:type="pct"/>
            <w:tcBorders>
              <w:top w:val="nil"/>
              <w:bottom w:val="nil"/>
            </w:tcBorders>
            <w:shd w:val="clear" w:color="auto" w:fill="auto"/>
            <w:vAlign w:val="bottom"/>
          </w:tcPr>
          <w:p w14:paraId="5534C4C0" w14:textId="09C5B0C3" w:rsidR="00250CDF" w:rsidRPr="000F6A36" w:rsidRDefault="00010335" w:rsidP="00250CDF">
            <w:pPr>
              <w:tabs>
                <w:tab w:val="decimal" w:pos="884"/>
              </w:tabs>
              <w:rPr>
                <w:color w:val="auto"/>
              </w:rPr>
            </w:pPr>
            <w:r>
              <w:rPr>
                <w:color w:val="auto"/>
              </w:rPr>
              <w:t>(</w:t>
            </w:r>
            <w:r w:rsidR="000F6A36" w:rsidRPr="000F6A36">
              <w:rPr>
                <w:color w:val="auto"/>
              </w:rPr>
              <w:t>1.3</w:t>
            </w:r>
            <w:r>
              <w:rPr>
                <w:color w:val="auto"/>
              </w:rPr>
              <w:t>)</w:t>
            </w:r>
          </w:p>
        </w:tc>
        <w:tc>
          <w:tcPr>
            <w:tcW w:w="966" w:type="pct"/>
            <w:tcBorders>
              <w:top w:val="nil"/>
              <w:bottom w:val="nil"/>
            </w:tcBorders>
            <w:shd w:val="clear" w:color="auto" w:fill="auto"/>
            <w:vAlign w:val="bottom"/>
          </w:tcPr>
          <w:p w14:paraId="646CEE43" w14:textId="1665AFA9" w:rsidR="00250CDF" w:rsidRPr="00052104" w:rsidRDefault="00010335" w:rsidP="00250CDF">
            <w:pPr>
              <w:tabs>
                <w:tab w:val="decimal" w:pos="885"/>
              </w:tabs>
              <w:rPr>
                <w:color w:val="auto"/>
              </w:rPr>
            </w:pPr>
            <w:r>
              <w:rPr>
                <w:color w:val="auto"/>
              </w:rPr>
              <w:t>(</w:t>
            </w:r>
            <w:r w:rsidR="00250CDF">
              <w:rPr>
                <w:color w:val="auto"/>
              </w:rPr>
              <w:t>1.3</w:t>
            </w:r>
            <w:r>
              <w:rPr>
                <w:color w:val="auto"/>
              </w:rPr>
              <w:t>)</w:t>
            </w:r>
          </w:p>
        </w:tc>
      </w:tr>
      <w:tr w:rsidR="00250CDF" w:rsidRPr="00052104" w14:paraId="1755C67E" w14:textId="77777777" w:rsidTr="00A06955">
        <w:trPr>
          <w:trHeight w:val="369"/>
        </w:trPr>
        <w:tc>
          <w:tcPr>
            <w:tcW w:w="3105" w:type="pct"/>
            <w:shd w:val="clear" w:color="auto" w:fill="auto"/>
            <w:vAlign w:val="bottom"/>
          </w:tcPr>
          <w:p w14:paraId="32116A82" w14:textId="77777777" w:rsidR="00250CDF" w:rsidRPr="000F6A36" w:rsidRDefault="00250CDF" w:rsidP="00730385">
            <w:pPr>
              <w:jc w:val="left"/>
              <w:rPr>
                <w:color w:val="auto"/>
              </w:rPr>
            </w:pPr>
            <w:r w:rsidRPr="000F6A36">
              <w:rPr>
                <w:color w:val="auto"/>
              </w:rPr>
              <w:t>Contributions from the school</w:t>
            </w:r>
          </w:p>
        </w:tc>
        <w:tc>
          <w:tcPr>
            <w:tcW w:w="929" w:type="pct"/>
            <w:tcBorders>
              <w:top w:val="nil"/>
              <w:bottom w:val="nil"/>
            </w:tcBorders>
            <w:shd w:val="clear" w:color="auto" w:fill="auto"/>
            <w:vAlign w:val="bottom"/>
          </w:tcPr>
          <w:p w14:paraId="612FDDBC" w14:textId="235A4BE4" w:rsidR="00250CDF" w:rsidRPr="000F6A36" w:rsidRDefault="00010335" w:rsidP="00250CDF">
            <w:pPr>
              <w:tabs>
                <w:tab w:val="decimal" w:pos="884"/>
              </w:tabs>
              <w:rPr>
                <w:color w:val="auto"/>
              </w:rPr>
            </w:pPr>
            <w:r>
              <w:rPr>
                <w:color w:val="auto"/>
              </w:rPr>
              <w:t>(</w:t>
            </w:r>
            <w:r w:rsidR="000F6A36" w:rsidRPr="000F6A36">
              <w:rPr>
                <w:color w:val="auto"/>
              </w:rPr>
              <w:t>0.4</w:t>
            </w:r>
            <w:r>
              <w:rPr>
                <w:color w:val="auto"/>
              </w:rPr>
              <w:t>)</w:t>
            </w:r>
          </w:p>
        </w:tc>
        <w:tc>
          <w:tcPr>
            <w:tcW w:w="966" w:type="pct"/>
            <w:tcBorders>
              <w:top w:val="nil"/>
              <w:bottom w:val="single" w:sz="4" w:space="0" w:color="auto"/>
              <w:right w:val="single" w:sz="4" w:space="0" w:color="auto"/>
            </w:tcBorders>
            <w:shd w:val="clear" w:color="auto" w:fill="auto"/>
            <w:vAlign w:val="bottom"/>
          </w:tcPr>
          <w:p w14:paraId="045A4D57" w14:textId="564D8D49" w:rsidR="00250CDF" w:rsidRPr="00052104" w:rsidRDefault="00010335" w:rsidP="00250CDF">
            <w:pPr>
              <w:tabs>
                <w:tab w:val="decimal" w:pos="885"/>
              </w:tabs>
              <w:rPr>
                <w:color w:val="auto"/>
              </w:rPr>
            </w:pPr>
            <w:r>
              <w:rPr>
                <w:color w:val="auto"/>
              </w:rPr>
              <w:t>(</w:t>
            </w:r>
            <w:r w:rsidR="00250CDF">
              <w:rPr>
                <w:color w:val="auto"/>
              </w:rPr>
              <w:t>0.4</w:t>
            </w:r>
            <w:r>
              <w:rPr>
                <w:color w:val="auto"/>
              </w:rPr>
              <w:t>)</w:t>
            </w:r>
          </w:p>
        </w:tc>
      </w:tr>
      <w:tr w:rsidR="00250CDF" w:rsidRPr="00052104" w14:paraId="1A48A6A8" w14:textId="77777777" w:rsidTr="00A06955">
        <w:trPr>
          <w:trHeight w:val="369"/>
        </w:trPr>
        <w:tc>
          <w:tcPr>
            <w:tcW w:w="3105" w:type="pct"/>
            <w:shd w:val="clear" w:color="auto" w:fill="auto"/>
            <w:vAlign w:val="bottom"/>
          </w:tcPr>
          <w:p w14:paraId="50AC98FA" w14:textId="77777777" w:rsidR="00250CDF" w:rsidRPr="000F6A36" w:rsidRDefault="00250CDF" w:rsidP="00250CDF">
            <w:pPr>
              <w:jc w:val="left"/>
              <w:rPr>
                <w:b/>
                <w:color w:val="auto"/>
              </w:rPr>
            </w:pPr>
            <w:r w:rsidRPr="000F6A36">
              <w:rPr>
                <w:b/>
                <w:color w:val="auto"/>
              </w:rPr>
              <w:t>Total</w:t>
            </w:r>
          </w:p>
        </w:tc>
        <w:tc>
          <w:tcPr>
            <w:tcW w:w="929" w:type="pct"/>
            <w:tcBorders>
              <w:top w:val="single" w:sz="4" w:space="0" w:color="auto"/>
              <w:bottom w:val="single" w:sz="4" w:space="0" w:color="auto"/>
            </w:tcBorders>
            <w:shd w:val="clear" w:color="auto" w:fill="auto"/>
            <w:vAlign w:val="bottom"/>
          </w:tcPr>
          <w:p w14:paraId="08759A6C" w14:textId="527940D2" w:rsidR="00250CDF" w:rsidRPr="000F6A36" w:rsidRDefault="00010335" w:rsidP="00250CDF">
            <w:pPr>
              <w:tabs>
                <w:tab w:val="decimal" w:pos="884"/>
              </w:tabs>
              <w:rPr>
                <w:b/>
                <w:color w:val="auto"/>
              </w:rPr>
            </w:pPr>
            <w:r>
              <w:rPr>
                <w:b/>
                <w:color w:val="auto"/>
              </w:rPr>
              <w:t>(</w:t>
            </w:r>
            <w:r w:rsidR="000F6A36" w:rsidRPr="000F6A36">
              <w:rPr>
                <w:b/>
                <w:color w:val="auto"/>
              </w:rPr>
              <w:t>1.7</w:t>
            </w:r>
            <w:r>
              <w:rPr>
                <w:b/>
                <w:color w:val="auto"/>
              </w:rPr>
              <w:t>)</w:t>
            </w:r>
          </w:p>
        </w:tc>
        <w:tc>
          <w:tcPr>
            <w:tcW w:w="966" w:type="pct"/>
            <w:tcBorders>
              <w:top w:val="single" w:sz="4" w:space="0" w:color="auto"/>
              <w:bottom w:val="single" w:sz="4" w:space="0" w:color="auto"/>
            </w:tcBorders>
            <w:shd w:val="clear" w:color="auto" w:fill="auto"/>
            <w:vAlign w:val="bottom"/>
          </w:tcPr>
          <w:p w14:paraId="22B1CE6B" w14:textId="33A61BDA" w:rsidR="00250CDF" w:rsidRPr="00052104" w:rsidRDefault="00010335" w:rsidP="00250CDF">
            <w:pPr>
              <w:tabs>
                <w:tab w:val="decimal" w:pos="885"/>
              </w:tabs>
              <w:rPr>
                <w:b/>
                <w:color w:val="auto"/>
              </w:rPr>
            </w:pPr>
            <w:r>
              <w:rPr>
                <w:b/>
                <w:color w:val="auto"/>
              </w:rPr>
              <w:t>(</w:t>
            </w:r>
            <w:r w:rsidR="00250CDF">
              <w:rPr>
                <w:b/>
                <w:color w:val="auto"/>
              </w:rPr>
              <w:t>1.7</w:t>
            </w:r>
            <w:r>
              <w:rPr>
                <w:b/>
                <w:color w:val="auto"/>
              </w:rPr>
              <w:t>)</w:t>
            </w:r>
          </w:p>
        </w:tc>
      </w:tr>
    </w:tbl>
    <w:p w14:paraId="7B74C052" w14:textId="77777777" w:rsidR="00FA031A" w:rsidRDefault="00FA031A" w:rsidP="00EF3750">
      <w:pPr>
        <w:rPr>
          <w:b/>
          <w:lang w:eastAsia="en-GB"/>
        </w:rPr>
      </w:pPr>
    </w:p>
    <w:p w14:paraId="36CC4220" w14:textId="77777777" w:rsidR="00250CDF" w:rsidRPr="00E13FD0" w:rsidRDefault="00250CDF" w:rsidP="00EF3750">
      <w:pPr>
        <w:rPr>
          <w:b/>
          <w:lang w:eastAsia="en-GB"/>
        </w:rPr>
      </w:pPr>
      <w:r w:rsidRPr="00E13FD0">
        <w:rPr>
          <w:b/>
          <w:lang w:eastAsia="en-GB"/>
        </w:rPr>
        <w:t>Building Schools for the Future</w:t>
      </w:r>
    </w:p>
    <w:p w14:paraId="1C59955C" w14:textId="2E051D48" w:rsidR="00250CDF" w:rsidRPr="00E13FD0" w:rsidRDefault="00250CDF" w:rsidP="00250CDF">
      <w:pPr>
        <w:rPr>
          <w:lang w:eastAsia="en-GB"/>
        </w:rPr>
      </w:pPr>
      <w:r w:rsidRPr="00E13FD0">
        <w:rPr>
          <w:lang w:eastAsia="en-GB"/>
        </w:rPr>
        <w:t>We are taking part in the government’s Building Schools for the Future Scheme, which aims to rebuild or modernise every secondary school in the country. As part of wave 1 of the scheme, we have rebuilt the secondary schools in Burnley and part of Pendle in four separate phases under contract with C</w:t>
      </w:r>
      <w:r w:rsidR="006617B6">
        <w:rPr>
          <w:lang w:eastAsia="en-GB"/>
        </w:rPr>
        <w:t xml:space="preserve">atalyst Education (Lancashire). </w:t>
      </w:r>
      <w:r w:rsidRPr="00E13FD0">
        <w:rPr>
          <w:lang w:eastAsia="en-GB"/>
        </w:rPr>
        <w:t xml:space="preserve">Each delivers a school building (or a number of </w:t>
      </w:r>
      <w:r w:rsidRPr="00E13FD0">
        <w:rPr>
          <w:lang w:eastAsia="en-GB"/>
        </w:rPr>
        <w:lastRenderedPageBreak/>
        <w:t>school buildings) and the provision of on-going services including grounds maintenance, caretaking and building maintenance.</w:t>
      </w:r>
    </w:p>
    <w:p w14:paraId="33C3A10C" w14:textId="40098CDD" w:rsidR="00250CDF" w:rsidRPr="00E13FD0" w:rsidRDefault="00250CDF" w:rsidP="00250CDF">
      <w:pPr>
        <w:rPr>
          <w:lang w:eastAsia="en-GB"/>
        </w:rPr>
      </w:pPr>
      <w:r w:rsidRPr="00E13FD0">
        <w:rPr>
          <w:lang w:eastAsia="en-GB"/>
        </w:rPr>
        <w:t xml:space="preserve">For each contract the council makes an agreed payment each year which is increased by inflation and can be reduced if the contractor fails to meet the </w:t>
      </w:r>
      <w:r w:rsidRPr="00DB1F5D">
        <w:rPr>
          <w:lang w:eastAsia="en-GB"/>
        </w:rPr>
        <w:t>agreed availability and performance standards in any year</w:t>
      </w:r>
      <w:r w:rsidR="00D447F1" w:rsidRPr="00DB1F5D">
        <w:rPr>
          <w:lang w:eastAsia="en-GB"/>
        </w:rPr>
        <w:t xml:space="preserve"> </w:t>
      </w:r>
      <w:r w:rsidRPr="00DB1F5D">
        <w:rPr>
          <w:lang w:eastAsia="en-GB"/>
        </w:rPr>
        <w:t xml:space="preserve">but is otherwise fixed. An estimate of </w:t>
      </w:r>
      <w:r w:rsidR="002D1E49" w:rsidRPr="008D0533">
        <w:rPr>
          <w:lang w:eastAsia="en-GB"/>
        </w:rPr>
        <w:t>1.1</w:t>
      </w:r>
      <w:r w:rsidRPr="00DB1F5D">
        <w:rPr>
          <w:lang w:eastAsia="en-GB"/>
        </w:rPr>
        <w:t>% is</w:t>
      </w:r>
      <w:r w:rsidRPr="00E13FD0">
        <w:rPr>
          <w:lang w:eastAsia="en-GB"/>
        </w:rPr>
        <w:t xml:space="preserve"> made for future inflation within the model.</w:t>
      </w:r>
    </w:p>
    <w:p w14:paraId="73060CCB" w14:textId="6F039FBB" w:rsidR="00250CDF" w:rsidRPr="00E13FD0" w:rsidRDefault="00250CDF" w:rsidP="00EC401F">
      <w:pPr>
        <w:numPr>
          <w:ilvl w:val="0"/>
          <w:numId w:val="35"/>
        </w:numPr>
        <w:rPr>
          <w:lang w:eastAsia="en-GB"/>
        </w:rPr>
      </w:pPr>
      <w:r w:rsidRPr="00E13FD0">
        <w:rPr>
          <w:lang w:eastAsia="en-GB"/>
        </w:rPr>
        <w:t>Phase 1 -The contract will provide two 1,050</w:t>
      </w:r>
      <w:r w:rsidR="00A02D9F">
        <w:rPr>
          <w:lang w:eastAsia="en-GB"/>
        </w:rPr>
        <w:t xml:space="preserve"> </w:t>
      </w:r>
      <w:r w:rsidRPr="00E13FD0">
        <w:rPr>
          <w:lang w:eastAsia="en-GB"/>
        </w:rPr>
        <w:t>place secondary schools, one with a co-located 90</w:t>
      </w:r>
      <w:r w:rsidR="00A02D9F">
        <w:rPr>
          <w:lang w:eastAsia="en-GB"/>
        </w:rPr>
        <w:t xml:space="preserve"> </w:t>
      </w:r>
      <w:r w:rsidRPr="00E13FD0">
        <w:rPr>
          <w:lang w:eastAsia="en-GB"/>
        </w:rPr>
        <w:t>place secondary special school, a sixth form centre, a primary school, a children’s centre and a library. The arrangement runs from September 2008 to August 2033.</w:t>
      </w:r>
    </w:p>
    <w:p w14:paraId="4A25B3DE" w14:textId="77777777" w:rsidR="00250CDF" w:rsidRPr="00E13FD0" w:rsidRDefault="00250CDF" w:rsidP="00EC401F">
      <w:pPr>
        <w:numPr>
          <w:ilvl w:val="0"/>
          <w:numId w:val="35"/>
        </w:numPr>
        <w:rPr>
          <w:lang w:eastAsia="en-GB"/>
        </w:rPr>
      </w:pPr>
      <w:r w:rsidRPr="00E13FD0">
        <w:rPr>
          <w:lang w:eastAsia="en-GB"/>
        </w:rPr>
        <w:t>Phase 2 – The contract will provide one 1,050 place secondary school with a co-located 90 place secondary special school. The contract also involves providing ongoing services to the buildings. The arrangement runs from September 2009 to August 2034.</w:t>
      </w:r>
    </w:p>
    <w:p w14:paraId="237229AF" w14:textId="77777777" w:rsidR="00250CDF" w:rsidRPr="00E13FD0" w:rsidRDefault="00250CDF" w:rsidP="00EC401F">
      <w:pPr>
        <w:numPr>
          <w:ilvl w:val="0"/>
          <w:numId w:val="35"/>
        </w:numPr>
        <w:rPr>
          <w:lang w:eastAsia="en-GB"/>
        </w:rPr>
      </w:pPr>
      <w:r w:rsidRPr="00E13FD0">
        <w:rPr>
          <w:lang w:eastAsia="en-GB"/>
        </w:rPr>
        <w:t>Phase 2a -The contract is for approximately 27 years comprising two years construction and 25 years operation once the schools have opened.  One of the schools opened in April 2010 and the other in September 2010.</w:t>
      </w:r>
    </w:p>
    <w:p w14:paraId="6DB5F6D6" w14:textId="77777777" w:rsidR="00250CDF" w:rsidRPr="00E13FD0" w:rsidRDefault="00250CDF" w:rsidP="00EC401F">
      <w:pPr>
        <w:numPr>
          <w:ilvl w:val="0"/>
          <w:numId w:val="35"/>
        </w:numPr>
        <w:rPr>
          <w:lang w:eastAsia="en-GB"/>
        </w:rPr>
      </w:pPr>
      <w:r w:rsidRPr="00E13FD0">
        <w:rPr>
          <w:lang w:eastAsia="en-GB"/>
        </w:rPr>
        <w:t xml:space="preserve">Phase 3 - The contract is for approximately 27 years comprising two years construction and 25 years operation once </w:t>
      </w:r>
      <w:r w:rsidRPr="00E13FD0">
        <w:rPr>
          <w:lang w:eastAsia="en-GB"/>
        </w:rPr>
        <w:lastRenderedPageBreak/>
        <w:t>the schools have opened.  The schools opened in September 2010.</w:t>
      </w:r>
    </w:p>
    <w:p w14:paraId="78CB6EE4" w14:textId="496DC3DE" w:rsidR="00250CDF" w:rsidRDefault="00250CDF" w:rsidP="00250CDF">
      <w:pPr>
        <w:rPr>
          <w:lang w:eastAsia="en-GB"/>
        </w:rPr>
      </w:pPr>
      <w:r w:rsidRPr="00E13FD0">
        <w:rPr>
          <w:lang w:eastAsia="en-GB"/>
        </w:rPr>
        <w:t xml:space="preserve">Consolidated payments remaining to be made under the PFI contract </w:t>
      </w:r>
      <w:r w:rsidR="00F16591">
        <w:rPr>
          <w:lang w:eastAsia="en-GB"/>
        </w:rPr>
        <w:t xml:space="preserve">as </w:t>
      </w:r>
      <w:r w:rsidRPr="00E13FD0">
        <w:rPr>
          <w:lang w:eastAsia="en-GB"/>
        </w:rPr>
        <w:t>at 31 March 2015 for the four phases above (excluding any availability/performance deductions) are as shown in the following table:</w:t>
      </w:r>
    </w:p>
    <w:p w14:paraId="3F651742" w14:textId="77777777" w:rsidR="003931E0" w:rsidRDefault="003931E0" w:rsidP="00250CDF">
      <w:pPr>
        <w:rPr>
          <w:lang w:eastAsia="en-GB"/>
        </w:rPr>
      </w:pPr>
    </w:p>
    <w:p w14:paraId="243A06E9" w14:textId="77777777" w:rsidR="003931E0" w:rsidRDefault="003931E0" w:rsidP="00250CDF">
      <w:pPr>
        <w:rPr>
          <w:lang w:eastAsia="en-GB"/>
        </w:rPr>
      </w:pPr>
    </w:p>
    <w:p w14:paraId="6127DA81" w14:textId="77777777" w:rsidR="003931E0" w:rsidRDefault="003931E0" w:rsidP="00250CDF">
      <w:pPr>
        <w:rPr>
          <w:lang w:eastAsia="en-GB"/>
        </w:rPr>
      </w:pPr>
    </w:p>
    <w:p w14:paraId="50F67A1A" w14:textId="77777777" w:rsidR="003931E0" w:rsidRDefault="003931E0" w:rsidP="00250CDF">
      <w:pPr>
        <w:rPr>
          <w:lang w:eastAsia="en-GB"/>
        </w:rPr>
      </w:pPr>
    </w:p>
    <w:p w14:paraId="1AB71F39" w14:textId="77777777" w:rsidR="003931E0" w:rsidRDefault="003931E0" w:rsidP="00250CDF">
      <w:pPr>
        <w:rPr>
          <w:lang w:eastAsia="en-GB"/>
        </w:rPr>
      </w:pPr>
    </w:p>
    <w:p w14:paraId="7E359722" w14:textId="77777777" w:rsidR="003931E0" w:rsidRDefault="003931E0" w:rsidP="00250CDF">
      <w:pPr>
        <w:rPr>
          <w:lang w:eastAsia="en-GB"/>
        </w:rPr>
      </w:pPr>
    </w:p>
    <w:p w14:paraId="68F3F3DA" w14:textId="77777777" w:rsidR="003931E0" w:rsidRDefault="003931E0" w:rsidP="00250CDF">
      <w:pPr>
        <w:rPr>
          <w:lang w:eastAsia="en-GB"/>
        </w:rPr>
      </w:pPr>
    </w:p>
    <w:p w14:paraId="71DEDFD0" w14:textId="77777777" w:rsidR="003931E0" w:rsidRPr="00E13FD0" w:rsidRDefault="003931E0" w:rsidP="00250CDF">
      <w:pPr>
        <w:rPr>
          <w:lang w:eastAsia="en-GB"/>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4"/>
        <w:gridCol w:w="1558"/>
        <w:gridCol w:w="1555"/>
        <w:gridCol w:w="1559"/>
        <w:gridCol w:w="1524"/>
      </w:tblGrid>
      <w:tr w:rsidR="000E1A52" w:rsidRPr="003C0F16" w14:paraId="57470EDC" w14:textId="77777777" w:rsidTr="00A06955">
        <w:trPr>
          <w:trHeight w:val="369"/>
          <w:tblHeader/>
        </w:trPr>
        <w:tc>
          <w:tcPr>
            <w:tcW w:w="2034" w:type="pct"/>
            <w:shd w:val="clear" w:color="auto" w:fill="D0CECE"/>
            <w:vAlign w:val="bottom"/>
          </w:tcPr>
          <w:p w14:paraId="2F6A2A79" w14:textId="77777777" w:rsidR="00250CDF" w:rsidRPr="003F3523" w:rsidRDefault="00250CDF" w:rsidP="00250CDF">
            <w:pPr>
              <w:jc w:val="center"/>
              <w:rPr>
                <w:b/>
                <w:color w:val="auto"/>
                <w:u w:val="single"/>
              </w:rPr>
            </w:pPr>
          </w:p>
        </w:tc>
        <w:tc>
          <w:tcPr>
            <w:tcW w:w="745" w:type="pct"/>
            <w:shd w:val="clear" w:color="auto" w:fill="D0CECE"/>
            <w:vAlign w:val="bottom"/>
          </w:tcPr>
          <w:p w14:paraId="16EC315C" w14:textId="77777777" w:rsidR="00250CDF" w:rsidRPr="003F3523" w:rsidRDefault="00250CDF" w:rsidP="00250CDF">
            <w:pPr>
              <w:jc w:val="center"/>
              <w:rPr>
                <w:b/>
                <w:color w:val="auto"/>
              </w:rPr>
            </w:pPr>
            <w:r w:rsidRPr="003F3523">
              <w:rPr>
                <w:b/>
                <w:color w:val="auto"/>
              </w:rPr>
              <w:t>Payments for Services</w:t>
            </w:r>
          </w:p>
        </w:tc>
        <w:tc>
          <w:tcPr>
            <w:tcW w:w="744" w:type="pct"/>
            <w:shd w:val="clear" w:color="auto" w:fill="D0CECE"/>
            <w:vAlign w:val="bottom"/>
          </w:tcPr>
          <w:p w14:paraId="7E2E623F" w14:textId="77777777" w:rsidR="00250CDF" w:rsidRPr="003F3523" w:rsidRDefault="00250CDF" w:rsidP="00250CDF">
            <w:pPr>
              <w:jc w:val="center"/>
              <w:rPr>
                <w:b/>
                <w:color w:val="auto"/>
              </w:rPr>
            </w:pPr>
            <w:r w:rsidRPr="003F3523">
              <w:rPr>
                <w:b/>
                <w:color w:val="auto"/>
              </w:rPr>
              <w:t>Repayment of Liability</w:t>
            </w:r>
          </w:p>
        </w:tc>
        <w:tc>
          <w:tcPr>
            <w:tcW w:w="746" w:type="pct"/>
            <w:shd w:val="clear" w:color="auto" w:fill="D0CECE"/>
            <w:vAlign w:val="bottom"/>
          </w:tcPr>
          <w:p w14:paraId="547C0432" w14:textId="77777777" w:rsidR="00250CDF" w:rsidRPr="003F3523" w:rsidRDefault="00250CDF" w:rsidP="00250CDF">
            <w:pPr>
              <w:jc w:val="center"/>
              <w:rPr>
                <w:b/>
                <w:color w:val="auto"/>
              </w:rPr>
            </w:pPr>
            <w:r w:rsidRPr="003F3523">
              <w:rPr>
                <w:b/>
                <w:color w:val="auto"/>
              </w:rPr>
              <w:t>Interest Charges</w:t>
            </w:r>
          </w:p>
        </w:tc>
        <w:tc>
          <w:tcPr>
            <w:tcW w:w="729" w:type="pct"/>
            <w:shd w:val="clear" w:color="auto" w:fill="D0CECE"/>
            <w:vAlign w:val="bottom"/>
          </w:tcPr>
          <w:p w14:paraId="34B9CF00" w14:textId="77777777" w:rsidR="00250CDF" w:rsidRPr="003F3523" w:rsidRDefault="00250CDF" w:rsidP="00250CDF">
            <w:pPr>
              <w:jc w:val="center"/>
              <w:rPr>
                <w:b/>
                <w:color w:val="auto"/>
              </w:rPr>
            </w:pPr>
            <w:r w:rsidRPr="003F3523">
              <w:rPr>
                <w:b/>
                <w:color w:val="auto"/>
              </w:rPr>
              <w:t>Total Payments Due</w:t>
            </w:r>
          </w:p>
        </w:tc>
      </w:tr>
      <w:tr w:rsidR="000E1A52" w:rsidRPr="003C0F16" w14:paraId="67153D69" w14:textId="77777777" w:rsidTr="00A06955">
        <w:trPr>
          <w:trHeight w:val="369"/>
          <w:tblHeader/>
        </w:trPr>
        <w:tc>
          <w:tcPr>
            <w:tcW w:w="2034" w:type="pct"/>
            <w:shd w:val="clear" w:color="auto" w:fill="D0CECE"/>
            <w:vAlign w:val="bottom"/>
          </w:tcPr>
          <w:p w14:paraId="5C120249" w14:textId="77777777" w:rsidR="00250CDF" w:rsidRPr="003F3523" w:rsidRDefault="00250CDF" w:rsidP="00250CDF">
            <w:pPr>
              <w:jc w:val="left"/>
              <w:rPr>
                <w:color w:val="auto"/>
              </w:rPr>
            </w:pPr>
          </w:p>
        </w:tc>
        <w:tc>
          <w:tcPr>
            <w:tcW w:w="745" w:type="pct"/>
            <w:shd w:val="clear" w:color="auto" w:fill="D0CECE"/>
            <w:vAlign w:val="bottom"/>
          </w:tcPr>
          <w:p w14:paraId="39EE87BB" w14:textId="77777777" w:rsidR="00250CDF" w:rsidRPr="003F3523" w:rsidRDefault="00250CDF" w:rsidP="00250CDF">
            <w:pPr>
              <w:jc w:val="center"/>
              <w:rPr>
                <w:b/>
                <w:color w:val="auto"/>
              </w:rPr>
            </w:pPr>
            <w:r w:rsidRPr="003F3523">
              <w:rPr>
                <w:b/>
                <w:color w:val="auto"/>
              </w:rPr>
              <w:t>£m</w:t>
            </w:r>
          </w:p>
        </w:tc>
        <w:tc>
          <w:tcPr>
            <w:tcW w:w="744" w:type="pct"/>
            <w:shd w:val="clear" w:color="auto" w:fill="D0CECE"/>
            <w:vAlign w:val="bottom"/>
          </w:tcPr>
          <w:p w14:paraId="0ED9E947" w14:textId="77777777" w:rsidR="00250CDF" w:rsidRPr="003F3523" w:rsidRDefault="00250CDF" w:rsidP="00250CDF">
            <w:pPr>
              <w:jc w:val="center"/>
              <w:rPr>
                <w:b/>
                <w:color w:val="auto"/>
              </w:rPr>
            </w:pPr>
            <w:r w:rsidRPr="003F3523">
              <w:rPr>
                <w:b/>
                <w:color w:val="auto"/>
              </w:rPr>
              <w:t>£m</w:t>
            </w:r>
          </w:p>
        </w:tc>
        <w:tc>
          <w:tcPr>
            <w:tcW w:w="746" w:type="pct"/>
            <w:shd w:val="clear" w:color="auto" w:fill="D0CECE"/>
            <w:vAlign w:val="bottom"/>
          </w:tcPr>
          <w:p w14:paraId="58D70230" w14:textId="77777777" w:rsidR="00250CDF" w:rsidRPr="003F3523" w:rsidRDefault="00250CDF" w:rsidP="00250CDF">
            <w:pPr>
              <w:jc w:val="center"/>
              <w:rPr>
                <w:b/>
                <w:color w:val="auto"/>
              </w:rPr>
            </w:pPr>
            <w:r w:rsidRPr="003F3523">
              <w:rPr>
                <w:b/>
                <w:color w:val="auto"/>
              </w:rPr>
              <w:t>£m</w:t>
            </w:r>
          </w:p>
        </w:tc>
        <w:tc>
          <w:tcPr>
            <w:tcW w:w="729" w:type="pct"/>
            <w:shd w:val="clear" w:color="auto" w:fill="D0CECE"/>
            <w:vAlign w:val="bottom"/>
          </w:tcPr>
          <w:p w14:paraId="4B7BCA85" w14:textId="77777777" w:rsidR="00250CDF" w:rsidRPr="003F3523" w:rsidRDefault="00250CDF" w:rsidP="00250CDF">
            <w:pPr>
              <w:jc w:val="center"/>
              <w:rPr>
                <w:b/>
                <w:color w:val="auto"/>
              </w:rPr>
            </w:pPr>
            <w:r w:rsidRPr="003F3523">
              <w:rPr>
                <w:b/>
                <w:color w:val="auto"/>
              </w:rPr>
              <w:t>£m</w:t>
            </w:r>
          </w:p>
        </w:tc>
      </w:tr>
      <w:tr w:rsidR="000E1A52" w:rsidRPr="003C0F16" w14:paraId="45C18DD9" w14:textId="77777777" w:rsidTr="00A06955">
        <w:trPr>
          <w:trHeight w:val="369"/>
        </w:trPr>
        <w:tc>
          <w:tcPr>
            <w:tcW w:w="2034" w:type="pct"/>
            <w:shd w:val="clear" w:color="auto" w:fill="auto"/>
            <w:vAlign w:val="bottom"/>
          </w:tcPr>
          <w:p w14:paraId="34E1D0F8" w14:textId="77777777" w:rsidR="00250CDF" w:rsidRPr="003F3523" w:rsidRDefault="00250CDF" w:rsidP="00250CDF">
            <w:pPr>
              <w:jc w:val="left"/>
              <w:rPr>
                <w:color w:val="auto"/>
              </w:rPr>
            </w:pPr>
            <w:r w:rsidRPr="003F3523">
              <w:rPr>
                <w:color w:val="auto"/>
              </w:rPr>
              <w:t>Payable in  2015/16</w:t>
            </w:r>
          </w:p>
        </w:tc>
        <w:tc>
          <w:tcPr>
            <w:tcW w:w="745" w:type="pct"/>
            <w:vAlign w:val="bottom"/>
          </w:tcPr>
          <w:p w14:paraId="561A7C2E" w14:textId="12FFE8D4" w:rsidR="00250CDF" w:rsidRPr="00DB1F5D" w:rsidRDefault="003F3523" w:rsidP="00A06955">
            <w:pPr>
              <w:tabs>
                <w:tab w:val="decimal" w:pos="736"/>
              </w:tabs>
              <w:rPr>
                <w:color w:val="auto"/>
              </w:rPr>
            </w:pPr>
            <w:r w:rsidRPr="00DB1F5D">
              <w:rPr>
                <w:color w:val="auto"/>
              </w:rPr>
              <w:t>8.</w:t>
            </w:r>
            <w:r w:rsidR="002D1E49" w:rsidRPr="00DB1F5D">
              <w:rPr>
                <w:color w:val="auto"/>
              </w:rPr>
              <w:t>7</w:t>
            </w:r>
          </w:p>
        </w:tc>
        <w:tc>
          <w:tcPr>
            <w:tcW w:w="744" w:type="pct"/>
            <w:vAlign w:val="bottom"/>
          </w:tcPr>
          <w:p w14:paraId="511AD27E" w14:textId="77777777" w:rsidR="00250CDF" w:rsidRPr="00DB1F5D" w:rsidRDefault="00AE0D82" w:rsidP="00A06955">
            <w:pPr>
              <w:tabs>
                <w:tab w:val="decimal" w:pos="738"/>
              </w:tabs>
              <w:rPr>
                <w:color w:val="auto"/>
              </w:rPr>
            </w:pPr>
            <w:r w:rsidRPr="00DB1F5D">
              <w:rPr>
                <w:color w:val="auto"/>
              </w:rPr>
              <w:t>4.3</w:t>
            </w:r>
          </w:p>
        </w:tc>
        <w:tc>
          <w:tcPr>
            <w:tcW w:w="746" w:type="pct"/>
            <w:shd w:val="clear" w:color="auto" w:fill="auto"/>
            <w:vAlign w:val="bottom"/>
          </w:tcPr>
          <w:p w14:paraId="0D0A0730" w14:textId="7E93C3EF" w:rsidR="00250CDF" w:rsidRPr="00DB1F5D" w:rsidRDefault="000F6A36" w:rsidP="00A06955">
            <w:pPr>
              <w:tabs>
                <w:tab w:val="decimal" w:pos="742"/>
              </w:tabs>
              <w:rPr>
                <w:color w:val="auto"/>
              </w:rPr>
            </w:pPr>
            <w:r w:rsidRPr="00DB1F5D">
              <w:rPr>
                <w:color w:val="auto"/>
              </w:rPr>
              <w:t>15.</w:t>
            </w:r>
            <w:r w:rsidR="002D1E49" w:rsidRPr="008D0533">
              <w:rPr>
                <w:color w:val="auto"/>
              </w:rPr>
              <w:t>5</w:t>
            </w:r>
          </w:p>
        </w:tc>
        <w:tc>
          <w:tcPr>
            <w:tcW w:w="729" w:type="pct"/>
            <w:shd w:val="clear" w:color="auto" w:fill="auto"/>
            <w:vAlign w:val="bottom"/>
          </w:tcPr>
          <w:p w14:paraId="54C286FD" w14:textId="05D0AD80" w:rsidR="00250CDF" w:rsidRPr="00DB1F5D" w:rsidRDefault="00420E03">
            <w:pPr>
              <w:tabs>
                <w:tab w:val="decimal" w:pos="742"/>
              </w:tabs>
              <w:rPr>
                <w:color w:val="auto"/>
              </w:rPr>
            </w:pPr>
            <w:r w:rsidRPr="00DB1F5D">
              <w:rPr>
                <w:color w:val="auto"/>
              </w:rPr>
              <w:t>28.</w:t>
            </w:r>
            <w:r w:rsidR="002D1E49" w:rsidRPr="00DB1F5D">
              <w:rPr>
                <w:color w:val="auto"/>
              </w:rPr>
              <w:t>5</w:t>
            </w:r>
          </w:p>
        </w:tc>
      </w:tr>
      <w:tr w:rsidR="000E1A52" w:rsidRPr="003C0F16" w14:paraId="0C489DEC" w14:textId="77777777" w:rsidTr="00A06955">
        <w:trPr>
          <w:trHeight w:val="369"/>
        </w:trPr>
        <w:tc>
          <w:tcPr>
            <w:tcW w:w="2034" w:type="pct"/>
            <w:shd w:val="clear" w:color="auto" w:fill="auto"/>
            <w:vAlign w:val="bottom"/>
          </w:tcPr>
          <w:p w14:paraId="2D6B93ED" w14:textId="77777777" w:rsidR="00250CDF" w:rsidRPr="003F3523" w:rsidRDefault="00250CDF" w:rsidP="00250CDF">
            <w:pPr>
              <w:jc w:val="left"/>
              <w:rPr>
                <w:color w:val="auto"/>
              </w:rPr>
            </w:pPr>
            <w:r w:rsidRPr="003F3523">
              <w:rPr>
                <w:color w:val="auto"/>
              </w:rPr>
              <w:t>Payable within two to five years</w:t>
            </w:r>
          </w:p>
        </w:tc>
        <w:tc>
          <w:tcPr>
            <w:tcW w:w="745" w:type="pct"/>
            <w:vAlign w:val="bottom"/>
          </w:tcPr>
          <w:p w14:paraId="1316B9A0" w14:textId="319CBCC6" w:rsidR="00250CDF" w:rsidRPr="00DB1F5D" w:rsidRDefault="002D1E49" w:rsidP="00A06955">
            <w:pPr>
              <w:tabs>
                <w:tab w:val="decimal" w:pos="736"/>
              </w:tabs>
              <w:rPr>
                <w:color w:val="auto"/>
              </w:rPr>
            </w:pPr>
            <w:r w:rsidRPr="00DB1F5D">
              <w:rPr>
                <w:color w:val="auto"/>
              </w:rPr>
              <w:t>39.6</w:t>
            </w:r>
          </w:p>
        </w:tc>
        <w:tc>
          <w:tcPr>
            <w:tcW w:w="744" w:type="pct"/>
            <w:vAlign w:val="bottom"/>
          </w:tcPr>
          <w:p w14:paraId="69DBF063" w14:textId="77777777" w:rsidR="00250CDF" w:rsidRPr="00DB1F5D" w:rsidRDefault="003F3523" w:rsidP="00A06955">
            <w:pPr>
              <w:tabs>
                <w:tab w:val="decimal" w:pos="738"/>
              </w:tabs>
              <w:rPr>
                <w:color w:val="auto"/>
              </w:rPr>
            </w:pPr>
            <w:r w:rsidRPr="00DB1F5D">
              <w:rPr>
                <w:color w:val="auto"/>
              </w:rPr>
              <w:t>19.4</w:t>
            </w:r>
          </w:p>
        </w:tc>
        <w:tc>
          <w:tcPr>
            <w:tcW w:w="746" w:type="pct"/>
            <w:shd w:val="clear" w:color="auto" w:fill="auto"/>
            <w:vAlign w:val="bottom"/>
          </w:tcPr>
          <w:p w14:paraId="35A1E7D2" w14:textId="390DDA8A" w:rsidR="00250CDF" w:rsidRPr="00DB1F5D" w:rsidRDefault="002D1E49" w:rsidP="00491750">
            <w:pPr>
              <w:tabs>
                <w:tab w:val="decimal" w:pos="742"/>
              </w:tabs>
              <w:rPr>
                <w:color w:val="auto"/>
              </w:rPr>
            </w:pPr>
            <w:r w:rsidRPr="008D0533">
              <w:rPr>
                <w:color w:val="auto"/>
              </w:rPr>
              <w:t>57.0</w:t>
            </w:r>
          </w:p>
        </w:tc>
        <w:tc>
          <w:tcPr>
            <w:tcW w:w="729" w:type="pct"/>
            <w:shd w:val="clear" w:color="auto" w:fill="auto"/>
            <w:vAlign w:val="bottom"/>
          </w:tcPr>
          <w:p w14:paraId="1F4745AC" w14:textId="6385B759" w:rsidR="00250CDF" w:rsidRPr="00DB1F5D" w:rsidRDefault="003F3523">
            <w:pPr>
              <w:tabs>
                <w:tab w:val="decimal" w:pos="742"/>
              </w:tabs>
              <w:rPr>
                <w:color w:val="auto"/>
              </w:rPr>
            </w:pPr>
            <w:r w:rsidRPr="00DB1F5D">
              <w:rPr>
                <w:color w:val="auto"/>
              </w:rPr>
              <w:t>11</w:t>
            </w:r>
            <w:r w:rsidR="002D1E49" w:rsidRPr="00DB1F5D">
              <w:rPr>
                <w:color w:val="auto"/>
              </w:rPr>
              <w:t>5.9</w:t>
            </w:r>
          </w:p>
        </w:tc>
      </w:tr>
      <w:tr w:rsidR="000E1A52" w:rsidRPr="003C0F16" w14:paraId="2ED99D89" w14:textId="77777777" w:rsidTr="00A06955">
        <w:trPr>
          <w:trHeight w:val="369"/>
        </w:trPr>
        <w:tc>
          <w:tcPr>
            <w:tcW w:w="2034" w:type="pct"/>
            <w:shd w:val="clear" w:color="auto" w:fill="auto"/>
            <w:vAlign w:val="bottom"/>
          </w:tcPr>
          <w:p w14:paraId="58DF1052" w14:textId="77777777" w:rsidR="00250CDF" w:rsidRPr="003F3523" w:rsidRDefault="00250CDF" w:rsidP="00250CDF">
            <w:pPr>
              <w:jc w:val="left"/>
              <w:rPr>
                <w:color w:val="auto"/>
              </w:rPr>
            </w:pPr>
            <w:r w:rsidRPr="003F3523">
              <w:rPr>
                <w:color w:val="auto"/>
              </w:rPr>
              <w:t>Payable within six to ten years</w:t>
            </w:r>
          </w:p>
        </w:tc>
        <w:tc>
          <w:tcPr>
            <w:tcW w:w="745" w:type="pct"/>
            <w:tcBorders>
              <w:bottom w:val="nil"/>
            </w:tcBorders>
            <w:vAlign w:val="bottom"/>
          </w:tcPr>
          <w:p w14:paraId="0081EC5D" w14:textId="1BD7BBA8" w:rsidR="00250CDF" w:rsidRPr="00DB1F5D" w:rsidRDefault="002D1E49" w:rsidP="00A06955">
            <w:pPr>
              <w:tabs>
                <w:tab w:val="decimal" w:pos="736"/>
              </w:tabs>
              <w:rPr>
                <w:color w:val="auto"/>
              </w:rPr>
            </w:pPr>
            <w:r w:rsidRPr="00DB1F5D">
              <w:rPr>
                <w:color w:val="auto"/>
              </w:rPr>
              <w:t>55.0</w:t>
            </w:r>
          </w:p>
        </w:tc>
        <w:tc>
          <w:tcPr>
            <w:tcW w:w="744" w:type="pct"/>
            <w:tcBorders>
              <w:bottom w:val="nil"/>
            </w:tcBorders>
            <w:vAlign w:val="bottom"/>
          </w:tcPr>
          <w:p w14:paraId="135565B5" w14:textId="77777777" w:rsidR="00250CDF" w:rsidRPr="00DB1F5D" w:rsidRDefault="000F6A36" w:rsidP="00A06955">
            <w:pPr>
              <w:tabs>
                <w:tab w:val="decimal" w:pos="738"/>
              </w:tabs>
              <w:rPr>
                <w:color w:val="auto"/>
              </w:rPr>
            </w:pPr>
            <w:r w:rsidRPr="00DB1F5D">
              <w:rPr>
                <w:color w:val="auto"/>
              </w:rPr>
              <w:t>32.5</w:t>
            </w:r>
          </w:p>
        </w:tc>
        <w:tc>
          <w:tcPr>
            <w:tcW w:w="746" w:type="pct"/>
            <w:tcBorders>
              <w:bottom w:val="nil"/>
            </w:tcBorders>
            <w:shd w:val="clear" w:color="auto" w:fill="auto"/>
            <w:vAlign w:val="bottom"/>
          </w:tcPr>
          <w:p w14:paraId="4E2B93E4" w14:textId="3E46EC34" w:rsidR="00250CDF" w:rsidRPr="00DB1F5D" w:rsidRDefault="002D1E49" w:rsidP="00A06955">
            <w:pPr>
              <w:tabs>
                <w:tab w:val="decimal" w:pos="742"/>
              </w:tabs>
              <w:rPr>
                <w:color w:val="auto"/>
              </w:rPr>
            </w:pPr>
            <w:r w:rsidRPr="008D0533">
              <w:rPr>
                <w:color w:val="auto"/>
              </w:rPr>
              <w:t>60.7</w:t>
            </w:r>
          </w:p>
        </w:tc>
        <w:tc>
          <w:tcPr>
            <w:tcW w:w="729" w:type="pct"/>
            <w:tcBorders>
              <w:bottom w:val="nil"/>
            </w:tcBorders>
            <w:shd w:val="clear" w:color="auto" w:fill="auto"/>
            <w:vAlign w:val="bottom"/>
          </w:tcPr>
          <w:p w14:paraId="78D56D93" w14:textId="41E06E5E" w:rsidR="00250CDF" w:rsidRPr="00DB1F5D" w:rsidRDefault="000F6A36" w:rsidP="00A06955">
            <w:pPr>
              <w:tabs>
                <w:tab w:val="decimal" w:pos="742"/>
              </w:tabs>
              <w:rPr>
                <w:color w:val="auto"/>
              </w:rPr>
            </w:pPr>
            <w:r w:rsidRPr="00DB1F5D">
              <w:rPr>
                <w:color w:val="auto"/>
              </w:rPr>
              <w:t>14</w:t>
            </w:r>
            <w:r w:rsidR="002D1E49" w:rsidRPr="00DB1F5D">
              <w:rPr>
                <w:color w:val="auto"/>
              </w:rPr>
              <w:t>8.2</w:t>
            </w:r>
          </w:p>
        </w:tc>
      </w:tr>
      <w:tr w:rsidR="000E1A52" w:rsidRPr="003C0F16" w14:paraId="55717128" w14:textId="77777777" w:rsidTr="00A06955">
        <w:trPr>
          <w:trHeight w:val="369"/>
        </w:trPr>
        <w:tc>
          <w:tcPr>
            <w:tcW w:w="2034" w:type="pct"/>
            <w:tcBorders>
              <w:bottom w:val="nil"/>
            </w:tcBorders>
            <w:shd w:val="clear" w:color="auto" w:fill="auto"/>
            <w:vAlign w:val="bottom"/>
          </w:tcPr>
          <w:p w14:paraId="6D7D516E" w14:textId="77777777" w:rsidR="00250CDF" w:rsidRPr="003F3523" w:rsidRDefault="00250CDF" w:rsidP="00250CDF">
            <w:pPr>
              <w:jc w:val="left"/>
              <w:rPr>
                <w:color w:val="auto"/>
              </w:rPr>
            </w:pPr>
            <w:r w:rsidRPr="003F3523">
              <w:rPr>
                <w:color w:val="auto"/>
              </w:rPr>
              <w:t>Payable within eleven to fifteen years</w:t>
            </w:r>
          </w:p>
        </w:tc>
        <w:tc>
          <w:tcPr>
            <w:tcW w:w="745" w:type="pct"/>
            <w:tcBorders>
              <w:top w:val="nil"/>
              <w:bottom w:val="nil"/>
            </w:tcBorders>
            <w:vAlign w:val="bottom"/>
          </w:tcPr>
          <w:p w14:paraId="7BA9DFCB" w14:textId="59F6E011" w:rsidR="00250CDF" w:rsidRPr="00DB1F5D" w:rsidRDefault="002D1E49" w:rsidP="00A06955">
            <w:pPr>
              <w:tabs>
                <w:tab w:val="decimal" w:pos="736"/>
              </w:tabs>
              <w:rPr>
                <w:color w:val="auto"/>
              </w:rPr>
            </w:pPr>
            <w:r w:rsidRPr="00DB1F5D">
              <w:rPr>
                <w:color w:val="auto"/>
              </w:rPr>
              <w:t>65.9</w:t>
            </w:r>
          </w:p>
        </w:tc>
        <w:tc>
          <w:tcPr>
            <w:tcW w:w="744" w:type="pct"/>
            <w:tcBorders>
              <w:top w:val="nil"/>
              <w:bottom w:val="nil"/>
            </w:tcBorders>
            <w:vAlign w:val="bottom"/>
          </w:tcPr>
          <w:p w14:paraId="3EFB723F" w14:textId="0BC2EA96" w:rsidR="00250CDF" w:rsidRPr="00DB1F5D" w:rsidRDefault="008C77A2" w:rsidP="00A06955">
            <w:pPr>
              <w:tabs>
                <w:tab w:val="decimal" w:pos="738"/>
              </w:tabs>
              <w:rPr>
                <w:color w:val="auto"/>
              </w:rPr>
            </w:pPr>
            <w:r w:rsidRPr="00DB1F5D">
              <w:rPr>
                <w:color w:val="auto"/>
              </w:rPr>
              <w:t>43.5</w:t>
            </w:r>
          </w:p>
        </w:tc>
        <w:tc>
          <w:tcPr>
            <w:tcW w:w="746" w:type="pct"/>
            <w:tcBorders>
              <w:top w:val="nil"/>
              <w:bottom w:val="nil"/>
            </w:tcBorders>
            <w:shd w:val="clear" w:color="auto" w:fill="auto"/>
            <w:vAlign w:val="bottom"/>
          </w:tcPr>
          <w:p w14:paraId="4F5AAC55" w14:textId="6EFED6CC" w:rsidR="00250CDF" w:rsidRPr="00DB1F5D" w:rsidRDefault="002D1E49" w:rsidP="00A06955">
            <w:pPr>
              <w:tabs>
                <w:tab w:val="decimal" w:pos="742"/>
              </w:tabs>
              <w:rPr>
                <w:color w:val="auto"/>
              </w:rPr>
            </w:pPr>
            <w:r w:rsidRPr="008D0533">
              <w:rPr>
                <w:color w:val="auto"/>
              </w:rPr>
              <w:t>42.7</w:t>
            </w:r>
          </w:p>
        </w:tc>
        <w:tc>
          <w:tcPr>
            <w:tcW w:w="729" w:type="pct"/>
            <w:tcBorders>
              <w:top w:val="nil"/>
              <w:bottom w:val="nil"/>
            </w:tcBorders>
            <w:shd w:val="clear" w:color="auto" w:fill="auto"/>
            <w:vAlign w:val="bottom"/>
          </w:tcPr>
          <w:p w14:paraId="649223BA" w14:textId="0BC8DA67" w:rsidR="00250CDF" w:rsidRPr="00DB1F5D" w:rsidRDefault="002D1E49" w:rsidP="007D3119">
            <w:pPr>
              <w:tabs>
                <w:tab w:val="decimal" w:pos="742"/>
              </w:tabs>
              <w:rPr>
                <w:color w:val="auto"/>
              </w:rPr>
            </w:pPr>
            <w:r w:rsidRPr="00DB1F5D">
              <w:rPr>
                <w:color w:val="auto"/>
              </w:rPr>
              <w:t>152.2</w:t>
            </w:r>
          </w:p>
        </w:tc>
      </w:tr>
      <w:tr w:rsidR="000E1A52" w:rsidRPr="003C0F16" w14:paraId="13E52440" w14:textId="77777777" w:rsidTr="00A06955">
        <w:trPr>
          <w:trHeight w:val="369"/>
        </w:trPr>
        <w:tc>
          <w:tcPr>
            <w:tcW w:w="2034" w:type="pct"/>
            <w:tcBorders>
              <w:top w:val="nil"/>
              <w:bottom w:val="nil"/>
            </w:tcBorders>
            <w:shd w:val="clear" w:color="auto" w:fill="auto"/>
            <w:vAlign w:val="bottom"/>
          </w:tcPr>
          <w:p w14:paraId="7C0EFC85" w14:textId="77777777" w:rsidR="00250CDF" w:rsidRPr="003F3523" w:rsidRDefault="00250CDF" w:rsidP="00250CDF">
            <w:pPr>
              <w:jc w:val="left"/>
              <w:rPr>
                <w:color w:val="auto"/>
              </w:rPr>
            </w:pPr>
            <w:r w:rsidRPr="003F3523">
              <w:rPr>
                <w:color w:val="auto"/>
              </w:rPr>
              <w:lastRenderedPageBreak/>
              <w:t>Payable within sixteen to twenty years</w:t>
            </w:r>
          </w:p>
        </w:tc>
        <w:tc>
          <w:tcPr>
            <w:tcW w:w="745" w:type="pct"/>
            <w:tcBorders>
              <w:top w:val="nil"/>
              <w:bottom w:val="nil"/>
            </w:tcBorders>
            <w:vAlign w:val="bottom"/>
          </w:tcPr>
          <w:p w14:paraId="65FA7738" w14:textId="336F6228" w:rsidR="00250CDF" w:rsidRPr="00DB1F5D" w:rsidRDefault="002D1E49" w:rsidP="00A06955">
            <w:pPr>
              <w:tabs>
                <w:tab w:val="decimal" w:pos="736"/>
              </w:tabs>
              <w:rPr>
                <w:color w:val="auto"/>
              </w:rPr>
            </w:pPr>
            <w:r w:rsidRPr="00DB1F5D">
              <w:rPr>
                <w:color w:val="auto"/>
              </w:rPr>
              <w:t>48.0</w:t>
            </w:r>
          </w:p>
        </w:tc>
        <w:tc>
          <w:tcPr>
            <w:tcW w:w="744" w:type="pct"/>
            <w:tcBorders>
              <w:top w:val="nil"/>
              <w:bottom w:val="nil"/>
            </w:tcBorders>
            <w:vAlign w:val="bottom"/>
          </w:tcPr>
          <w:p w14:paraId="54BC97C1" w14:textId="77777777" w:rsidR="00250CDF" w:rsidRPr="00DB1F5D" w:rsidRDefault="000F6A36" w:rsidP="00A06955">
            <w:pPr>
              <w:tabs>
                <w:tab w:val="decimal" w:pos="738"/>
              </w:tabs>
              <w:rPr>
                <w:color w:val="auto"/>
              </w:rPr>
            </w:pPr>
            <w:r w:rsidRPr="00DB1F5D">
              <w:rPr>
                <w:color w:val="auto"/>
              </w:rPr>
              <w:t>63.0</w:t>
            </w:r>
          </w:p>
        </w:tc>
        <w:tc>
          <w:tcPr>
            <w:tcW w:w="746" w:type="pct"/>
            <w:tcBorders>
              <w:top w:val="nil"/>
              <w:bottom w:val="nil"/>
            </w:tcBorders>
            <w:shd w:val="clear" w:color="auto" w:fill="auto"/>
            <w:vAlign w:val="bottom"/>
          </w:tcPr>
          <w:p w14:paraId="62169CFB" w14:textId="53156FF9" w:rsidR="00250CDF" w:rsidRPr="00DB1F5D" w:rsidRDefault="002D1E49" w:rsidP="00A06955">
            <w:pPr>
              <w:tabs>
                <w:tab w:val="decimal" w:pos="742"/>
              </w:tabs>
              <w:rPr>
                <w:color w:val="auto"/>
              </w:rPr>
            </w:pPr>
            <w:r w:rsidRPr="008D0533">
              <w:rPr>
                <w:color w:val="auto"/>
              </w:rPr>
              <w:t>23.6</w:t>
            </w:r>
          </w:p>
        </w:tc>
        <w:tc>
          <w:tcPr>
            <w:tcW w:w="729" w:type="pct"/>
            <w:tcBorders>
              <w:top w:val="nil"/>
              <w:bottom w:val="nil"/>
            </w:tcBorders>
            <w:shd w:val="clear" w:color="auto" w:fill="auto"/>
            <w:vAlign w:val="bottom"/>
          </w:tcPr>
          <w:p w14:paraId="1891292B" w14:textId="78757C52" w:rsidR="00250CDF" w:rsidRPr="00DB1F5D" w:rsidRDefault="002D1E49" w:rsidP="00A06955">
            <w:pPr>
              <w:tabs>
                <w:tab w:val="decimal" w:pos="742"/>
              </w:tabs>
              <w:rPr>
                <w:color w:val="auto"/>
              </w:rPr>
            </w:pPr>
            <w:r w:rsidRPr="00DB1F5D">
              <w:rPr>
                <w:color w:val="auto"/>
              </w:rPr>
              <w:t>134.6</w:t>
            </w:r>
          </w:p>
        </w:tc>
      </w:tr>
      <w:tr w:rsidR="000E1A52" w:rsidRPr="003C0F16" w14:paraId="2BAC4A98" w14:textId="77777777" w:rsidTr="00A06955">
        <w:trPr>
          <w:trHeight w:val="369"/>
        </w:trPr>
        <w:tc>
          <w:tcPr>
            <w:tcW w:w="2034" w:type="pct"/>
            <w:tcBorders>
              <w:top w:val="nil"/>
            </w:tcBorders>
            <w:shd w:val="clear" w:color="auto" w:fill="auto"/>
            <w:vAlign w:val="bottom"/>
          </w:tcPr>
          <w:p w14:paraId="58AC659E" w14:textId="77777777" w:rsidR="00250CDF" w:rsidRPr="003F3523" w:rsidRDefault="00250CDF" w:rsidP="00250CDF">
            <w:pPr>
              <w:jc w:val="left"/>
              <w:rPr>
                <w:color w:val="auto"/>
              </w:rPr>
            </w:pPr>
            <w:r w:rsidRPr="003F3523">
              <w:rPr>
                <w:color w:val="auto"/>
              </w:rPr>
              <w:t>Payable within twenty one to twenty five years</w:t>
            </w:r>
          </w:p>
        </w:tc>
        <w:tc>
          <w:tcPr>
            <w:tcW w:w="745" w:type="pct"/>
            <w:tcBorders>
              <w:top w:val="nil"/>
              <w:bottom w:val="single" w:sz="4" w:space="0" w:color="auto"/>
            </w:tcBorders>
            <w:vAlign w:val="bottom"/>
          </w:tcPr>
          <w:p w14:paraId="68C34B58" w14:textId="4E2F3FF6" w:rsidR="00250CDF" w:rsidRPr="00DB1F5D" w:rsidRDefault="000F6A36" w:rsidP="00A06955">
            <w:pPr>
              <w:tabs>
                <w:tab w:val="decimal" w:pos="736"/>
              </w:tabs>
              <w:rPr>
                <w:color w:val="auto"/>
              </w:rPr>
            </w:pPr>
            <w:r w:rsidRPr="00DB1F5D">
              <w:rPr>
                <w:color w:val="auto"/>
              </w:rPr>
              <w:t>0.</w:t>
            </w:r>
            <w:r w:rsidR="002D1E49" w:rsidRPr="00DB1F5D">
              <w:rPr>
                <w:color w:val="auto"/>
              </w:rPr>
              <w:t>6</w:t>
            </w:r>
          </w:p>
        </w:tc>
        <w:tc>
          <w:tcPr>
            <w:tcW w:w="744" w:type="pct"/>
            <w:tcBorders>
              <w:top w:val="nil"/>
              <w:bottom w:val="single" w:sz="4" w:space="0" w:color="auto"/>
            </w:tcBorders>
            <w:vAlign w:val="bottom"/>
          </w:tcPr>
          <w:p w14:paraId="272E4CDB" w14:textId="77777777" w:rsidR="00250CDF" w:rsidRPr="00DB1F5D" w:rsidRDefault="000F6A36" w:rsidP="00A06955">
            <w:pPr>
              <w:tabs>
                <w:tab w:val="decimal" w:pos="738"/>
              </w:tabs>
              <w:rPr>
                <w:color w:val="auto"/>
              </w:rPr>
            </w:pPr>
            <w:r w:rsidRPr="00DB1F5D">
              <w:rPr>
                <w:color w:val="auto"/>
              </w:rPr>
              <w:t>1.6</w:t>
            </w:r>
          </w:p>
        </w:tc>
        <w:tc>
          <w:tcPr>
            <w:tcW w:w="746" w:type="pct"/>
            <w:tcBorders>
              <w:top w:val="nil"/>
              <w:bottom w:val="single" w:sz="4" w:space="0" w:color="auto"/>
            </w:tcBorders>
            <w:shd w:val="clear" w:color="auto" w:fill="auto"/>
            <w:vAlign w:val="bottom"/>
          </w:tcPr>
          <w:p w14:paraId="364737E3" w14:textId="05B5A90C" w:rsidR="00250CDF" w:rsidRPr="00DB1F5D" w:rsidRDefault="000F6A36" w:rsidP="00A06955">
            <w:pPr>
              <w:tabs>
                <w:tab w:val="decimal" w:pos="742"/>
              </w:tabs>
              <w:rPr>
                <w:color w:val="auto"/>
              </w:rPr>
            </w:pPr>
            <w:r w:rsidRPr="00DB1F5D">
              <w:rPr>
                <w:color w:val="auto"/>
              </w:rPr>
              <w:t>0.</w:t>
            </w:r>
            <w:r w:rsidR="002D1E49" w:rsidRPr="008D0533">
              <w:rPr>
                <w:color w:val="auto"/>
              </w:rPr>
              <w:t>2</w:t>
            </w:r>
          </w:p>
        </w:tc>
        <w:tc>
          <w:tcPr>
            <w:tcW w:w="729" w:type="pct"/>
            <w:tcBorders>
              <w:top w:val="nil"/>
              <w:bottom w:val="single" w:sz="4" w:space="0" w:color="auto"/>
            </w:tcBorders>
            <w:shd w:val="clear" w:color="auto" w:fill="auto"/>
            <w:vAlign w:val="bottom"/>
          </w:tcPr>
          <w:p w14:paraId="6537E07F" w14:textId="2522DB52" w:rsidR="00250CDF" w:rsidRPr="00DB1F5D" w:rsidRDefault="000F6A36" w:rsidP="00A06955">
            <w:pPr>
              <w:tabs>
                <w:tab w:val="decimal" w:pos="742"/>
              </w:tabs>
              <w:rPr>
                <w:color w:val="auto"/>
              </w:rPr>
            </w:pPr>
            <w:r w:rsidRPr="00DB1F5D">
              <w:rPr>
                <w:color w:val="auto"/>
              </w:rPr>
              <w:t>2.</w:t>
            </w:r>
            <w:r w:rsidR="002D1E49" w:rsidRPr="00DB1F5D">
              <w:rPr>
                <w:color w:val="auto"/>
              </w:rPr>
              <w:t>4</w:t>
            </w:r>
          </w:p>
        </w:tc>
      </w:tr>
      <w:tr w:rsidR="000E1A52" w:rsidRPr="003C0F16" w14:paraId="1CBB5551" w14:textId="77777777" w:rsidTr="00A06955">
        <w:trPr>
          <w:trHeight w:val="369"/>
        </w:trPr>
        <w:tc>
          <w:tcPr>
            <w:tcW w:w="2034" w:type="pct"/>
            <w:shd w:val="clear" w:color="auto" w:fill="auto"/>
            <w:vAlign w:val="bottom"/>
          </w:tcPr>
          <w:p w14:paraId="0BB676A0" w14:textId="77777777" w:rsidR="00250CDF" w:rsidRPr="003F3523" w:rsidRDefault="00250CDF" w:rsidP="00250CDF">
            <w:pPr>
              <w:jc w:val="left"/>
              <w:rPr>
                <w:b/>
                <w:color w:val="auto"/>
              </w:rPr>
            </w:pPr>
            <w:r w:rsidRPr="003F3523">
              <w:rPr>
                <w:b/>
                <w:color w:val="auto"/>
              </w:rPr>
              <w:t>Total</w:t>
            </w:r>
          </w:p>
        </w:tc>
        <w:tc>
          <w:tcPr>
            <w:tcW w:w="745" w:type="pct"/>
            <w:tcBorders>
              <w:top w:val="single" w:sz="4" w:space="0" w:color="auto"/>
            </w:tcBorders>
            <w:vAlign w:val="bottom"/>
          </w:tcPr>
          <w:p w14:paraId="71F17D96" w14:textId="4544A7D7" w:rsidR="00250CDF" w:rsidRPr="00DB1F5D" w:rsidRDefault="002D1E49" w:rsidP="00A06955">
            <w:pPr>
              <w:tabs>
                <w:tab w:val="decimal" w:pos="736"/>
              </w:tabs>
              <w:rPr>
                <w:b/>
                <w:color w:val="auto"/>
              </w:rPr>
            </w:pPr>
            <w:r w:rsidRPr="00DB1F5D">
              <w:rPr>
                <w:b/>
                <w:color w:val="auto"/>
              </w:rPr>
              <w:t>217.8</w:t>
            </w:r>
          </w:p>
        </w:tc>
        <w:tc>
          <w:tcPr>
            <w:tcW w:w="744" w:type="pct"/>
            <w:tcBorders>
              <w:top w:val="single" w:sz="4" w:space="0" w:color="auto"/>
            </w:tcBorders>
            <w:vAlign w:val="bottom"/>
          </w:tcPr>
          <w:p w14:paraId="586BDCCD" w14:textId="45A6EC36" w:rsidR="00250CDF" w:rsidRPr="00DB1F5D" w:rsidRDefault="008C77A2" w:rsidP="00A06955">
            <w:pPr>
              <w:tabs>
                <w:tab w:val="decimal" w:pos="738"/>
              </w:tabs>
              <w:rPr>
                <w:b/>
                <w:color w:val="auto"/>
              </w:rPr>
            </w:pPr>
            <w:r w:rsidRPr="00DB1F5D">
              <w:rPr>
                <w:b/>
                <w:color w:val="auto"/>
              </w:rPr>
              <w:t>164.3</w:t>
            </w:r>
          </w:p>
        </w:tc>
        <w:tc>
          <w:tcPr>
            <w:tcW w:w="746" w:type="pct"/>
            <w:tcBorders>
              <w:top w:val="single" w:sz="4" w:space="0" w:color="auto"/>
            </w:tcBorders>
            <w:shd w:val="clear" w:color="auto" w:fill="auto"/>
            <w:vAlign w:val="bottom"/>
          </w:tcPr>
          <w:p w14:paraId="3D02814F" w14:textId="54291A07" w:rsidR="00250CDF" w:rsidRPr="00DB1F5D" w:rsidRDefault="000F6A36" w:rsidP="00491750">
            <w:pPr>
              <w:tabs>
                <w:tab w:val="decimal" w:pos="742"/>
              </w:tabs>
              <w:rPr>
                <w:b/>
                <w:color w:val="auto"/>
              </w:rPr>
            </w:pPr>
            <w:r w:rsidRPr="00DB1F5D">
              <w:rPr>
                <w:b/>
                <w:color w:val="auto"/>
              </w:rPr>
              <w:t>1</w:t>
            </w:r>
            <w:r w:rsidR="002D1E49" w:rsidRPr="008D0533">
              <w:rPr>
                <w:b/>
                <w:color w:val="auto"/>
              </w:rPr>
              <w:t>99.7</w:t>
            </w:r>
          </w:p>
        </w:tc>
        <w:tc>
          <w:tcPr>
            <w:tcW w:w="729" w:type="pct"/>
            <w:tcBorders>
              <w:top w:val="single" w:sz="4" w:space="0" w:color="auto"/>
            </w:tcBorders>
            <w:shd w:val="clear" w:color="auto" w:fill="auto"/>
            <w:vAlign w:val="bottom"/>
          </w:tcPr>
          <w:p w14:paraId="24278F90" w14:textId="5372A5E0" w:rsidR="00250CDF" w:rsidRPr="00DB1F5D" w:rsidRDefault="002D1E49" w:rsidP="00A06955">
            <w:pPr>
              <w:tabs>
                <w:tab w:val="decimal" w:pos="742"/>
              </w:tabs>
              <w:rPr>
                <w:b/>
                <w:color w:val="auto"/>
              </w:rPr>
            </w:pPr>
            <w:r w:rsidRPr="00DB1F5D">
              <w:rPr>
                <w:b/>
                <w:color w:val="auto"/>
              </w:rPr>
              <w:t>581.8</w:t>
            </w:r>
          </w:p>
        </w:tc>
      </w:tr>
    </w:tbl>
    <w:p w14:paraId="0E3D24CD" w14:textId="77777777" w:rsidR="003931E0" w:rsidRDefault="003931E0" w:rsidP="00250CDF">
      <w:pPr>
        <w:rPr>
          <w:lang w:eastAsia="en-GB"/>
        </w:rPr>
      </w:pPr>
    </w:p>
    <w:p w14:paraId="59C4BB46" w14:textId="77777777" w:rsidR="00250CDF" w:rsidRPr="00E13FD0" w:rsidRDefault="0058708B" w:rsidP="00250CDF">
      <w:pPr>
        <w:rPr>
          <w:lang w:eastAsia="en-GB"/>
        </w:rPr>
      </w:pPr>
      <w:r w:rsidRPr="00E13FD0">
        <w:rPr>
          <w:lang w:eastAsia="en-GB"/>
        </w:rPr>
        <w:t>To help finance the scheme we received the following income: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58708B" w:rsidRPr="00E13FD0" w14:paraId="5297FEA2" w14:textId="77777777" w:rsidTr="00A06955">
        <w:trPr>
          <w:trHeight w:val="369"/>
          <w:tblHeader/>
        </w:trPr>
        <w:tc>
          <w:tcPr>
            <w:tcW w:w="3105" w:type="pct"/>
            <w:shd w:val="clear" w:color="auto" w:fill="D0CECE"/>
            <w:vAlign w:val="bottom"/>
          </w:tcPr>
          <w:p w14:paraId="6B5144C5" w14:textId="77777777" w:rsidR="0058708B" w:rsidRPr="00E13FD0" w:rsidRDefault="0058708B" w:rsidP="00730385">
            <w:pPr>
              <w:jc w:val="left"/>
              <w:rPr>
                <w:color w:val="auto"/>
              </w:rPr>
            </w:pPr>
          </w:p>
        </w:tc>
        <w:tc>
          <w:tcPr>
            <w:tcW w:w="929" w:type="pct"/>
            <w:shd w:val="clear" w:color="auto" w:fill="D0CECE"/>
            <w:vAlign w:val="bottom"/>
          </w:tcPr>
          <w:p w14:paraId="27C81954" w14:textId="77777777" w:rsidR="0058708B" w:rsidRPr="00E13FD0" w:rsidRDefault="0058708B" w:rsidP="00730385">
            <w:pPr>
              <w:jc w:val="center"/>
              <w:rPr>
                <w:b/>
                <w:color w:val="auto"/>
              </w:rPr>
            </w:pPr>
            <w:r w:rsidRPr="00E13FD0">
              <w:rPr>
                <w:b/>
                <w:color w:val="auto"/>
              </w:rPr>
              <w:t>2014/15</w:t>
            </w:r>
          </w:p>
        </w:tc>
        <w:tc>
          <w:tcPr>
            <w:tcW w:w="966" w:type="pct"/>
            <w:shd w:val="clear" w:color="auto" w:fill="D0CECE"/>
            <w:vAlign w:val="bottom"/>
          </w:tcPr>
          <w:p w14:paraId="42806463" w14:textId="77777777" w:rsidR="0058708B" w:rsidRPr="00E13FD0" w:rsidRDefault="0058708B" w:rsidP="00730385">
            <w:pPr>
              <w:jc w:val="center"/>
              <w:rPr>
                <w:b/>
                <w:color w:val="auto"/>
              </w:rPr>
            </w:pPr>
            <w:r w:rsidRPr="00E13FD0">
              <w:rPr>
                <w:b/>
                <w:color w:val="auto"/>
              </w:rPr>
              <w:t>2013/14</w:t>
            </w:r>
          </w:p>
        </w:tc>
      </w:tr>
      <w:tr w:rsidR="0058708B" w:rsidRPr="00E13FD0" w14:paraId="1F5D3F6B" w14:textId="77777777" w:rsidTr="00A06955">
        <w:trPr>
          <w:trHeight w:val="369"/>
          <w:tblHeader/>
        </w:trPr>
        <w:tc>
          <w:tcPr>
            <w:tcW w:w="3105" w:type="pct"/>
            <w:shd w:val="clear" w:color="auto" w:fill="D0CECE"/>
            <w:vAlign w:val="bottom"/>
          </w:tcPr>
          <w:p w14:paraId="2C10706F" w14:textId="77777777" w:rsidR="0058708B" w:rsidRPr="00E13FD0" w:rsidRDefault="0058708B" w:rsidP="00730385">
            <w:pPr>
              <w:jc w:val="left"/>
              <w:rPr>
                <w:color w:val="auto"/>
              </w:rPr>
            </w:pPr>
          </w:p>
        </w:tc>
        <w:tc>
          <w:tcPr>
            <w:tcW w:w="929" w:type="pct"/>
            <w:shd w:val="clear" w:color="auto" w:fill="D0CECE"/>
            <w:vAlign w:val="bottom"/>
          </w:tcPr>
          <w:p w14:paraId="0DB6152A" w14:textId="77777777" w:rsidR="0058708B" w:rsidRPr="00E13FD0" w:rsidRDefault="0058708B" w:rsidP="00730385">
            <w:pPr>
              <w:jc w:val="center"/>
              <w:rPr>
                <w:b/>
                <w:color w:val="auto"/>
              </w:rPr>
            </w:pPr>
            <w:r w:rsidRPr="00E13FD0">
              <w:rPr>
                <w:b/>
                <w:color w:val="auto"/>
              </w:rPr>
              <w:t>£m</w:t>
            </w:r>
          </w:p>
        </w:tc>
        <w:tc>
          <w:tcPr>
            <w:tcW w:w="966" w:type="pct"/>
            <w:shd w:val="clear" w:color="auto" w:fill="D0CECE"/>
            <w:vAlign w:val="bottom"/>
          </w:tcPr>
          <w:p w14:paraId="1D56A0A3" w14:textId="77777777" w:rsidR="0058708B" w:rsidRPr="00E13FD0" w:rsidRDefault="0058708B" w:rsidP="00730385">
            <w:pPr>
              <w:jc w:val="center"/>
              <w:rPr>
                <w:b/>
                <w:color w:val="auto"/>
              </w:rPr>
            </w:pPr>
            <w:r w:rsidRPr="00E13FD0">
              <w:rPr>
                <w:b/>
                <w:color w:val="auto"/>
              </w:rPr>
              <w:t>£m</w:t>
            </w:r>
          </w:p>
        </w:tc>
      </w:tr>
      <w:tr w:rsidR="0058708B" w:rsidRPr="00E13FD0" w14:paraId="566F08EE" w14:textId="77777777" w:rsidTr="00730385">
        <w:trPr>
          <w:trHeight w:val="369"/>
        </w:trPr>
        <w:tc>
          <w:tcPr>
            <w:tcW w:w="3105" w:type="pct"/>
            <w:shd w:val="clear" w:color="auto" w:fill="auto"/>
            <w:vAlign w:val="bottom"/>
          </w:tcPr>
          <w:p w14:paraId="5756BA2C" w14:textId="77777777" w:rsidR="0058708B" w:rsidRPr="00E13FD0" w:rsidRDefault="0058708B" w:rsidP="00730385">
            <w:pPr>
              <w:jc w:val="left"/>
              <w:rPr>
                <w:color w:val="auto"/>
              </w:rPr>
            </w:pPr>
            <w:r w:rsidRPr="00E13FD0">
              <w:rPr>
                <w:color w:val="auto"/>
              </w:rPr>
              <w:t>PFI grant from the government</w:t>
            </w:r>
          </w:p>
        </w:tc>
        <w:tc>
          <w:tcPr>
            <w:tcW w:w="929" w:type="pct"/>
            <w:tcBorders>
              <w:bottom w:val="nil"/>
            </w:tcBorders>
            <w:shd w:val="clear" w:color="auto" w:fill="auto"/>
            <w:vAlign w:val="bottom"/>
          </w:tcPr>
          <w:p w14:paraId="3530FCB5" w14:textId="0DE6CF04" w:rsidR="0058708B" w:rsidRPr="00E13FD0" w:rsidRDefault="00010335" w:rsidP="00730385">
            <w:pPr>
              <w:tabs>
                <w:tab w:val="decimal" w:pos="884"/>
              </w:tabs>
              <w:rPr>
                <w:color w:val="auto"/>
              </w:rPr>
            </w:pPr>
            <w:r>
              <w:rPr>
                <w:color w:val="auto"/>
              </w:rPr>
              <w:t>(</w:t>
            </w:r>
            <w:r w:rsidR="00E13FD0" w:rsidRPr="00E13FD0">
              <w:rPr>
                <w:color w:val="auto"/>
              </w:rPr>
              <w:t>20.5</w:t>
            </w:r>
            <w:r>
              <w:rPr>
                <w:color w:val="auto"/>
              </w:rPr>
              <w:t>)</w:t>
            </w:r>
          </w:p>
        </w:tc>
        <w:tc>
          <w:tcPr>
            <w:tcW w:w="966" w:type="pct"/>
            <w:tcBorders>
              <w:bottom w:val="nil"/>
            </w:tcBorders>
            <w:shd w:val="clear" w:color="auto" w:fill="auto"/>
            <w:vAlign w:val="bottom"/>
          </w:tcPr>
          <w:p w14:paraId="335B739C" w14:textId="1F4C9F2C" w:rsidR="0058708B" w:rsidRPr="00E13FD0" w:rsidRDefault="00010335" w:rsidP="00730385">
            <w:pPr>
              <w:tabs>
                <w:tab w:val="decimal" w:pos="885"/>
              </w:tabs>
              <w:rPr>
                <w:color w:val="auto"/>
              </w:rPr>
            </w:pPr>
            <w:r>
              <w:rPr>
                <w:color w:val="auto"/>
              </w:rPr>
              <w:t>(</w:t>
            </w:r>
            <w:r w:rsidR="0058708B" w:rsidRPr="00E13FD0">
              <w:rPr>
                <w:color w:val="auto"/>
              </w:rPr>
              <w:t>20.5</w:t>
            </w:r>
            <w:r>
              <w:rPr>
                <w:color w:val="auto"/>
              </w:rPr>
              <w:t>)</w:t>
            </w:r>
          </w:p>
        </w:tc>
      </w:tr>
      <w:tr w:rsidR="0058708B" w:rsidRPr="00E13FD0" w14:paraId="24A38941" w14:textId="77777777" w:rsidTr="00730385">
        <w:trPr>
          <w:trHeight w:val="369"/>
        </w:trPr>
        <w:tc>
          <w:tcPr>
            <w:tcW w:w="3105" w:type="pct"/>
            <w:shd w:val="clear" w:color="auto" w:fill="auto"/>
            <w:vAlign w:val="bottom"/>
          </w:tcPr>
          <w:p w14:paraId="7CB66374" w14:textId="77777777" w:rsidR="0058708B" w:rsidRPr="00E13FD0" w:rsidRDefault="0058708B" w:rsidP="00730385">
            <w:pPr>
              <w:jc w:val="left"/>
              <w:rPr>
                <w:color w:val="auto"/>
              </w:rPr>
            </w:pPr>
            <w:r w:rsidRPr="00E13FD0">
              <w:rPr>
                <w:color w:val="auto"/>
              </w:rPr>
              <w:t>Contributions from the schools</w:t>
            </w:r>
          </w:p>
        </w:tc>
        <w:tc>
          <w:tcPr>
            <w:tcW w:w="929" w:type="pct"/>
            <w:tcBorders>
              <w:bottom w:val="nil"/>
            </w:tcBorders>
            <w:shd w:val="clear" w:color="auto" w:fill="auto"/>
            <w:vAlign w:val="bottom"/>
          </w:tcPr>
          <w:p w14:paraId="7C1266E7" w14:textId="2DF6357E" w:rsidR="0058708B" w:rsidRPr="00E13FD0" w:rsidRDefault="00010335" w:rsidP="00730385">
            <w:pPr>
              <w:tabs>
                <w:tab w:val="decimal" w:pos="884"/>
              </w:tabs>
              <w:rPr>
                <w:color w:val="auto"/>
              </w:rPr>
            </w:pPr>
            <w:r>
              <w:rPr>
                <w:color w:val="auto"/>
              </w:rPr>
              <w:t>(</w:t>
            </w:r>
            <w:r w:rsidR="00E13FD0" w:rsidRPr="00E13FD0">
              <w:rPr>
                <w:color w:val="auto"/>
              </w:rPr>
              <w:t>8.8</w:t>
            </w:r>
            <w:r>
              <w:rPr>
                <w:color w:val="auto"/>
              </w:rPr>
              <w:t>)</w:t>
            </w:r>
          </w:p>
        </w:tc>
        <w:tc>
          <w:tcPr>
            <w:tcW w:w="966" w:type="pct"/>
            <w:tcBorders>
              <w:bottom w:val="nil"/>
            </w:tcBorders>
            <w:shd w:val="clear" w:color="auto" w:fill="auto"/>
            <w:vAlign w:val="bottom"/>
          </w:tcPr>
          <w:p w14:paraId="69029F3B" w14:textId="14A90CB7" w:rsidR="0058708B" w:rsidRPr="00E13FD0" w:rsidRDefault="00010335" w:rsidP="00730385">
            <w:pPr>
              <w:tabs>
                <w:tab w:val="decimal" w:pos="885"/>
              </w:tabs>
              <w:rPr>
                <w:color w:val="auto"/>
              </w:rPr>
            </w:pPr>
            <w:r>
              <w:rPr>
                <w:color w:val="auto"/>
              </w:rPr>
              <w:t>(</w:t>
            </w:r>
            <w:r w:rsidR="0058708B" w:rsidRPr="00E13FD0">
              <w:rPr>
                <w:color w:val="auto"/>
              </w:rPr>
              <w:t>8.3</w:t>
            </w:r>
            <w:r>
              <w:rPr>
                <w:color w:val="auto"/>
              </w:rPr>
              <w:t>)</w:t>
            </w:r>
          </w:p>
        </w:tc>
      </w:tr>
      <w:tr w:rsidR="0058708B" w:rsidRPr="00E13FD0" w14:paraId="4939F52B" w14:textId="77777777" w:rsidTr="00730385">
        <w:trPr>
          <w:trHeight w:val="369"/>
        </w:trPr>
        <w:tc>
          <w:tcPr>
            <w:tcW w:w="3105" w:type="pct"/>
            <w:shd w:val="clear" w:color="auto" w:fill="auto"/>
            <w:vAlign w:val="bottom"/>
          </w:tcPr>
          <w:p w14:paraId="30D54EE4" w14:textId="77777777" w:rsidR="0058708B" w:rsidRPr="00E13FD0" w:rsidRDefault="0058708B" w:rsidP="00730385">
            <w:pPr>
              <w:jc w:val="left"/>
              <w:rPr>
                <w:color w:val="auto"/>
              </w:rPr>
            </w:pPr>
            <w:r w:rsidRPr="00E13FD0">
              <w:rPr>
                <w:color w:val="auto"/>
              </w:rPr>
              <w:t>Contributions from the local authority</w:t>
            </w:r>
          </w:p>
        </w:tc>
        <w:tc>
          <w:tcPr>
            <w:tcW w:w="929" w:type="pct"/>
            <w:tcBorders>
              <w:bottom w:val="nil"/>
            </w:tcBorders>
            <w:shd w:val="clear" w:color="auto" w:fill="auto"/>
            <w:vAlign w:val="bottom"/>
          </w:tcPr>
          <w:p w14:paraId="02405739" w14:textId="0E688C8B" w:rsidR="0058708B" w:rsidRPr="00E13FD0" w:rsidRDefault="00010335" w:rsidP="00730385">
            <w:pPr>
              <w:tabs>
                <w:tab w:val="decimal" w:pos="884"/>
              </w:tabs>
              <w:rPr>
                <w:color w:val="auto"/>
              </w:rPr>
            </w:pPr>
            <w:r>
              <w:rPr>
                <w:color w:val="auto"/>
              </w:rPr>
              <w:t>(</w:t>
            </w:r>
            <w:r w:rsidR="00E13FD0" w:rsidRPr="00E13FD0">
              <w:rPr>
                <w:color w:val="auto"/>
              </w:rPr>
              <w:t>0.1</w:t>
            </w:r>
            <w:r>
              <w:rPr>
                <w:color w:val="auto"/>
              </w:rPr>
              <w:t>)</w:t>
            </w:r>
          </w:p>
        </w:tc>
        <w:tc>
          <w:tcPr>
            <w:tcW w:w="966" w:type="pct"/>
            <w:tcBorders>
              <w:bottom w:val="nil"/>
            </w:tcBorders>
            <w:shd w:val="clear" w:color="auto" w:fill="auto"/>
            <w:vAlign w:val="bottom"/>
          </w:tcPr>
          <w:p w14:paraId="795EE9BD" w14:textId="66F28350" w:rsidR="0058708B" w:rsidRPr="00E13FD0" w:rsidRDefault="00010335" w:rsidP="00730385">
            <w:pPr>
              <w:tabs>
                <w:tab w:val="decimal" w:pos="885"/>
              </w:tabs>
              <w:rPr>
                <w:color w:val="auto"/>
              </w:rPr>
            </w:pPr>
            <w:r>
              <w:rPr>
                <w:color w:val="auto"/>
              </w:rPr>
              <w:t>(</w:t>
            </w:r>
            <w:r w:rsidR="0058708B" w:rsidRPr="00E13FD0">
              <w:rPr>
                <w:color w:val="auto"/>
              </w:rPr>
              <w:t>0.1</w:t>
            </w:r>
            <w:r>
              <w:rPr>
                <w:color w:val="auto"/>
              </w:rPr>
              <w:t>)</w:t>
            </w:r>
          </w:p>
        </w:tc>
      </w:tr>
      <w:tr w:rsidR="0058708B" w:rsidRPr="00052104" w14:paraId="63677A16" w14:textId="77777777" w:rsidTr="00730385">
        <w:trPr>
          <w:trHeight w:val="369"/>
        </w:trPr>
        <w:tc>
          <w:tcPr>
            <w:tcW w:w="3105" w:type="pct"/>
            <w:shd w:val="clear" w:color="auto" w:fill="auto"/>
            <w:vAlign w:val="bottom"/>
          </w:tcPr>
          <w:p w14:paraId="4F7F469D" w14:textId="77777777" w:rsidR="0058708B" w:rsidRPr="00E13FD0" w:rsidRDefault="0058708B" w:rsidP="00730385">
            <w:pPr>
              <w:jc w:val="left"/>
              <w:rPr>
                <w:b/>
                <w:color w:val="auto"/>
              </w:rPr>
            </w:pPr>
            <w:r w:rsidRPr="00E13FD0">
              <w:rPr>
                <w:b/>
                <w:color w:val="auto"/>
              </w:rPr>
              <w:t>Total</w:t>
            </w:r>
          </w:p>
        </w:tc>
        <w:tc>
          <w:tcPr>
            <w:tcW w:w="929" w:type="pct"/>
            <w:tcBorders>
              <w:top w:val="single" w:sz="4" w:space="0" w:color="auto"/>
              <w:bottom w:val="single" w:sz="4" w:space="0" w:color="auto"/>
            </w:tcBorders>
            <w:shd w:val="clear" w:color="auto" w:fill="auto"/>
            <w:vAlign w:val="bottom"/>
          </w:tcPr>
          <w:p w14:paraId="60C4E6A0" w14:textId="64495436" w:rsidR="0058708B" w:rsidRPr="00E13FD0" w:rsidRDefault="00010335" w:rsidP="00730385">
            <w:pPr>
              <w:tabs>
                <w:tab w:val="decimal" w:pos="884"/>
              </w:tabs>
              <w:rPr>
                <w:b/>
                <w:color w:val="auto"/>
              </w:rPr>
            </w:pPr>
            <w:r>
              <w:rPr>
                <w:b/>
                <w:color w:val="auto"/>
              </w:rPr>
              <w:t>(</w:t>
            </w:r>
            <w:r w:rsidR="00E13FD0" w:rsidRPr="00E13FD0">
              <w:rPr>
                <w:b/>
                <w:color w:val="auto"/>
              </w:rPr>
              <w:t>29.4</w:t>
            </w:r>
            <w:r>
              <w:rPr>
                <w:b/>
                <w:color w:val="auto"/>
              </w:rPr>
              <w:t>)</w:t>
            </w:r>
          </w:p>
        </w:tc>
        <w:tc>
          <w:tcPr>
            <w:tcW w:w="966" w:type="pct"/>
            <w:tcBorders>
              <w:top w:val="single" w:sz="4" w:space="0" w:color="auto"/>
              <w:bottom w:val="single" w:sz="4" w:space="0" w:color="auto"/>
            </w:tcBorders>
            <w:shd w:val="clear" w:color="auto" w:fill="auto"/>
            <w:vAlign w:val="bottom"/>
          </w:tcPr>
          <w:p w14:paraId="7CD0700C" w14:textId="42DEDD23" w:rsidR="0058708B" w:rsidRPr="00052104" w:rsidRDefault="00010335" w:rsidP="00730385">
            <w:pPr>
              <w:tabs>
                <w:tab w:val="decimal" w:pos="885"/>
              </w:tabs>
              <w:rPr>
                <w:b/>
                <w:color w:val="auto"/>
              </w:rPr>
            </w:pPr>
            <w:r>
              <w:rPr>
                <w:b/>
                <w:color w:val="auto"/>
              </w:rPr>
              <w:t>(</w:t>
            </w:r>
            <w:r w:rsidR="0058708B" w:rsidRPr="00E13FD0">
              <w:rPr>
                <w:b/>
                <w:color w:val="auto"/>
              </w:rPr>
              <w:t>28.9</w:t>
            </w:r>
            <w:r>
              <w:rPr>
                <w:b/>
                <w:color w:val="auto"/>
              </w:rPr>
              <w:t>)</w:t>
            </w:r>
          </w:p>
        </w:tc>
      </w:tr>
    </w:tbl>
    <w:p w14:paraId="13C39668" w14:textId="77777777" w:rsidR="0058708B" w:rsidRDefault="0058708B" w:rsidP="0058708B">
      <w:pPr>
        <w:rPr>
          <w:lang w:eastAsia="en-GB"/>
        </w:rPr>
      </w:pPr>
    </w:p>
    <w:p w14:paraId="516DC349" w14:textId="77777777" w:rsidR="0058708B" w:rsidRPr="00157D3D" w:rsidRDefault="0058708B" w:rsidP="0058708B">
      <w:pPr>
        <w:rPr>
          <w:lang w:eastAsia="en-GB"/>
        </w:rPr>
      </w:pPr>
      <w:r w:rsidRPr="00157D3D">
        <w:rPr>
          <w:lang w:eastAsia="en-GB"/>
        </w:rPr>
        <w:t>Although the payments made to the contractor are described as unitary payments, they have been calculated to compensate the contractor for the fair value of the services they provide, the capital expenditure incurred and interest payable whilst the capital expenditure remains to be reimbursed.</w:t>
      </w:r>
    </w:p>
    <w:p w14:paraId="7AE9A780" w14:textId="77777777" w:rsidR="0058708B" w:rsidRPr="00157D3D" w:rsidRDefault="0058708B" w:rsidP="0058708B">
      <w:pPr>
        <w:rPr>
          <w:lang w:eastAsia="en-GB"/>
        </w:rPr>
      </w:pPr>
      <w:r w:rsidRPr="00157D3D">
        <w:rPr>
          <w:lang w:eastAsia="en-GB"/>
        </w:rPr>
        <w:t>The liability outstanding to pay to the contractor for capital expenditure incurred is as follows: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58708B" w:rsidRPr="00157D3D" w14:paraId="1204EAF0" w14:textId="77777777" w:rsidTr="00A06955">
        <w:trPr>
          <w:trHeight w:val="369"/>
          <w:tblHeader/>
        </w:trPr>
        <w:tc>
          <w:tcPr>
            <w:tcW w:w="3105" w:type="pct"/>
            <w:shd w:val="clear" w:color="auto" w:fill="D0CECE"/>
            <w:vAlign w:val="bottom"/>
          </w:tcPr>
          <w:p w14:paraId="70CBCD7D" w14:textId="77777777" w:rsidR="0058708B" w:rsidRPr="00157D3D" w:rsidRDefault="0058708B" w:rsidP="00730385">
            <w:pPr>
              <w:jc w:val="left"/>
              <w:rPr>
                <w:color w:val="auto"/>
              </w:rPr>
            </w:pPr>
          </w:p>
        </w:tc>
        <w:tc>
          <w:tcPr>
            <w:tcW w:w="929" w:type="pct"/>
            <w:shd w:val="clear" w:color="auto" w:fill="D0CECE"/>
            <w:vAlign w:val="bottom"/>
          </w:tcPr>
          <w:p w14:paraId="55971524" w14:textId="77777777" w:rsidR="0058708B" w:rsidRPr="00157D3D" w:rsidRDefault="0058708B" w:rsidP="00730385">
            <w:pPr>
              <w:jc w:val="center"/>
              <w:rPr>
                <w:b/>
                <w:color w:val="auto"/>
              </w:rPr>
            </w:pPr>
            <w:r w:rsidRPr="00157D3D">
              <w:rPr>
                <w:b/>
                <w:color w:val="auto"/>
              </w:rPr>
              <w:t>2014/15</w:t>
            </w:r>
          </w:p>
        </w:tc>
        <w:tc>
          <w:tcPr>
            <w:tcW w:w="966" w:type="pct"/>
            <w:shd w:val="clear" w:color="auto" w:fill="D0CECE"/>
            <w:vAlign w:val="bottom"/>
          </w:tcPr>
          <w:p w14:paraId="2012F31A" w14:textId="77777777" w:rsidR="0058708B" w:rsidRPr="00157D3D" w:rsidRDefault="0058708B" w:rsidP="00730385">
            <w:pPr>
              <w:jc w:val="center"/>
              <w:rPr>
                <w:b/>
                <w:color w:val="auto"/>
              </w:rPr>
            </w:pPr>
            <w:r w:rsidRPr="00157D3D">
              <w:rPr>
                <w:b/>
                <w:color w:val="auto"/>
              </w:rPr>
              <w:t>2013/14</w:t>
            </w:r>
          </w:p>
        </w:tc>
      </w:tr>
      <w:tr w:rsidR="0058708B" w:rsidRPr="00157D3D" w14:paraId="2E42BD9D" w14:textId="77777777" w:rsidTr="00A06955">
        <w:trPr>
          <w:trHeight w:val="369"/>
          <w:tblHeader/>
        </w:trPr>
        <w:tc>
          <w:tcPr>
            <w:tcW w:w="3105" w:type="pct"/>
            <w:shd w:val="clear" w:color="auto" w:fill="D0CECE"/>
            <w:vAlign w:val="bottom"/>
          </w:tcPr>
          <w:p w14:paraId="61B5BF65" w14:textId="77777777" w:rsidR="0058708B" w:rsidRPr="00157D3D" w:rsidRDefault="0058708B" w:rsidP="00730385">
            <w:pPr>
              <w:jc w:val="left"/>
              <w:rPr>
                <w:color w:val="auto"/>
              </w:rPr>
            </w:pPr>
          </w:p>
        </w:tc>
        <w:tc>
          <w:tcPr>
            <w:tcW w:w="929" w:type="pct"/>
            <w:shd w:val="clear" w:color="auto" w:fill="D0CECE"/>
            <w:vAlign w:val="bottom"/>
          </w:tcPr>
          <w:p w14:paraId="147C671A" w14:textId="77777777" w:rsidR="0058708B" w:rsidRPr="00157D3D" w:rsidRDefault="0058708B" w:rsidP="00730385">
            <w:pPr>
              <w:jc w:val="center"/>
              <w:rPr>
                <w:b/>
                <w:color w:val="auto"/>
              </w:rPr>
            </w:pPr>
            <w:r w:rsidRPr="00157D3D">
              <w:rPr>
                <w:b/>
                <w:color w:val="auto"/>
              </w:rPr>
              <w:t>£m</w:t>
            </w:r>
          </w:p>
        </w:tc>
        <w:tc>
          <w:tcPr>
            <w:tcW w:w="966" w:type="pct"/>
            <w:shd w:val="clear" w:color="auto" w:fill="D0CECE"/>
            <w:vAlign w:val="bottom"/>
          </w:tcPr>
          <w:p w14:paraId="038C0905" w14:textId="77777777" w:rsidR="0058708B" w:rsidRPr="00157D3D" w:rsidRDefault="0058708B" w:rsidP="00730385">
            <w:pPr>
              <w:jc w:val="center"/>
              <w:rPr>
                <w:b/>
                <w:color w:val="auto"/>
              </w:rPr>
            </w:pPr>
            <w:r w:rsidRPr="00157D3D">
              <w:rPr>
                <w:b/>
                <w:color w:val="auto"/>
              </w:rPr>
              <w:t>£m</w:t>
            </w:r>
          </w:p>
        </w:tc>
      </w:tr>
      <w:tr w:rsidR="0058708B" w:rsidRPr="00157D3D" w14:paraId="4A6EAC34" w14:textId="77777777" w:rsidTr="00A06955">
        <w:trPr>
          <w:trHeight w:val="369"/>
        </w:trPr>
        <w:tc>
          <w:tcPr>
            <w:tcW w:w="3105" w:type="pct"/>
            <w:shd w:val="clear" w:color="auto" w:fill="auto"/>
            <w:vAlign w:val="bottom"/>
          </w:tcPr>
          <w:p w14:paraId="5170FDBC" w14:textId="77777777" w:rsidR="0058708B" w:rsidRPr="00157D3D" w:rsidRDefault="0058708B" w:rsidP="00730385">
            <w:pPr>
              <w:jc w:val="left"/>
              <w:rPr>
                <w:color w:val="auto"/>
              </w:rPr>
            </w:pPr>
            <w:r w:rsidRPr="00157D3D">
              <w:rPr>
                <w:color w:val="auto"/>
              </w:rPr>
              <w:t>Balance outstanding at start of year</w:t>
            </w:r>
          </w:p>
        </w:tc>
        <w:tc>
          <w:tcPr>
            <w:tcW w:w="929" w:type="pct"/>
            <w:tcBorders>
              <w:bottom w:val="nil"/>
            </w:tcBorders>
            <w:shd w:val="clear" w:color="auto" w:fill="auto"/>
            <w:vAlign w:val="bottom"/>
          </w:tcPr>
          <w:p w14:paraId="76C2FCFF" w14:textId="77777777" w:rsidR="0058708B" w:rsidRPr="00157D3D" w:rsidRDefault="007156A5" w:rsidP="0058708B">
            <w:pPr>
              <w:tabs>
                <w:tab w:val="decimal" w:pos="884"/>
              </w:tabs>
              <w:rPr>
                <w:color w:val="auto"/>
              </w:rPr>
            </w:pPr>
            <w:r w:rsidRPr="00157D3D">
              <w:rPr>
                <w:color w:val="auto"/>
              </w:rPr>
              <w:t>(177.1)</w:t>
            </w:r>
          </w:p>
        </w:tc>
        <w:tc>
          <w:tcPr>
            <w:tcW w:w="966" w:type="pct"/>
            <w:tcBorders>
              <w:bottom w:val="nil"/>
            </w:tcBorders>
            <w:shd w:val="clear" w:color="auto" w:fill="auto"/>
            <w:vAlign w:val="bottom"/>
          </w:tcPr>
          <w:p w14:paraId="3170AB76" w14:textId="77777777" w:rsidR="0058708B" w:rsidRPr="00157D3D" w:rsidRDefault="0058708B" w:rsidP="0058708B">
            <w:pPr>
              <w:tabs>
                <w:tab w:val="decimal" w:pos="1026"/>
              </w:tabs>
              <w:rPr>
                <w:color w:val="auto"/>
              </w:rPr>
            </w:pPr>
            <w:r w:rsidRPr="00157D3D">
              <w:rPr>
                <w:color w:val="auto"/>
              </w:rPr>
              <w:t>(181.6)</w:t>
            </w:r>
          </w:p>
        </w:tc>
      </w:tr>
      <w:tr w:rsidR="0058708B" w:rsidRPr="00157D3D" w14:paraId="40F7869B" w14:textId="77777777" w:rsidTr="00A06955">
        <w:trPr>
          <w:trHeight w:val="369"/>
        </w:trPr>
        <w:tc>
          <w:tcPr>
            <w:tcW w:w="3105" w:type="pct"/>
            <w:shd w:val="clear" w:color="auto" w:fill="auto"/>
            <w:vAlign w:val="bottom"/>
          </w:tcPr>
          <w:p w14:paraId="12D114AB" w14:textId="77777777" w:rsidR="0058708B" w:rsidRPr="00157D3D" w:rsidRDefault="0058708B" w:rsidP="00730385">
            <w:pPr>
              <w:jc w:val="left"/>
              <w:rPr>
                <w:color w:val="auto"/>
              </w:rPr>
            </w:pPr>
            <w:r w:rsidRPr="00157D3D">
              <w:rPr>
                <w:color w:val="auto"/>
              </w:rPr>
              <w:t>Payments during the year</w:t>
            </w:r>
          </w:p>
        </w:tc>
        <w:tc>
          <w:tcPr>
            <w:tcW w:w="929" w:type="pct"/>
            <w:tcBorders>
              <w:top w:val="nil"/>
              <w:bottom w:val="single" w:sz="4" w:space="0" w:color="auto"/>
            </w:tcBorders>
            <w:shd w:val="clear" w:color="auto" w:fill="auto"/>
            <w:vAlign w:val="bottom"/>
          </w:tcPr>
          <w:p w14:paraId="7A12AC6C" w14:textId="77777777" w:rsidR="0058708B" w:rsidRPr="00157D3D" w:rsidRDefault="007156A5" w:rsidP="0058708B">
            <w:pPr>
              <w:tabs>
                <w:tab w:val="decimal" w:pos="884"/>
              </w:tabs>
              <w:rPr>
                <w:color w:val="auto"/>
              </w:rPr>
            </w:pPr>
            <w:r w:rsidRPr="00157D3D">
              <w:rPr>
                <w:color w:val="auto"/>
              </w:rPr>
              <w:t>4.7</w:t>
            </w:r>
          </w:p>
        </w:tc>
        <w:tc>
          <w:tcPr>
            <w:tcW w:w="966" w:type="pct"/>
            <w:tcBorders>
              <w:top w:val="nil"/>
              <w:bottom w:val="single" w:sz="4" w:space="0" w:color="auto"/>
            </w:tcBorders>
            <w:shd w:val="clear" w:color="auto" w:fill="auto"/>
            <w:vAlign w:val="bottom"/>
          </w:tcPr>
          <w:p w14:paraId="396DB64D" w14:textId="77777777" w:rsidR="0058708B" w:rsidRPr="00157D3D" w:rsidRDefault="0058708B" w:rsidP="0058708B">
            <w:pPr>
              <w:tabs>
                <w:tab w:val="decimal" w:pos="1026"/>
              </w:tabs>
              <w:rPr>
                <w:color w:val="auto"/>
              </w:rPr>
            </w:pPr>
            <w:r w:rsidRPr="00157D3D">
              <w:rPr>
                <w:color w:val="auto"/>
              </w:rPr>
              <w:t>4.5</w:t>
            </w:r>
          </w:p>
        </w:tc>
      </w:tr>
      <w:tr w:rsidR="0058708B" w:rsidRPr="00052104" w14:paraId="09D8B100" w14:textId="77777777" w:rsidTr="00A06955">
        <w:trPr>
          <w:trHeight w:val="369"/>
        </w:trPr>
        <w:tc>
          <w:tcPr>
            <w:tcW w:w="3105" w:type="pct"/>
            <w:shd w:val="clear" w:color="auto" w:fill="auto"/>
            <w:vAlign w:val="bottom"/>
          </w:tcPr>
          <w:p w14:paraId="72F3D1F4" w14:textId="77777777" w:rsidR="0058708B" w:rsidRPr="00157D3D" w:rsidRDefault="0058708B" w:rsidP="00730385">
            <w:pPr>
              <w:jc w:val="left"/>
              <w:rPr>
                <w:color w:val="auto"/>
              </w:rPr>
            </w:pPr>
            <w:r w:rsidRPr="00157D3D">
              <w:rPr>
                <w:color w:val="auto"/>
              </w:rPr>
              <w:t>Balance outstanding at year end</w:t>
            </w:r>
          </w:p>
        </w:tc>
        <w:tc>
          <w:tcPr>
            <w:tcW w:w="929" w:type="pct"/>
            <w:tcBorders>
              <w:top w:val="single" w:sz="4" w:space="0" w:color="auto"/>
              <w:bottom w:val="single" w:sz="4" w:space="0" w:color="auto"/>
            </w:tcBorders>
            <w:shd w:val="clear" w:color="auto" w:fill="auto"/>
            <w:vAlign w:val="bottom"/>
          </w:tcPr>
          <w:p w14:paraId="0ECA8231" w14:textId="77777777" w:rsidR="0058708B" w:rsidRPr="00157D3D" w:rsidRDefault="007156A5" w:rsidP="0058708B">
            <w:pPr>
              <w:tabs>
                <w:tab w:val="decimal" w:pos="884"/>
              </w:tabs>
              <w:rPr>
                <w:color w:val="auto"/>
              </w:rPr>
            </w:pPr>
            <w:r w:rsidRPr="00157D3D">
              <w:rPr>
                <w:color w:val="auto"/>
              </w:rPr>
              <w:t>(172.4)</w:t>
            </w:r>
          </w:p>
        </w:tc>
        <w:tc>
          <w:tcPr>
            <w:tcW w:w="966" w:type="pct"/>
            <w:tcBorders>
              <w:top w:val="single" w:sz="4" w:space="0" w:color="auto"/>
              <w:bottom w:val="single" w:sz="4" w:space="0" w:color="auto"/>
            </w:tcBorders>
            <w:shd w:val="clear" w:color="auto" w:fill="auto"/>
            <w:vAlign w:val="bottom"/>
          </w:tcPr>
          <w:p w14:paraId="09F151B8" w14:textId="77777777" w:rsidR="0058708B" w:rsidRDefault="0058708B" w:rsidP="0058708B">
            <w:pPr>
              <w:tabs>
                <w:tab w:val="decimal" w:pos="1026"/>
              </w:tabs>
              <w:rPr>
                <w:color w:val="auto"/>
              </w:rPr>
            </w:pPr>
            <w:r w:rsidRPr="00157D3D">
              <w:rPr>
                <w:color w:val="auto"/>
              </w:rPr>
              <w:t>(177.1)</w:t>
            </w:r>
          </w:p>
        </w:tc>
      </w:tr>
    </w:tbl>
    <w:p w14:paraId="5AB99839" w14:textId="77777777" w:rsidR="003931E0" w:rsidRDefault="003931E0" w:rsidP="0058708B">
      <w:pPr>
        <w:rPr>
          <w:lang w:eastAsia="en-GB"/>
        </w:rPr>
      </w:pPr>
    </w:p>
    <w:p w14:paraId="17040FA6" w14:textId="264759F4" w:rsidR="0058708B" w:rsidRPr="00840CCB" w:rsidRDefault="0058708B" w:rsidP="0058708B">
      <w:pPr>
        <w:rPr>
          <w:lang w:eastAsia="en-GB"/>
        </w:rPr>
      </w:pPr>
      <w:r w:rsidRPr="00840CCB">
        <w:rPr>
          <w:lang w:eastAsia="en-GB"/>
        </w:rPr>
        <w:t>Under all these contracts (Fleetwood Sports College and BSF Phases 1, 2, 2a and 3), the council has the rights to utilise the buildings. Each school is made available for use in the following priority order: (i) provision of education services, (ii) community use</w:t>
      </w:r>
      <w:r w:rsidR="00D447F1">
        <w:rPr>
          <w:lang w:eastAsia="en-GB"/>
        </w:rPr>
        <w:t>, and</w:t>
      </w:r>
      <w:r w:rsidRPr="00840CCB">
        <w:rPr>
          <w:lang w:eastAsia="en-GB"/>
        </w:rPr>
        <w:t xml:space="preserve"> (iii) third party use. The contractor may enter into arrangements for third party use, subject to satisfying criteria laid out in the contract, and may be entitled to charge for such use. An income sharing arrangement is in place regarding any income received for third party use.</w:t>
      </w:r>
    </w:p>
    <w:p w14:paraId="11D915EB" w14:textId="1A52BCA3" w:rsidR="0058708B" w:rsidRDefault="0058708B" w:rsidP="0058708B">
      <w:pPr>
        <w:rPr>
          <w:lang w:eastAsia="en-GB"/>
        </w:rPr>
      </w:pPr>
      <w:r w:rsidRPr="00840CCB">
        <w:rPr>
          <w:lang w:eastAsia="en-GB"/>
        </w:rPr>
        <w:t xml:space="preserve">The contractor took on the obligations to construct the schools and to maintain them in a minimum acceptable condition. At the end of the contract period, the buildings will revert to the council for nil consideration. The significant risks that the council is exposed to under these PFIs are changes in inflation and changes in demand for the services. There is provision within the agreements for the termination of the contracts, under certain conditions, by either the council or by the contractor. This may be in the form of voluntary termination by the council, termination by the </w:t>
      </w:r>
      <w:r w:rsidRPr="00840CCB">
        <w:rPr>
          <w:lang w:eastAsia="en-GB"/>
        </w:rPr>
        <w:lastRenderedPageBreak/>
        <w:t>contractor council default, or termination by the council on contractor default. Compensation payments are payable upon termination and the calculation of these is determined in the contracts.</w:t>
      </w:r>
    </w:p>
    <w:p w14:paraId="0E0415D3" w14:textId="68C9A906" w:rsidR="0058708B" w:rsidRPr="00A06955" w:rsidRDefault="00311222" w:rsidP="0058708B">
      <w:pPr>
        <w:rPr>
          <w:b/>
          <w:lang w:eastAsia="en-GB"/>
        </w:rPr>
      </w:pPr>
      <w:r>
        <w:rPr>
          <w:b/>
          <w:lang w:eastAsia="en-GB"/>
        </w:rPr>
        <w:t>Lancashire Waste PFI s</w:t>
      </w:r>
      <w:r w:rsidR="000B1B3C" w:rsidRPr="00A06955">
        <w:rPr>
          <w:b/>
          <w:lang w:eastAsia="en-GB"/>
        </w:rPr>
        <w:t>cheme</w:t>
      </w:r>
      <w:r w:rsidR="00DB3590" w:rsidRPr="00A06955">
        <w:rPr>
          <w:b/>
          <w:lang w:eastAsia="en-GB"/>
        </w:rPr>
        <w:t xml:space="preserve"> </w:t>
      </w:r>
    </w:p>
    <w:p w14:paraId="28CB7A1C" w14:textId="4EC73A68" w:rsidR="0047699E" w:rsidRDefault="0047699E" w:rsidP="0047699E">
      <w:pPr>
        <w:rPr>
          <w:rFonts w:eastAsiaTheme="minorHAnsi" w:cs="Arial"/>
          <w:color w:val="auto"/>
        </w:rPr>
      </w:pPr>
      <w:r>
        <w:rPr>
          <w:rFonts w:cs="Arial"/>
        </w:rPr>
        <w:t xml:space="preserve">The PFI liability in respect of the waste scheme was £225.8m at 1 April 2015.  The contract was terminated with effect from 31 July 2014 and the liability settled in full through borrowing.  The settlement value included a premium on early repayment of £24.3m which is being amortised over the remaining 23 years of the borrowing, in line with the original contract timescales.  Please refer to the Introduction to the Statement of Accounts and to note 38 for more information.  </w:t>
      </w:r>
    </w:p>
    <w:p w14:paraId="5C410A30" w14:textId="77777777" w:rsidR="001706B1" w:rsidRDefault="001706B1" w:rsidP="000B1B3C">
      <w:pPr>
        <w:rPr>
          <w:lang w:eastAsia="en-GB"/>
        </w:rPr>
      </w:pPr>
    </w:p>
    <w:p w14:paraId="4630B465" w14:textId="77777777" w:rsidR="001706B1" w:rsidRDefault="001706B1" w:rsidP="000B1B3C">
      <w:pPr>
        <w:rPr>
          <w:lang w:eastAsia="en-GB"/>
        </w:rPr>
      </w:pPr>
    </w:p>
    <w:p w14:paraId="5585622E" w14:textId="77777777" w:rsidR="001706B1" w:rsidRDefault="001706B1" w:rsidP="000B1B3C">
      <w:pPr>
        <w:rPr>
          <w:lang w:eastAsia="en-GB"/>
        </w:rPr>
      </w:pPr>
    </w:p>
    <w:p w14:paraId="7914503B" w14:textId="77777777" w:rsidR="001706B1" w:rsidRDefault="001706B1" w:rsidP="000B1B3C">
      <w:pPr>
        <w:rPr>
          <w:lang w:eastAsia="en-GB"/>
        </w:rPr>
      </w:pPr>
    </w:p>
    <w:p w14:paraId="1B56D941" w14:textId="77777777" w:rsidR="001706B1" w:rsidRDefault="001706B1" w:rsidP="000B1B3C">
      <w:pPr>
        <w:rPr>
          <w:lang w:eastAsia="en-GB"/>
        </w:rPr>
      </w:pPr>
    </w:p>
    <w:p w14:paraId="6DD942CA" w14:textId="77777777" w:rsidR="001706B1" w:rsidRDefault="001706B1" w:rsidP="000B1B3C">
      <w:pPr>
        <w:rPr>
          <w:lang w:eastAsia="en-GB"/>
        </w:rPr>
      </w:pPr>
    </w:p>
    <w:p w14:paraId="42E437B8" w14:textId="77777777" w:rsidR="001706B1" w:rsidRDefault="001706B1" w:rsidP="000B1B3C">
      <w:pPr>
        <w:rPr>
          <w:lang w:eastAsia="en-GB"/>
        </w:rPr>
      </w:pPr>
    </w:p>
    <w:p w14:paraId="483A5CE5" w14:textId="77777777" w:rsidR="001706B1" w:rsidRDefault="001706B1" w:rsidP="000B1B3C">
      <w:pPr>
        <w:rPr>
          <w:lang w:eastAsia="en-GB"/>
        </w:rPr>
      </w:pPr>
    </w:p>
    <w:p w14:paraId="020A88E0" w14:textId="77777777" w:rsidR="001706B1" w:rsidRDefault="001706B1" w:rsidP="000B1B3C">
      <w:pPr>
        <w:rPr>
          <w:lang w:eastAsia="en-GB"/>
        </w:rPr>
      </w:pPr>
    </w:p>
    <w:p w14:paraId="69319805" w14:textId="77777777" w:rsidR="001706B1" w:rsidRDefault="001706B1" w:rsidP="000B1B3C">
      <w:pPr>
        <w:rPr>
          <w:lang w:eastAsia="en-GB"/>
        </w:rPr>
      </w:pPr>
    </w:p>
    <w:p w14:paraId="2EA1DCD3" w14:textId="77777777" w:rsidR="001706B1" w:rsidRDefault="001706B1" w:rsidP="000B1B3C">
      <w:pPr>
        <w:rPr>
          <w:lang w:eastAsia="en-GB"/>
        </w:rPr>
      </w:pPr>
    </w:p>
    <w:p w14:paraId="12A14F71" w14:textId="77777777" w:rsidR="001706B1" w:rsidRDefault="001706B1" w:rsidP="000B1B3C">
      <w:pPr>
        <w:rPr>
          <w:lang w:eastAsia="en-GB"/>
        </w:rPr>
      </w:pPr>
    </w:p>
    <w:p w14:paraId="51714BC9" w14:textId="77777777" w:rsidR="001706B1" w:rsidRDefault="001706B1" w:rsidP="000B1B3C">
      <w:pPr>
        <w:rPr>
          <w:lang w:eastAsia="en-GB"/>
        </w:rPr>
      </w:pPr>
    </w:p>
    <w:p w14:paraId="02753E88" w14:textId="77777777" w:rsidR="001706B1" w:rsidRDefault="001706B1" w:rsidP="000B1B3C">
      <w:pPr>
        <w:rPr>
          <w:lang w:eastAsia="en-GB"/>
        </w:rPr>
      </w:pPr>
    </w:p>
    <w:p w14:paraId="66EC9915" w14:textId="77777777" w:rsidR="001706B1" w:rsidRDefault="001706B1" w:rsidP="000B1B3C">
      <w:pPr>
        <w:rPr>
          <w:lang w:eastAsia="en-GB"/>
        </w:rPr>
      </w:pPr>
    </w:p>
    <w:p w14:paraId="1DB9A4E2" w14:textId="77777777" w:rsidR="001706B1" w:rsidRDefault="001706B1" w:rsidP="000B1B3C">
      <w:pPr>
        <w:rPr>
          <w:lang w:eastAsia="en-GB"/>
        </w:rPr>
      </w:pPr>
    </w:p>
    <w:p w14:paraId="75F72BF1" w14:textId="77777777" w:rsidR="001706B1" w:rsidRDefault="001706B1" w:rsidP="000B1B3C">
      <w:pPr>
        <w:rPr>
          <w:lang w:eastAsia="en-GB"/>
        </w:rPr>
      </w:pPr>
    </w:p>
    <w:p w14:paraId="265DC572" w14:textId="77777777" w:rsidR="001706B1" w:rsidRDefault="001706B1" w:rsidP="000B1B3C">
      <w:pPr>
        <w:rPr>
          <w:lang w:eastAsia="en-GB"/>
        </w:rPr>
      </w:pPr>
    </w:p>
    <w:p w14:paraId="766C7ADB" w14:textId="77777777" w:rsidR="001706B1" w:rsidRDefault="001706B1" w:rsidP="000B1B3C">
      <w:pPr>
        <w:rPr>
          <w:lang w:eastAsia="en-GB"/>
        </w:rPr>
      </w:pPr>
    </w:p>
    <w:p w14:paraId="3AB21899" w14:textId="77777777" w:rsidR="001706B1" w:rsidRDefault="001706B1" w:rsidP="000B1B3C">
      <w:pPr>
        <w:rPr>
          <w:lang w:eastAsia="en-GB"/>
        </w:rPr>
      </w:pPr>
    </w:p>
    <w:p w14:paraId="5D6674EE" w14:textId="77777777" w:rsidR="001706B1" w:rsidRDefault="001706B1" w:rsidP="000B1B3C">
      <w:pPr>
        <w:rPr>
          <w:lang w:eastAsia="en-GB"/>
        </w:rPr>
      </w:pPr>
    </w:p>
    <w:p w14:paraId="3EA0B603" w14:textId="77777777" w:rsidR="001706B1" w:rsidRDefault="001706B1" w:rsidP="000B1B3C">
      <w:pPr>
        <w:rPr>
          <w:lang w:eastAsia="en-GB"/>
        </w:rPr>
      </w:pPr>
    </w:p>
    <w:p w14:paraId="36736BFB" w14:textId="77777777" w:rsidR="001706B1" w:rsidRDefault="001706B1" w:rsidP="000B1B3C">
      <w:pPr>
        <w:rPr>
          <w:lang w:eastAsia="en-GB"/>
        </w:rPr>
      </w:pPr>
    </w:p>
    <w:p w14:paraId="05023C53" w14:textId="77777777" w:rsidR="001706B1" w:rsidRDefault="001706B1" w:rsidP="000B1B3C">
      <w:pPr>
        <w:rPr>
          <w:lang w:eastAsia="en-GB"/>
        </w:rPr>
      </w:pPr>
    </w:p>
    <w:p w14:paraId="41D10236" w14:textId="77777777" w:rsidR="001706B1" w:rsidRDefault="001706B1" w:rsidP="000B1B3C">
      <w:pPr>
        <w:rPr>
          <w:lang w:eastAsia="en-GB"/>
        </w:rPr>
      </w:pPr>
    </w:p>
    <w:p w14:paraId="0A4EA517" w14:textId="77777777" w:rsidR="001706B1" w:rsidRDefault="001706B1" w:rsidP="000B1B3C">
      <w:pPr>
        <w:rPr>
          <w:lang w:eastAsia="en-GB"/>
        </w:rPr>
      </w:pPr>
    </w:p>
    <w:p w14:paraId="0620242C" w14:textId="77777777" w:rsidR="001706B1" w:rsidRDefault="001706B1" w:rsidP="000B1B3C">
      <w:pPr>
        <w:rPr>
          <w:lang w:eastAsia="en-GB"/>
        </w:rPr>
      </w:pPr>
    </w:p>
    <w:p w14:paraId="6DEA61FA" w14:textId="77777777" w:rsidR="00220AA6" w:rsidRDefault="00220AA6" w:rsidP="000B1B3C">
      <w:pPr>
        <w:rPr>
          <w:lang w:eastAsia="en-GB"/>
        </w:rPr>
      </w:pPr>
    </w:p>
    <w:p w14:paraId="53BDADA7" w14:textId="07EB36FC" w:rsidR="000B1B3C" w:rsidRPr="00A06955" w:rsidRDefault="00311222" w:rsidP="00717919">
      <w:pPr>
        <w:pStyle w:val="Heading2"/>
        <w:numPr>
          <w:ilvl w:val="0"/>
          <w:numId w:val="67"/>
        </w:numPr>
        <w:ind w:left="567" w:hanging="567"/>
      </w:pPr>
      <w:r>
        <w:lastRenderedPageBreak/>
        <w:t>Capital expenditure and capital f</w:t>
      </w:r>
      <w:r w:rsidR="008E4793" w:rsidRPr="00A06955">
        <w:t>inancing</w:t>
      </w:r>
    </w:p>
    <w:p w14:paraId="2EBBC6FF" w14:textId="77777777" w:rsidR="008E4793" w:rsidRDefault="008E4793" w:rsidP="008E4793">
      <w:pPr>
        <w:rPr>
          <w:lang w:eastAsia="en-GB"/>
        </w:rPr>
      </w:pPr>
      <w:r w:rsidRPr="00A06955">
        <w:rPr>
          <w:lang w:eastAsia="en-GB"/>
        </w:rPr>
        <w:t>The total amount of capital expenditure incurred in the year is shown in the table below (including the value of assets acquired under finance leases and Private Finance Initiative contracts), together with the resources that have been used to finance it. Where capital expenditure is to be financed in future years by charges to revenue as assets are used by the council, the expenditure results in an increase in the Capital Financing Requirement (CFR), a measure of the capital expenditure incurred historically by the council that has yet to be financed. The CFR is analysed in the second part of this note.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8E4793" w:rsidRPr="00052104" w14:paraId="19945E20" w14:textId="77777777" w:rsidTr="009C1D66">
        <w:trPr>
          <w:trHeight w:val="369"/>
          <w:tblHeader/>
        </w:trPr>
        <w:tc>
          <w:tcPr>
            <w:tcW w:w="3105" w:type="pct"/>
            <w:shd w:val="clear" w:color="auto" w:fill="D0CECE"/>
            <w:vAlign w:val="bottom"/>
          </w:tcPr>
          <w:p w14:paraId="74CDEA9E" w14:textId="77777777" w:rsidR="008E4793" w:rsidRPr="00A06955" w:rsidRDefault="008E4793" w:rsidP="00730385">
            <w:pPr>
              <w:jc w:val="left"/>
              <w:rPr>
                <w:color w:val="auto"/>
              </w:rPr>
            </w:pPr>
          </w:p>
        </w:tc>
        <w:tc>
          <w:tcPr>
            <w:tcW w:w="929" w:type="pct"/>
            <w:shd w:val="clear" w:color="auto" w:fill="D0CECE"/>
            <w:vAlign w:val="bottom"/>
          </w:tcPr>
          <w:p w14:paraId="1AAEA244" w14:textId="77777777" w:rsidR="008E4793" w:rsidRPr="00A06955" w:rsidRDefault="008E4793" w:rsidP="00730385">
            <w:pPr>
              <w:jc w:val="center"/>
              <w:rPr>
                <w:b/>
                <w:color w:val="auto"/>
              </w:rPr>
            </w:pPr>
            <w:r w:rsidRPr="00A06955">
              <w:rPr>
                <w:b/>
                <w:color w:val="auto"/>
              </w:rPr>
              <w:t>2014/15</w:t>
            </w:r>
          </w:p>
        </w:tc>
        <w:tc>
          <w:tcPr>
            <w:tcW w:w="966" w:type="pct"/>
            <w:shd w:val="clear" w:color="auto" w:fill="D0CECE"/>
            <w:vAlign w:val="bottom"/>
          </w:tcPr>
          <w:p w14:paraId="3893CFB6" w14:textId="77777777" w:rsidR="008E4793" w:rsidRPr="00052104" w:rsidRDefault="008E4793" w:rsidP="00730385">
            <w:pPr>
              <w:jc w:val="center"/>
              <w:rPr>
                <w:b/>
                <w:color w:val="auto"/>
              </w:rPr>
            </w:pPr>
            <w:r w:rsidRPr="00052104">
              <w:rPr>
                <w:b/>
                <w:color w:val="auto"/>
              </w:rPr>
              <w:t>2013/14</w:t>
            </w:r>
          </w:p>
        </w:tc>
      </w:tr>
      <w:tr w:rsidR="008E4793" w:rsidRPr="00052104" w14:paraId="5C8FB570" w14:textId="77777777" w:rsidTr="009C1D66">
        <w:trPr>
          <w:trHeight w:val="369"/>
          <w:tblHeader/>
        </w:trPr>
        <w:tc>
          <w:tcPr>
            <w:tcW w:w="3105" w:type="pct"/>
            <w:shd w:val="clear" w:color="auto" w:fill="D0CECE"/>
            <w:vAlign w:val="bottom"/>
          </w:tcPr>
          <w:p w14:paraId="6BEB9F67" w14:textId="77777777" w:rsidR="008E4793" w:rsidRPr="00A06955" w:rsidRDefault="008E4793" w:rsidP="00730385">
            <w:pPr>
              <w:jc w:val="left"/>
              <w:rPr>
                <w:color w:val="auto"/>
              </w:rPr>
            </w:pPr>
          </w:p>
        </w:tc>
        <w:tc>
          <w:tcPr>
            <w:tcW w:w="929" w:type="pct"/>
            <w:shd w:val="clear" w:color="auto" w:fill="D0CECE"/>
            <w:vAlign w:val="bottom"/>
          </w:tcPr>
          <w:p w14:paraId="494F31F2" w14:textId="77777777" w:rsidR="008E4793" w:rsidRPr="00A06955" w:rsidRDefault="008E4793" w:rsidP="00730385">
            <w:pPr>
              <w:jc w:val="center"/>
              <w:rPr>
                <w:b/>
                <w:color w:val="auto"/>
              </w:rPr>
            </w:pPr>
            <w:r w:rsidRPr="00A06955">
              <w:rPr>
                <w:b/>
                <w:color w:val="auto"/>
              </w:rPr>
              <w:t>£m</w:t>
            </w:r>
          </w:p>
        </w:tc>
        <w:tc>
          <w:tcPr>
            <w:tcW w:w="966" w:type="pct"/>
            <w:shd w:val="clear" w:color="auto" w:fill="D0CECE"/>
            <w:vAlign w:val="bottom"/>
          </w:tcPr>
          <w:p w14:paraId="7E3BF0BE" w14:textId="77777777" w:rsidR="008E4793" w:rsidRPr="00052104" w:rsidRDefault="008E4793" w:rsidP="00730385">
            <w:pPr>
              <w:jc w:val="center"/>
              <w:rPr>
                <w:b/>
                <w:color w:val="auto"/>
              </w:rPr>
            </w:pPr>
            <w:r w:rsidRPr="00052104">
              <w:rPr>
                <w:b/>
                <w:color w:val="auto"/>
              </w:rPr>
              <w:t>£m</w:t>
            </w:r>
          </w:p>
        </w:tc>
      </w:tr>
      <w:tr w:rsidR="008E4793" w:rsidRPr="00052104" w14:paraId="71F58E99" w14:textId="77777777" w:rsidTr="009C1D66">
        <w:trPr>
          <w:trHeight w:val="369"/>
        </w:trPr>
        <w:tc>
          <w:tcPr>
            <w:tcW w:w="3105" w:type="pct"/>
            <w:shd w:val="clear" w:color="auto" w:fill="auto"/>
            <w:vAlign w:val="bottom"/>
          </w:tcPr>
          <w:p w14:paraId="103072D1" w14:textId="77777777" w:rsidR="008E4793" w:rsidRPr="00A06955" w:rsidRDefault="008E4793" w:rsidP="00730385">
            <w:pPr>
              <w:jc w:val="left"/>
              <w:rPr>
                <w:b/>
                <w:color w:val="auto"/>
              </w:rPr>
            </w:pPr>
            <w:r w:rsidRPr="00A06955">
              <w:rPr>
                <w:b/>
                <w:color w:val="auto"/>
              </w:rPr>
              <w:t>Opening Capital Financing Requirement</w:t>
            </w:r>
          </w:p>
        </w:tc>
        <w:tc>
          <w:tcPr>
            <w:tcW w:w="929" w:type="pct"/>
            <w:tcBorders>
              <w:bottom w:val="nil"/>
            </w:tcBorders>
            <w:shd w:val="clear" w:color="auto" w:fill="auto"/>
            <w:vAlign w:val="bottom"/>
          </w:tcPr>
          <w:p w14:paraId="2DB16955" w14:textId="42F0974D" w:rsidR="008E4793" w:rsidRPr="00A06955" w:rsidRDefault="00F504E7" w:rsidP="00730385">
            <w:pPr>
              <w:tabs>
                <w:tab w:val="decimal" w:pos="1026"/>
              </w:tabs>
              <w:rPr>
                <w:b/>
                <w:color w:val="auto"/>
                <w:highlight w:val="cyan"/>
              </w:rPr>
            </w:pPr>
            <w:r w:rsidRPr="009C1D66">
              <w:rPr>
                <w:b/>
                <w:color w:val="auto"/>
              </w:rPr>
              <w:t>1,039.0</w:t>
            </w:r>
          </w:p>
        </w:tc>
        <w:tc>
          <w:tcPr>
            <w:tcW w:w="966" w:type="pct"/>
            <w:tcBorders>
              <w:bottom w:val="nil"/>
            </w:tcBorders>
            <w:shd w:val="clear" w:color="auto" w:fill="auto"/>
            <w:vAlign w:val="bottom"/>
          </w:tcPr>
          <w:p w14:paraId="0A22BE92" w14:textId="77777777" w:rsidR="008E4793" w:rsidRPr="00FE1594" w:rsidRDefault="00FE1594" w:rsidP="00730385">
            <w:pPr>
              <w:tabs>
                <w:tab w:val="decimal" w:pos="1026"/>
              </w:tabs>
              <w:rPr>
                <w:b/>
                <w:color w:val="auto"/>
              </w:rPr>
            </w:pPr>
            <w:r>
              <w:rPr>
                <w:b/>
                <w:color w:val="auto"/>
              </w:rPr>
              <w:t>1,074.2</w:t>
            </w:r>
          </w:p>
        </w:tc>
      </w:tr>
      <w:tr w:rsidR="002F7A5B" w:rsidRPr="008E4793" w14:paraId="3DE6168E" w14:textId="77777777" w:rsidTr="009C1D66">
        <w:trPr>
          <w:trHeight w:val="369"/>
        </w:trPr>
        <w:tc>
          <w:tcPr>
            <w:tcW w:w="3105" w:type="pct"/>
            <w:shd w:val="clear" w:color="auto" w:fill="auto"/>
            <w:vAlign w:val="bottom"/>
          </w:tcPr>
          <w:p w14:paraId="746C802F" w14:textId="05BA66DA" w:rsidR="002F7A5B" w:rsidRPr="00A06955" w:rsidRDefault="002F7A5B" w:rsidP="008E4793">
            <w:pPr>
              <w:jc w:val="left"/>
              <w:rPr>
                <w:color w:val="auto"/>
              </w:rPr>
            </w:pPr>
            <w:r w:rsidRPr="00A06955">
              <w:rPr>
                <w:b/>
                <w:color w:val="auto"/>
              </w:rPr>
              <w:t>Capital investment:</w:t>
            </w:r>
          </w:p>
        </w:tc>
        <w:tc>
          <w:tcPr>
            <w:tcW w:w="929" w:type="pct"/>
            <w:tcBorders>
              <w:bottom w:val="nil"/>
            </w:tcBorders>
            <w:shd w:val="clear" w:color="auto" w:fill="auto"/>
            <w:vAlign w:val="bottom"/>
          </w:tcPr>
          <w:p w14:paraId="017E8DFA" w14:textId="5B086CBF" w:rsidR="002F7A5B" w:rsidRPr="00A06955" w:rsidRDefault="002F7A5B" w:rsidP="00730385">
            <w:pPr>
              <w:tabs>
                <w:tab w:val="decimal" w:pos="1026"/>
              </w:tabs>
              <w:rPr>
                <w:color w:val="auto"/>
                <w:highlight w:val="cyan"/>
              </w:rPr>
            </w:pPr>
          </w:p>
        </w:tc>
        <w:tc>
          <w:tcPr>
            <w:tcW w:w="966" w:type="pct"/>
            <w:tcBorders>
              <w:bottom w:val="nil"/>
            </w:tcBorders>
            <w:shd w:val="clear" w:color="auto" w:fill="auto"/>
            <w:vAlign w:val="bottom"/>
          </w:tcPr>
          <w:p w14:paraId="6F196FE2" w14:textId="6D40B406" w:rsidR="002F7A5B" w:rsidRPr="008E4793" w:rsidRDefault="002F7A5B" w:rsidP="00730385">
            <w:pPr>
              <w:tabs>
                <w:tab w:val="decimal" w:pos="1026"/>
              </w:tabs>
              <w:rPr>
                <w:color w:val="auto"/>
              </w:rPr>
            </w:pPr>
          </w:p>
        </w:tc>
      </w:tr>
      <w:tr w:rsidR="002F7A5B" w:rsidRPr="00052104" w14:paraId="2574D9E0" w14:textId="77777777" w:rsidTr="009C1D66">
        <w:trPr>
          <w:trHeight w:val="369"/>
        </w:trPr>
        <w:tc>
          <w:tcPr>
            <w:tcW w:w="3105" w:type="pct"/>
            <w:shd w:val="clear" w:color="auto" w:fill="auto"/>
            <w:vAlign w:val="bottom"/>
          </w:tcPr>
          <w:p w14:paraId="3EFC28B7" w14:textId="664745CF" w:rsidR="002F7A5B" w:rsidRPr="00A06955" w:rsidRDefault="002F7A5B" w:rsidP="008E4793">
            <w:pPr>
              <w:jc w:val="left"/>
              <w:rPr>
                <w:b/>
                <w:color w:val="auto"/>
              </w:rPr>
            </w:pPr>
            <w:r w:rsidRPr="00A06955">
              <w:rPr>
                <w:color w:val="auto"/>
              </w:rPr>
              <w:t>Property, Plant and Equipment &amp; Assets Held for Sale</w:t>
            </w:r>
          </w:p>
        </w:tc>
        <w:tc>
          <w:tcPr>
            <w:tcW w:w="929" w:type="pct"/>
            <w:tcBorders>
              <w:bottom w:val="nil"/>
            </w:tcBorders>
            <w:shd w:val="clear" w:color="auto" w:fill="auto"/>
            <w:vAlign w:val="bottom"/>
          </w:tcPr>
          <w:p w14:paraId="6AB2DA3B" w14:textId="5AF8830F" w:rsidR="002F7A5B" w:rsidRPr="00A06955" w:rsidRDefault="001B508D" w:rsidP="00730385">
            <w:pPr>
              <w:tabs>
                <w:tab w:val="decimal" w:pos="1026"/>
              </w:tabs>
              <w:rPr>
                <w:color w:val="auto"/>
                <w:highlight w:val="cyan"/>
              </w:rPr>
            </w:pPr>
            <w:r>
              <w:rPr>
                <w:color w:val="auto"/>
              </w:rPr>
              <w:t>156.7</w:t>
            </w:r>
          </w:p>
        </w:tc>
        <w:tc>
          <w:tcPr>
            <w:tcW w:w="966" w:type="pct"/>
            <w:tcBorders>
              <w:bottom w:val="nil"/>
            </w:tcBorders>
            <w:shd w:val="clear" w:color="auto" w:fill="auto"/>
            <w:vAlign w:val="bottom"/>
          </w:tcPr>
          <w:p w14:paraId="6A6AFCE5" w14:textId="3E137019" w:rsidR="002F7A5B" w:rsidRPr="00052104" w:rsidRDefault="002F7A5B" w:rsidP="00730385">
            <w:pPr>
              <w:tabs>
                <w:tab w:val="decimal" w:pos="1026"/>
              </w:tabs>
              <w:rPr>
                <w:color w:val="auto"/>
              </w:rPr>
            </w:pPr>
            <w:r>
              <w:rPr>
                <w:color w:val="auto"/>
              </w:rPr>
              <w:t>137.4</w:t>
            </w:r>
          </w:p>
        </w:tc>
      </w:tr>
      <w:tr w:rsidR="002F7A5B" w:rsidRPr="00052104" w14:paraId="596926E3" w14:textId="77777777" w:rsidTr="009C1D66">
        <w:trPr>
          <w:trHeight w:val="369"/>
        </w:trPr>
        <w:tc>
          <w:tcPr>
            <w:tcW w:w="3105" w:type="pct"/>
            <w:shd w:val="clear" w:color="auto" w:fill="auto"/>
            <w:vAlign w:val="bottom"/>
          </w:tcPr>
          <w:p w14:paraId="0ED72372" w14:textId="574E0B50" w:rsidR="002F7A5B" w:rsidRPr="00A06955" w:rsidRDefault="002F7A5B" w:rsidP="00730385">
            <w:pPr>
              <w:jc w:val="left"/>
              <w:rPr>
                <w:color w:val="auto"/>
              </w:rPr>
            </w:pPr>
            <w:r w:rsidRPr="00A06955">
              <w:rPr>
                <w:color w:val="auto"/>
              </w:rPr>
              <w:t>Intangible Assets</w:t>
            </w:r>
          </w:p>
        </w:tc>
        <w:tc>
          <w:tcPr>
            <w:tcW w:w="929" w:type="pct"/>
            <w:tcBorders>
              <w:bottom w:val="nil"/>
            </w:tcBorders>
            <w:shd w:val="clear" w:color="auto" w:fill="auto"/>
            <w:vAlign w:val="bottom"/>
          </w:tcPr>
          <w:p w14:paraId="6E778150" w14:textId="187CA73F" w:rsidR="002F7A5B" w:rsidRPr="00A06955" w:rsidRDefault="001B508D" w:rsidP="007809A7">
            <w:pPr>
              <w:tabs>
                <w:tab w:val="decimal" w:pos="1026"/>
              </w:tabs>
              <w:rPr>
                <w:color w:val="auto"/>
                <w:highlight w:val="cyan"/>
              </w:rPr>
            </w:pPr>
            <w:r>
              <w:rPr>
                <w:color w:val="auto"/>
              </w:rPr>
              <w:t>2.</w:t>
            </w:r>
            <w:r w:rsidR="007809A7">
              <w:rPr>
                <w:color w:val="auto"/>
              </w:rPr>
              <w:t>5</w:t>
            </w:r>
          </w:p>
        </w:tc>
        <w:tc>
          <w:tcPr>
            <w:tcW w:w="966" w:type="pct"/>
            <w:tcBorders>
              <w:bottom w:val="nil"/>
            </w:tcBorders>
            <w:shd w:val="clear" w:color="auto" w:fill="auto"/>
            <w:vAlign w:val="bottom"/>
          </w:tcPr>
          <w:p w14:paraId="79A8BD0A" w14:textId="01D1F6EE" w:rsidR="002F7A5B" w:rsidRPr="00052104" w:rsidRDefault="002F7A5B" w:rsidP="00730385">
            <w:pPr>
              <w:tabs>
                <w:tab w:val="decimal" w:pos="1026"/>
              </w:tabs>
              <w:rPr>
                <w:color w:val="auto"/>
              </w:rPr>
            </w:pPr>
            <w:r>
              <w:rPr>
                <w:color w:val="auto"/>
              </w:rPr>
              <w:t>8.5</w:t>
            </w:r>
          </w:p>
        </w:tc>
      </w:tr>
      <w:tr w:rsidR="002F7A5B" w:rsidRPr="00052104" w14:paraId="5B533004" w14:textId="77777777" w:rsidTr="009C1D66">
        <w:trPr>
          <w:trHeight w:val="369"/>
        </w:trPr>
        <w:tc>
          <w:tcPr>
            <w:tcW w:w="3105" w:type="pct"/>
            <w:shd w:val="clear" w:color="auto" w:fill="auto"/>
            <w:vAlign w:val="bottom"/>
          </w:tcPr>
          <w:p w14:paraId="3205AEDA" w14:textId="6EFAC59A" w:rsidR="002F7A5B" w:rsidRPr="00A06955" w:rsidRDefault="002F7A5B" w:rsidP="00730385">
            <w:pPr>
              <w:jc w:val="left"/>
              <w:rPr>
                <w:color w:val="auto"/>
              </w:rPr>
            </w:pPr>
            <w:r w:rsidRPr="00A06955">
              <w:rPr>
                <w:color w:val="auto"/>
              </w:rPr>
              <w:t>Revenue Expenditure Funded from Capital Under Statute</w:t>
            </w:r>
          </w:p>
        </w:tc>
        <w:tc>
          <w:tcPr>
            <w:tcW w:w="929" w:type="pct"/>
            <w:tcBorders>
              <w:top w:val="nil"/>
              <w:bottom w:val="nil"/>
            </w:tcBorders>
            <w:shd w:val="clear" w:color="auto" w:fill="auto"/>
            <w:vAlign w:val="bottom"/>
          </w:tcPr>
          <w:p w14:paraId="1F11B99D" w14:textId="257B872E" w:rsidR="002F7A5B" w:rsidRPr="00A06955" w:rsidRDefault="002F7A5B" w:rsidP="00A06955">
            <w:pPr>
              <w:tabs>
                <w:tab w:val="decimal" w:pos="1026"/>
              </w:tabs>
              <w:rPr>
                <w:color w:val="auto"/>
                <w:highlight w:val="cyan"/>
              </w:rPr>
            </w:pPr>
            <w:r w:rsidRPr="009C1D66">
              <w:rPr>
                <w:color w:val="auto"/>
              </w:rPr>
              <w:t>18.9</w:t>
            </w:r>
          </w:p>
        </w:tc>
        <w:tc>
          <w:tcPr>
            <w:tcW w:w="966" w:type="pct"/>
            <w:tcBorders>
              <w:top w:val="nil"/>
              <w:bottom w:val="nil"/>
            </w:tcBorders>
            <w:shd w:val="clear" w:color="auto" w:fill="auto"/>
            <w:vAlign w:val="bottom"/>
          </w:tcPr>
          <w:p w14:paraId="060A7C67" w14:textId="0EFDBF37" w:rsidR="002F7A5B" w:rsidRPr="00052104" w:rsidRDefault="002F7A5B" w:rsidP="00730385">
            <w:pPr>
              <w:tabs>
                <w:tab w:val="decimal" w:pos="1026"/>
              </w:tabs>
              <w:rPr>
                <w:color w:val="auto"/>
              </w:rPr>
            </w:pPr>
            <w:r>
              <w:rPr>
                <w:color w:val="auto"/>
              </w:rPr>
              <w:t>8.7</w:t>
            </w:r>
          </w:p>
        </w:tc>
      </w:tr>
      <w:tr w:rsidR="002F7A5B" w:rsidRPr="00052104" w14:paraId="51A85930" w14:textId="77777777" w:rsidTr="009C1D66">
        <w:trPr>
          <w:trHeight w:val="369"/>
        </w:trPr>
        <w:tc>
          <w:tcPr>
            <w:tcW w:w="3105" w:type="pct"/>
            <w:shd w:val="clear" w:color="auto" w:fill="auto"/>
            <w:vAlign w:val="bottom"/>
          </w:tcPr>
          <w:p w14:paraId="2165F6ED" w14:textId="379D49BE" w:rsidR="002F7A5B" w:rsidRPr="00A06955" w:rsidRDefault="002F7A5B" w:rsidP="00730385">
            <w:pPr>
              <w:jc w:val="left"/>
              <w:rPr>
                <w:color w:val="auto"/>
              </w:rPr>
            </w:pPr>
            <w:r w:rsidRPr="00A06955">
              <w:rPr>
                <w:b/>
                <w:color w:val="auto"/>
              </w:rPr>
              <w:t>Sources of Finance:</w:t>
            </w:r>
          </w:p>
        </w:tc>
        <w:tc>
          <w:tcPr>
            <w:tcW w:w="929" w:type="pct"/>
            <w:tcBorders>
              <w:top w:val="nil"/>
              <w:bottom w:val="nil"/>
            </w:tcBorders>
            <w:shd w:val="clear" w:color="auto" w:fill="auto"/>
            <w:vAlign w:val="bottom"/>
          </w:tcPr>
          <w:p w14:paraId="5FBEA408" w14:textId="2822D0AC" w:rsidR="002F7A5B" w:rsidRPr="00A06955" w:rsidRDefault="002F7A5B" w:rsidP="00730385">
            <w:pPr>
              <w:tabs>
                <w:tab w:val="decimal" w:pos="1026"/>
              </w:tabs>
              <w:rPr>
                <w:color w:val="auto"/>
                <w:highlight w:val="cyan"/>
              </w:rPr>
            </w:pPr>
          </w:p>
        </w:tc>
        <w:tc>
          <w:tcPr>
            <w:tcW w:w="966" w:type="pct"/>
            <w:tcBorders>
              <w:top w:val="nil"/>
              <w:bottom w:val="nil"/>
            </w:tcBorders>
            <w:shd w:val="clear" w:color="auto" w:fill="auto"/>
            <w:vAlign w:val="bottom"/>
          </w:tcPr>
          <w:p w14:paraId="2FA7C11E" w14:textId="5AAC175F" w:rsidR="002F7A5B" w:rsidRPr="00052104" w:rsidRDefault="002F7A5B" w:rsidP="00730385">
            <w:pPr>
              <w:tabs>
                <w:tab w:val="decimal" w:pos="1026"/>
              </w:tabs>
              <w:rPr>
                <w:color w:val="auto"/>
              </w:rPr>
            </w:pPr>
          </w:p>
        </w:tc>
      </w:tr>
      <w:tr w:rsidR="002F7A5B" w:rsidRPr="00052104" w14:paraId="02FAF16A" w14:textId="77777777" w:rsidTr="009C1D66">
        <w:trPr>
          <w:trHeight w:val="369"/>
        </w:trPr>
        <w:tc>
          <w:tcPr>
            <w:tcW w:w="3105" w:type="pct"/>
            <w:shd w:val="clear" w:color="auto" w:fill="auto"/>
            <w:vAlign w:val="bottom"/>
          </w:tcPr>
          <w:p w14:paraId="4272769B" w14:textId="17097CE4" w:rsidR="002F7A5B" w:rsidRPr="00A06955" w:rsidRDefault="002F7A5B" w:rsidP="00730385">
            <w:pPr>
              <w:jc w:val="left"/>
              <w:rPr>
                <w:b/>
                <w:color w:val="auto"/>
              </w:rPr>
            </w:pPr>
            <w:r w:rsidRPr="00A06955">
              <w:rPr>
                <w:color w:val="auto"/>
              </w:rPr>
              <w:t>Capital receipts</w:t>
            </w:r>
          </w:p>
        </w:tc>
        <w:tc>
          <w:tcPr>
            <w:tcW w:w="929" w:type="pct"/>
            <w:tcBorders>
              <w:top w:val="nil"/>
              <w:bottom w:val="nil"/>
            </w:tcBorders>
            <w:shd w:val="clear" w:color="auto" w:fill="auto"/>
            <w:vAlign w:val="bottom"/>
          </w:tcPr>
          <w:p w14:paraId="3C3CEEED" w14:textId="51305AA0" w:rsidR="002F7A5B" w:rsidRPr="00A06955" w:rsidRDefault="002F7A5B" w:rsidP="00730385">
            <w:pPr>
              <w:tabs>
                <w:tab w:val="decimal" w:pos="1026"/>
              </w:tabs>
              <w:rPr>
                <w:b/>
                <w:color w:val="auto"/>
                <w:highlight w:val="cyan"/>
              </w:rPr>
            </w:pPr>
            <w:r w:rsidRPr="009C1D66">
              <w:rPr>
                <w:color w:val="auto"/>
              </w:rPr>
              <w:t>(11.4)</w:t>
            </w:r>
          </w:p>
        </w:tc>
        <w:tc>
          <w:tcPr>
            <w:tcW w:w="966" w:type="pct"/>
            <w:tcBorders>
              <w:top w:val="nil"/>
              <w:bottom w:val="nil"/>
            </w:tcBorders>
            <w:shd w:val="clear" w:color="auto" w:fill="auto"/>
            <w:vAlign w:val="bottom"/>
          </w:tcPr>
          <w:p w14:paraId="08A6D30B" w14:textId="47119686" w:rsidR="002F7A5B" w:rsidRPr="007C02E2" w:rsidRDefault="002F7A5B" w:rsidP="00730385">
            <w:pPr>
              <w:tabs>
                <w:tab w:val="decimal" w:pos="1026"/>
              </w:tabs>
              <w:rPr>
                <w:b/>
                <w:color w:val="auto"/>
              </w:rPr>
            </w:pPr>
            <w:r>
              <w:rPr>
                <w:color w:val="auto"/>
              </w:rPr>
              <w:t>-</w:t>
            </w:r>
          </w:p>
        </w:tc>
      </w:tr>
      <w:tr w:rsidR="002F7A5B" w:rsidRPr="008E4793" w14:paraId="7F3C9F7B" w14:textId="77777777" w:rsidTr="009C1D66">
        <w:trPr>
          <w:trHeight w:val="369"/>
        </w:trPr>
        <w:tc>
          <w:tcPr>
            <w:tcW w:w="3105" w:type="pct"/>
            <w:shd w:val="clear" w:color="auto" w:fill="auto"/>
            <w:vAlign w:val="bottom"/>
          </w:tcPr>
          <w:p w14:paraId="700C2D9F" w14:textId="62090773" w:rsidR="002F7A5B" w:rsidRPr="00A06955" w:rsidRDefault="002F7A5B" w:rsidP="00730385">
            <w:pPr>
              <w:jc w:val="left"/>
              <w:rPr>
                <w:color w:val="auto"/>
              </w:rPr>
            </w:pPr>
            <w:r w:rsidRPr="00A06955">
              <w:rPr>
                <w:color w:val="auto"/>
              </w:rPr>
              <w:t>Government grants and other contributions</w:t>
            </w:r>
          </w:p>
        </w:tc>
        <w:tc>
          <w:tcPr>
            <w:tcW w:w="929" w:type="pct"/>
            <w:tcBorders>
              <w:bottom w:val="nil"/>
            </w:tcBorders>
            <w:shd w:val="clear" w:color="auto" w:fill="auto"/>
            <w:vAlign w:val="bottom"/>
          </w:tcPr>
          <w:p w14:paraId="1E3F1CDC" w14:textId="0128DC54" w:rsidR="002F7A5B" w:rsidRPr="00A06955" w:rsidRDefault="0013526A" w:rsidP="007809A7">
            <w:pPr>
              <w:tabs>
                <w:tab w:val="decimal" w:pos="1026"/>
              </w:tabs>
              <w:rPr>
                <w:color w:val="auto"/>
                <w:highlight w:val="cyan"/>
              </w:rPr>
            </w:pPr>
            <w:r>
              <w:rPr>
                <w:color w:val="auto"/>
              </w:rPr>
              <w:t>(150.</w:t>
            </w:r>
            <w:r w:rsidR="007809A7">
              <w:rPr>
                <w:color w:val="auto"/>
              </w:rPr>
              <w:t>9</w:t>
            </w:r>
            <w:r w:rsidR="002F7A5B" w:rsidRPr="009C1D66">
              <w:rPr>
                <w:color w:val="auto"/>
              </w:rPr>
              <w:t>)</w:t>
            </w:r>
          </w:p>
        </w:tc>
        <w:tc>
          <w:tcPr>
            <w:tcW w:w="966" w:type="pct"/>
            <w:tcBorders>
              <w:bottom w:val="nil"/>
            </w:tcBorders>
            <w:shd w:val="clear" w:color="auto" w:fill="auto"/>
            <w:vAlign w:val="bottom"/>
          </w:tcPr>
          <w:p w14:paraId="7642E448" w14:textId="4B010195" w:rsidR="002F7A5B" w:rsidRPr="008E4793" w:rsidRDefault="002F7A5B" w:rsidP="00730385">
            <w:pPr>
              <w:tabs>
                <w:tab w:val="decimal" w:pos="1026"/>
              </w:tabs>
              <w:rPr>
                <w:color w:val="auto"/>
              </w:rPr>
            </w:pPr>
            <w:r>
              <w:rPr>
                <w:color w:val="auto"/>
              </w:rPr>
              <w:t>(138.1)</w:t>
            </w:r>
          </w:p>
        </w:tc>
      </w:tr>
      <w:tr w:rsidR="002F7A5B" w:rsidRPr="008E4793" w14:paraId="565444A3" w14:textId="77777777" w:rsidTr="009C1D66">
        <w:trPr>
          <w:trHeight w:val="369"/>
        </w:trPr>
        <w:tc>
          <w:tcPr>
            <w:tcW w:w="3105" w:type="pct"/>
            <w:shd w:val="clear" w:color="auto" w:fill="auto"/>
            <w:vAlign w:val="bottom"/>
          </w:tcPr>
          <w:p w14:paraId="53BF1F4E" w14:textId="00A69E01" w:rsidR="002F7A5B" w:rsidRPr="00A06955" w:rsidRDefault="002F7A5B" w:rsidP="00730385">
            <w:pPr>
              <w:jc w:val="left"/>
              <w:rPr>
                <w:color w:val="auto"/>
              </w:rPr>
            </w:pPr>
            <w:r w:rsidRPr="00A06955">
              <w:rPr>
                <w:b/>
                <w:color w:val="auto"/>
              </w:rPr>
              <w:t>Sums set aside from revenue:</w:t>
            </w:r>
          </w:p>
        </w:tc>
        <w:tc>
          <w:tcPr>
            <w:tcW w:w="929" w:type="pct"/>
            <w:tcBorders>
              <w:bottom w:val="nil"/>
            </w:tcBorders>
            <w:shd w:val="clear" w:color="auto" w:fill="auto"/>
            <w:vAlign w:val="bottom"/>
          </w:tcPr>
          <w:p w14:paraId="6620C348" w14:textId="13083CEB" w:rsidR="002F7A5B" w:rsidRPr="00A06955" w:rsidRDefault="002F7A5B" w:rsidP="00730385">
            <w:pPr>
              <w:tabs>
                <w:tab w:val="decimal" w:pos="1026"/>
              </w:tabs>
              <w:rPr>
                <w:color w:val="auto"/>
                <w:highlight w:val="cyan"/>
              </w:rPr>
            </w:pPr>
          </w:p>
        </w:tc>
        <w:tc>
          <w:tcPr>
            <w:tcW w:w="966" w:type="pct"/>
            <w:tcBorders>
              <w:bottom w:val="nil"/>
            </w:tcBorders>
            <w:shd w:val="clear" w:color="auto" w:fill="auto"/>
            <w:vAlign w:val="bottom"/>
          </w:tcPr>
          <w:p w14:paraId="11F09A18" w14:textId="3E15D1D3" w:rsidR="002F7A5B" w:rsidRPr="008E4793" w:rsidRDefault="002F7A5B" w:rsidP="00730385">
            <w:pPr>
              <w:tabs>
                <w:tab w:val="decimal" w:pos="1026"/>
              </w:tabs>
              <w:rPr>
                <w:color w:val="auto"/>
              </w:rPr>
            </w:pPr>
          </w:p>
        </w:tc>
      </w:tr>
      <w:tr w:rsidR="002F7A5B" w:rsidRPr="00052104" w14:paraId="496C6D1F" w14:textId="77777777" w:rsidTr="009C1D66">
        <w:trPr>
          <w:trHeight w:val="369"/>
        </w:trPr>
        <w:tc>
          <w:tcPr>
            <w:tcW w:w="3105" w:type="pct"/>
            <w:shd w:val="clear" w:color="auto" w:fill="auto"/>
            <w:vAlign w:val="bottom"/>
          </w:tcPr>
          <w:p w14:paraId="79DA0AB6" w14:textId="5A847700" w:rsidR="002F7A5B" w:rsidRPr="00A06955" w:rsidRDefault="002F7A5B" w:rsidP="00730385">
            <w:pPr>
              <w:jc w:val="left"/>
              <w:rPr>
                <w:b/>
                <w:color w:val="auto"/>
              </w:rPr>
            </w:pPr>
            <w:r w:rsidRPr="00A06955">
              <w:rPr>
                <w:color w:val="auto"/>
              </w:rPr>
              <w:t>Direct revenue contributions</w:t>
            </w:r>
          </w:p>
        </w:tc>
        <w:tc>
          <w:tcPr>
            <w:tcW w:w="929" w:type="pct"/>
            <w:tcBorders>
              <w:bottom w:val="nil"/>
            </w:tcBorders>
            <w:shd w:val="clear" w:color="auto" w:fill="auto"/>
            <w:vAlign w:val="bottom"/>
          </w:tcPr>
          <w:p w14:paraId="3CD9DEBB" w14:textId="37883D41" w:rsidR="002F7A5B" w:rsidRPr="00A06955" w:rsidRDefault="002F7A5B" w:rsidP="00730385">
            <w:pPr>
              <w:tabs>
                <w:tab w:val="decimal" w:pos="1026"/>
              </w:tabs>
              <w:rPr>
                <w:color w:val="auto"/>
                <w:highlight w:val="cyan"/>
              </w:rPr>
            </w:pPr>
            <w:r w:rsidRPr="009C1D66">
              <w:rPr>
                <w:color w:val="auto"/>
              </w:rPr>
              <w:t>(</w:t>
            </w:r>
            <w:r w:rsidR="0062341F">
              <w:rPr>
                <w:color w:val="auto"/>
              </w:rPr>
              <w:t>15.8</w:t>
            </w:r>
            <w:r w:rsidRPr="009C1D66">
              <w:rPr>
                <w:color w:val="auto"/>
              </w:rPr>
              <w:t>)</w:t>
            </w:r>
          </w:p>
        </w:tc>
        <w:tc>
          <w:tcPr>
            <w:tcW w:w="966" w:type="pct"/>
            <w:tcBorders>
              <w:bottom w:val="nil"/>
            </w:tcBorders>
            <w:shd w:val="clear" w:color="auto" w:fill="auto"/>
            <w:vAlign w:val="bottom"/>
          </w:tcPr>
          <w:p w14:paraId="0D427418" w14:textId="37018836" w:rsidR="002F7A5B" w:rsidRPr="00052104" w:rsidRDefault="002F7A5B" w:rsidP="00730385">
            <w:pPr>
              <w:tabs>
                <w:tab w:val="decimal" w:pos="1026"/>
              </w:tabs>
              <w:rPr>
                <w:color w:val="auto"/>
              </w:rPr>
            </w:pPr>
            <w:r>
              <w:rPr>
                <w:color w:val="auto"/>
              </w:rPr>
              <w:t>(16.5)</w:t>
            </w:r>
          </w:p>
        </w:tc>
      </w:tr>
      <w:tr w:rsidR="002F7A5B" w:rsidRPr="00052104" w14:paraId="727D8763" w14:textId="77777777" w:rsidTr="009C1D66">
        <w:trPr>
          <w:trHeight w:val="369"/>
        </w:trPr>
        <w:tc>
          <w:tcPr>
            <w:tcW w:w="3105" w:type="pct"/>
            <w:shd w:val="clear" w:color="auto" w:fill="auto"/>
            <w:vAlign w:val="bottom"/>
          </w:tcPr>
          <w:p w14:paraId="5FA32523" w14:textId="26D62D1E" w:rsidR="002F7A5B" w:rsidRPr="00A06955" w:rsidRDefault="002F7A5B" w:rsidP="00730385">
            <w:pPr>
              <w:jc w:val="left"/>
              <w:rPr>
                <w:color w:val="auto"/>
              </w:rPr>
            </w:pPr>
            <w:r w:rsidRPr="00A06955">
              <w:rPr>
                <w:color w:val="auto"/>
              </w:rPr>
              <w:t>Write down of PFI liability</w:t>
            </w:r>
          </w:p>
        </w:tc>
        <w:tc>
          <w:tcPr>
            <w:tcW w:w="929" w:type="pct"/>
            <w:tcBorders>
              <w:bottom w:val="nil"/>
            </w:tcBorders>
            <w:shd w:val="clear" w:color="auto" w:fill="auto"/>
            <w:vAlign w:val="bottom"/>
          </w:tcPr>
          <w:p w14:paraId="10D4989E" w14:textId="018DA3E1" w:rsidR="002F7A5B" w:rsidRPr="00A06955" w:rsidRDefault="002F7A5B" w:rsidP="00730385">
            <w:pPr>
              <w:tabs>
                <w:tab w:val="decimal" w:pos="1026"/>
              </w:tabs>
              <w:rPr>
                <w:color w:val="auto"/>
                <w:highlight w:val="cyan"/>
              </w:rPr>
            </w:pPr>
            <w:r w:rsidRPr="009C1D66">
              <w:rPr>
                <w:color w:val="auto"/>
              </w:rPr>
              <w:t>(6.3)</w:t>
            </w:r>
          </w:p>
        </w:tc>
        <w:tc>
          <w:tcPr>
            <w:tcW w:w="966" w:type="pct"/>
            <w:tcBorders>
              <w:bottom w:val="nil"/>
            </w:tcBorders>
            <w:shd w:val="clear" w:color="auto" w:fill="auto"/>
            <w:vAlign w:val="bottom"/>
          </w:tcPr>
          <w:p w14:paraId="46EFA443" w14:textId="31D4A942" w:rsidR="002F7A5B" w:rsidRPr="00052104" w:rsidRDefault="002F7A5B" w:rsidP="00730385">
            <w:pPr>
              <w:tabs>
                <w:tab w:val="decimal" w:pos="1026"/>
              </w:tabs>
              <w:rPr>
                <w:color w:val="auto"/>
              </w:rPr>
            </w:pPr>
            <w:r>
              <w:rPr>
                <w:color w:val="auto"/>
              </w:rPr>
              <w:t>(7.6)</w:t>
            </w:r>
          </w:p>
        </w:tc>
      </w:tr>
      <w:tr w:rsidR="002F7A5B" w:rsidRPr="00052104" w14:paraId="30AF200D" w14:textId="77777777" w:rsidTr="009C1D66">
        <w:trPr>
          <w:trHeight w:val="369"/>
        </w:trPr>
        <w:tc>
          <w:tcPr>
            <w:tcW w:w="3105" w:type="pct"/>
            <w:shd w:val="clear" w:color="auto" w:fill="auto"/>
            <w:vAlign w:val="bottom"/>
          </w:tcPr>
          <w:p w14:paraId="54BFD421" w14:textId="466E1D7F" w:rsidR="002F7A5B" w:rsidRPr="00A06955" w:rsidRDefault="002F7A5B" w:rsidP="00730385">
            <w:pPr>
              <w:jc w:val="left"/>
              <w:rPr>
                <w:color w:val="auto"/>
              </w:rPr>
            </w:pPr>
            <w:r w:rsidRPr="00A06955">
              <w:rPr>
                <w:color w:val="auto"/>
              </w:rPr>
              <w:t>Minimum Revenue Provision (MRP)/ loans fund principal</w:t>
            </w:r>
          </w:p>
        </w:tc>
        <w:tc>
          <w:tcPr>
            <w:tcW w:w="929" w:type="pct"/>
            <w:tcBorders>
              <w:top w:val="nil"/>
              <w:bottom w:val="single" w:sz="4" w:space="0" w:color="auto"/>
            </w:tcBorders>
            <w:shd w:val="clear" w:color="auto" w:fill="auto"/>
            <w:vAlign w:val="bottom"/>
          </w:tcPr>
          <w:p w14:paraId="5E39D6DE" w14:textId="096E7249" w:rsidR="002F7A5B" w:rsidRPr="00A06955" w:rsidRDefault="002F7A5B" w:rsidP="00730385">
            <w:pPr>
              <w:tabs>
                <w:tab w:val="decimal" w:pos="1026"/>
              </w:tabs>
              <w:rPr>
                <w:color w:val="auto"/>
                <w:highlight w:val="cyan"/>
              </w:rPr>
            </w:pPr>
            <w:r w:rsidRPr="009C1D66">
              <w:rPr>
                <w:color w:val="auto"/>
              </w:rPr>
              <w:t>(30.2)</w:t>
            </w:r>
          </w:p>
        </w:tc>
        <w:tc>
          <w:tcPr>
            <w:tcW w:w="966" w:type="pct"/>
            <w:tcBorders>
              <w:top w:val="nil"/>
              <w:bottom w:val="single" w:sz="4" w:space="0" w:color="auto"/>
            </w:tcBorders>
            <w:shd w:val="clear" w:color="auto" w:fill="auto"/>
            <w:vAlign w:val="bottom"/>
          </w:tcPr>
          <w:p w14:paraId="6BF4FD87" w14:textId="6D230DEB" w:rsidR="002F7A5B" w:rsidRPr="00052104" w:rsidRDefault="002F7A5B" w:rsidP="00730385">
            <w:pPr>
              <w:tabs>
                <w:tab w:val="decimal" w:pos="1026"/>
              </w:tabs>
              <w:rPr>
                <w:color w:val="auto"/>
              </w:rPr>
            </w:pPr>
            <w:r>
              <w:rPr>
                <w:color w:val="auto"/>
              </w:rPr>
              <w:t>(27.6)</w:t>
            </w:r>
          </w:p>
        </w:tc>
      </w:tr>
      <w:tr w:rsidR="002F7A5B" w:rsidRPr="00052104" w14:paraId="766372AB" w14:textId="77777777" w:rsidTr="009C1D66">
        <w:trPr>
          <w:trHeight w:val="369"/>
        </w:trPr>
        <w:tc>
          <w:tcPr>
            <w:tcW w:w="3105" w:type="pct"/>
            <w:shd w:val="clear" w:color="auto" w:fill="auto"/>
            <w:vAlign w:val="bottom"/>
          </w:tcPr>
          <w:p w14:paraId="496D5DE0" w14:textId="65AA6345" w:rsidR="002F7A5B" w:rsidRPr="00A06955" w:rsidRDefault="002F7A5B" w:rsidP="00730385">
            <w:pPr>
              <w:jc w:val="left"/>
              <w:rPr>
                <w:color w:val="auto"/>
              </w:rPr>
            </w:pPr>
            <w:r w:rsidRPr="00A06955">
              <w:rPr>
                <w:b/>
                <w:color w:val="auto"/>
              </w:rPr>
              <w:t>Closing Capital Financing Requirement</w:t>
            </w:r>
          </w:p>
        </w:tc>
        <w:tc>
          <w:tcPr>
            <w:tcW w:w="929" w:type="pct"/>
            <w:tcBorders>
              <w:top w:val="single" w:sz="4" w:space="0" w:color="auto"/>
              <w:bottom w:val="nil"/>
            </w:tcBorders>
            <w:shd w:val="clear" w:color="auto" w:fill="auto"/>
            <w:vAlign w:val="bottom"/>
          </w:tcPr>
          <w:p w14:paraId="03B73B56" w14:textId="54AF4953" w:rsidR="002F7A5B" w:rsidRPr="00A06955" w:rsidRDefault="002F7A5B" w:rsidP="00730385">
            <w:pPr>
              <w:tabs>
                <w:tab w:val="decimal" w:pos="1026"/>
              </w:tabs>
              <w:rPr>
                <w:color w:val="auto"/>
                <w:highlight w:val="cyan"/>
              </w:rPr>
            </w:pPr>
            <w:r w:rsidRPr="009C1D66">
              <w:rPr>
                <w:b/>
                <w:color w:val="auto"/>
              </w:rPr>
              <w:t>1,002.5</w:t>
            </w:r>
          </w:p>
        </w:tc>
        <w:tc>
          <w:tcPr>
            <w:tcW w:w="966" w:type="pct"/>
            <w:tcBorders>
              <w:top w:val="single" w:sz="4" w:space="0" w:color="auto"/>
              <w:bottom w:val="nil"/>
            </w:tcBorders>
            <w:shd w:val="clear" w:color="auto" w:fill="auto"/>
            <w:vAlign w:val="bottom"/>
          </w:tcPr>
          <w:p w14:paraId="276C075E" w14:textId="639CC746" w:rsidR="002F7A5B" w:rsidRPr="00052104" w:rsidRDefault="002F7A5B" w:rsidP="00730385">
            <w:pPr>
              <w:tabs>
                <w:tab w:val="decimal" w:pos="1026"/>
              </w:tabs>
              <w:rPr>
                <w:color w:val="auto"/>
              </w:rPr>
            </w:pPr>
            <w:r>
              <w:rPr>
                <w:b/>
                <w:color w:val="auto"/>
              </w:rPr>
              <w:t>1,039.0</w:t>
            </w:r>
          </w:p>
        </w:tc>
      </w:tr>
      <w:tr w:rsidR="002F7A5B" w:rsidRPr="008E4793" w14:paraId="72B08A2E" w14:textId="77777777" w:rsidTr="009C1D66">
        <w:trPr>
          <w:trHeight w:val="369"/>
        </w:trPr>
        <w:tc>
          <w:tcPr>
            <w:tcW w:w="3105" w:type="pct"/>
            <w:shd w:val="clear" w:color="auto" w:fill="auto"/>
            <w:vAlign w:val="bottom"/>
          </w:tcPr>
          <w:p w14:paraId="6032FBEF" w14:textId="1095A545" w:rsidR="002F7A5B" w:rsidRPr="00A06955" w:rsidRDefault="002F7A5B" w:rsidP="00730385">
            <w:pPr>
              <w:jc w:val="left"/>
              <w:rPr>
                <w:b/>
                <w:color w:val="auto"/>
              </w:rPr>
            </w:pPr>
          </w:p>
        </w:tc>
        <w:tc>
          <w:tcPr>
            <w:tcW w:w="929" w:type="pct"/>
            <w:tcBorders>
              <w:bottom w:val="nil"/>
            </w:tcBorders>
            <w:shd w:val="clear" w:color="auto" w:fill="auto"/>
            <w:vAlign w:val="bottom"/>
          </w:tcPr>
          <w:p w14:paraId="1EF7FCBB" w14:textId="799971AC" w:rsidR="002F7A5B" w:rsidRPr="00A06955" w:rsidRDefault="002F7A5B" w:rsidP="00491750">
            <w:pPr>
              <w:tabs>
                <w:tab w:val="decimal" w:pos="1026"/>
              </w:tabs>
              <w:ind w:left="486" w:hanging="486"/>
              <w:rPr>
                <w:b/>
                <w:color w:val="auto"/>
                <w:highlight w:val="cyan"/>
              </w:rPr>
            </w:pPr>
          </w:p>
        </w:tc>
        <w:tc>
          <w:tcPr>
            <w:tcW w:w="966" w:type="pct"/>
            <w:tcBorders>
              <w:bottom w:val="nil"/>
            </w:tcBorders>
            <w:shd w:val="clear" w:color="auto" w:fill="auto"/>
            <w:vAlign w:val="bottom"/>
          </w:tcPr>
          <w:p w14:paraId="2AA763E8" w14:textId="0EAAD710" w:rsidR="002F7A5B" w:rsidRPr="008E4793" w:rsidRDefault="002F7A5B" w:rsidP="00730385">
            <w:pPr>
              <w:tabs>
                <w:tab w:val="decimal" w:pos="1026"/>
              </w:tabs>
              <w:rPr>
                <w:b/>
                <w:color w:val="auto"/>
              </w:rPr>
            </w:pPr>
          </w:p>
        </w:tc>
      </w:tr>
      <w:tr w:rsidR="002F7A5B" w:rsidRPr="008E4793" w14:paraId="22259202" w14:textId="77777777" w:rsidTr="009C1D66">
        <w:trPr>
          <w:trHeight w:val="369"/>
        </w:trPr>
        <w:tc>
          <w:tcPr>
            <w:tcW w:w="3105" w:type="pct"/>
            <w:shd w:val="clear" w:color="auto" w:fill="auto"/>
            <w:vAlign w:val="bottom"/>
          </w:tcPr>
          <w:p w14:paraId="79B1EAD0" w14:textId="331B8253" w:rsidR="002F7A5B" w:rsidRPr="003C0F16" w:rsidRDefault="002F7A5B" w:rsidP="00730385">
            <w:pPr>
              <w:jc w:val="left"/>
              <w:rPr>
                <w:color w:val="auto"/>
                <w:highlight w:val="yellow"/>
              </w:rPr>
            </w:pPr>
            <w:r w:rsidRPr="00A06955">
              <w:rPr>
                <w:color w:val="auto"/>
              </w:rPr>
              <w:t>Explanation of movements in year:</w:t>
            </w:r>
          </w:p>
        </w:tc>
        <w:tc>
          <w:tcPr>
            <w:tcW w:w="929" w:type="pct"/>
            <w:tcBorders>
              <w:bottom w:val="nil"/>
            </w:tcBorders>
            <w:shd w:val="clear" w:color="auto" w:fill="auto"/>
            <w:vAlign w:val="bottom"/>
          </w:tcPr>
          <w:p w14:paraId="398A212D" w14:textId="77777777" w:rsidR="002F7A5B" w:rsidRPr="00A06955" w:rsidRDefault="002F7A5B" w:rsidP="00730385">
            <w:pPr>
              <w:tabs>
                <w:tab w:val="decimal" w:pos="1026"/>
              </w:tabs>
              <w:rPr>
                <w:color w:val="auto"/>
                <w:highlight w:val="cyan"/>
              </w:rPr>
            </w:pPr>
          </w:p>
        </w:tc>
        <w:tc>
          <w:tcPr>
            <w:tcW w:w="966" w:type="pct"/>
            <w:tcBorders>
              <w:bottom w:val="nil"/>
            </w:tcBorders>
            <w:shd w:val="clear" w:color="auto" w:fill="auto"/>
            <w:vAlign w:val="bottom"/>
          </w:tcPr>
          <w:p w14:paraId="03279FAE" w14:textId="77777777" w:rsidR="002F7A5B" w:rsidRPr="008E4793" w:rsidRDefault="002F7A5B" w:rsidP="00730385">
            <w:pPr>
              <w:tabs>
                <w:tab w:val="decimal" w:pos="1026"/>
              </w:tabs>
              <w:rPr>
                <w:color w:val="auto"/>
              </w:rPr>
            </w:pPr>
          </w:p>
        </w:tc>
      </w:tr>
      <w:tr w:rsidR="002F7A5B" w:rsidRPr="008E4793" w14:paraId="478DE5C7" w14:textId="77777777" w:rsidTr="00A02D9F">
        <w:trPr>
          <w:trHeight w:val="369"/>
        </w:trPr>
        <w:tc>
          <w:tcPr>
            <w:tcW w:w="3105" w:type="pct"/>
            <w:shd w:val="clear" w:color="auto" w:fill="auto"/>
            <w:vAlign w:val="bottom"/>
          </w:tcPr>
          <w:p w14:paraId="165F0842" w14:textId="4B0932CA" w:rsidR="002F7A5B" w:rsidRPr="00A06955" w:rsidRDefault="002F7A5B" w:rsidP="00730385">
            <w:pPr>
              <w:jc w:val="left"/>
              <w:rPr>
                <w:color w:val="auto"/>
              </w:rPr>
            </w:pPr>
            <w:r w:rsidRPr="00A06955">
              <w:rPr>
                <w:color w:val="auto"/>
              </w:rPr>
              <w:t>Increase/decrease in underlying need to borrowing (supported by government financial assistance)</w:t>
            </w:r>
          </w:p>
        </w:tc>
        <w:tc>
          <w:tcPr>
            <w:tcW w:w="929" w:type="pct"/>
            <w:tcBorders>
              <w:top w:val="nil"/>
              <w:bottom w:val="nil"/>
            </w:tcBorders>
            <w:shd w:val="clear" w:color="auto" w:fill="auto"/>
            <w:vAlign w:val="bottom"/>
          </w:tcPr>
          <w:p w14:paraId="56CC98ED" w14:textId="573C7EA8" w:rsidR="002F7A5B" w:rsidRPr="00A06955" w:rsidRDefault="002F7A5B" w:rsidP="00730385">
            <w:pPr>
              <w:tabs>
                <w:tab w:val="decimal" w:pos="1026"/>
              </w:tabs>
              <w:rPr>
                <w:color w:val="auto"/>
                <w:highlight w:val="cyan"/>
              </w:rPr>
            </w:pPr>
            <w:r w:rsidRPr="009C1D66">
              <w:rPr>
                <w:color w:val="auto"/>
              </w:rPr>
              <w:t>(23.8)</w:t>
            </w:r>
          </w:p>
        </w:tc>
        <w:tc>
          <w:tcPr>
            <w:tcW w:w="966" w:type="pct"/>
            <w:tcBorders>
              <w:top w:val="nil"/>
              <w:bottom w:val="nil"/>
            </w:tcBorders>
            <w:shd w:val="clear" w:color="auto" w:fill="auto"/>
            <w:vAlign w:val="bottom"/>
          </w:tcPr>
          <w:p w14:paraId="0213AAD9" w14:textId="46D3CBAC" w:rsidR="002F7A5B" w:rsidRPr="008E4793" w:rsidRDefault="002F7A5B" w:rsidP="00730385">
            <w:pPr>
              <w:tabs>
                <w:tab w:val="decimal" w:pos="1026"/>
              </w:tabs>
              <w:rPr>
                <w:color w:val="auto"/>
              </w:rPr>
            </w:pPr>
            <w:r>
              <w:rPr>
                <w:color w:val="auto"/>
              </w:rPr>
              <w:t>(27.6)</w:t>
            </w:r>
          </w:p>
        </w:tc>
      </w:tr>
      <w:tr w:rsidR="002F7A5B" w:rsidRPr="008E4793" w14:paraId="2A9DEB86" w14:textId="77777777" w:rsidTr="00A02D9F">
        <w:trPr>
          <w:trHeight w:val="369"/>
        </w:trPr>
        <w:tc>
          <w:tcPr>
            <w:tcW w:w="3105" w:type="pct"/>
            <w:shd w:val="clear" w:color="auto" w:fill="auto"/>
            <w:vAlign w:val="bottom"/>
          </w:tcPr>
          <w:p w14:paraId="29B4DDCF" w14:textId="3AEE4F24" w:rsidR="002F7A5B" w:rsidRPr="00A06955" w:rsidRDefault="002F7A5B" w:rsidP="00730385">
            <w:pPr>
              <w:jc w:val="left"/>
              <w:rPr>
                <w:color w:val="auto"/>
              </w:rPr>
            </w:pPr>
            <w:r w:rsidRPr="00A06955">
              <w:rPr>
                <w:color w:val="auto"/>
              </w:rPr>
              <w:t>Increase in underlying need to borrowing (unsupported by government financial assistance)</w:t>
            </w:r>
          </w:p>
        </w:tc>
        <w:tc>
          <w:tcPr>
            <w:tcW w:w="929" w:type="pct"/>
            <w:tcBorders>
              <w:top w:val="nil"/>
              <w:bottom w:val="nil"/>
            </w:tcBorders>
            <w:shd w:val="clear" w:color="auto" w:fill="auto"/>
            <w:vAlign w:val="bottom"/>
          </w:tcPr>
          <w:p w14:paraId="1AAE28DD" w14:textId="635EF729" w:rsidR="002F7A5B" w:rsidRPr="00A06955" w:rsidRDefault="002F7A5B" w:rsidP="00730385">
            <w:pPr>
              <w:tabs>
                <w:tab w:val="decimal" w:pos="1026"/>
              </w:tabs>
              <w:rPr>
                <w:color w:val="auto"/>
                <w:highlight w:val="cyan"/>
              </w:rPr>
            </w:pPr>
            <w:r w:rsidRPr="009C1D66">
              <w:rPr>
                <w:color w:val="auto"/>
              </w:rPr>
              <w:t>(6.4)</w:t>
            </w:r>
          </w:p>
        </w:tc>
        <w:tc>
          <w:tcPr>
            <w:tcW w:w="966" w:type="pct"/>
            <w:tcBorders>
              <w:top w:val="nil"/>
              <w:bottom w:val="nil"/>
            </w:tcBorders>
            <w:shd w:val="clear" w:color="auto" w:fill="auto"/>
            <w:vAlign w:val="bottom"/>
          </w:tcPr>
          <w:p w14:paraId="266277E2" w14:textId="3090F1BC" w:rsidR="002F7A5B" w:rsidRPr="008E4793" w:rsidRDefault="002F7A5B" w:rsidP="00730385">
            <w:pPr>
              <w:tabs>
                <w:tab w:val="decimal" w:pos="1026"/>
              </w:tabs>
              <w:rPr>
                <w:color w:val="auto"/>
              </w:rPr>
            </w:pPr>
            <w:r>
              <w:rPr>
                <w:color w:val="auto"/>
              </w:rPr>
              <w:t>-</w:t>
            </w:r>
          </w:p>
        </w:tc>
      </w:tr>
      <w:tr w:rsidR="002F7A5B" w:rsidRPr="008E4793" w14:paraId="567352EC" w14:textId="77777777" w:rsidTr="009C1D66">
        <w:trPr>
          <w:trHeight w:val="369"/>
        </w:trPr>
        <w:tc>
          <w:tcPr>
            <w:tcW w:w="3105" w:type="pct"/>
            <w:shd w:val="clear" w:color="auto" w:fill="auto"/>
            <w:vAlign w:val="bottom"/>
          </w:tcPr>
          <w:p w14:paraId="07614608" w14:textId="43967B62" w:rsidR="002F7A5B" w:rsidRPr="00A06955" w:rsidRDefault="002F7A5B" w:rsidP="00730385">
            <w:pPr>
              <w:jc w:val="left"/>
              <w:rPr>
                <w:color w:val="auto"/>
              </w:rPr>
            </w:pPr>
            <w:r w:rsidRPr="00A06955">
              <w:rPr>
                <w:color w:val="auto"/>
              </w:rPr>
              <w:t>Write down PFI Liability</w:t>
            </w:r>
          </w:p>
        </w:tc>
        <w:tc>
          <w:tcPr>
            <w:tcW w:w="929" w:type="pct"/>
            <w:tcBorders>
              <w:top w:val="nil"/>
              <w:bottom w:val="single" w:sz="4" w:space="0" w:color="auto"/>
            </w:tcBorders>
            <w:shd w:val="clear" w:color="auto" w:fill="auto"/>
            <w:vAlign w:val="bottom"/>
          </w:tcPr>
          <w:p w14:paraId="39C845EC" w14:textId="7F084061" w:rsidR="002F7A5B" w:rsidRPr="00A06955" w:rsidRDefault="002F7A5B" w:rsidP="00730385">
            <w:pPr>
              <w:tabs>
                <w:tab w:val="decimal" w:pos="1026"/>
              </w:tabs>
              <w:rPr>
                <w:color w:val="auto"/>
                <w:highlight w:val="cyan"/>
              </w:rPr>
            </w:pPr>
            <w:r w:rsidRPr="009C1D66">
              <w:rPr>
                <w:color w:val="auto"/>
              </w:rPr>
              <w:t>(6.3)</w:t>
            </w:r>
          </w:p>
        </w:tc>
        <w:tc>
          <w:tcPr>
            <w:tcW w:w="966" w:type="pct"/>
            <w:tcBorders>
              <w:top w:val="nil"/>
              <w:bottom w:val="single" w:sz="4" w:space="0" w:color="auto"/>
            </w:tcBorders>
            <w:shd w:val="clear" w:color="auto" w:fill="auto"/>
            <w:vAlign w:val="bottom"/>
          </w:tcPr>
          <w:p w14:paraId="532F3E3C" w14:textId="7A9ACB03" w:rsidR="002F7A5B" w:rsidRPr="008E4793" w:rsidRDefault="002F7A5B" w:rsidP="00730385">
            <w:pPr>
              <w:tabs>
                <w:tab w:val="decimal" w:pos="1026"/>
              </w:tabs>
              <w:rPr>
                <w:color w:val="auto"/>
              </w:rPr>
            </w:pPr>
            <w:r>
              <w:rPr>
                <w:color w:val="auto"/>
              </w:rPr>
              <w:t>(7.6)</w:t>
            </w:r>
          </w:p>
        </w:tc>
      </w:tr>
      <w:tr w:rsidR="002F7A5B" w:rsidRPr="00052104" w14:paraId="39380802" w14:textId="77777777" w:rsidTr="009C1D66">
        <w:trPr>
          <w:trHeight w:val="369"/>
        </w:trPr>
        <w:tc>
          <w:tcPr>
            <w:tcW w:w="3105" w:type="pct"/>
            <w:shd w:val="clear" w:color="auto" w:fill="auto"/>
            <w:vAlign w:val="bottom"/>
          </w:tcPr>
          <w:p w14:paraId="2140FA62" w14:textId="1F6B2302" w:rsidR="002F7A5B" w:rsidRPr="00A06955" w:rsidRDefault="002F7A5B" w:rsidP="00730385">
            <w:pPr>
              <w:jc w:val="left"/>
              <w:rPr>
                <w:color w:val="auto"/>
              </w:rPr>
            </w:pPr>
            <w:r w:rsidRPr="00A06955">
              <w:rPr>
                <w:b/>
                <w:color w:val="auto"/>
              </w:rPr>
              <w:t>Increase (decrease) in Capital Financing Requirement</w:t>
            </w:r>
          </w:p>
        </w:tc>
        <w:tc>
          <w:tcPr>
            <w:tcW w:w="929" w:type="pct"/>
            <w:tcBorders>
              <w:top w:val="single" w:sz="4" w:space="0" w:color="auto"/>
              <w:bottom w:val="single" w:sz="4" w:space="0" w:color="auto"/>
            </w:tcBorders>
            <w:shd w:val="clear" w:color="auto" w:fill="auto"/>
            <w:vAlign w:val="bottom"/>
          </w:tcPr>
          <w:p w14:paraId="54D2427D" w14:textId="6C2AD35F" w:rsidR="002F7A5B" w:rsidRPr="00A06955" w:rsidRDefault="002F7A5B" w:rsidP="00730385">
            <w:pPr>
              <w:tabs>
                <w:tab w:val="decimal" w:pos="1026"/>
              </w:tabs>
              <w:rPr>
                <w:color w:val="auto"/>
                <w:highlight w:val="cyan"/>
              </w:rPr>
            </w:pPr>
            <w:r w:rsidRPr="009C1D66">
              <w:rPr>
                <w:b/>
                <w:color w:val="auto"/>
              </w:rPr>
              <w:t>(36.5)</w:t>
            </w:r>
          </w:p>
        </w:tc>
        <w:tc>
          <w:tcPr>
            <w:tcW w:w="966" w:type="pct"/>
            <w:tcBorders>
              <w:top w:val="single" w:sz="4" w:space="0" w:color="auto"/>
              <w:bottom w:val="single" w:sz="4" w:space="0" w:color="auto"/>
            </w:tcBorders>
            <w:shd w:val="clear" w:color="auto" w:fill="auto"/>
            <w:vAlign w:val="bottom"/>
          </w:tcPr>
          <w:p w14:paraId="214D9ACA" w14:textId="41FBE6F0" w:rsidR="002F7A5B" w:rsidRPr="00052104" w:rsidRDefault="002F7A5B" w:rsidP="00730385">
            <w:pPr>
              <w:tabs>
                <w:tab w:val="decimal" w:pos="1026"/>
              </w:tabs>
              <w:rPr>
                <w:color w:val="auto"/>
              </w:rPr>
            </w:pPr>
            <w:r>
              <w:rPr>
                <w:b/>
                <w:color w:val="auto"/>
              </w:rPr>
              <w:t>(35.2)</w:t>
            </w:r>
          </w:p>
        </w:tc>
      </w:tr>
      <w:tr w:rsidR="002F7A5B" w:rsidRPr="00052104" w14:paraId="5260D2D9" w14:textId="77777777" w:rsidTr="009C1D66">
        <w:trPr>
          <w:trHeight w:val="369"/>
        </w:trPr>
        <w:tc>
          <w:tcPr>
            <w:tcW w:w="3105" w:type="pct"/>
            <w:shd w:val="clear" w:color="auto" w:fill="auto"/>
            <w:vAlign w:val="bottom"/>
          </w:tcPr>
          <w:p w14:paraId="3597F949" w14:textId="1A1AFB9A" w:rsidR="002F7A5B" w:rsidRPr="00A06955" w:rsidRDefault="002F7A5B" w:rsidP="00730385">
            <w:pPr>
              <w:jc w:val="left"/>
              <w:rPr>
                <w:b/>
                <w:color w:val="auto"/>
              </w:rPr>
            </w:pPr>
          </w:p>
        </w:tc>
        <w:tc>
          <w:tcPr>
            <w:tcW w:w="929" w:type="pct"/>
            <w:tcBorders>
              <w:top w:val="single" w:sz="4" w:space="0" w:color="auto"/>
              <w:bottom w:val="single" w:sz="4" w:space="0" w:color="auto"/>
            </w:tcBorders>
            <w:shd w:val="clear" w:color="auto" w:fill="auto"/>
            <w:vAlign w:val="bottom"/>
          </w:tcPr>
          <w:p w14:paraId="22434714" w14:textId="1832F2D4" w:rsidR="002F7A5B" w:rsidRPr="00A06955" w:rsidRDefault="002F7A5B" w:rsidP="00730385">
            <w:pPr>
              <w:tabs>
                <w:tab w:val="decimal" w:pos="1026"/>
              </w:tabs>
              <w:rPr>
                <w:b/>
                <w:color w:val="auto"/>
                <w:highlight w:val="cyan"/>
              </w:rPr>
            </w:pPr>
          </w:p>
        </w:tc>
        <w:tc>
          <w:tcPr>
            <w:tcW w:w="966" w:type="pct"/>
            <w:tcBorders>
              <w:top w:val="single" w:sz="4" w:space="0" w:color="auto"/>
              <w:bottom w:val="single" w:sz="4" w:space="0" w:color="auto"/>
            </w:tcBorders>
            <w:shd w:val="clear" w:color="auto" w:fill="auto"/>
            <w:vAlign w:val="bottom"/>
          </w:tcPr>
          <w:p w14:paraId="0A0A90C7" w14:textId="759A651C" w:rsidR="002F7A5B" w:rsidRPr="00052104" w:rsidRDefault="002F7A5B" w:rsidP="00730385">
            <w:pPr>
              <w:tabs>
                <w:tab w:val="decimal" w:pos="1026"/>
              </w:tabs>
              <w:rPr>
                <w:b/>
                <w:color w:val="auto"/>
              </w:rPr>
            </w:pPr>
          </w:p>
        </w:tc>
      </w:tr>
    </w:tbl>
    <w:p w14:paraId="67859D48" w14:textId="77777777" w:rsidR="008E4793" w:rsidRDefault="008E4793" w:rsidP="008E4793">
      <w:pPr>
        <w:rPr>
          <w:lang w:eastAsia="en-GB"/>
        </w:rPr>
      </w:pPr>
    </w:p>
    <w:p w14:paraId="0BEFB3D1" w14:textId="09955F12" w:rsidR="00FE1594" w:rsidRPr="009C1D66" w:rsidRDefault="00311222" w:rsidP="008E4793">
      <w:pPr>
        <w:rPr>
          <w:b/>
          <w:lang w:eastAsia="en-GB"/>
        </w:rPr>
      </w:pPr>
      <w:r>
        <w:rPr>
          <w:b/>
          <w:lang w:eastAsia="en-GB"/>
        </w:rPr>
        <w:t>Future capital spending c</w:t>
      </w:r>
      <w:r w:rsidR="003C7B37" w:rsidRPr="009C1D66">
        <w:rPr>
          <w:b/>
          <w:lang w:eastAsia="en-GB"/>
        </w:rPr>
        <w:t>ommitments</w:t>
      </w:r>
    </w:p>
    <w:p w14:paraId="05D2188B" w14:textId="4240CDFE" w:rsidR="003C7B37" w:rsidRDefault="003C7B37" w:rsidP="003C7B37">
      <w:pPr>
        <w:rPr>
          <w:lang w:eastAsia="en-GB"/>
        </w:rPr>
      </w:pPr>
      <w:r w:rsidRPr="009C1D66">
        <w:rPr>
          <w:lang w:eastAsia="en-GB"/>
        </w:rPr>
        <w:t>Due to the long term nature of many capital projects we are committed to certain levels of capital spending in the future with many projects agreed in previous years not due to be completed until later years.</w:t>
      </w:r>
    </w:p>
    <w:p w14:paraId="1A186409" w14:textId="77777777" w:rsidR="001706B1" w:rsidRDefault="001706B1" w:rsidP="003C7B37">
      <w:pPr>
        <w:rPr>
          <w:lang w:eastAsia="en-GB"/>
        </w:rPr>
      </w:pPr>
    </w:p>
    <w:p w14:paraId="34C25BA7" w14:textId="77777777" w:rsidR="001706B1" w:rsidRDefault="001706B1" w:rsidP="003C7B37">
      <w:pPr>
        <w:rPr>
          <w:lang w:eastAsia="en-GB"/>
        </w:rPr>
      </w:pPr>
    </w:p>
    <w:p w14:paraId="1F42D9DB" w14:textId="77777777" w:rsidR="001706B1" w:rsidRPr="009C1D66" w:rsidRDefault="001706B1" w:rsidP="003C7B37">
      <w:pPr>
        <w:rPr>
          <w:lang w:eastAsia="en-GB"/>
        </w:rPr>
      </w:pPr>
    </w:p>
    <w:p w14:paraId="68044823" w14:textId="7603455E" w:rsidR="003C7B37" w:rsidRPr="009C1D66" w:rsidRDefault="003C7B37" w:rsidP="003C7B37">
      <w:pPr>
        <w:rPr>
          <w:lang w:eastAsia="en-GB"/>
        </w:rPr>
      </w:pPr>
      <w:r w:rsidRPr="009C1D66">
        <w:rPr>
          <w:lang w:eastAsia="en-GB"/>
        </w:rPr>
        <w:t>Our legally committed capital expenditure as at 31 March 2015 is £</w:t>
      </w:r>
      <w:r w:rsidR="001836C0" w:rsidRPr="009C1D66">
        <w:rPr>
          <w:lang w:eastAsia="en-GB"/>
        </w:rPr>
        <w:t>89</w:t>
      </w:r>
      <w:r w:rsidRPr="009C1D66">
        <w:rPr>
          <w:lang w:eastAsia="en-GB"/>
        </w:rPr>
        <w:t>.</w:t>
      </w:r>
      <w:r w:rsidR="001836C0" w:rsidRPr="009C1D66">
        <w:rPr>
          <w:lang w:eastAsia="en-GB"/>
        </w:rPr>
        <w:t xml:space="preserve">9m </w:t>
      </w:r>
      <w:r w:rsidRPr="009C1D66">
        <w:rPr>
          <w:lang w:eastAsia="en-GB"/>
        </w:rPr>
        <w:t>(31 March 2014: £</w:t>
      </w:r>
      <w:r w:rsidR="001836C0" w:rsidRPr="009C1D66">
        <w:rPr>
          <w:lang w:eastAsia="en-GB"/>
        </w:rPr>
        <w:t>142</w:t>
      </w:r>
      <w:r w:rsidRPr="009C1D66">
        <w:rPr>
          <w:lang w:eastAsia="en-GB"/>
        </w:rPr>
        <w:t>.</w:t>
      </w:r>
      <w:r w:rsidR="001836C0" w:rsidRPr="009C1D66">
        <w:rPr>
          <w:lang w:eastAsia="en-GB"/>
        </w:rPr>
        <w:t>0m</w:t>
      </w:r>
      <w:r w:rsidRPr="009C1D66">
        <w:rPr>
          <w:lang w:eastAsia="en-GB"/>
        </w:rPr>
        <w:t>) as detailed below:</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37"/>
        <w:gridCol w:w="2713"/>
      </w:tblGrid>
      <w:tr w:rsidR="003C7B37" w:rsidRPr="009C1D66" w14:paraId="7DF62990" w14:textId="77777777" w:rsidTr="00A06955">
        <w:trPr>
          <w:trHeight w:val="369"/>
          <w:tblHeader/>
        </w:trPr>
        <w:tc>
          <w:tcPr>
            <w:tcW w:w="3702" w:type="pct"/>
            <w:shd w:val="clear" w:color="auto" w:fill="D0CECE"/>
            <w:vAlign w:val="bottom"/>
          </w:tcPr>
          <w:p w14:paraId="07505709" w14:textId="77777777" w:rsidR="003C7B37" w:rsidRPr="009C1D66" w:rsidRDefault="003C7B37" w:rsidP="00730385">
            <w:pPr>
              <w:jc w:val="left"/>
              <w:rPr>
                <w:color w:val="auto"/>
              </w:rPr>
            </w:pPr>
          </w:p>
        </w:tc>
        <w:tc>
          <w:tcPr>
            <w:tcW w:w="1298" w:type="pct"/>
            <w:shd w:val="clear" w:color="auto" w:fill="D0CECE"/>
            <w:vAlign w:val="bottom"/>
          </w:tcPr>
          <w:p w14:paraId="3027B276" w14:textId="77777777" w:rsidR="003C7B37" w:rsidRPr="009C1D66" w:rsidRDefault="003C7B37" w:rsidP="00730385">
            <w:pPr>
              <w:jc w:val="center"/>
              <w:rPr>
                <w:b/>
                <w:color w:val="auto"/>
              </w:rPr>
            </w:pPr>
            <w:r w:rsidRPr="009C1D66">
              <w:rPr>
                <w:b/>
                <w:color w:val="auto"/>
              </w:rPr>
              <w:t>£m</w:t>
            </w:r>
          </w:p>
        </w:tc>
      </w:tr>
      <w:tr w:rsidR="003C7B37" w:rsidRPr="009C1D66" w14:paraId="586A6866" w14:textId="77777777" w:rsidTr="003C7B37">
        <w:trPr>
          <w:trHeight w:val="369"/>
        </w:trPr>
        <w:tc>
          <w:tcPr>
            <w:tcW w:w="3702" w:type="pct"/>
            <w:shd w:val="clear" w:color="auto" w:fill="auto"/>
            <w:vAlign w:val="bottom"/>
          </w:tcPr>
          <w:p w14:paraId="67A56B34" w14:textId="77777777" w:rsidR="003C7B37" w:rsidRPr="009C1D66" w:rsidRDefault="003C7B37" w:rsidP="00730385">
            <w:pPr>
              <w:jc w:val="left"/>
              <w:rPr>
                <w:color w:val="auto"/>
              </w:rPr>
            </w:pPr>
            <w:r w:rsidRPr="009C1D66">
              <w:rPr>
                <w:color w:val="auto"/>
              </w:rPr>
              <w:t>Adult Services, Health and Wellbeing</w:t>
            </w:r>
          </w:p>
        </w:tc>
        <w:tc>
          <w:tcPr>
            <w:tcW w:w="1298" w:type="pct"/>
            <w:tcBorders>
              <w:bottom w:val="nil"/>
            </w:tcBorders>
            <w:shd w:val="clear" w:color="auto" w:fill="auto"/>
            <w:vAlign w:val="bottom"/>
          </w:tcPr>
          <w:p w14:paraId="500E8753" w14:textId="76892194" w:rsidR="003C7B37" w:rsidRPr="009C1D66" w:rsidRDefault="001836C0" w:rsidP="003C7B37">
            <w:pPr>
              <w:tabs>
                <w:tab w:val="decimal" w:pos="1451"/>
              </w:tabs>
              <w:rPr>
                <w:color w:val="auto"/>
              </w:rPr>
            </w:pPr>
            <w:r w:rsidRPr="009C1D66">
              <w:rPr>
                <w:color w:val="auto"/>
              </w:rPr>
              <w:t>0.7</w:t>
            </w:r>
          </w:p>
        </w:tc>
      </w:tr>
      <w:tr w:rsidR="003C7B37" w:rsidRPr="009C1D66" w14:paraId="6E367913" w14:textId="77777777" w:rsidTr="003C7B37">
        <w:trPr>
          <w:trHeight w:val="369"/>
        </w:trPr>
        <w:tc>
          <w:tcPr>
            <w:tcW w:w="3702" w:type="pct"/>
            <w:shd w:val="clear" w:color="auto" w:fill="auto"/>
            <w:vAlign w:val="bottom"/>
          </w:tcPr>
          <w:p w14:paraId="0533E474" w14:textId="77777777" w:rsidR="003C7B37" w:rsidRPr="009C1D66" w:rsidRDefault="003C7B37" w:rsidP="00730385">
            <w:pPr>
              <w:jc w:val="left"/>
              <w:rPr>
                <w:color w:val="auto"/>
              </w:rPr>
            </w:pPr>
            <w:r w:rsidRPr="009C1D66">
              <w:rPr>
                <w:color w:val="auto"/>
              </w:rPr>
              <w:t>Children and Young People Schools</w:t>
            </w:r>
          </w:p>
        </w:tc>
        <w:tc>
          <w:tcPr>
            <w:tcW w:w="1298" w:type="pct"/>
            <w:tcBorders>
              <w:bottom w:val="nil"/>
            </w:tcBorders>
            <w:shd w:val="clear" w:color="auto" w:fill="auto"/>
            <w:vAlign w:val="bottom"/>
          </w:tcPr>
          <w:p w14:paraId="32CFEFFD" w14:textId="05DA237B" w:rsidR="003C7B37" w:rsidRPr="009C1D66" w:rsidRDefault="001836C0" w:rsidP="003C7B37">
            <w:pPr>
              <w:tabs>
                <w:tab w:val="decimal" w:pos="1451"/>
              </w:tabs>
              <w:rPr>
                <w:color w:val="auto"/>
              </w:rPr>
            </w:pPr>
            <w:r w:rsidRPr="009C1D66">
              <w:rPr>
                <w:color w:val="auto"/>
              </w:rPr>
              <w:t>12.7</w:t>
            </w:r>
          </w:p>
        </w:tc>
      </w:tr>
      <w:tr w:rsidR="003C7B37" w:rsidRPr="009C1D66" w14:paraId="493DDCCC" w14:textId="77777777" w:rsidTr="003C7B37">
        <w:trPr>
          <w:trHeight w:val="369"/>
        </w:trPr>
        <w:tc>
          <w:tcPr>
            <w:tcW w:w="3702" w:type="pct"/>
            <w:shd w:val="clear" w:color="auto" w:fill="auto"/>
            <w:vAlign w:val="bottom"/>
          </w:tcPr>
          <w:p w14:paraId="3ACFC8A3" w14:textId="77777777" w:rsidR="003C7B37" w:rsidRPr="009C1D66" w:rsidRDefault="003C7B37" w:rsidP="00730385">
            <w:pPr>
              <w:jc w:val="left"/>
              <w:rPr>
                <w:color w:val="auto"/>
              </w:rPr>
            </w:pPr>
            <w:r w:rsidRPr="009C1D66">
              <w:rPr>
                <w:color w:val="auto"/>
              </w:rPr>
              <w:lastRenderedPageBreak/>
              <w:t>Children and Young People Service</w:t>
            </w:r>
          </w:p>
        </w:tc>
        <w:tc>
          <w:tcPr>
            <w:tcW w:w="1298" w:type="pct"/>
            <w:tcBorders>
              <w:bottom w:val="nil"/>
            </w:tcBorders>
            <w:shd w:val="clear" w:color="auto" w:fill="auto"/>
            <w:vAlign w:val="bottom"/>
          </w:tcPr>
          <w:p w14:paraId="5050DD12" w14:textId="1C8FCAC7" w:rsidR="003C7B37" w:rsidRPr="009C1D66" w:rsidRDefault="001836C0" w:rsidP="003C7B37">
            <w:pPr>
              <w:tabs>
                <w:tab w:val="decimal" w:pos="1451"/>
              </w:tabs>
              <w:rPr>
                <w:color w:val="auto"/>
              </w:rPr>
            </w:pPr>
            <w:r w:rsidRPr="009C1D66">
              <w:rPr>
                <w:color w:val="auto"/>
              </w:rPr>
              <w:t>2.8</w:t>
            </w:r>
          </w:p>
        </w:tc>
      </w:tr>
      <w:tr w:rsidR="003C7B37" w:rsidRPr="009C1D66" w14:paraId="448C3292" w14:textId="77777777" w:rsidTr="003C7B37">
        <w:trPr>
          <w:trHeight w:val="369"/>
        </w:trPr>
        <w:tc>
          <w:tcPr>
            <w:tcW w:w="3702" w:type="pct"/>
            <w:shd w:val="clear" w:color="auto" w:fill="auto"/>
            <w:vAlign w:val="bottom"/>
          </w:tcPr>
          <w:p w14:paraId="654C4F1B" w14:textId="77777777" w:rsidR="003C7B37" w:rsidRPr="009C1D66" w:rsidRDefault="003C7B37" w:rsidP="00730385">
            <w:pPr>
              <w:jc w:val="left"/>
              <w:rPr>
                <w:color w:val="auto"/>
              </w:rPr>
            </w:pPr>
            <w:r w:rsidRPr="009C1D66">
              <w:rPr>
                <w:color w:val="auto"/>
              </w:rPr>
              <w:t>Environment</w:t>
            </w:r>
          </w:p>
        </w:tc>
        <w:tc>
          <w:tcPr>
            <w:tcW w:w="1298" w:type="pct"/>
            <w:tcBorders>
              <w:bottom w:val="nil"/>
            </w:tcBorders>
            <w:shd w:val="clear" w:color="auto" w:fill="auto"/>
            <w:vAlign w:val="bottom"/>
          </w:tcPr>
          <w:p w14:paraId="3B83A636" w14:textId="5362E465" w:rsidR="003C7B37" w:rsidRPr="009C1D66" w:rsidRDefault="001836C0" w:rsidP="003C7B37">
            <w:pPr>
              <w:tabs>
                <w:tab w:val="decimal" w:pos="1451"/>
              </w:tabs>
              <w:rPr>
                <w:color w:val="auto"/>
              </w:rPr>
            </w:pPr>
            <w:r w:rsidRPr="009C1D66">
              <w:rPr>
                <w:color w:val="auto"/>
              </w:rPr>
              <w:t>70.5</w:t>
            </w:r>
          </w:p>
        </w:tc>
      </w:tr>
      <w:tr w:rsidR="003C7B37" w:rsidRPr="009C1D66" w14:paraId="50A6FE02" w14:textId="77777777" w:rsidTr="003C7B37">
        <w:trPr>
          <w:trHeight w:val="369"/>
        </w:trPr>
        <w:tc>
          <w:tcPr>
            <w:tcW w:w="3702" w:type="pct"/>
            <w:shd w:val="clear" w:color="auto" w:fill="auto"/>
            <w:vAlign w:val="bottom"/>
          </w:tcPr>
          <w:p w14:paraId="517CD36B" w14:textId="77777777" w:rsidR="003C7B37" w:rsidRPr="009C1D66" w:rsidRDefault="003C7B37" w:rsidP="00730385">
            <w:pPr>
              <w:jc w:val="left"/>
              <w:rPr>
                <w:color w:val="auto"/>
              </w:rPr>
            </w:pPr>
            <w:r w:rsidRPr="009C1D66">
              <w:rPr>
                <w:color w:val="auto"/>
              </w:rPr>
              <w:t>Resources</w:t>
            </w:r>
          </w:p>
        </w:tc>
        <w:tc>
          <w:tcPr>
            <w:tcW w:w="1298" w:type="pct"/>
            <w:tcBorders>
              <w:bottom w:val="nil"/>
            </w:tcBorders>
            <w:shd w:val="clear" w:color="auto" w:fill="auto"/>
            <w:vAlign w:val="bottom"/>
          </w:tcPr>
          <w:p w14:paraId="3CC79B8B" w14:textId="13E0E810" w:rsidR="003C7B37" w:rsidRPr="009C1D66" w:rsidRDefault="001836C0" w:rsidP="003C7B37">
            <w:pPr>
              <w:tabs>
                <w:tab w:val="decimal" w:pos="1451"/>
              </w:tabs>
              <w:rPr>
                <w:color w:val="auto"/>
              </w:rPr>
            </w:pPr>
            <w:r w:rsidRPr="009C1D66">
              <w:rPr>
                <w:color w:val="auto"/>
              </w:rPr>
              <w:t>3.2</w:t>
            </w:r>
          </w:p>
        </w:tc>
      </w:tr>
      <w:tr w:rsidR="003C7B37" w:rsidRPr="003C7B37" w14:paraId="52EC301B" w14:textId="77777777" w:rsidTr="003C7B37">
        <w:trPr>
          <w:trHeight w:val="369"/>
        </w:trPr>
        <w:tc>
          <w:tcPr>
            <w:tcW w:w="3702" w:type="pct"/>
            <w:shd w:val="clear" w:color="auto" w:fill="auto"/>
            <w:vAlign w:val="bottom"/>
          </w:tcPr>
          <w:p w14:paraId="316B7CC0" w14:textId="77777777" w:rsidR="003C7B37" w:rsidRPr="009C1D66" w:rsidRDefault="003C7B37" w:rsidP="00730385">
            <w:pPr>
              <w:jc w:val="left"/>
              <w:rPr>
                <w:b/>
                <w:color w:val="auto"/>
              </w:rPr>
            </w:pPr>
            <w:r w:rsidRPr="009C1D66">
              <w:rPr>
                <w:b/>
                <w:color w:val="auto"/>
              </w:rPr>
              <w:t>Total</w:t>
            </w:r>
          </w:p>
        </w:tc>
        <w:tc>
          <w:tcPr>
            <w:tcW w:w="1298" w:type="pct"/>
            <w:tcBorders>
              <w:top w:val="nil"/>
              <w:bottom w:val="single" w:sz="4" w:space="0" w:color="auto"/>
            </w:tcBorders>
            <w:shd w:val="clear" w:color="auto" w:fill="auto"/>
            <w:vAlign w:val="bottom"/>
          </w:tcPr>
          <w:p w14:paraId="039DAC6B" w14:textId="36335A78" w:rsidR="003C7B37" w:rsidRPr="003C7B37" w:rsidRDefault="001836C0" w:rsidP="003C7B37">
            <w:pPr>
              <w:tabs>
                <w:tab w:val="decimal" w:pos="1451"/>
              </w:tabs>
              <w:rPr>
                <w:b/>
                <w:color w:val="auto"/>
              </w:rPr>
            </w:pPr>
            <w:r w:rsidRPr="009C1D66">
              <w:rPr>
                <w:b/>
                <w:color w:val="auto"/>
              </w:rPr>
              <w:t>89.9</w:t>
            </w:r>
          </w:p>
        </w:tc>
      </w:tr>
    </w:tbl>
    <w:p w14:paraId="6BE096BF" w14:textId="77777777" w:rsidR="00CF78B2" w:rsidRDefault="00CF78B2" w:rsidP="00CF78B2">
      <w:pPr>
        <w:rPr>
          <w:lang w:eastAsia="en-GB"/>
        </w:rPr>
      </w:pPr>
    </w:p>
    <w:p w14:paraId="46A6D3FE" w14:textId="77777777" w:rsidR="001706B1" w:rsidRDefault="001706B1">
      <w:pPr>
        <w:rPr>
          <w:lang w:eastAsia="en-GB"/>
        </w:rPr>
      </w:pPr>
    </w:p>
    <w:p w14:paraId="091F9DB4" w14:textId="77777777" w:rsidR="001706B1" w:rsidRDefault="001706B1">
      <w:pPr>
        <w:rPr>
          <w:lang w:eastAsia="en-GB"/>
        </w:rPr>
      </w:pPr>
    </w:p>
    <w:p w14:paraId="1CF1C17C" w14:textId="77777777" w:rsidR="001706B1" w:rsidRDefault="001706B1">
      <w:pPr>
        <w:rPr>
          <w:lang w:eastAsia="en-GB"/>
        </w:rPr>
      </w:pPr>
    </w:p>
    <w:p w14:paraId="01986347" w14:textId="77777777" w:rsidR="001706B1" w:rsidRDefault="001706B1">
      <w:pPr>
        <w:rPr>
          <w:lang w:eastAsia="en-GB"/>
        </w:rPr>
      </w:pPr>
    </w:p>
    <w:p w14:paraId="4E255B3B" w14:textId="77777777" w:rsidR="001706B1" w:rsidRDefault="001706B1">
      <w:pPr>
        <w:rPr>
          <w:lang w:eastAsia="en-GB"/>
        </w:rPr>
      </w:pPr>
    </w:p>
    <w:p w14:paraId="0A29C85F" w14:textId="77777777" w:rsidR="001706B1" w:rsidRDefault="001706B1">
      <w:pPr>
        <w:rPr>
          <w:lang w:eastAsia="en-GB"/>
        </w:rPr>
      </w:pPr>
    </w:p>
    <w:p w14:paraId="7FF88C98" w14:textId="77777777" w:rsidR="001706B1" w:rsidRDefault="001706B1">
      <w:pPr>
        <w:rPr>
          <w:lang w:eastAsia="en-GB"/>
        </w:rPr>
      </w:pPr>
    </w:p>
    <w:p w14:paraId="7D36AA3C" w14:textId="77777777" w:rsidR="001706B1" w:rsidRDefault="001706B1">
      <w:pPr>
        <w:rPr>
          <w:lang w:eastAsia="en-GB"/>
        </w:rPr>
      </w:pPr>
    </w:p>
    <w:p w14:paraId="352DCC4A" w14:textId="77777777" w:rsidR="001706B1" w:rsidRDefault="001706B1">
      <w:pPr>
        <w:rPr>
          <w:lang w:eastAsia="en-GB"/>
        </w:rPr>
      </w:pPr>
    </w:p>
    <w:p w14:paraId="3902FC8A" w14:textId="77777777" w:rsidR="001706B1" w:rsidRDefault="001706B1">
      <w:pPr>
        <w:rPr>
          <w:lang w:eastAsia="en-GB"/>
        </w:rPr>
      </w:pPr>
    </w:p>
    <w:p w14:paraId="429F02D0" w14:textId="77777777" w:rsidR="001706B1" w:rsidRDefault="001706B1">
      <w:pPr>
        <w:rPr>
          <w:lang w:eastAsia="en-GB"/>
        </w:rPr>
      </w:pPr>
    </w:p>
    <w:p w14:paraId="693BC6BE" w14:textId="77777777" w:rsidR="001706B1" w:rsidRDefault="001706B1">
      <w:pPr>
        <w:rPr>
          <w:lang w:eastAsia="en-GB"/>
        </w:rPr>
      </w:pPr>
    </w:p>
    <w:p w14:paraId="3544576B" w14:textId="77777777" w:rsidR="001706B1" w:rsidRDefault="001706B1">
      <w:pPr>
        <w:rPr>
          <w:lang w:eastAsia="en-GB"/>
        </w:rPr>
      </w:pPr>
    </w:p>
    <w:p w14:paraId="19DA6908" w14:textId="77777777" w:rsidR="001706B1" w:rsidRDefault="001706B1">
      <w:pPr>
        <w:rPr>
          <w:lang w:eastAsia="en-GB"/>
        </w:rPr>
      </w:pPr>
    </w:p>
    <w:p w14:paraId="6AFC247B" w14:textId="77777777" w:rsidR="001706B1" w:rsidRDefault="001706B1">
      <w:pPr>
        <w:rPr>
          <w:lang w:eastAsia="en-GB"/>
        </w:rPr>
      </w:pPr>
    </w:p>
    <w:p w14:paraId="661074F2" w14:textId="77777777" w:rsidR="001706B1" w:rsidRDefault="001706B1">
      <w:pPr>
        <w:rPr>
          <w:lang w:eastAsia="en-GB"/>
        </w:rPr>
      </w:pPr>
    </w:p>
    <w:p w14:paraId="20636845" w14:textId="77777777" w:rsidR="001706B1" w:rsidRDefault="001706B1">
      <w:pPr>
        <w:rPr>
          <w:lang w:eastAsia="en-GB"/>
        </w:rPr>
      </w:pPr>
    </w:p>
    <w:p w14:paraId="20A3D850" w14:textId="77777777" w:rsidR="001706B1" w:rsidRDefault="001706B1">
      <w:pPr>
        <w:rPr>
          <w:lang w:eastAsia="en-GB"/>
        </w:rPr>
      </w:pPr>
    </w:p>
    <w:p w14:paraId="48AE4636" w14:textId="77777777" w:rsidR="001706B1" w:rsidRDefault="001706B1">
      <w:pPr>
        <w:rPr>
          <w:lang w:eastAsia="en-GB"/>
        </w:rPr>
      </w:pPr>
    </w:p>
    <w:p w14:paraId="60C85497" w14:textId="77777777" w:rsidR="001706B1" w:rsidRDefault="001706B1">
      <w:pPr>
        <w:rPr>
          <w:lang w:eastAsia="en-GB"/>
        </w:rPr>
      </w:pPr>
    </w:p>
    <w:p w14:paraId="00620FEF" w14:textId="77777777" w:rsidR="001706B1" w:rsidRDefault="001706B1">
      <w:pPr>
        <w:rPr>
          <w:lang w:eastAsia="en-GB"/>
        </w:rPr>
      </w:pPr>
    </w:p>
    <w:p w14:paraId="4D09E697" w14:textId="77777777" w:rsidR="001706B1" w:rsidRDefault="001706B1">
      <w:pPr>
        <w:rPr>
          <w:lang w:eastAsia="en-GB"/>
        </w:rPr>
      </w:pPr>
    </w:p>
    <w:p w14:paraId="0FE0137D" w14:textId="77777777" w:rsidR="001706B1" w:rsidRDefault="001706B1">
      <w:pPr>
        <w:rPr>
          <w:lang w:eastAsia="en-GB"/>
        </w:rPr>
      </w:pPr>
    </w:p>
    <w:p w14:paraId="2258621A" w14:textId="77777777" w:rsidR="001706B1" w:rsidRDefault="001706B1">
      <w:pPr>
        <w:rPr>
          <w:lang w:eastAsia="en-GB"/>
        </w:rPr>
      </w:pPr>
    </w:p>
    <w:p w14:paraId="33B8420F" w14:textId="77777777" w:rsidR="001706B1" w:rsidRDefault="001706B1">
      <w:pPr>
        <w:rPr>
          <w:lang w:eastAsia="en-GB"/>
        </w:rPr>
      </w:pPr>
    </w:p>
    <w:p w14:paraId="3ECAFF48" w14:textId="77777777" w:rsidR="001706B1" w:rsidRPr="001706B1" w:rsidRDefault="001706B1">
      <w:pPr>
        <w:rPr>
          <w:lang w:eastAsia="en-GB"/>
        </w:rPr>
      </w:pPr>
    </w:p>
    <w:p w14:paraId="5C087454" w14:textId="263BB42C" w:rsidR="004625AB" w:rsidRPr="009C1D66" w:rsidRDefault="00B3168E" w:rsidP="00B3168E">
      <w:pPr>
        <w:pStyle w:val="Heading2"/>
      </w:pPr>
      <w:r w:rsidRPr="009C1D66">
        <w:t>2</w:t>
      </w:r>
      <w:r w:rsidR="00A83AF9" w:rsidRPr="009C1D66">
        <w:t>1</w:t>
      </w:r>
      <w:r w:rsidRPr="009C1D66">
        <w:t>. Property, Plant and Equipment</w:t>
      </w:r>
    </w:p>
    <w:p w14:paraId="4B6399E6" w14:textId="1B43EE87" w:rsidR="00876D2C" w:rsidRPr="009C1D66" w:rsidRDefault="00876D2C" w:rsidP="00876D2C">
      <w:pPr>
        <w:rPr>
          <w:lang w:eastAsia="en-GB"/>
        </w:rPr>
      </w:pPr>
      <w:r w:rsidRPr="009C1D66">
        <w:rPr>
          <w:lang w:eastAsia="en-GB"/>
        </w:rPr>
        <w:t xml:space="preserve">The </w:t>
      </w:r>
      <w:r w:rsidR="003931E0">
        <w:rPr>
          <w:lang w:eastAsia="en-GB"/>
        </w:rPr>
        <w:t>P</w:t>
      </w:r>
      <w:r w:rsidR="001E537B" w:rsidRPr="009C1D66">
        <w:rPr>
          <w:lang w:eastAsia="en-GB"/>
        </w:rPr>
        <w:t xml:space="preserve">roperty, </w:t>
      </w:r>
      <w:r w:rsidR="003931E0">
        <w:rPr>
          <w:lang w:eastAsia="en-GB"/>
        </w:rPr>
        <w:t>P</w:t>
      </w:r>
      <w:r w:rsidR="001E537B" w:rsidRPr="009C1D66">
        <w:rPr>
          <w:lang w:eastAsia="en-GB"/>
        </w:rPr>
        <w:t xml:space="preserve">lant and </w:t>
      </w:r>
      <w:r w:rsidR="003931E0">
        <w:rPr>
          <w:lang w:eastAsia="en-GB"/>
        </w:rPr>
        <w:t>E</w:t>
      </w:r>
      <w:r w:rsidR="001E537B" w:rsidRPr="009C1D66">
        <w:rPr>
          <w:lang w:eastAsia="en-GB"/>
        </w:rPr>
        <w:t>quipment</w:t>
      </w:r>
      <w:r w:rsidRPr="009C1D66">
        <w:rPr>
          <w:lang w:eastAsia="en-GB"/>
        </w:rPr>
        <w:t xml:space="preserve"> figure includes properties valued at some £</w:t>
      </w:r>
      <w:r w:rsidR="0025657A">
        <w:rPr>
          <w:lang w:eastAsia="en-GB"/>
        </w:rPr>
        <w:t>687</w:t>
      </w:r>
      <w:r w:rsidRPr="009C1D66">
        <w:rPr>
          <w:lang w:eastAsia="en-GB"/>
        </w:rPr>
        <w:t>m which are not owned by the county council.</w:t>
      </w:r>
      <w:r w:rsidR="00753B55">
        <w:rPr>
          <w:lang w:eastAsia="en-GB"/>
        </w:rPr>
        <w:t xml:space="preserve"> </w:t>
      </w:r>
      <w:r w:rsidRPr="009C1D66">
        <w:rPr>
          <w:lang w:eastAsia="en-GB"/>
        </w:rPr>
        <w:t>These are principally voluntary aided</w:t>
      </w:r>
      <w:r w:rsidR="001A12A9">
        <w:rPr>
          <w:lang w:eastAsia="en-GB"/>
        </w:rPr>
        <w:t>, voluntary controlled and foundation schools</w:t>
      </w:r>
      <w:r w:rsidRPr="009C1D66">
        <w:rPr>
          <w:lang w:eastAsia="en-GB"/>
        </w:rPr>
        <w:t xml:space="preserve"> which form approximately 50% of schools in Lancashire.  These schools and the use of the buildings are essential for the county council to fulfil its statutory duties for the provision of education.</w:t>
      </w:r>
      <w:r w:rsidR="00753B55">
        <w:rPr>
          <w:lang w:eastAsia="en-GB"/>
        </w:rPr>
        <w:t xml:space="preserve"> </w:t>
      </w:r>
      <w:r w:rsidRPr="009C1D66">
        <w:rPr>
          <w:lang w:eastAsia="en-GB"/>
        </w:rPr>
        <w:t>It is therefore considered appropriate to include these assets within the county council’s balance sheet to fairly reflect the value of the assets used in providing the service.</w:t>
      </w:r>
    </w:p>
    <w:p w14:paraId="62CAD33B" w14:textId="63AFE4A8" w:rsidR="00B3168E" w:rsidRDefault="00CE23BA" w:rsidP="00876D2C">
      <w:pPr>
        <w:rPr>
          <w:lang w:eastAsia="en-GB"/>
        </w:rPr>
      </w:pPr>
      <w:r>
        <w:rPr>
          <w:lang w:eastAsia="en-GB"/>
        </w:rPr>
        <w:lastRenderedPageBreak/>
        <w:t>The effect of recent economic conditions has been considered and as a result, t</w:t>
      </w:r>
      <w:r w:rsidR="00753B55">
        <w:rPr>
          <w:lang w:eastAsia="en-GB"/>
        </w:rPr>
        <w:t xml:space="preserve">he </w:t>
      </w:r>
      <w:r w:rsidR="003931E0">
        <w:rPr>
          <w:lang w:eastAsia="en-GB"/>
        </w:rPr>
        <w:t>P</w:t>
      </w:r>
      <w:r w:rsidR="00753B55">
        <w:rPr>
          <w:lang w:eastAsia="en-GB"/>
        </w:rPr>
        <w:t xml:space="preserve">roperty, </w:t>
      </w:r>
      <w:r w:rsidR="003931E0">
        <w:rPr>
          <w:lang w:eastAsia="en-GB"/>
        </w:rPr>
        <w:t>P</w:t>
      </w:r>
      <w:r w:rsidR="00753B55">
        <w:rPr>
          <w:lang w:eastAsia="en-GB"/>
        </w:rPr>
        <w:t xml:space="preserve">lant and </w:t>
      </w:r>
      <w:r w:rsidR="003931E0">
        <w:rPr>
          <w:lang w:eastAsia="en-GB"/>
        </w:rPr>
        <w:t>E</w:t>
      </w:r>
      <w:r w:rsidR="00753B55">
        <w:rPr>
          <w:lang w:eastAsia="en-GB"/>
        </w:rPr>
        <w:t xml:space="preserve">quipment figure </w:t>
      </w:r>
      <w:r w:rsidR="00876D2C" w:rsidRPr="009C1D66">
        <w:rPr>
          <w:lang w:eastAsia="en-GB"/>
        </w:rPr>
        <w:t>in the balance sheet represents the value of the assets held.</w:t>
      </w:r>
      <w:r>
        <w:rPr>
          <w:lang w:eastAsia="en-GB"/>
        </w:rPr>
        <w:t xml:space="preserve">  </w:t>
      </w:r>
    </w:p>
    <w:p w14:paraId="68A79A29" w14:textId="77777777" w:rsidR="001706B1" w:rsidRDefault="001706B1" w:rsidP="00876D2C">
      <w:pPr>
        <w:rPr>
          <w:lang w:eastAsia="en-GB"/>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36"/>
        <w:gridCol w:w="1252"/>
        <w:gridCol w:w="1388"/>
        <w:gridCol w:w="1526"/>
        <w:gridCol w:w="1496"/>
        <w:gridCol w:w="1352"/>
      </w:tblGrid>
      <w:tr w:rsidR="00A50E81" w:rsidRPr="003C0F16" w14:paraId="6285E84A" w14:textId="77777777" w:rsidTr="009C1D66">
        <w:trPr>
          <w:trHeight w:val="369"/>
          <w:tblHeader/>
        </w:trPr>
        <w:tc>
          <w:tcPr>
            <w:tcW w:w="1644" w:type="pct"/>
            <w:shd w:val="clear" w:color="auto" w:fill="D0CECE"/>
            <w:vAlign w:val="bottom"/>
          </w:tcPr>
          <w:p w14:paraId="1A166863" w14:textId="77777777" w:rsidR="00F51FC4" w:rsidRPr="003C0F16" w:rsidRDefault="00F51FC4" w:rsidP="00F51FC4">
            <w:pPr>
              <w:rPr>
                <w:b/>
                <w:color w:val="auto"/>
                <w:sz w:val="20"/>
                <w:szCs w:val="20"/>
                <w:highlight w:val="yellow"/>
              </w:rPr>
            </w:pPr>
          </w:p>
        </w:tc>
        <w:tc>
          <w:tcPr>
            <w:tcW w:w="599" w:type="pct"/>
            <w:shd w:val="clear" w:color="auto" w:fill="D0CECE"/>
            <w:vAlign w:val="bottom"/>
          </w:tcPr>
          <w:p w14:paraId="68AF4B4B" w14:textId="77777777" w:rsidR="00F51FC4" w:rsidRPr="009C1D66" w:rsidRDefault="00A50E81" w:rsidP="00730385">
            <w:pPr>
              <w:jc w:val="center"/>
              <w:rPr>
                <w:b/>
                <w:color w:val="auto"/>
                <w:sz w:val="20"/>
                <w:szCs w:val="20"/>
              </w:rPr>
            </w:pPr>
            <w:r w:rsidRPr="009C1D66">
              <w:rPr>
                <w:b/>
                <w:color w:val="auto"/>
                <w:sz w:val="20"/>
                <w:szCs w:val="20"/>
              </w:rPr>
              <w:t>Land and Buildings</w:t>
            </w:r>
          </w:p>
        </w:tc>
        <w:tc>
          <w:tcPr>
            <w:tcW w:w="664" w:type="pct"/>
            <w:shd w:val="clear" w:color="auto" w:fill="D0CECE"/>
            <w:vAlign w:val="bottom"/>
          </w:tcPr>
          <w:p w14:paraId="27E87854" w14:textId="77777777" w:rsidR="00F51FC4" w:rsidRPr="009C1D66" w:rsidRDefault="00A50E81" w:rsidP="00730385">
            <w:pPr>
              <w:jc w:val="center"/>
              <w:rPr>
                <w:b/>
                <w:color w:val="auto"/>
                <w:sz w:val="20"/>
                <w:szCs w:val="20"/>
                <w:vertAlign w:val="superscript"/>
              </w:rPr>
            </w:pPr>
            <w:r w:rsidRPr="009C1D66">
              <w:rPr>
                <w:b/>
                <w:color w:val="auto"/>
                <w:sz w:val="20"/>
                <w:szCs w:val="20"/>
              </w:rPr>
              <w:t>Vehicles, Plant, Furniture &amp; Equipment</w:t>
            </w:r>
          </w:p>
        </w:tc>
        <w:tc>
          <w:tcPr>
            <w:tcW w:w="730" w:type="pct"/>
            <w:shd w:val="clear" w:color="auto" w:fill="D0CECE"/>
            <w:vAlign w:val="bottom"/>
          </w:tcPr>
          <w:p w14:paraId="1C5D0091" w14:textId="77777777" w:rsidR="00F51FC4" w:rsidRPr="009C1D66" w:rsidRDefault="00A50E81" w:rsidP="00730385">
            <w:pPr>
              <w:jc w:val="center"/>
              <w:rPr>
                <w:b/>
                <w:color w:val="auto"/>
                <w:sz w:val="20"/>
                <w:szCs w:val="20"/>
              </w:rPr>
            </w:pPr>
            <w:r w:rsidRPr="009C1D66">
              <w:rPr>
                <w:b/>
                <w:color w:val="auto"/>
                <w:sz w:val="20"/>
                <w:szCs w:val="20"/>
              </w:rPr>
              <w:t>Infrastructure Assets</w:t>
            </w:r>
          </w:p>
        </w:tc>
        <w:tc>
          <w:tcPr>
            <w:tcW w:w="716" w:type="pct"/>
            <w:shd w:val="clear" w:color="auto" w:fill="D0CECE"/>
            <w:vAlign w:val="bottom"/>
          </w:tcPr>
          <w:p w14:paraId="36EB6A2E" w14:textId="77777777" w:rsidR="00F51FC4" w:rsidRPr="009C1D66" w:rsidRDefault="00A50E81" w:rsidP="00730385">
            <w:pPr>
              <w:jc w:val="center"/>
              <w:rPr>
                <w:b/>
                <w:color w:val="auto"/>
                <w:sz w:val="20"/>
                <w:szCs w:val="20"/>
              </w:rPr>
            </w:pPr>
            <w:r w:rsidRPr="009C1D66">
              <w:rPr>
                <w:b/>
                <w:color w:val="auto"/>
                <w:sz w:val="20"/>
                <w:szCs w:val="20"/>
              </w:rPr>
              <w:t>Assets Under Construction</w:t>
            </w:r>
          </w:p>
        </w:tc>
        <w:tc>
          <w:tcPr>
            <w:tcW w:w="647" w:type="pct"/>
            <w:shd w:val="clear" w:color="auto" w:fill="D0CECE"/>
            <w:vAlign w:val="bottom"/>
          </w:tcPr>
          <w:p w14:paraId="005546B3" w14:textId="77777777" w:rsidR="00F51FC4" w:rsidRPr="009C1D66" w:rsidRDefault="00A50E81" w:rsidP="00730385">
            <w:pPr>
              <w:jc w:val="center"/>
              <w:rPr>
                <w:b/>
                <w:color w:val="auto"/>
                <w:sz w:val="20"/>
                <w:szCs w:val="20"/>
              </w:rPr>
            </w:pPr>
            <w:r w:rsidRPr="009C1D66">
              <w:rPr>
                <w:b/>
                <w:color w:val="auto"/>
                <w:sz w:val="20"/>
                <w:szCs w:val="20"/>
              </w:rPr>
              <w:t>Total Property, Plant &amp; Equipment</w:t>
            </w:r>
          </w:p>
        </w:tc>
      </w:tr>
      <w:tr w:rsidR="00A50E81" w:rsidRPr="003C0F16" w14:paraId="30981E8F" w14:textId="77777777" w:rsidTr="009C1D66">
        <w:trPr>
          <w:trHeight w:val="369"/>
          <w:tblHeader/>
        </w:trPr>
        <w:tc>
          <w:tcPr>
            <w:tcW w:w="1644" w:type="pct"/>
            <w:shd w:val="clear" w:color="auto" w:fill="D0CECE"/>
            <w:vAlign w:val="bottom"/>
          </w:tcPr>
          <w:p w14:paraId="462D3F9E" w14:textId="77777777" w:rsidR="00F51FC4" w:rsidRPr="003C0F16" w:rsidRDefault="00F51FC4" w:rsidP="00730385">
            <w:pPr>
              <w:jc w:val="left"/>
              <w:rPr>
                <w:color w:val="auto"/>
                <w:sz w:val="20"/>
                <w:szCs w:val="20"/>
                <w:highlight w:val="yellow"/>
              </w:rPr>
            </w:pPr>
          </w:p>
        </w:tc>
        <w:tc>
          <w:tcPr>
            <w:tcW w:w="599" w:type="pct"/>
            <w:shd w:val="clear" w:color="auto" w:fill="D0CECE"/>
            <w:vAlign w:val="bottom"/>
          </w:tcPr>
          <w:p w14:paraId="50EE655E" w14:textId="77777777" w:rsidR="00F51FC4" w:rsidRPr="009C1D66" w:rsidRDefault="00F51FC4" w:rsidP="00730385">
            <w:pPr>
              <w:jc w:val="center"/>
              <w:rPr>
                <w:b/>
                <w:color w:val="auto"/>
                <w:sz w:val="20"/>
                <w:szCs w:val="20"/>
              </w:rPr>
            </w:pPr>
            <w:r w:rsidRPr="009C1D66">
              <w:rPr>
                <w:b/>
                <w:color w:val="auto"/>
                <w:sz w:val="20"/>
                <w:szCs w:val="20"/>
              </w:rPr>
              <w:t>£</w:t>
            </w:r>
            <w:r w:rsidR="00A50E81" w:rsidRPr="009C1D66">
              <w:rPr>
                <w:b/>
                <w:color w:val="auto"/>
                <w:sz w:val="20"/>
                <w:szCs w:val="20"/>
              </w:rPr>
              <w:t>m</w:t>
            </w:r>
          </w:p>
        </w:tc>
        <w:tc>
          <w:tcPr>
            <w:tcW w:w="664" w:type="pct"/>
            <w:shd w:val="clear" w:color="auto" w:fill="D0CECE"/>
            <w:vAlign w:val="bottom"/>
          </w:tcPr>
          <w:p w14:paraId="64B3A03C" w14:textId="77777777" w:rsidR="00F51FC4" w:rsidRPr="009C1D66" w:rsidRDefault="00F51FC4" w:rsidP="00730385">
            <w:pPr>
              <w:jc w:val="center"/>
              <w:rPr>
                <w:b/>
                <w:color w:val="auto"/>
                <w:sz w:val="20"/>
                <w:szCs w:val="20"/>
              </w:rPr>
            </w:pPr>
            <w:r w:rsidRPr="009C1D66">
              <w:rPr>
                <w:b/>
                <w:color w:val="auto"/>
                <w:sz w:val="20"/>
                <w:szCs w:val="20"/>
              </w:rPr>
              <w:t>£</w:t>
            </w:r>
            <w:r w:rsidR="00A50E81" w:rsidRPr="009C1D66">
              <w:rPr>
                <w:b/>
                <w:color w:val="auto"/>
                <w:sz w:val="20"/>
                <w:szCs w:val="20"/>
              </w:rPr>
              <w:t>m</w:t>
            </w:r>
          </w:p>
        </w:tc>
        <w:tc>
          <w:tcPr>
            <w:tcW w:w="730" w:type="pct"/>
            <w:shd w:val="clear" w:color="auto" w:fill="D0CECE"/>
            <w:vAlign w:val="bottom"/>
          </w:tcPr>
          <w:p w14:paraId="5A171CE0" w14:textId="77777777" w:rsidR="00F51FC4" w:rsidRPr="009C1D66" w:rsidRDefault="00F51FC4" w:rsidP="00730385">
            <w:pPr>
              <w:jc w:val="center"/>
              <w:rPr>
                <w:b/>
                <w:color w:val="auto"/>
                <w:sz w:val="20"/>
                <w:szCs w:val="20"/>
              </w:rPr>
            </w:pPr>
            <w:r w:rsidRPr="009C1D66">
              <w:rPr>
                <w:b/>
                <w:color w:val="auto"/>
                <w:sz w:val="20"/>
                <w:szCs w:val="20"/>
              </w:rPr>
              <w:t>£</w:t>
            </w:r>
            <w:r w:rsidR="00A50E81" w:rsidRPr="009C1D66">
              <w:rPr>
                <w:b/>
                <w:color w:val="auto"/>
                <w:sz w:val="20"/>
                <w:szCs w:val="20"/>
              </w:rPr>
              <w:t>m</w:t>
            </w:r>
          </w:p>
        </w:tc>
        <w:tc>
          <w:tcPr>
            <w:tcW w:w="716" w:type="pct"/>
            <w:shd w:val="clear" w:color="auto" w:fill="D0CECE"/>
            <w:vAlign w:val="bottom"/>
          </w:tcPr>
          <w:p w14:paraId="43BB999D" w14:textId="77777777" w:rsidR="00F51FC4" w:rsidRPr="009C1D66" w:rsidRDefault="00F51FC4" w:rsidP="00730385">
            <w:pPr>
              <w:jc w:val="center"/>
              <w:rPr>
                <w:b/>
                <w:color w:val="auto"/>
                <w:sz w:val="20"/>
                <w:szCs w:val="20"/>
              </w:rPr>
            </w:pPr>
            <w:r w:rsidRPr="009C1D66">
              <w:rPr>
                <w:b/>
                <w:color w:val="auto"/>
                <w:sz w:val="20"/>
                <w:szCs w:val="20"/>
              </w:rPr>
              <w:t>£</w:t>
            </w:r>
            <w:r w:rsidR="00A50E81" w:rsidRPr="009C1D66">
              <w:rPr>
                <w:b/>
                <w:color w:val="auto"/>
                <w:sz w:val="20"/>
                <w:szCs w:val="20"/>
              </w:rPr>
              <w:t>m</w:t>
            </w:r>
          </w:p>
        </w:tc>
        <w:tc>
          <w:tcPr>
            <w:tcW w:w="647" w:type="pct"/>
            <w:shd w:val="clear" w:color="auto" w:fill="D0CECE"/>
            <w:vAlign w:val="bottom"/>
          </w:tcPr>
          <w:p w14:paraId="0F00E684" w14:textId="77777777" w:rsidR="00F51FC4" w:rsidRPr="009C1D66" w:rsidRDefault="00F51FC4" w:rsidP="00730385">
            <w:pPr>
              <w:jc w:val="center"/>
              <w:rPr>
                <w:b/>
                <w:color w:val="auto"/>
                <w:sz w:val="20"/>
                <w:szCs w:val="20"/>
              </w:rPr>
            </w:pPr>
            <w:r w:rsidRPr="009C1D66">
              <w:rPr>
                <w:b/>
                <w:color w:val="auto"/>
                <w:sz w:val="20"/>
                <w:szCs w:val="20"/>
              </w:rPr>
              <w:t>£</w:t>
            </w:r>
            <w:r w:rsidR="00A50E81" w:rsidRPr="009C1D66">
              <w:rPr>
                <w:b/>
                <w:color w:val="auto"/>
                <w:sz w:val="20"/>
                <w:szCs w:val="20"/>
              </w:rPr>
              <w:t>m</w:t>
            </w:r>
          </w:p>
        </w:tc>
      </w:tr>
      <w:tr w:rsidR="00A50E81" w:rsidRPr="003C0F16" w14:paraId="459661BF" w14:textId="77777777" w:rsidTr="009C1D66">
        <w:trPr>
          <w:trHeight w:val="369"/>
        </w:trPr>
        <w:tc>
          <w:tcPr>
            <w:tcW w:w="1644" w:type="pct"/>
            <w:shd w:val="clear" w:color="auto" w:fill="auto"/>
            <w:vAlign w:val="bottom"/>
          </w:tcPr>
          <w:p w14:paraId="56D92E29" w14:textId="77777777" w:rsidR="00F51FC4" w:rsidRPr="009C1D66" w:rsidRDefault="00A50E81" w:rsidP="00730385">
            <w:pPr>
              <w:jc w:val="left"/>
              <w:rPr>
                <w:color w:val="auto"/>
                <w:sz w:val="20"/>
                <w:szCs w:val="20"/>
                <w:u w:val="single"/>
                <w:vertAlign w:val="superscript"/>
              </w:rPr>
            </w:pPr>
            <w:r w:rsidRPr="009C1D66">
              <w:rPr>
                <w:color w:val="auto"/>
                <w:sz w:val="20"/>
                <w:szCs w:val="20"/>
                <w:u w:val="single"/>
              </w:rPr>
              <w:t>Cost or Valuation</w:t>
            </w:r>
          </w:p>
        </w:tc>
        <w:tc>
          <w:tcPr>
            <w:tcW w:w="599" w:type="pct"/>
            <w:shd w:val="clear" w:color="auto" w:fill="auto"/>
            <w:vAlign w:val="bottom"/>
          </w:tcPr>
          <w:p w14:paraId="64CCCF68" w14:textId="77777777" w:rsidR="00F51FC4" w:rsidRPr="003C0F16" w:rsidRDefault="00F51FC4" w:rsidP="00730385">
            <w:pPr>
              <w:tabs>
                <w:tab w:val="decimal" w:pos="602"/>
              </w:tabs>
              <w:rPr>
                <w:color w:val="auto"/>
                <w:sz w:val="20"/>
                <w:szCs w:val="20"/>
                <w:highlight w:val="yellow"/>
              </w:rPr>
            </w:pPr>
          </w:p>
        </w:tc>
        <w:tc>
          <w:tcPr>
            <w:tcW w:w="664" w:type="pct"/>
            <w:vAlign w:val="bottom"/>
          </w:tcPr>
          <w:p w14:paraId="203DB3EE" w14:textId="77777777" w:rsidR="00F51FC4" w:rsidRPr="003C0F16" w:rsidRDefault="00F51FC4" w:rsidP="00730385">
            <w:pPr>
              <w:tabs>
                <w:tab w:val="decimal" w:pos="743"/>
              </w:tabs>
              <w:rPr>
                <w:color w:val="auto"/>
                <w:sz w:val="20"/>
                <w:szCs w:val="20"/>
                <w:highlight w:val="yellow"/>
              </w:rPr>
            </w:pPr>
          </w:p>
        </w:tc>
        <w:tc>
          <w:tcPr>
            <w:tcW w:w="730" w:type="pct"/>
            <w:vAlign w:val="bottom"/>
          </w:tcPr>
          <w:p w14:paraId="7A2C818E" w14:textId="77777777" w:rsidR="00F51FC4" w:rsidRPr="003C0F16" w:rsidRDefault="00F51FC4" w:rsidP="00730385">
            <w:pPr>
              <w:tabs>
                <w:tab w:val="decimal" w:pos="742"/>
              </w:tabs>
              <w:rPr>
                <w:color w:val="auto"/>
                <w:sz w:val="20"/>
                <w:szCs w:val="20"/>
                <w:highlight w:val="yellow"/>
              </w:rPr>
            </w:pPr>
          </w:p>
        </w:tc>
        <w:tc>
          <w:tcPr>
            <w:tcW w:w="716" w:type="pct"/>
            <w:shd w:val="clear" w:color="auto" w:fill="auto"/>
            <w:vAlign w:val="bottom"/>
          </w:tcPr>
          <w:p w14:paraId="18732B76" w14:textId="77777777" w:rsidR="00F51FC4" w:rsidRPr="003C0F16" w:rsidRDefault="00F51FC4" w:rsidP="00730385">
            <w:pPr>
              <w:tabs>
                <w:tab w:val="decimal" w:pos="742"/>
              </w:tabs>
              <w:rPr>
                <w:color w:val="auto"/>
                <w:sz w:val="20"/>
                <w:szCs w:val="20"/>
                <w:highlight w:val="yellow"/>
              </w:rPr>
            </w:pPr>
          </w:p>
        </w:tc>
        <w:tc>
          <w:tcPr>
            <w:tcW w:w="647" w:type="pct"/>
            <w:shd w:val="clear" w:color="auto" w:fill="auto"/>
            <w:vAlign w:val="bottom"/>
          </w:tcPr>
          <w:p w14:paraId="1556FF8C" w14:textId="77777777" w:rsidR="00F51FC4" w:rsidRPr="003C0F16" w:rsidRDefault="00F51FC4" w:rsidP="00730385">
            <w:pPr>
              <w:tabs>
                <w:tab w:val="decimal" w:pos="631"/>
              </w:tabs>
              <w:rPr>
                <w:color w:val="auto"/>
                <w:sz w:val="20"/>
                <w:szCs w:val="20"/>
                <w:highlight w:val="yellow"/>
              </w:rPr>
            </w:pPr>
          </w:p>
        </w:tc>
      </w:tr>
      <w:tr w:rsidR="00A50E81" w:rsidRPr="003C0F16" w14:paraId="19CA317E" w14:textId="77777777" w:rsidTr="009C1D66">
        <w:trPr>
          <w:trHeight w:val="369"/>
        </w:trPr>
        <w:tc>
          <w:tcPr>
            <w:tcW w:w="1644" w:type="pct"/>
            <w:shd w:val="clear" w:color="auto" w:fill="auto"/>
            <w:vAlign w:val="bottom"/>
          </w:tcPr>
          <w:p w14:paraId="3530A598" w14:textId="77777777" w:rsidR="00F51FC4" w:rsidRPr="009C1D66" w:rsidRDefault="00A50E81" w:rsidP="00730385">
            <w:pPr>
              <w:jc w:val="left"/>
              <w:rPr>
                <w:b/>
                <w:color w:val="auto"/>
                <w:sz w:val="20"/>
                <w:szCs w:val="20"/>
              </w:rPr>
            </w:pPr>
            <w:r w:rsidRPr="009C1D66">
              <w:rPr>
                <w:b/>
                <w:color w:val="auto"/>
                <w:sz w:val="20"/>
                <w:szCs w:val="20"/>
              </w:rPr>
              <w:t>At 1 April 2014</w:t>
            </w:r>
          </w:p>
        </w:tc>
        <w:tc>
          <w:tcPr>
            <w:tcW w:w="599" w:type="pct"/>
            <w:shd w:val="clear" w:color="auto" w:fill="auto"/>
            <w:vAlign w:val="bottom"/>
          </w:tcPr>
          <w:p w14:paraId="264D7D74" w14:textId="282DEDED" w:rsidR="00F51FC4" w:rsidRPr="009C1D66" w:rsidRDefault="00156D8C">
            <w:pPr>
              <w:tabs>
                <w:tab w:val="decimal" w:pos="602"/>
              </w:tabs>
              <w:rPr>
                <w:b/>
                <w:color w:val="auto"/>
                <w:sz w:val="20"/>
                <w:szCs w:val="20"/>
              </w:rPr>
            </w:pPr>
            <w:r w:rsidRPr="009C1D66">
              <w:rPr>
                <w:b/>
                <w:color w:val="auto"/>
                <w:sz w:val="20"/>
                <w:szCs w:val="20"/>
              </w:rPr>
              <w:t>2,081.</w:t>
            </w:r>
            <w:r w:rsidR="00FD089A">
              <w:rPr>
                <w:b/>
                <w:color w:val="auto"/>
                <w:sz w:val="20"/>
                <w:szCs w:val="20"/>
              </w:rPr>
              <w:t>3</w:t>
            </w:r>
          </w:p>
        </w:tc>
        <w:tc>
          <w:tcPr>
            <w:tcW w:w="664" w:type="pct"/>
            <w:vAlign w:val="bottom"/>
          </w:tcPr>
          <w:p w14:paraId="05D29EB1" w14:textId="6F84B346" w:rsidR="00F51FC4" w:rsidRPr="009C1D66" w:rsidRDefault="00156D8C">
            <w:pPr>
              <w:tabs>
                <w:tab w:val="decimal" w:pos="743"/>
              </w:tabs>
              <w:rPr>
                <w:b/>
                <w:color w:val="auto"/>
                <w:sz w:val="20"/>
                <w:szCs w:val="20"/>
              </w:rPr>
            </w:pPr>
            <w:r w:rsidRPr="009C1D66">
              <w:rPr>
                <w:b/>
                <w:color w:val="auto"/>
                <w:sz w:val="20"/>
                <w:szCs w:val="20"/>
              </w:rPr>
              <w:t>75.</w:t>
            </w:r>
            <w:r w:rsidR="00712D2E">
              <w:rPr>
                <w:b/>
                <w:color w:val="auto"/>
                <w:sz w:val="20"/>
                <w:szCs w:val="20"/>
              </w:rPr>
              <w:t>4</w:t>
            </w:r>
          </w:p>
        </w:tc>
        <w:tc>
          <w:tcPr>
            <w:tcW w:w="730" w:type="pct"/>
            <w:vAlign w:val="bottom"/>
          </w:tcPr>
          <w:p w14:paraId="7C1E8DB7" w14:textId="50DE69CF" w:rsidR="00F51FC4" w:rsidRPr="009C1D66" w:rsidRDefault="00156D8C" w:rsidP="00730385">
            <w:pPr>
              <w:tabs>
                <w:tab w:val="decimal" w:pos="742"/>
              </w:tabs>
              <w:rPr>
                <w:b/>
                <w:color w:val="auto"/>
                <w:sz w:val="20"/>
                <w:szCs w:val="20"/>
              </w:rPr>
            </w:pPr>
            <w:r w:rsidRPr="009C1D66">
              <w:rPr>
                <w:b/>
                <w:color w:val="auto"/>
                <w:sz w:val="20"/>
                <w:szCs w:val="20"/>
              </w:rPr>
              <w:t>687.8</w:t>
            </w:r>
          </w:p>
        </w:tc>
        <w:tc>
          <w:tcPr>
            <w:tcW w:w="716" w:type="pct"/>
            <w:shd w:val="clear" w:color="auto" w:fill="auto"/>
            <w:vAlign w:val="bottom"/>
          </w:tcPr>
          <w:p w14:paraId="3B2FA622" w14:textId="7F8DFAE5" w:rsidR="00F51FC4" w:rsidRPr="009C1D66" w:rsidRDefault="00156D8C" w:rsidP="00730385">
            <w:pPr>
              <w:tabs>
                <w:tab w:val="decimal" w:pos="742"/>
              </w:tabs>
              <w:rPr>
                <w:b/>
                <w:color w:val="auto"/>
                <w:sz w:val="20"/>
                <w:szCs w:val="20"/>
              </w:rPr>
            </w:pPr>
            <w:r w:rsidRPr="009C1D66">
              <w:rPr>
                <w:b/>
                <w:color w:val="auto"/>
                <w:sz w:val="20"/>
                <w:szCs w:val="20"/>
              </w:rPr>
              <w:t>28.9</w:t>
            </w:r>
          </w:p>
        </w:tc>
        <w:tc>
          <w:tcPr>
            <w:tcW w:w="647" w:type="pct"/>
            <w:shd w:val="clear" w:color="auto" w:fill="auto"/>
            <w:vAlign w:val="bottom"/>
          </w:tcPr>
          <w:p w14:paraId="2E053B8C" w14:textId="7D38A410" w:rsidR="00F51FC4" w:rsidRPr="003C0F16" w:rsidRDefault="000C7083">
            <w:pPr>
              <w:tabs>
                <w:tab w:val="decimal" w:pos="631"/>
              </w:tabs>
              <w:rPr>
                <w:b/>
                <w:color w:val="auto"/>
                <w:sz w:val="20"/>
                <w:szCs w:val="20"/>
                <w:highlight w:val="yellow"/>
              </w:rPr>
            </w:pPr>
            <w:r w:rsidRPr="009C1D66">
              <w:rPr>
                <w:b/>
                <w:color w:val="auto"/>
                <w:sz w:val="20"/>
                <w:szCs w:val="20"/>
              </w:rPr>
              <w:t>2,873.</w:t>
            </w:r>
            <w:r w:rsidR="00712D2E">
              <w:rPr>
                <w:b/>
                <w:color w:val="auto"/>
                <w:sz w:val="20"/>
                <w:szCs w:val="20"/>
              </w:rPr>
              <w:t>4</w:t>
            </w:r>
          </w:p>
        </w:tc>
      </w:tr>
      <w:tr w:rsidR="00A50E81" w:rsidRPr="003C0F16" w14:paraId="10D9564C" w14:textId="77777777" w:rsidTr="009C1D66">
        <w:trPr>
          <w:trHeight w:val="369"/>
        </w:trPr>
        <w:tc>
          <w:tcPr>
            <w:tcW w:w="1644" w:type="pct"/>
            <w:shd w:val="clear" w:color="auto" w:fill="auto"/>
            <w:vAlign w:val="bottom"/>
          </w:tcPr>
          <w:p w14:paraId="7CD97B1F" w14:textId="77777777" w:rsidR="00F51FC4" w:rsidRPr="009C1D66" w:rsidRDefault="00A50E81" w:rsidP="00730385">
            <w:pPr>
              <w:jc w:val="left"/>
              <w:rPr>
                <w:color w:val="auto"/>
                <w:sz w:val="20"/>
                <w:szCs w:val="20"/>
              </w:rPr>
            </w:pPr>
            <w:r w:rsidRPr="009C1D66">
              <w:rPr>
                <w:color w:val="auto"/>
                <w:sz w:val="20"/>
                <w:szCs w:val="20"/>
              </w:rPr>
              <w:t>Additions</w:t>
            </w:r>
          </w:p>
        </w:tc>
        <w:tc>
          <w:tcPr>
            <w:tcW w:w="599" w:type="pct"/>
            <w:shd w:val="clear" w:color="auto" w:fill="auto"/>
            <w:vAlign w:val="bottom"/>
          </w:tcPr>
          <w:p w14:paraId="3E5557FC" w14:textId="00FAE710" w:rsidR="00F51FC4" w:rsidRPr="009C1D66" w:rsidRDefault="00156D8C" w:rsidP="00730385">
            <w:pPr>
              <w:tabs>
                <w:tab w:val="decimal" w:pos="602"/>
              </w:tabs>
              <w:rPr>
                <w:color w:val="auto"/>
                <w:sz w:val="20"/>
                <w:szCs w:val="20"/>
              </w:rPr>
            </w:pPr>
            <w:r w:rsidRPr="009C1D66">
              <w:rPr>
                <w:color w:val="auto"/>
                <w:sz w:val="20"/>
                <w:szCs w:val="20"/>
              </w:rPr>
              <w:t>33.7</w:t>
            </w:r>
          </w:p>
        </w:tc>
        <w:tc>
          <w:tcPr>
            <w:tcW w:w="664" w:type="pct"/>
            <w:vAlign w:val="bottom"/>
          </w:tcPr>
          <w:p w14:paraId="6B1D44F9" w14:textId="347EFDFF" w:rsidR="00F51FC4" w:rsidRPr="009C1D66" w:rsidRDefault="00156D8C" w:rsidP="00730385">
            <w:pPr>
              <w:tabs>
                <w:tab w:val="decimal" w:pos="743"/>
              </w:tabs>
              <w:rPr>
                <w:color w:val="auto"/>
                <w:sz w:val="20"/>
                <w:szCs w:val="20"/>
              </w:rPr>
            </w:pPr>
            <w:r w:rsidRPr="009C1D66">
              <w:rPr>
                <w:color w:val="auto"/>
                <w:sz w:val="20"/>
                <w:szCs w:val="20"/>
              </w:rPr>
              <w:t>5.4</w:t>
            </w:r>
          </w:p>
        </w:tc>
        <w:tc>
          <w:tcPr>
            <w:tcW w:w="730" w:type="pct"/>
            <w:vAlign w:val="bottom"/>
          </w:tcPr>
          <w:p w14:paraId="5CEBE9E9" w14:textId="06E2E76C" w:rsidR="00F51FC4" w:rsidRPr="009C1D66" w:rsidRDefault="00156D8C" w:rsidP="00730385">
            <w:pPr>
              <w:tabs>
                <w:tab w:val="decimal" w:pos="742"/>
              </w:tabs>
              <w:rPr>
                <w:color w:val="auto"/>
                <w:sz w:val="20"/>
                <w:szCs w:val="20"/>
              </w:rPr>
            </w:pPr>
            <w:r w:rsidRPr="009C1D66">
              <w:rPr>
                <w:color w:val="auto"/>
                <w:sz w:val="20"/>
                <w:szCs w:val="20"/>
              </w:rPr>
              <w:t>106.5</w:t>
            </w:r>
          </w:p>
        </w:tc>
        <w:tc>
          <w:tcPr>
            <w:tcW w:w="716" w:type="pct"/>
            <w:shd w:val="clear" w:color="auto" w:fill="auto"/>
            <w:vAlign w:val="bottom"/>
          </w:tcPr>
          <w:p w14:paraId="61796762" w14:textId="49D4D9A9" w:rsidR="00F51FC4" w:rsidRPr="009C1D66" w:rsidRDefault="00156D8C" w:rsidP="00730385">
            <w:pPr>
              <w:tabs>
                <w:tab w:val="decimal" w:pos="742"/>
              </w:tabs>
              <w:rPr>
                <w:color w:val="auto"/>
                <w:sz w:val="20"/>
                <w:szCs w:val="20"/>
              </w:rPr>
            </w:pPr>
            <w:r w:rsidRPr="009C1D66">
              <w:rPr>
                <w:color w:val="auto"/>
                <w:sz w:val="20"/>
                <w:szCs w:val="20"/>
              </w:rPr>
              <w:t>10.9</w:t>
            </w:r>
          </w:p>
        </w:tc>
        <w:tc>
          <w:tcPr>
            <w:tcW w:w="647" w:type="pct"/>
            <w:shd w:val="clear" w:color="auto" w:fill="auto"/>
            <w:vAlign w:val="bottom"/>
          </w:tcPr>
          <w:p w14:paraId="09800F58" w14:textId="2772684C" w:rsidR="00F51FC4" w:rsidRPr="003C0F16" w:rsidRDefault="000C7083">
            <w:pPr>
              <w:tabs>
                <w:tab w:val="decimal" w:pos="631"/>
              </w:tabs>
              <w:rPr>
                <w:color w:val="auto"/>
                <w:sz w:val="20"/>
                <w:szCs w:val="20"/>
                <w:highlight w:val="yellow"/>
              </w:rPr>
            </w:pPr>
            <w:r w:rsidRPr="009C1D66">
              <w:rPr>
                <w:color w:val="auto"/>
                <w:sz w:val="20"/>
                <w:szCs w:val="20"/>
              </w:rPr>
              <w:t>156.</w:t>
            </w:r>
            <w:r w:rsidR="00712D2E" w:rsidRPr="009C1D66">
              <w:rPr>
                <w:color w:val="auto"/>
                <w:sz w:val="20"/>
                <w:szCs w:val="20"/>
              </w:rPr>
              <w:t>5</w:t>
            </w:r>
          </w:p>
        </w:tc>
      </w:tr>
      <w:tr w:rsidR="00A50E81" w:rsidRPr="003C0F16" w14:paraId="38F5D027" w14:textId="77777777" w:rsidTr="009C1D66">
        <w:trPr>
          <w:trHeight w:val="369"/>
        </w:trPr>
        <w:tc>
          <w:tcPr>
            <w:tcW w:w="1644" w:type="pct"/>
            <w:shd w:val="clear" w:color="auto" w:fill="auto"/>
            <w:vAlign w:val="bottom"/>
          </w:tcPr>
          <w:p w14:paraId="7CD06557" w14:textId="77777777" w:rsidR="00F51FC4" w:rsidRPr="009C1D66" w:rsidRDefault="00A50E81" w:rsidP="00730385">
            <w:pPr>
              <w:jc w:val="left"/>
              <w:rPr>
                <w:color w:val="auto"/>
                <w:sz w:val="20"/>
                <w:szCs w:val="20"/>
              </w:rPr>
            </w:pPr>
            <w:r w:rsidRPr="009C1D66">
              <w:rPr>
                <w:color w:val="auto"/>
                <w:sz w:val="20"/>
                <w:szCs w:val="20"/>
              </w:rPr>
              <w:t>De-recognition – disposals</w:t>
            </w:r>
          </w:p>
        </w:tc>
        <w:tc>
          <w:tcPr>
            <w:tcW w:w="599" w:type="pct"/>
            <w:shd w:val="clear" w:color="auto" w:fill="auto"/>
            <w:vAlign w:val="bottom"/>
          </w:tcPr>
          <w:p w14:paraId="61CCC299" w14:textId="6B17F88F" w:rsidR="00F51FC4" w:rsidRPr="009C1D66" w:rsidRDefault="00156D8C" w:rsidP="00730385">
            <w:pPr>
              <w:tabs>
                <w:tab w:val="decimal" w:pos="602"/>
              </w:tabs>
              <w:rPr>
                <w:color w:val="auto"/>
                <w:sz w:val="20"/>
                <w:szCs w:val="20"/>
              </w:rPr>
            </w:pPr>
            <w:r w:rsidRPr="009C1D66">
              <w:rPr>
                <w:color w:val="auto"/>
                <w:sz w:val="20"/>
                <w:szCs w:val="20"/>
              </w:rPr>
              <w:t>(3.8)</w:t>
            </w:r>
          </w:p>
        </w:tc>
        <w:tc>
          <w:tcPr>
            <w:tcW w:w="664" w:type="pct"/>
            <w:vAlign w:val="bottom"/>
          </w:tcPr>
          <w:p w14:paraId="07525B80" w14:textId="77777777" w:rsidR="00F51FC4" w:rsidRPr="009C1D66" w:rsidRDefault="00F51FC4" w:rsidP="00730385">
            <w:pPr>
              <w:tabs>
                <w:tab w:val="decimal" w:pos="743"/>
              </w:tabs>
              <w:rPr>
                <w:color w:val="auto"/>
                <w:sz w:val="20"/>
                <w:szCs w:val="20"/>
              </w:rPr>
            </w:pPr>
            <w:r w:rsidRPr="009C1D66">
              <w:rPr>
                <w:color w:val="auto"/>
                <w:sz w:val="20"/>
                <w:szCs w:val="20"/>
              </w:rPr>
              <w:t>-</w:t>
            </w:r>
          </w:p>
        </w:tc>
        <w:tc>
          <w:tcPr>
            <w:tcW w:w="730" w:type="pct"/>
            <w:vAlign w:val="bottom"/>
          </w:tcPr>
          <w:p w14:paraId="7D8CF0E6" w14:textId="77777777" w:rsidR="00F51FC4" w:rsidRPr="009C1D66" w:rsidRDefault="00F51FC4" w:rsidP="00730385">
            <w:pPr>
              <w:tabs>
                <w:tab w:val="decimal" w:pos="742"/>
              </w:tabs>
              <w:rPr>
                <w:color w:val="auto"/>
                <w:sz w:val="20"/>
                <w:szCs w:val="20"/>
              </w:rPr>
            </w:pPr>
            <w:r w:rsidRPr="009C1D66">
              <w:rPr>
                <w:color w:val="auto"/>
                <w:sz w:val="20"/>
                <w:szCs w:val="20"/>
              </w:rPr>
              <w:t>-</w:t>
            </w:r>
          </w:p>
        </w:tc>
        <w:tc>
          <w:tcPr>
            <w:tcW w:w="716" w:type="pct"/>
            <w:shd w:val="clear" w:color="auto" w:fill="auto"/>
            <w:vAlign w:val="bottom"/>
          </w:tcPr>
          <w:p w14:paraId="230298A0" w14:textId="77777777" w:rsidR="00F51FC4" w:rsidRPr="009C1D66" w:rsidRDefault="00F51FC4" w:rsidP="00730385">
            <w:pPr>
              <w:tabs>
                <w:tab w:val="decimal" w:pos="742"/>
              </w:tabs>
              <w:rPr>
                <w:color w:val="auto"/>
                <w:sz w:val="20"/>
                <w:szCs w:val="20"/>
              </w:rPr>
            </w:pPr>
            <w:r w:rsidRPr="009C1D66">
              <w:rPr>
                <w:color w:val="auto"/>
                <w:sz w:val="20"/>
                <w:szCs w:val="20"/>
              </w:rPr>
              <w:t>-</w:t>
            </w:r>
          </w:p>
        </w:tc>
        <w:tc>
          <w:tcPr>
            <w:tcW w:w="647" w:type="pct"/>
            <w:shd w:val="clear" w:color="auto" w:fill="auto"/>
            <w:vAlign w:val="bottom"/>
          </w:tcPr>
          <w:p w14:paraId="35A5E959" w14:textId="11A774B2" w:rsidR="00F51FC4" w:rsidRPr="009C1D66" w:rsidRDefault="000C7083" w:rsidP="00730385">
            <w:pPr>
              <w:tabs>
                <w:tab w:val="decimal" w:pos="631"/>
              </w:tabs>
              <w:rPr>
                <w:color w:val="auto"/>
                <w:sz w:val="20"/>
                <w:szCs w:val="20"/>
              </w:rPr>
            </w:pPr>
            <w:r w:rsidRPr="009C1D66">
              <w:rPr>
                <w:color w:val="auto"/>
                <w:sz w:val="20"/>
                <w:szCs w:val="20"/>
              </w:rPr>
              <w:t>(3.8)</w:t>
            </w:r>
          </w:p>
        </w:tc>
      </w:tr>
      <w:tr w:rsidR="00A50E81" w:rsidRPr="003C0F16" w14:paraId="5B33A4C9" w14:textId="77777777" w:rsidTr="009C1D66">
        <w:trPr>
          <w:trHeight w:val="369"/>
        </w:trPr>
        <w:tc>
          <w:tcPr>
            <w:tcW w:w="1644" w:type="pct"/>
            <w:shd w:val="clear" w:color="auto" w:fill="auto"/>
            <w:vAlign w:val="bottom"/>
          </w:tcPr>
          <w:p w14:paraId="3C7ED0A4" w14:textId="77777777" w:rsidR="00F51FC4" w:rsidRPr="009C1D66" w:rsidRDefault="00A50E81" w:rsidP="00730385">
            <w:pPr>
              <w:jc w:val="left"/>
              <w:rPr>
                <w:color w:val="auto"/>
                <w:sz w:val="20"/>
                <w:szCs w:val="20"/>
              </w:rPr>
            </w:pPr>
            <w:r w:rsidRPr="009C1D66">
              <w:rPr>
                <w:color w:val="auto"/>
                <w:sz w:val="20"/>
                <w:szCs w:val="20"/>
              </w:rPr>
              <w:t>Revaluations increases/(decreases) recognised in Revaluation Reserve</w:t>
            </w:r>
          </w:p>
        </w:tc>
        <w:tc>
          <w:tcPr>
            <w:tcW w:w="599" w:type="pct"/>
            <w:shd w:val="clear" w:color="auto" w:fill="auto"/>
            <w:vAlign w:val="bottom"/>
          </w:tcPr>
          <w:p w14:paraId="6817074E" w14:textId="02B10A57" w:rsidR="00F51FC4" w:rsidRPr="009C1D66" w:rsidRDefault="00156D8C" w:rsidP="009513B1">
            <w:pPr>
              <w:tabs>
                <w:tab w:val="decimal" w:pos="602"/>
              </w:tabs>
              <w:rPr>
                <w:color w:val="auto"/>
                <w:sz w:val="20"/>
                <w:szCs w:val="20"/>
              </w:rPr>
            </w:pPr>
            <w:r w:rsidRPr="009C1D66">
              <w:rPr>
                <w:color w:val="auto"/>
                <w:sz w:val="20"/>
                <w:szCs w:val="20"/>
              </w:rPr>
              <w:t>15.</w:t>
            </w:r>
            <w:r w:rsidR="009513B1">
              <w:rPr>
                <w:color w:val="auto"/>
                <w:sz w:val="20"/>
                <w:szCs w:val="20"/>
              </w:rPr>
              <w:t>5</w:t>
            </w:r>
          </w:p>
        </w:tc>
        <w:tc>
          <w:tcPr>
            <w:tcW w:w="664" w:type="pct"/>
            <w:vAlign w:val="bottom"/>
          </w:tcPr>
          <w:p w14:paraId="56803279" w14:textId="77777777" w:rsidR="00F51FC4" w:rsidRPr="009C1D66" w:rsidRDefault="00F51FC4" w:rsidP="00730385">
            <w:pPr>
              <w:tabs>
                <w:tab w:val="decimal" w:pos="743"/>
              </w:tabs>
              <w:rPr>
                <w:color w:val="auto"/>
                <w:sz w:val="20"/>
                <w:szCs w:val="20"/>
              </w:rPr>
            </w:pPr>
            <w:r w:rsidRPr="009C1D66">
              <w:rPr>
                <w:color w:val="auto"/>
                <w:sz w:val="20"/>
                <w:szCs w:val="20"/>
              </w:rPr>
              <w:t>-</w:t>
            </w:r>
          </w:p>
        </w:tc>
        <w:tc>
          <w:tcPr>
            <w:tcW w:w="730" w:type="pct"/>
            <w:vAlign w:val="bottom"/>
          </w:tcPr>
          <w:p w14:paraId="0F1D1E75" w14:textId="77777777" w:rsidR="00F51FC4" w:rsidRPr="009C1D66" w:rsidRDefault="00F51FC4" w:rsidP="00730385">
            <w:pPr>
              <w:tabs>
                <w:tab w:val="decimal" w:pos="742"/>
              </w:tabs>
              <w:rPr>
                <w:color w:val="auto"/>
                <w:sz w:val="20"/>
                <w:szCs w:val="20"/>
              </w:rPr>
            </w:pPr>
            <w:r w:rsidRPr="009C1D66">
              <w:rPr>
                <w:color w:val="auto"/>
                <w:sz w:val="20"/>
                <w:szCs w:val="20"/>
              </w:rPr>
              <w:t>-</w:t>
            </w:r>
          </w:p>
        </w:tc>
        <w:tc>
          <w:tcPr>
            <w:tcW w:w="716" w:type="pct"/>
            <w:shd w:val="clear" w:color="auto" w:fill="auto"/>
            <w:vAlign w:val="bottom"/>
          </w:tcPr>
          <w:p w14:paraId="6B262174" w14:textId="77777777" w:rsidR="00F51FC4" w:rsidRPr="009C1D66" w:rsidRDefault="00F51FC4" w:rsidP="00730385">
            <w:pPr>
              <w:tabs>
                <w:tab w:val="decimal" w:pos="742"/>
              </w:tabs>
              <w:rPr>
                <w:color w:val="auto"/>
                <w:sz w:val="20"/>
                <w:szCs w:val="20"/>
              </w:rPr>
            </w:pPr>
            <w:r w:rsidRPr="009C1D66">
              <w:rPr>
                <w:color w:val="auto"/>
                <w:sz w:val="20"/>
                <w:szCs w:val="20"/>
              </w:rPr>
              <w:t>-</w:t>
            </w:r>
          </w:p>
        </w:tc>
        <w:tc>
          <w:tcPr>
            <w:tcW w:w="647" w:type="pct"/>
            <w:shd w:val="clear" w:color="auto" w:fill="auto"/>
            <w:vAlign w:val="bottom"/>
          </w:tcPr>
          <w:p w14:paraId="30DE4CC3" w14:textId="4CC94505" w:rsidR="00F51FC4" w:rsidRPr="009C1D66" w:rsidRDefault="000C7083" w:rsidP="009513B1">
            <w:pPr>
              <w:tabs>
                <w:tab w:val="decimal" w:pos="631"/>
              </w:tabs>
              <w:rPr>
                <w:color w:val="auto"/>
                <w:sz w:val="20"/>
                <w:szCs w:val="20"/>
              </w:rPr>
            </w:pPr>
            <w:r w:rsidRPr="009C1D66">
              <w:rPr>
                <w:color w:val="auto"/>
                <w:sz w:val="20"/>
                <w:szCs w:val="20"/>
              </w:rPr>
              <w:t>15.</w:t>
            </w:r>
            <w:r w:rsidR="009513B1">
              <w:rPr>
                <w:color w:val="auto"/>
                <w:sz w:val="20"/>
                <w:szCs w:val="20"/>
              </w:rPr>
              <w:t>5</w:t>
            </w:r>
          </w:p>
        </w:tc>
      </w:tr>
      <w:tr w:rsidR="00A50E81" w:rsidRPr="003C0F16" w14:paraId="37495398" w14:textId="77777777" w:rsidTr="009C1D66">
        <w:trPr>
          <w:trHeight w:val="369"/>
        </w:trPr>
        <w:tc>
          <w:tcPr>
            <w:tcW w:w="1644" w:type="pct"/>
            <w:shd w:val="clear" w:color="auto" w:fill="auto"/>
            <w:vAlign w:val="bottom"/>
          </w:tcPr>
          <w:p w14:paraId="6745ABF4" w14:textId="77777777" w:rsidR="00F51FC4" w:rsidRPr="009C1D66" w:rsidRDefault="00A50E81" w:rsidP="00730385">
            <w:pPr>
              <w:jc w:val="left"/>
              <w:rPr>
                <w:color w:val="auto"/>
                <w:sz w:val="20"/>
                <w:szCs w:val="20"/>
              </w:rPr>
            </w:pPr>
            <w:r w:rsidRPr="009C1D66">
              <w:rPr>
                <w:color w:val="auto"/>
                <w:sz w:val="20"/>
                <w:szCs w:val="20"/>
              </w:rPr>
              <w:t>Revaluations increases/(decreases) recognised in Surplus/Deficit on Provision of Services</w:t>
            </w:r>
          </w:p>
        </w:tc>
        <w:tc>
          <w:tcPr>
            <w:tcW w:w="599" w:type="pct"/>
            <w:shd w:val="clear" w:color="auto" w:fill="auto"/>
            <w:vAlign w:val="bottom"/>
          </w:tcPr>
          <w:p w14:paraId="76E28FEC" w14:textId="17993E16" w:rsidR="00F51FC4" w:rsidRPr="009C1D66" w:rsidRDefault="00A62099" w:rsidP="007F40E6">
            <w:pPr>
              <w:tabs>
                <w:tab w:val="decimal" w:pos="602"/>
              </w:tabs>
              <w:rPr>
                <w:color w:val="auto"/>
                <w:sz w:val="20"/>
                <w:szCs w:val="20"/>
              </w:rPr>
            </w:pPr>
            <w:r>
              <w:rPr>
                <w:color w:val="auto"/>
                <w:sz w:val="20"/>
                <w:szCs w:val="20"/>
              </w:rPr>
              <w:t>(1</w:t>
            </w:r>
            <w:r w:rsidR="007F40E6">
              <w:rPr>
                <w:color w:val="auto"/>
                <w:sz w:val="20"/>
                <w:szCs w:val="20"/>
              </w:rPr>
              <w:t>67.4</w:t>
            </w:r>
            <w:r w:rsidR="00156D8C" w:rsidRPr="009C1D66">
              <w:rPr>
                <w:color w:val="auto"/>
                <w:sz w:val="20"/>
                <w:szCs w:val="20"/>
              </w:rPr>
              <w:t>)</w:t>
            </w:r>
          </w:p>
        </w:tc>
        <w:tc>
          <w:tcPr>
            <w:tcW w:w="664" w:type="pct"/>
            <w:vAlign w:val="bottom"/>
          </w:tcPr>
          <w:p w14:paraId="6CB83A3B" w14:textId="77777777" w:rsidR="00F51FC4" w:rsidRPr="009C1D66" w:rsidRDefault="00F51FC4" w:rsidP="00730385">
            <w:pPr>
              <w:tabs>
                <w:tab w:val="decimal" w:pos="743"/>
              </w:tabs>
              <w:rPr>
                <w:color w:val="auto"/>
                <w:sz w:val="20"/>
                <w:szCs w:val="20"/>
              </w:rPr>
            </w:pPr>
            <w:r w:rsidRPr="009C1D66">
              <w:rPr>
                <w:color w:val="auto"/>
                <w:sz w:val="20"/>
                <w:szCs w:val="20"/>
              </w:rPr>
              <w:t>-</w:t>
            </w:r>
          </w:p>
        </w:tc>
        <w:tc>
          <w:tcPr>
            <w:tcW w:w="730" w:type="pct"/>
            <w:vAlign w:val="bottom"/>
          </w:tcPr>
          <w:p w14:paraId="729EE00B" w14:textId="77777777" w:rsidR="00F51FC4" w:rsidRPr="009C1D66" w:rsidRDefault="00F51FC4" w:rsidP="00730385">
            <w:pPr>
              <w:tabs>
                <w:tab w:val="decimal" w:pos="742"/>
              </w:tabs>
              <w:rPr>
                <w:color w:val="auto"/>
                <w:sz w:val="20"/>
                <w:szCs w:val="20"/>
              </w:rPr>
            </w:pPr>
            <w:r w:rsidRPr="009C1D66">
              <w:rPr>
                <w:color w:val="auto"/>
                <w:sz w:val="20"/>
                <w:szCs w:val="20"/>
              </w:rPr>
              <w:t>-</w:t>
            </w:r>
          </w:p>
        </w:tc>
        <w:tc>
          <w:tcPr>
            <w:tcW w:w="716" w:type="pct"/>
            <w:shd w:val="clear" w:color="auto" w:fill="auto"/>
            <w:vAlign w:val="bottom"/>
          </w:tcPr>
          <w:p w14:paraId="5405F484" w14:textId="77777777" w:rsidR="00F51FC4" w:rsidRPr="009C1D66" w:rsidRDefault="00F51FC4" w:rsidP="00730385">
            <w:pPr>
              <w:tabs>
                <w:tab w:val="decimal" w:pos="742"/>
              </w:tabs>
              <w:rPr>
                <w:color w:val="auto"/>
                <w:sz w:val="20"/>
                <w:szCs w:val="20"/>
              </w:rPr>
            </w:pPr>
            <w:r w:rsidRPr="009C1D66">
              <w:rPr>
                <w:color w:val="auto"/>
                <w:sz w:val="20"/>
                <w:szCs w:val="20"/>
              </w:rPr>
              <w:t>-</w:t>
            </w:r>
          </w:p>
        </w:tc>
        <w:tc>
          <w:tcPr>
            <w:tcW w:w="647" w:type="pct"/>
            <w:shd w:val="clear" w:color="auto" w:fill="auto"/>
            <w:vAlign w:val="bottom"/>
          </w:tcPr>
          <w:p w14:paraId="038242CD" w14:textId="6CEF94FA" w:rsidR="00F51FC4" w:rsidRPr="009C1D66" w:rsidRDefault="000C7083" w:rsidP="007F40E6">
            <w:pPr>
              <w:tabs>
                <w:tab w:val="decimal" w:pos="631"/>
              </w:tabs>
              <w:rPr>
                <w:color w:val="auto"/>
                <w:sz w:val="20"/>
                <w:szCs w:val="20"/>
              </w:rPr>
            </w:pPr>
            <w:r w:rsidRPr="009C1D66">
              <w:rPr>
                <w:color w:val="auto"/>
                <w:sz w:val="20"/>
                <w:szCs w:val="20"/>
              </w:rPr>
              <w:t>(</w:t>
            </w:r>
            <w:r w:rsidR="00A62099">
              <w:rPr>
                <w:color w:val="auto"/>
                <w:sz w:val="20"/>
                <w:szCs w:val="20"/>
              </w:rPr>
              <w:t>1</w:t>
            </w:r>
            <w:r w:rsidR="007F40E6">
              <w:rPr>
                <w:color w:val="auto"/>
                <w:sz w:val="20"/>
                <w:szCs w:val="20"/>
              </w:rPr>
              <w:t>67.4</w:t>
            </w:r>
            <w:r w:rsidRPr="009C1D66">
              <w:rPr>
                <w:color w:val="auto"/>
                <w:sz w:val="20"/>
                <w:szCs w:val="20"/>
              </w:rPr>
              <w:t>)</w:t>
            </w:r>
          </w:p>
        </w:tc>
      </w:tr>
      <w:tr w:rsidR="00A50E81" w:rsidRPr="003C0F16" w14:paraId="17EDE90D" w14:textId="77777777" w:rsidTr="009C1D66">
        <w:trPr>
          <w:trHeight w:val="369"/>
        </w:trPr>
        <w:tc>
          <w:tcPr>
            <w:tcW w:w="1644" w:type="pct"/>
            <w:shd w:val="clear" w:color="auto" w:fill="auto"/>
            <w:vAlign w:val="bottom"/>
          </w:tcPr>
          <w:p w14:paraId="1318ACA3" w14:textId="77777777" w:rsidR="00F51FC4" w:rsidRPr="009C1D66" w:rsidRDefault="00A50E81" w:rsidP="00730385">
            <w:pPr>
              <w:jc w:val="left"/>
              <w:rPr>
                <w:color w:val="auto"/>
                <w:sz w:val="20"/>
                <w:szCs w:val="20"/>
              </w:rPr>
            </w:pPr>
            <w:r w:rsidRPr="009C1D66">
              <w:rPr>
                <w:color w:val="auto"/>
                <w:sz w:val="20"/>
                <w:szCs w:val="20"/>
              </w:rPr>
              <w:t>Assets reclassified</w:t>
            </w:r>
          </w:p>
        </w:tc>
        <w:tc>
          <w:tcPr>
            <w:tcW w:w="599" w:type="pct"/>
            <w:tcBorders>
              <w:bottom w:val="single" w:sz="4" w:space="0" w:color="auto"/>
            </w:tcBorders>
            <w:shd w:val="clear" w:color="auto" w:fill="auto"/>
            <w:vAlign w:val="bottom"/>
          </w:tcPr>
          <w:p w14:paraId="34A3A875" w14:textId="6A0140B7" w:rsidR="00F51FC4" w:rsidRPr="009C1D66" w:rsidRDefault="00156D8C" w:rsidP="009513B1">
            <w:pPr>
              <w:tabs>
                <w:tab w:val="decimal" w:pos="602"/>
              </w:tabs>
              <w:rPr>
                <w:color w:val="auto"/>
                <w:sz w:val="20"/>
                <w:szCs w:val="20"/>
              </w:rPr>
            </w:pPr>
            <w:r w:rsidRPr="009C1D66">
              <w:rPr>
                <w:color w:val="auto"/>
                <w:sz w:val="20"/>
                <w:szCs w:val="20"/>
              </w:rPr>
              <w:t>1.</w:t>
            </w:r>
            <w:r w:rsidR="00A62099">
              <w:rPr>
                <w:color w:val="auto"/>
                <w:sz w:val="20"/>
                <w:szCs w:val="20"/>
              </w:rPr>
              <w:t>6</w:t>
            </w:r>
          </w:p>
        </w:tc>
        <w:tc>
          <w:tcPr>
            <w:tcW w:w="664" w:type="pct"/>
            <w:tcBorders>
              <w:bottom w:val="single" w:sz="4" w:space="0" w:color="auto"/>
            </w:tcBorders>
            <w:vAlign w:val="bottom"/>
          </w:tcPr>
          <w:p w14:paraId="05824FAC" w14:textId="77777777" w:rsidR="00F51FC4" w:rsidRPr="009C1D66" w:rsidRDefault="00F51FC4" w:rsidP="00730385">
            <w:pPr>
              <w:tabs>
                <w:tab w:val="decimal" w:pos="743"/>
              </w:tabs>
              <w:rPr>
                <w:color w:val="auto"/>
                <w:sz w:val="20"/>
                <w:szCs w:val="20"/>
              </w:rPr>
            </w:pPr>
            <w:r w:rsidRPr="009C1D66">
              <w:rPr>
                <w:color w:val="auto"/>
                <w:sz w:val="20"/>
                <w:szCs w:val="20"/>
              </w:rPr>
              <w:t>-</w:t>
            </w:r>
          </w:p>
        </w:tc>
        <w:tc>
          <w:tcPr>
            <w:tcW w:w="730" w:type="pct"/>
            <w:tcBorders>
              <w:bottom w:val="single" w:sz="4" w:space="0" w:color="auto"/>
            </w:tcBorders>
            <w:vAlign w:val="bottom"/>
          </w:tcPr>
          <w:p w14:paraId="733731AE" w14:textId="77777777" w:rsidR="00F51FC4" w:rsidRPr="009C1D66" w:rsidRDefault="00F51FC4" w:rsidP="00730385">
            <w:pPr>
              <w:tabs>
                <w:tab w:val="decimal" w:pos="742"/>
              </w:tabs>
              <w:rPr>
                <w:color w:val="auto"/>
                <w:sz w:val="20"/>
                <w:szCs w:val="20"/>
              </w:rPr>
            </w:pPr>
            <w:r w:rsidRPr="009C1D66">
              <w:rPr>
                <w:color w:val="auto"/>
                <w:sz w:val="20"/>
                <w:szCs w:val="20"/>
              </w:rPr>
              <w:t>-</w:t>
            </w:r>
          </w:p>
        </w:tc>
        <w:tc>
          <w:tcPr>
            <w:tcW w:w="716" w:type="pct"/>
            <w:tcBorders>
              <w:bottom w:val="single" w:sz="4" w:space="0" w:color="auto"/>
            </w:tcBorders>
            <w:shd w:val="clear" w:color="auto" w:fill="auto"/>
            <w:vAlign w:val="bottom"/>
          </w:tcPr>
          <w:p w14:paraId="2779C2E5" w14:textId="77777777" w:rsidR="00F51FC4" w:rsidRPr="009C1D66" w:rsidRDefault="00F51FC4" w:rsidP="00730385">
            <w:pPr>
              <w:tabs>
                <w:tab w:val="decimal" w:pos="742"/>
              </w:tabs>
              <w:rPr>
                <w:color w:val="auto"/>
                <w:sz w:val="20"/>
                <w:szCs w:val="20"/>
              </w:rPr>
            </w:pPr>
            <w:r w:rsidRPr="009C1D66">
              <w:rPr>
                <w:color w:val="auto"/>
                <w:sz w:val="20"/>
                <w:szCs w:val="20"/>
              </w:rPr>
              <w:t>-</w:t>
            </w:r>
          </w:p>
        </w:tc>
        <w:tc>
          <w:tcPr>
            <w:tcW w:w="647" w:type="pct"/>
            <w:tcBorders>
              <w:bottom w:val="single" w:sz="4" w:space="0" w:color="auto"/>
            </w:tcBorders>
            <w:shd w:val="clear" w:color="auto" w:fill="auto"/>
            <w:vAlign w:val="bottom"/>
          </w:tcPr>
          <w:p w14:paraId="05368736" w14:textId="6041C56F" w:rsidR="00F51FC4" w:rsidRPr="009C1D66" w:rsidRDefault="000C7083" w:rsidP="009513B1">
            <w:pPr>
              <w:tabs>
                <w:tab w:val="decimal" w:pos="631"/>
              </w:tabs>
              <w:rPr>
                <w:color w:val="auto"/>
                <w:sz w:val="20"/>
                <w:szCs w:val="20"/>
              </w:rPr>
            </w:pPr>
            <w:r w:rsidRPr="009C1D66">
              <w:rPr>
                <w:color w:val="auto"/>
                <w:sz w:val="20"/>
                <w:szCs w:val="20"/>
              </w:rPr>
              <w:t>1.</w:t>
            </w:r>
            <w:r w:rsidR="00A62099">
              <w:rPr>
                <w:color w:val="auto"/>
                <w:sz w:val="20"/>
                <w:szCs w:val="20"/>
              </w:rPr>
              <w:t>6</w:t>
            </w:r>
          </w:p>
        </w:tc>
      </w:tr>
      <w:tr w:rsidR="00A50E81" w:rsidRPr="003C0F16" w14:paraId="4804EACA" w14:textId="77777777" w:rsidTr="009C1D66">
        <w:trPr>
          <w:trHeight w:val="369"/>
        </w:trPr>
        <w:tc>
          <w:tcPr>
            <w:tcW w:w="1644" w:type="pct"/>
            <w:shd w:val="clear" w:color="auto" w:fill="auto"/>
            <w:vAlign w:val="bottom"/>
          </w:tcPr>
          <w:p w14:paraId="1D1267AC" w14:textId="77777777" w:rsidR="00F51FC4" w:rsidRPr="009C1D66" w:rsidRDefault="00A50E81" w:rsidP="00730385">
            <w:pPr>
              <w:jc w:val="left"/>
              <w:rPr>
                <w:b/>
                <w:color w:val="auto"/>
                <w:sz w:val="20"/>
                <w:szCs w:val="20"/>
              </w:rPr>
            </w:pPr>
            <w:r w:rsidRPr="009C1D66">
              <w:rPr>
                <w:b/>
                <w:color w:val="auto"/>
                <w:sz w:val="20"/>
                <w:szCs w:val="20"/>
              </w:rPr>
              <w:t>At 31 March 2015</w:t>
            </w:r>
          </w:p>
        </w:tc>
        <w:tc>
          <w:tcPr>
            <w:tcW w:w="599" w:type="pct"/>
            <w:tcBorders>
              <w:top w:val="single" w:sz="4" w:space="0" w:color="auto"/>
              <w:bottom w:val="single" w:sz="4" w:space="0" w:color="auto"/>
            </w:tcBorders>
            <w:shd w:val="clear" w:color="auto" w:fill="auto"/>
            <w:vAlign w:val="bottom"/>
          </w:tcPr>
          <w:p w14:paraId="6620040E" w14:textId="554D6902" w:rsidR="00F51FC4" w:rsidRPr="003C0F16" w:rsidRDefault="00156D8C" w:rsidP="007F40E6">
            <w:pPr>
              <w:tabs>
                <w:tab w:val="decimal" w:pos="602"/>
              </w:tabs>
              <w:rPr>
                <w:b/>
                <w:color w:val="auto"/>
                <w:sz w:val="20"/>
                <w:szCs w:val="20"/>
                <w:highlight w:val="yellow"/>
              </w:rPr>
            </w:pPr>
            <w:r w:rsidRPr="009C1D66">
              <w:rPr>
                <w:b/>
                <w:color w:val="auto"/>
                <w:sz w:val="20"/>
                <w:szCs w:val="20"/>
              </w:rPr>
              <w:t>1,9</w:t>
            </w:r>
            <w:r w:rsidR="007F40E6">
              <w:rPr>
                <w:b/>
                <w:color w:val="auto"/>
                <w:sz w:val="20"/>
                <w:szCs w:val="20"/>
              </w:rPr>
              <w:t>60.9</w:t>
            </w:r>
          </w:p>
        </w:tc>
        <w:tc>
          <w:tcPr>
            <w:tcW w:w="664" w:type="pct"/>
            <w:tcBorders>
              <w:top w:val="single" w:sz="4" w:space="0" w:color="auto"/>
              <w:bottom w:val="single" w:sz="4" w:space="0" w:color="auto"/>
            </w:tcBorders>
            <w:vAlign w:val="bottom"/>
          </w:tcPr>
          <w:p w14:paraId="75486D5E" w14:textId="4AC6D3AA" w:rsidR="00F51FC4" w:rsidRPr="003C0F16" w:rsidRDefault="00156D8C" w:rsidP="00730385">
            <w:pPr>
              <w:tabs>
                <w:tab w:val="decimal" w:pos="743"/>
              </w:tabs>
              <w:rPr>
                <w:b/>
                <w:color w:val="auto"/>
                <w:sz w:val="20"/>
                <w:szCs w:val="20"/>
                <w:highlight w:val="yellow"/>
              </w:rPr>
            </w:pPr>
            <w:r w:rsidRPr="009C1D66">
              <w:rPr>
                <w:b/>
                <w:color w:val="auto"/>
                <w:sz w:val="20"/>
                <w:szCs w:val="20"/>
              </w:rPr>
              <w:t>80.8</w:t>
            </w:r>
          </w:p>
        </w:tc>
        <w:tc>
          <w:tcPr>
            <w:tcW w:w="730" w:type="pct"/>
            <w:tcBorders>
              <w:top w:val="single" w:sz="4" w:space="0" w:color="auto"/>
              <w:bottom w:val="single" w:sz="4" w:space="0" w:color="auto"/>
            </w:tcBorders>
            <w:vAlign w:val="bottom"/>
          </w:tcPr>
          <w:p w14:paraId="769898A5" w14:textId="48B30922" w:rsidR="00F51FC4" w:rsidRPr="009C1D66" w:rsidRDefault="00156D8C" w:rsidP="00730385">
            <w:pPr>
              <w:tabs>
                <w:tab w:val="decimal" w:pos="742"/>
              </w:tabs>
              <w:rPr>
                <w:b/>
                <w:color w:val="auto"/>
                <w:sz w:val="20"/>
                <w:szCs w:val="20"/>
              </w:rPr>
            </w:pPr>
            <w:r w:rsidRPr="009C1D66">
              <w:rPr>
                <w:b/>
                <w:color w:val="auto"/>
                <w:sz w:val="20"/>
                <w:szCs w:val="20"/>
              </w:rPr>
              <w:t>794.3</w:t>
            </w:r>
          </w:p>
        </w:tc>
        <w:tc>
          <w:tcPr>
            <w:tcW w:w="716" w:type="pct"/>
            <w:tcBorders>
              <w:top w:val="single" w:sz="4" w:space="0" w:color="auto"/>
              <w:bottom w:val="single" w:sz="4" w:space="0" w:color="auto"/>
            </w:tcBorders>
            <w:shd w:val="clear" w:color="auto" w:fill="auto"/>
            <w:vAlign w:val="bottom"/>
          </w:tcPr>
          <w:p w14:paraId="5724E88D" w14:textId="1772382B" w:rsidR="00F51FC4" w:rsidRPr="009C1D66" w:rsidRDefault="00156D8C" w:rsidP="00730385">
            <w:pPr>
              <w:tabs>
                <w:tab w:val="decimal" w:pos="742"/>
              </w:tabs>
              <w:rPr>
                <w:b/>
                <w:color w:val="auto"/>
                <w:sz w:val="20"/>
                <w:szCs w:val="20"/>
              </w:rPr>
            </w:pPr>
            <w:r w:rsidRPr="009C1D66">
              <w:rPr>
                <w:b/>
                <w:color w:val="auto"/>
                <w:sz w:val="20"/>
                <w:szCs w:val="20"/>
              </w:rPr>
              <w:t>39.8</w:t>
            </w:r>
          </w:p>
        </w:tc>
        <w:tc>
          <w:tcPr>
            <w:tcW w:w="647" w:type="pct"/>
            <w:tcBorders>
              <w:top w:val="single" w:sz="4" w:space="0" w:color="auto"/>
              <w:bottom w:val="single" w:sz="4" w:space="0" w:color="auto"/>
            </w:tcBorders>
            <w:shd w:val="clear" w:color="auto" w:fill="auto"/>
            <w:vAlign w:val="bottom"/>
          </w:tcPr>
          <w:p w14:paraId="3DFA57BE" w14:textId="5C0A6921" w:rsidR="00F51FC4" w:rsidRPr="009C1D66" w:rsidRDefault="000C7083" w:rsidP="007F40E6">
            <w:pPr>
              <w:tabs>
                <w:tab w:val="decimal" w:pos="631"/>
              </w:tabs>
              <w:rPr>
                <w:b/>
                <w:color w:val="auto"/>
                <w:sz w:val="20"/>
                <w:szCs w:val="20"/>
              </w:rPr>
            </w:pPr>
            <w:r w:rsidRPr="009C1D66">
              <w:rPr>
                <w:b/>
                <w:color w:val="auto"/>
                <w:sz w:val="20"/>
                <w:szCs w:val="20"/>
              </w:rPr>
              <w:t>2,8</w:t>
            </w:r>
            <w:r w:rsidR="007F40E6">
              <w:rPr>
                <w:b/>
                <w:color w:val="auto"/>
                <w:sz w:val="20"/>
                <w:szCs w:val="20"/>
              </w:rPr>
              <w:t>75.8</w:t>
            </w:r>
          </w:p>
        </w:tc>
      </w:tr>
      <w:tr w:rsidR="00A50E81" w:rsidRPr="003C0F16" w14:paraId="72490577" w14:textId="77777777" w:rsidTr="009C1D66">
        <w:trPr>
          <w:trHeight w:val="369"/>
        </w:trPr>
        <w:tc>
          <w:tcPr>
            <w:tcW w:w="1644" w:type="pct"/>
            <w:shd w:val="clear" w:color="auto" w:fill="auto"/>
            <w:vAlign w:val="bottom"/>
          </w:tcPr>
          <w:p w14:paraId="7FB02E41" w14:textId="77777777" w:rsidR="00F51FC4" w:rsidRPr="009C1D66" w:rsidRDefault="00A50E81" w:rsidP="00730385">
            <w:pPr>
              <w:jc w:val="left"/>
              <w:rPr>
                <w:color w:val="auto"/>
                <w:sz w:val="20"/>
                <w:szCs w:val="20"/>
                <w:u w:val="single"/>
              </w:rPr>
            </w:pPr>
            <w:r w:rsidRPr="009C1D66">
              <w:rPr>
                <w:color w:val="auto"/>
                <w:sz w:val="20"/>
                <w:szCs w:val="20"/>
                <w:u w:val="single"/>
              </w:rPr>
              <w:t>Depreciation and Impairments</w:t>
            </w:r>
          </w:p>
        </w:tc>
        <w:tc>
          <w:tcPr>
            <w:tcW w:w="599" w:type="pct"/>
            <w:tcBorders>
              <w:top w:val="single" w:sz="4" w:space="0" w:color="auto"/>
            </w:tcBorders>
            <w:shd w:val="clear" w:color="auto" w:fill="auto"/>
            <w:vAlign w:val="bottom"/>
          </w:tcPr>
          <w:p w14:paraId="24EB82E1" w14:textId="77777777" w:rsidR="00F51FC4" w:rsidRPr="003C0F16" w:rsidRDefault="00F51FC4" w:rsidP="00730385">
            <w:pPr>
              <w:tabs>
                <w:tab w:val="decimal" w:pos="602"/>
              </w:tabs>
              <w:rPr>
                <w:color w:val="auto"/>
                <w:sz w:val="20"/>
                <w:szCs w:val="20"/>
                <w:highlight w:val="yellow"/>
              </w:rPr>
            </w:pPr>
          </w:p>
        </w:tc>
        <w:tc>
          <w:tcPr>
            <w:tcW w:w="664" w:type="pct"/>
            <w:tcBorders>
              <w:top w:val="single" w:sz="4" w:space="0" w:color="auto"/>
            </w:tcBorders>
            <w:vAlign w:val="bottom"/>
          </w:tcPr>
          <w:p w14:paraId="7A08B09A" w14:textId="77777777" w:rsidR="00F51FC4" w:rsidRPr="003C0F16" w:rsidRDefault="00F51FC4" w:rsidP="00730385">
            <w:pPr>
              <w:tabs>
                <w:tab w:val="decimal" w:pos="743"/>
              </w:tabs>
              <w:rPr>
                <w:color w:val="auto"/>
                <w:sz w:val="20"/>
                <w:szCs w:val="20"/>
                <w:highlight w:val="yellow"/>
              </w:rPr>
            </w:pPr>
          </w:p>
        </w:tc>
        <w:tc>
          <w:tcPr>
            <w:tcW w:w="730" w:type="pct"/>
            <w:tcBorders>
              <w:top w:val="single" w:sz="4" w:space="0" w:color="auto"/>
            </w:tcBorders>
            <w:vAlign w:val="bottom"/>
          </w:tcPr>
          <w:p w14:paraId="3A6BECFF" w14:textId="77777777" w:rsidR="00F51FC4" w:rsidRPr="003C0F16" w:rsidRDefault="00F51FC4" w:rsidP="00730385">
            <w:pPr>
              <w:tabs>
                <w:tab w:val="decimal" w:pos="742"/>
              </w:tabs>
              <w:rPr>
                <w:color w:val="auto"/>
                <w:sz w:val="20"/>
                <w:szCs w:val="20"/>
                <w:highlight w:val="yellow"/>
              </w:rPr>
            </w:pPr>
          </w:p>
        </w:tc>
        <w:tc>
          <w:tcPr>
            <w:tcW w:w="716" w:type="pct"/>
            <w:tcBorders>
              <w:top w:val="single" w:sz="4" w:space="0" w:color="auto"/>
            </w:tcBorders>
            <w:shd w:val="clear" w:color="auto" w:fill="auto"/>
            <w:vAlign w:val="bottom"/>
          </w:tcPr>
          <w:p w14:paraId="596FBF96" w14:textId="77777777" w:rsidR="00F51FC4" w:rsidRPr="003C0F16" w:rsidRDefault="00F51FC4" w:rsidP="00730385">
            <w:pPr>
              <w:tabs>
                <w:tab w:val="decimal" w:pos="742"/>
              </w:tabs>
              <w:rPr>
                <w:color w:val="auto"/>
                <w:sz w:val="20"/>
                <w:szCs w:val="20"/>
                <w:highlight w:val="yellow"/>
              </w:rPr>
            </w:pPr>
          </w:p>
        </w:tc>
        <w:tc>
          <w:tcPr>
            <w:tcW w:w="647" w:type="pct"/>
            <w:tcBorders>
              <w:top w:val="single" w:sz="4" w:space="0" w:color="auto"/>
            </w:tcBorders>
            <w:shd w:val="clear" w:color="auto" w:fill="auto"/>
            <w:vAlign w:val="bottom"/>
          </w:tcPr>
          <w:p w14:paraId="2F15CC3D" w14:textId="77777777" w:rsidR="00F51FC4" w:rsidRPr="003C0F16" w:rsidRDefault="00F51FC4" w:rsidP="00730385">
            <w:pPr>
              <w:tabs>
                <w:tab w:val="decimal" w:pos="631"/>
              </w:tabs>
              <w:rPr>
                <w:color w:val="auto"/>
                <w:sz w:val="20"/>
                <w:szCs w:val="20"/>
                <w:highlight w:val="yellow"/>
              </w:rPr>
            </w:pPr>
          </w:p>
        </w:tc>
      </w:tr>
      <w:tr w:rsidR="00A50E81" w:rsidRPr="003C0F16" w14:paraId="78D1F1C9" w14:textId="77777777" w:rsidTr="009C1D66">
        <w:trPr>
          <w:trHeight w:val="369"/>
        </w:trPr>
        <w:tc>
          <w:tcPr>
            <w:tcW w:w="1644" w:type="pct"/>
            <w:shd w:val="clear" w:color="auto" w:fill="auto"/>
            <w:vAlign w:val="bottom"/>
          </w:tcPr>
          <w:p w14:paraId="7663A71B" w14:textId="77777777" w:rsidR="00A50E81" w:rsidRPr="009C1D66" w:rsidRDefault="00A50E81" w:rsidP="00730385">
            <w:pPr>
              <w:jc w:val="left"/>
              <w:rPr>
                <w:b/>
                <w:color w:val="auto"/>
                <w:sz w:val="20"/>
                <w:szCs w:val="20"/>
                <w:u w:val="single"/>
              </w:rPr>
            </w:pPr>
            <w:r w:rsidRPr="009C1D66">
              <w:rPr>
                <w:b/>
                <w:color w:val="auto"/>
                <w:sz w:val="20"/>
                <w:szCs w:val="20"/>
              </w:rPr>
              <w:t>At 1 April 2014</w:t>
            </w:r>
          </w:p>
        </w:tc>
        <w:tc>
          <w:tcPr>
            <w:tcW w:w="599" w:type="pct"/>
            <w:shd w:val="clear" w:color="auto" w:fill="auto"/>
            <w:vAlign w:val="bottom"/>
          </w:tcPr>
          <w:p w14:paraId="680EA0D4" w14:textId="0CCE28B5" w:rsidR="00A50E81" w:rsidRPr="009C1D66" w:rsidRDefault="00010335" w:rsidP="00730385">
            <w:pPr>
              <w:tabs>
                <w:tab w:val="decimal" w:pos="602"/>
              </w:tabs>
              <w:rPr>
                <w:b/>
                <w:color w:val="auto"/>
                <w:sz w:val="20"/>
                <w:szCs w:val="20"/>
              </w:rPr>
            </w:pPr>
            <w:r>
              <w:rPr>
                <w:b/>
                <w:color w:val="auto"/>
                <w:sz w:val="20"/>
                <w:szCs w:val="20"/>
              </w:rPr>
              <w:t>(</w:t>
            </w:r>
            <w:r w:rsidR="00156D8C" w:rsidRPr="009C1D66">
              <w:rPr>
                <w:b/>
                <w:color w:val="auto"/>
                <w:sz w:val="20"/>
                <w:szCs w:val="20"/>
              </w:rPr>
              <w:t>110.5</w:t>
            </w:r>
            <w:r>
              <w:rPr>
                <w:b/>
                <w:color w:val="auto"/>
                <w:sz w:val="20"/>
                <w:szCs w:val="20"/>
              </w:rPr>
              <w:t>)</w:t>
            </w:r>
          </w:p>
        </w:tc>
        <w:tc>
          <w:tcPr>
            <w:tcW w:w="664" w:type="pct"/>
            <w:vAlign w:val="bottom"/>
          </w:tcPr>
          <w:p w14:paraId="143CE61F" w14:textId="7E9D5190" w:rsidR="00A50E81" w:rsidRPr="009C1D66" w:rsidRDefault="00010335">
            <w:pPr>
              <w:tabs>
                <w:tab w:val="decimal" w:pos="743"/>
              </w:tabs>
              <w:rPr>
                <w:b/>
                <w:color w:val="auto"/>
                <w:sz w:val="20"/>
                <w:szCs w:val="20"/>
              </w:rPr>
            </w:pPr>
            <w:r>
              <w:rPr>
                <w:b/>
                <w:color w:val="auto"/>
                <w:sz w:val="20"/>
                <w:szCs w:val="20"/>
              </w:rPr>
              <w:t>(</w:t>
            </w:r>
            <w:r w:rsidR="00156D8C" w:rsidRPr="009C1D66">
              <w:rPr>
                <w:b/>
                <w:color w:val="auto"/>
                <w:sz w:val="20"/>
                <w:szCs w:val="20"/>
              </w:rPr>
              <w:t>42.</w:t>
            </w:r>
            <w:r w:rsidR="00FD089A">
              <w:rPr>
                <w:b/>
                <w:color w:val="auto"/>
                <w:sz w:val="20"/>
                <w:szCs w:val="20"/>
              </w:rPr>
              <w:t>4</w:t>
            </w:r>
            <w:r>
              <w:rPr>
                <w:b/>
                <w:color w:val="auto"/>
                <w:sz w:val="20"/>
                <w:szCs w:val="20"/>
              </w:rPr>
              <w:t>)</w:t>
            </w:r>
          </w:p>
        </w:tc>
        <w:tc>
          <w:tcPr>
            <w:tcW w:w="730" w:type="pct"/>
            <w:vAlign w:val="bottom"/>
          </w:tcPr>
          <w:p w14:paraId="7F54E576" w14:textId="15D77841" w:rsidR="00A50E81" w:rsidRPr="009C1D66" w:rsidRDefault="00010335" w:rsidP="00730385">
            <w:pPr>
              <w:tabs>
                <w:tab w:val="decimal" w:pos="742"/>
              </w:tabs>
              <w:rPr>
                <w:b/>
                <w:color w:val="auto"/>
                <w:sz w:val="20"/>
                <w:szCs w:val="20"/>
              </w:rPr>
            </w:pPr>
            <w:r>
              <w:rPr>
                <w:b/>
                <w:color w:val="auto"/>
                <w:sz w:val="20"/>
                <w:szCs w:val="20"/>
              </w:rPr>
              <w:t>(</w:t>
            </w:r>
            <w:r w:rsidR="000C7083" w:rsidRPr="009C1D66">
              <w:rPr>
                <w:b/>
                <w:color w:val="auto"/>
                <w:sz w:val="20"/>
                <w:szCs w:val="20"/>
              </w:rPr>
              <w:t>80.5</w:t>
            </w:r>
            <w:r>
              <w:rPr>
                <w:b/>
                <w:color w:val="auto"/>
                <w:sz w:val="20"/>
                <w:szCs w:val="20"/>
              </w:rPr>
              <w:t>)</w:t>
            </w:r>
          </w:p>
        </w:tc>
        <w:tc>
          <w:tcPr>
            <w:tcW w:w="716" w:type="pct"/>
            <w:shd w:val="clear" w:color="auto" w:fill="auto"/>
            <w:vAlign w:val="bottom"/>
          </w:tcPr>
          <w:p w14:paraId="76F3D487" w14:textId="77777777" w:rsidR="00A50E81" w:rsidRPr="009C1D66" w:rsidRDefault="00A50E81" w:rsidP="00730385">
            <w:pPr>
              <w:tabs>
                <w:tab w:val="decimal" w:pos="742"/>
              </w:tabs>
              <w:rPr>
                <w:b/>
                <w:color w:val="auto"/>
                <w:sz w:val="20"/>
                <w:szCs w:val="20"/>
              </w:rPr>
            </w:pPr>
            <w:r w:rsidRPr="009C1D66">
              <w:rPr>
                <w:b/>
                <w:color w:val="auto"/>
                <w:sz w:val="20"/>
                <w:szCs w:val="20"/>
              </w:rPr>
              <w:t>-</w:t>
            </w:r>
          </w:p>
        </w:tc>
        <w:tc>
          <w:tcPr>
            <w:tcW w:w="647" w:type="pct"/>
            <w:shd w:val="clear" w:color="auto" w:fill="auto"/>
            <w:vAlign w:val="bottom"/>
          </w:tcPr>
          <w:p w14:paraId="032D3835" w14:textId="0B68EA83" w:rsidR="00A50E81" w:rsidRPr="009C1D66" w:rsidRDefault="00010335">
            <w:pPr>
              <w:tabs>
                <w:tab w:val="decimal" w:pos="631"/>
              </w:tabs>
              <w:rPr>
                <w:b/>
                <w:color w:val="auto"/>
                <w:sz w:val="20"/>
                <w:szCs w:val="20"/>
              </w:rPr>
            </w:pPr>
            <w:r>
              <w:rPr>
                <w:b/>
                <w:color w:val="auto"/>
                <w:sz w:val="20"/>
                <w:szCs w:val="20"/>
              </w:rPr>
              <w:t>(</w:t>
            </w:r>
            <w:r w:rsidR="000C7083" w:rsidRPr="009C1D66">
              <w:rPr>
                <w:b/>
                <w:color w:val="auto"/>
                <w:sz w:val="20"/>
                <w:szCs w:val="20"/>
              </w:rPr>
              <w:t>233.</w:t>
            </w:r>
            <w:r w:rsidR="00FD089A">
              <w:rPr>
                <w:b/>
                <w:color w:val="auto"/>
                <w:sz w:val="20"/>
                <w:szCs w:val="20"/>
              </w:rPr>
              <w:t>4</w:t>
            </w:r>
            <w:r>
              <w:rPr>
                <w:b/>
                <w:color w:val="auto"/>
                <w:sz w:val="20"/>
                <w:szCs w:val="20"/>
              </w:rPr>
              <w:t>)</w:t>
            </w:r>
          </w:p>
        </w:tc>
      </w:tr>
      <w:tr w:rsidR="00A50E81" w:rsidRPr="003C0F16" w14:paraId="1B05E80D" w14:textId="77777777" w:rsidTr="009C1D66">
        <w:trPr>
          <w:trHeight w:val="369"/>
        </w:trPr>
        <w:tc>
          <w:tcPr>
            <w:tcW w:w="1644" w:type="pct"/>
            <w:shd w:val="clear" w:color="auto" w:fill="auto"/>
            <w:vAlign w:val="bottom"/>
          </w:tcPr>
          <w:p w14:paraId="2935B67E" w14:textId="77777777" w:rsidR="00A50E81" w:rsidRPr="009C1D66" w:rsidRDefault="00A50E81" w:rsidP="00730385">
            <w:pPr>
              <w:jc w:val="left"/>
              <w:rPr>
                <w:color w:val="auto"/>
                <w:sz w:val="20"/>
                <w:szCs w:val="20"/>
              </w:rPr>
            </w:pPr>
            <w:r w:rsidRPr="009C1D66">
              <w:rPr>
                <w:color w:val="auto"/>
                <w:sz w:val="20"/>
                <w:szCs w:val="20"/>
              </w:rPr>
              <w:t>Depreciation charge for 2014/15</w:t>
            </w:r>
          </w:p>
        </w:tc>
        <w:tc>
          <w:tcPr>
            <w:tcW w:w="599" w:type="pct"/>
            <w:shd w:val="clear" w:color="auto" w:fill="auto"/>
            <w:vAlign w:val="bottom"/>
          </w:tcPr>
          <w:p w14:paraId="0CA6BDBE" w14:textId="1DB85B12" w:rsidR="00A50E81" w:rsidRPr="009C1D66" w:rsidRDefault="006D4E52" w:rsidP="00730385">
            <w:pPr>
              <w:tabs>
                <w:tab w:val="decimal" w:pos="602"/>
              </w:tabs>
              <w:rPr>
                <w:color w:val="auto"/>
                <w:sz w:val="20"/>
                <w:szCs w:val="20"/>
              </w:rPr>
            </w:pPr>
            <w:r>
              <w:rPr>
                <w:color w:val="auto"/>
                <w:sz w:val="20"/>
                <w:szCs w:val="20"/>
              </w:rPr>
              <w:t>(</w:t>
            </w:r>
            <w:r w:rsidR="00156D8C" w:rsidRPr="009C1D66">
              <w:rPr>
                <w:color w:val="auto"/>
                <w:sz w:val="20"/>
                <w:szCs w:val="20"/>
              </w:rPr>
              <w:t>24.7</w:t>
            </w:r>
            <w:r>
              <w:rPr>
                <w:color w:val="auto"/>
                <w:sz w:val="20"/>
                <w:szCs w:val="20"/>
              </w:rPr>
              <w:t>)</w:t>
            </w:r>
          </w:p>
        </w:tc>
        <w:tc>
          <w:tcPr>
            <w:tcW w:w="664" w:type="pct"/>
            <w:vAlign w:val="bottom"/>
          </w:tcPr>
          <w:p w14:paraId="73C9DDD0" w14:textId="0FDA3F11" w:rsidR="00A50E81" w:rsidRPr="009C1D66" w:rsidRDefault="006D4E52" w:rsidP="00730385">
            <w:pPr>
              <w:tabs>
                <w:tab w:val="decimal" w:pos="743"/>
              </w:tabs>
              <w:rPr>
                <w:color w:val="auto"/>
                <w:sz w:val="20"/>
                <w:szCs w:val="20"/>
              </w:rPr>
            </w:pPr>
            <w:r>
              <w:rPr>
                <w:color w:val="auto"/>
                <w:sz w:val="20"/>
                <w:szCs w:val="20"/>
              </w:rPr>
              <w:t>(</w:t>
            </w:r>
            <w:r w:rsidR="00156D8C" w:rsidRPr="009C1D66">
              <w:rPr>
                <w:color w:val="auto"/>
                <w:sz w:val="20"/>
                <w:szCs w:val="20"/>
              </w:rPr>
              <w:t>7.1</w:t>
            </w:r>
            <w:r>
              <w:rPr>
                <w:color w:val="auto"/>
                <w:sz w:val="20"/>
                <w:szCs w:val="20"/>
              </w:rPr>
              <w:t>)</w:t>
            </w:r>
          </w:p>
        </w:tc>
        <w:tc>
          <w:tcPr>
            <w:tcW w:w="730" w:type="pct"/>
            <w:vAlign w:val="bottom"/>
          </w:tcPr>
          <w:p w14:paraId="224F72D2" w14:textId="47B44928" w:rsidR="00A50E81" w:rsidRPr="009C1D66" w:rsidRDefault="006D4E52" w:rsidP="00730385">
            <w:pPr>
              <w:tabs>
                <w:tab w:val="decimal" w:pos="742"/>
              </w:tabs>
              <w:rPr>
                <w:color w:val="auto"/>
                <w:sz w:val="20"/>
                <w:szCs w:val="20"/>
              </w:rPr>
            </w:pPr>
            <w:r>
              <w:rPr>
                <w:color w:val="auto"/>
                <w:sz w:val="20"/>
                <w:szCs w:val="20"/>
              </w:rPr>
              <w:t>(</w:t>
            </w:r>
            <w:r w:rsidR="000C7083" w:rsidRPr="009C1D66">
              <w:rPr>
                <w:color w:val="auto"/>
                <w:sz w:val="20"/>
                <w:szCs w:val="20"/>
              </w:rPr>
              <w:t>16.2</w:t>
            </w:r>
            <w:r>
              <w:rPr>
                <w:color w:val="auto"/>
                <w:sz w:val="20"/>
                <w:szCs w:val="20"/>
              </w:rPr>
              <w:t>)</w:t>
            </w:r>
          </w:p>
        </w:tc>
        <w:tc>
          <w:tcPr>
            <w:tcW w:w="716" w:type="pct"/>
            <w:shd w:val="clear" w:color="auto" w:fill="auto"/>
            <w:vAlign w:val="bottom"/>
          </w:tcPr>
          <w:p w14:paraId="5CF49850" w14:textId="77777777" w:rsidR="00A50E81" w:rsidRPr="009C1D66" w:rsidRDefault="00A50E81" w:rsidP="00730385">
            <w:pPr>
              <w:tabs>
                <w:tab w:val="decimal" w:pos="742"/>
              </w:tabs>
              <w:rPr>
                <w:color w:val="auto"/>
                <w:sz w:val="20"/>
                <w:szCs w:val="20"/>
              </w:rPr>
            </w:pPr>
            <w:r w:rsidRPr="009C1D66">
              <w:rPr>
                <w:color w:val="auto"/>
                <w:sz w:val="20"/>
                <w:szCs w:val="20"/>
              </w:rPr>
              <w:t>-</w:t>
            </w:r>
          </w:p>
        </w:tc>
        <w:tc>
          <w:tcPr>
            <w:tcW w:w="647" w:type="pct"/>
            <w:shd w:val="clear" w:color="auto" w:fill="auto"/>
            <w:vAlign w:val="bottom"/>
          </w:tcPr>
          <w:p w14:paraId="2E840D7B" w14:textId="1C899F43" w:rsidR="00A50E81" w:rsidRPr="009C1D66" w:rsidRDefault="006D4E52" w:rsidP="00730385">
            <w:pPr>
              <w:tabs>
                <w:tab w:val="decimal" w:pos="631"/>
              </w:tabs>
              <w:rPr>
                <w:color w:val="auto"/>
                <w:sz w:val="20"/>
                <w:szCs w:val="20"/>
              </w:rPr>
            </w:pPr>
            <w:r>
              <w:rPr>
                <w:color w:val="auto"/>
                <w:sz w:val="20"/>
                <w:szCs w:val="20"/>
              </w:rPr>
              <w:t>(</w:t>
            </w:r>
            <w:r w:rsidR="000C7083" w:rsidRPr="009C1D66">
              <w:rPr>
                <w:color w:val="auto"/>
                <w:sz w:val="20"/>
                <w:szCs w:val="20"/>
              </w:rPr>
              <w:t>48.0</w:t>
            </w:r>
            <w:r>
              <w:rPr>
                <w:color w:val="auto"/>
                <w:sz w:val="20"/>
                <w:szCs w:val="20"/>
              </w:rPr>
              <w:t>)</w:t>
            </w:r>
          </w:p>
        </w:tc>
      </w:tr>
      <w:tr w:rsidR="00156D8C" w:rsidRPr="003C0F16" w14:paraId="6BB4F5E9" w14:textId="77777777" w:rsidTr="009C1D66">
        <w:trPr>
          <w:trHeight w:val="369"/>
        </w:trPr>
        <w:tc>
          <w:tcPr>
            <w:tcW w:w="1644" w:type="pct"/>
            <w:shd w:val="clear" w:color="auto" w:fill="auto"/>
            <w:vAlign w:val="bottom"/>
          </w:tcPr>
          <w:p w14:paraId="211DB27A" w14:textId="00A8CAB0" w:rsidR="00156D8C" w:rsidRPr="00156D8C" w:rsidRDefault="00156D8C" w:rsidP="00730385">
            <w:pPr>
              <w:jc w:val="left"/>
              <w:rPr>
                <w:color w:val="auto"/>
                <w:sz w:val="20"/>
                <w:szCs w:val="20"/>
              </w:rPr>
            </w:pPr>
            <w:r>
              <w:rPr>
                <w:color w:val="auto"/>
                <w:sz w:val="20"/>
                <w:szCs w:val="20"/>
              </w:rPr>
              <w:t>Depreciation written out to Revaluation Reserve</w:t>
            </w:r>
          </w:p>
        </w:tc>
        <w:tc>
          <w:tcPr>
            <w:tcW w:w="599" w:type="pct"/>
            <w:shd w:val="clear" w:color="auto" w:fill="auto"/>
            <w:vAlign w:val="bottom"/>
          </w:tcPr>
          <w:p w14:paraId="0B54C74B" w14:textId="7D8EF28D" w:rsidR="00156D8C" w:rsidRPr="009C1D66" w:rsidRDefault="006D4E52" w:rsidP="00730385">
            <w:pPr>
              <w:tabs>
                <w:tab w:val="decimal" w:pos="602"/>
              </w:tabs>
              <w:rPr>
                <w:color w:val="auto"/>
                <w:sz w:val="20"/>
                <w:szCs w:val="20"/>
              </w:rPr>
            </w:pPr>
            <w:r>
              <w:rPr>
                <w:color w:val="auto"/>
                <w:sz w:val="20"/>
                <w:szCs w:val="20"/>
              </w:rPr>
              <w:t>5.0</w:t>
            </w:r>
          </w:p>
        </w:tc>
        <w:tc>
          <w:tcPr>
            <w:tcW w:w="664" w:type="pct"/>
            <w:vAlign w:val="bottom"/>
          </w:tcPr>
          <w:p w14:paraId="4E6E3AF9" w14:textId="37073CE9" w:rsidR="00156D8C" w:rsidRPr="009C1D66" w:rsidRDefault="004B2471" w:rsidP="00730385">
            <w:pPr>
              <w:tabs>
                <w:tab w:val="decimal" w:pos="743"/>
              </w:tabs>
              <w:rPr>
                <w:color w:val="auto"/>
                <w:sz w:val="20"/>
                <w:szCs w:val="20"/>
              </w:rPr>
            </w:pPr>
            <w:r>
              <w:rPr>
                <w:color w:val="auto"/>
                <w:sz w:val="20"/>
                <w:szCs w:val="20"/>
              </w:rPr>
              <w:t>-</w:t>
            </w:r>
          </w:p>
        </w:tc>
        <w:tc>
          <w:tcPr>
            <w:tcW w:w="730" w:type="pct"/>
            <w:vAlign w:val="bottom"/>
          </w:tcPr>
          <w:p w14:paraId="75D93B2B" w14:textId="2BB8797B" w:rsidR="00156D8C" w:rsidRPr="009C1D66" w:rsidRDefault="004B2471" w:rsidP="00730385">
            <w:pPr>
              <w:tabs>
                <w:tab w:val="decimal" w:pos="742"/>
              </w:tabs>
              <w:rPr>
                <w:color w:val="auto"/>
                <w:sz w:val="20"/>
                <w:szCs w:val="20"/>
              </w:rPr>
            </w:pPr>
            <w:r>
              <w:rPr>
                <w:color w:val="auto"/>
                <w:sz w:val="20"/>
                <w:szCs w:val="20"/>
              </w:rPr>
              <w:t>-</w:t>
            </w:r>
          </w:p>
        </w:tc>
        <w:tc>
          <w:tcPr>
            <w:tcW w:w="716" w:type="pct"/>
            <w:shd w:val="clear" w:color="auto" w:fill="auto"/>
            <w:vAlign w:val="bottom"/>
          </w:tcPr>
          <w:p w14:paraId="29BFE339" w14:textId="5F193E6C" w:rsidR="00156D8C" w:rsidRPr="009C1D66" w:rsidRDefault="004B2471" w:rsidP="00730385">
            <w:pPr>
              <w:tabs>
                <w:tab w:val="decimal" w:pos="742"/>
              </w:tabs>
              <w:rPr>
                <w:color w:val="auto"/>
                <w:sz w:val="20"/>
                <w:szCs w:val="20"/>
              </w:rPr>
            </w:pPr>
            <w:r>
              <w:rPr>
                <w:color w:val="auto"/>
                <w:sz w:val="20"/>
                <w:szCs w:val="20"/>
              </w:rPr>
              <w:t>-</w:t>
            </w:r>
          </w:p>
        </w:tc>
        <w:tc>
          <w:tcPr>
            <w:tcW w:w="647" w:type="pct"/>
            <w:shd w:val="clear" w:color="auto" w:fill="auto"/>
            <w:vAlign w:val="bottom"/>
          </w:tcPr>
          <w:p w14:paraId="417CCC43" w14:textId="22E46586" w:rsidR="00156D8C" w:rsidRPr="009C1D66" w:rsidRDefault="006D4E52" w:rsidP="00730385">
            <w:pPr>
              <w:tabs>
                <w:tab w:val="decimal" w:pos="631"/>
              </w:tabs>
              <w:rPr>
                <w:color w:val="auto"/>
                <w:sz w:val="20"/>
                <w:szCs w:val="20"/>
              </w:rPr>
            </w:pPr>
            <w:r>
              <w:rPr>
                <w:color w:val="auto"/>
                <w:sz w:val="20"/>
                <w:szCs w:val="20"/>
              </w:rPr>
              <w:t>5.0</w:t>
            </w:r>
          </w:p>
        </w:tc>
      </w:tr>
      <w:tr w:rsidR="00156D8C" w:rsidRPr="003C0F16" w14:paraId="3E91F675" w14:textId="77777777" w:rsidTr="009C1D66">
        <w:trPr>
          <w:trHeight w:val="369"/>
        </w:trPr>
        <w:tc>
          <w:tcPr>
            <w:tcW w:w="1644" w:type="pct"/>
            <w:shd w:val="clear" w:color="auto" w:fill="auto"/>
            <w:vAlign w:val="bottom"/>
          </w:tcPr>
          <w:p w14:paraId="1CDA1B9F" w14:textId="1BF19EE2" w:rsidR="00156D8C" w:rsidRPr="00156D8C" w:rsidRDefault="00156D8C" w:rsidP="00730385">
            <w:pPr>
              <w:jc w:val="left"/>
              <w:rPr>
                <w:color w:val="auto"/>
                <w:sz w:val="20"/>
                <w:szCs w:val="20"/>
              </w:rPr>
            </w:pPr>
            <w:r>
              <w:rPr>
                <w:color w:val="auto"/>
                <w:sz w:val="20"/>
                <w:szCs w:val="20"/>
              </w:rPr>
              <w:t xml:space="preserve">Depreciation written out to the Surplus/Deficit on Provision of Services </w:t>
            </w:r>
          </w:p>
        </w:tc>
        <w:tc>
          <w:tcPr>
            <w:tcW w:w="599" w:type="pct"/>
            <w:shd w:val="clear" w:color="auto" w:fill="auto"/>
            <w:vAlign w:val="bottom"/>
          </w:tcPr>
          <w:p w14:paraId="76627734" w14:textId="010433E0" w:rsidR="00156D8C" w:rsidRPr="009C1D66" w:rsidRDefault="006D4E52" w:rsidP="00730385">
            <w:pPr>
              <w:tabs>
                <w:tab w:val="decimal" w:pos="602"/>
              </w:tabs>
              <w:rPr>
                <w:color w:val="auto"/>
                <w:sz w:val="20"/>
                <w:szCs w:val="20"/>
              </w:rPr>
            </w:pPr>
            <w:r>
              <w:rPr>
                <w:color w:val="auto"/>
                <w:sz w:val="20"/>
                <w:szCs w:val="20"/>
              </w:rPr>
              <w:t>38.6</w:t>
            </w:r>
          </w:p>
        </w:tc>
        <w:tc>
          <w:tcPr>
            <w:tcW w:w="664" w:type="pct"/>
            <w:vAlign w:val="bottom"/>
          </w:tcPr>
          <w:p w14:paraId="3A83FAEE" w14:textId="26F13F06" w:rsidR="00156D8C" w:rsidRPr="009C1D66" w:rsidRDefault="004B2471" w:rsidP="00730385">
            <w:pPr>
              <w:tabs>
                <w:tab w:val="decimal" w:pos="743"/>
              </w:tabs>
              <w:rPr>
                <w:color w:val="auto"/>
                <w:sz w:val="20"/>
                <w:szCs w:val="20"/>
              </w:rPr>
            </w:pPr>
            <w:r>
              <w:rPr>
                <w:color w:val="auto"/>
                <w:sz w:val="20"/>
                <w:szCs w:val="20"/>
              </w:rPr>
              <w:t>-</w:t>
            </w:r>
          </w:p>
        </w:tc>
        <w:tc>
          <w:tcPr>
            <w:tcW w:w="730" w:type="pct"/>
            <w:vAlign w:val="bottom"/>
          </w:tcPr>
          <w:p w14:paraId="743E4BCF" w14:textId="100B820E" w:rsidR="00156D8C" w:rsidRPr="009C1D66" w:rsidRDefault="004B2471" w:rsidP="00730385">
            <w:pPr>
              <w:tabs>
                <w:tab w:val="decimal" w:pos="742"/>
              </w:tabs>
              <w:rPr>
                <w:color w:val="auto"/>
                <w:sz w:val="20"/>
                <w:szCs w:val="20"/>
              </w:rPr>
            </w:pPr>
            <w:r>
              <w:rPr>
                <w:color w:val="auto"/>
                <w:sz w:val="20"/>
                <w:szCs w:val="20"/>
              </w:rPr>
              <w:t>-</w:t>
            </w:r>
          </w:p>
        </w:tc>
        <w:tc>
          <w:tcPr>
            <w:tcW w:w="716" w:type="pct"/>
            <w:shd w:val="clear" w:color="auto" w:fill="auto"/>
            <w:vAlign w:val="bottom"/>
          </w:tcPr>
          <w:p w14:paraId="14EF2BC1" w14:textId="24890165" w:rsidR="00156D8C" w:rsidRPr="009C1D66" w:rsidRDefault="004B2471" w:rsidP="00730385">
            <w:pPr>
              <w:tabs>
                <w:tab w:val="decimal" w:pos="742"/>
              </w:tabs>
              <w:rPr>
                <w:color w:val="auto"/>
                <w:sz w:val="20"/>
                <w:szCs w:val="20"/>
              </w:rPr>
            </w:pPr>
            <w:r>
              <w:rPr>
                <w:color w:val="auto"/>
                <w:sz w:val="20"/>
                <w:szCs w:val="20"/>
              </w:rPr>
              <w:t>-</w:t>
            </w:r>
          </w:p>
        </w:tc>
        <w:tc>
          <w:tcPr>
            <w:tcW w:w="647" w:type="pct"/>
            <w:shd w:val="clear" w:color="auto" w:fill="auto"/>
            <w:vAlign w:val="bottom"/>
          </w:tcPr>
          <w:p w14:paraId="366E3FCA" w14:textId="1F0F1DFA" w:rsidR="00156D8C" w:rsidRPr="009C1D66" w:rsidRDefault="006D4E52" w:rsidP="00730385">
            <w:pPr>
              <w:tabs>
                <w:tab w:val="decimal" w:pos="631"/>
              </w:tabs>
              <w:rPr>
                <w:color w:val="auto"/>
                <w:sz w:val="20"/>
                <w:szCs w:val="20"/>
              </w:rPr>
            </w:pPr>
            <w:r>
              <w:rPr>
                <w:color w:val="auto"/>
                <w:sz w:val="20"/>
                <w:szCs w:val="20"/>
              </w:rPr>
              <w:t>38.6</w:t>
            </w:r>
          </w:p>
        </w:tc>
      </w:tr>
      <w:tr w:rsidR="00A50E81" w:rsidRPr="003C0F16" w14:paraId="7414FD8A" w14:textId="77777777" w:rsidTr="009C1D66">
        <w:trPr>
          <w:trHeight w:val="369"/>
        </w:trPr>
        <w:tc>
          <w:tcPr>
            <w:tcW w:w="1644" w:type="pct"/>
            <w:shd w:val="clear" w:color="auto" w:fill="auto"/>
            <w:vAlign w:val="bottom"/>
          </w:tcPr>
          <w:p w14:paraId="4CA3EF52" w14:textId="77777777" w:rsidR="00A50E81" w:rsidRPr="009C1D66" w:rsidRDefault="00A50E81" w:rsidP="00730385">
            <w:pPr>
              <w:jc w:val="left"/>
              <w:rPr>
                <w:color w:val="auto"/>
                <w:sz w:val="20"/>
                <w:szCs w:val="20"/>
              </w:rPr>
            </w:pPr>
            <w:r w:rsidRPr="009C1D66">
              <w:rPr>
                <w:color w:val="auto"/>
                <w:sz w:val="20"/>
                <w:szCs w:val="20"/>
              </w:rPr>
              <w:t>De-recognition – disposals</w:t>
            </w:r>
          </w:p>
        </w:tc>
        <w:tc>
          <w:tcPr>
            <w:tcW w:w="599" w:type="pct"/>
            <w:shd w:val="clear" w:color="auto" w:fill="auto"/>
            <w:vAlign w:val="bottom"/>
          </w:tcPr>
          <w:p w14:paraId="48210A42" w14:textId="68491765" w:rsidR="00A50E81" w:rsidRPr="009C1D66" w:rsidRDefault="006D4E52" w:rsidP="00730385">
            <w:pPr>
              <w:tabs>
                <w:tab w:val="decimal" w:pos="602"/>
              </w:tabs>
              <w:rPr>
                <w:color w:val="auto"/>
                <w:sz w:val="20"/>
                <w:szCs w:val="20"/>
              </w:rPr>
            </w:pPr>
            <w:r>
              <w:rPr>
                <w:color w:val="auto"/>
                <w:sz w:val="20"/>
                <w:szCs w:val="20"/>
              </w:rPr>
              <w:t>0.2</w:t>
            </w:r>
          </w:p>
        </w:tc>
        <w:tc>
          <w:tcPr>
            <w:tcW w:w="664" w:type="pct"/>
            <w:vAlign w:val="bottom"/>
          </w:tcPr>
          <w:p w14:paraId="36936E47" w14:textId="77777777" w:rsidR="00A50E81" w:rsidRPr="009C1D66" w:rsidRDefault="00A50E81" w:rsidP="00730385">
            <w:pPr>
              <w:tabs>
                <w:tab w:val="decimal" w:pos="743"/>
              </w:tabs>
              <w:rPr>
                <w:color w:val="auto"/>
                <w:sz w:val="20"/>
                <w:szCs w:val="20"/>
              </w:rPr>
            </w:pPr>
            <w:r w:rsidRPr="009C1D66">
              <w:rPr>
                <w:color w:val="auto"/>
                <w:sz w:val="20"/>
                <w:szCs w:val="20"/>
              </w:rPr>
              <w:t>-</w:t>
            </w:r>
          </w:p>
        </w:tc>
        <w:tc>
          <w:tcPr>
            <w:tcW w:w="730" w:type="pct"/>
            <w:vAlign w:val="bottom"/>
          </w:tcPr>
          <w:p w14:paraId="50FA6DA3" w14:textId="77777777" w:rsidR="00A50E81" w:rsidRPr="009C1D66" w:rsidRDefault="00A50E81" w:rsidP="00730385">
            <w:pPr>
              <w:tabs>
                <w:tab w:val="decimal" w:pos="742"/>
              </w:tabs>
              <w:rPr>
                <w:color w:val="auto"/>
                <w:sz w:val="20"/>
                <w:szCs w:val="20"/>
              </w:rPr>
            </w:pPr>
            <w:r w:rsidRPr="009C1D66">
              <w:rPr>
                <w:color w:val="auto"/>
                <w:sz w:val="20"/>
                <w:szCs w:val="20"/>
              </w:rPr>
              <w:t>-</w:t>
            </w:r>
          </w:p>
        </w:tc>
        <w:tc>
          <w:tcPr>
            <w:tcW w:w="716" w:type="pct"/>
            <w:shd w:val="clear" w:color="auto" w:fill="auto"/>
            <w:vAlign w:val="bottom"/>
          </w:tcPr>
          <w:p w14:paraId="324CE9DF" w14:textId="77777777" w:rsidR="00A50E81" w:rsidRPr="009C1D66" w:rsidRDefault="00A50E81" w:rsidP="00730385">
            <w:pPr>
              <w:tabs>
                <w:tab w:val="decimal" w:pos="742"/>
              </w:tabs>
              <w:rPr>
                <w:color w:val="auto"/>
                <w:sz w:val="20"/>
                <w:szCs w:val="20"/>
              </w:rPr>
            </w:pPr>
            <w:r w:rsidRPr="009C1D66">
              <w:rPr>
                <w:color w:val="auto"/>
                <w:sz w:val="20"/>
                <w:szCs w:val="20"/>
              </w:rPr>
              <w:t>-</w:t>
            </w:r>
          </w:p>
        </w:tc>
        <w:tc>
          <w:tcPr>
            <w:tcW w:w="647" w:type="pct"/>
            <w:shd w:val="clear" w:color="auto" w:fill="auto"/>
            <w:vAlign w:val="bottom"/>
          </w:tcPr>
          <w:p w14:paraId="4BB4D9D1" w14:textId="4C2D15F0" w:rsidR="00A50E81" w:rsidRPr="009C1D66" w:rsidRDefault="006D4E52" w:rsidP="00730385">
            <w:pPr>
              <w:tabs>
                <w:tab w:val="decimal" w:pos="631"/>
              </w:tabs>
              <w:rPr>
                <w:color w:val="auto"/>
                <w:sz w:val="20"/>
                <w:szCs w:val="20"/>
              </w:rPr>
            </w:pPr>
            <w:r>
              <w:rPr>
                <w:color w:val="auto"/>
                <w:sz w:val="20"/>
                <w:szCs w:val="20"/>
              </w:rPr>
              <w:t>0.2</w:t>
            </w:r>
          </w:p>
        </w:tc>
      </w:tr>
      <w:tr w:rsidR="00A50E81" w:rsidRPr="003C0F16" w14:paraId="1141D1F0" w14:textId="77777777" w:rsidTr="009C1D66">
        <w:trPr>
          <w:trHeight w:val="369"/>
        </w:trPr>
        <w:tc>
          <w:tcPr>
            <w:tcW w:w="1644" w:type="pct"/>
            <w:shd w:val="clear" w:color="auto" w:fill="auto"/>
            <w:vAlign w:val="bottom"/>
          </w:tcPr>
          <w:p w14:paraId="0B83C68B" w14:textId="77777777" w:rsidR="00A50E81" w:rsidRPr="009C1D66" w:rsidRDefault="00A50E81" w:rsidP="00730385">
            <w:pPr>
              <w:jc w:val="left"/>
              <w:rPr>
                <w:b/>
                <w:color w:val="auto"/>
                <w:sz w:val="20"/>
                <w:szCs w:val="20"/>
              </w:rPr>
            </w:pPr>
            <w:r w:rsidRPr="009C1D66">
              <w:rPr>
                <w:b/>
                <w:color w:val="auto"/>
                <w:sz w:val="20"/>
                <w:szCs w:val="20"/>
              </w:rPr>
              <w:t>At 31 March 2015</w:t>
            </w:r>
          </w:p>
        </w:tc>
        <w:tc>
          <w:tcPr>
            <w:tcW w:w="599" w:type="pct"/>
            <w:tcBorders>
              <w:top w:val="single" w:sz="4" w:space="0" w:color="auto"/>
              <w:bottom w:val="single" w:sz="4" w:space="0" w:color="auto"/>
            </w:tcBorders>
            <w:shd w:val="clear" w:color="auto" w:fill="auto"/>
            <w:vAlign w:val="bottom"/>
          </w:tcPr>
          <w:p w14:paraId="59647FDC" w14:textId="2063F9D0" w:rsidR="00A50E81" w:rsidRPr="003C0F16" w:rsidRDefault="006D4E52" w:rsidP="00730385">
            <w:pPr>
              <w:tabs>
                <w:tab w:val="decimal" w:pos="602"/>
              </w:tabs>
              <w:rPr>
                <w:b/>
                <w:color w:val="auto"/>
                <w:sz w:val="20"/>
                <w:szCs w:val="20"/>
                <w:highlight w:val="yellow"/>
              </w:rPr>
            </w:pPr>
            <w:r>
              <w:rPr>
                <w:b/>
                <w:color w:val="auto"/>
                <w:sz w:val="20"/>
                <w:szCs w:val="20"/>
              </w:rPr>
              <w:t>(</w:t>
            </w:r>
            <w:r w:rsidR="00156D8C" w:rsidRPr="009C1D66">
              <w:rPr>
                <w:b/>
                <w:color w:val="auto"/>
                <w:sz w:val="20"/>
                <w:szCs w:val="20"/>
              </w:rPr>
              <w:t>91.</w:t>
            </w:r>
            <w:r w:rsidR="00CC0395">
              <w:rPr>
                <w:b/>
                <w:color w:val="auto"/>
                <w:sz w:val="20"/>
                <w:szCs w:val="20"/>
              </w:rPr>
              <w:t>4</w:t>
            </w:r>
            <w:r>
              <w:rPr>
                <w:b/>
                <w:color w:val="auto"/>
                <w:sz w:val="20"/>
                <w:szCs w:val="20"/>
              </w:rPr>
              <w:t>)</w:t>
            </w:r>
          </w:p>
        </w:tc>
        <w:tc>
          <w:tcPr>
            <w:tcW w:w="664" w:type="pct"/>
            <w:tcBorders>
              <w:top w:val="single" w:sz="4" w:space="0" w:color="auto"/>
              <w:bottom w:val="single" w:sz="4" w:space="0" w:color="auto"/>
            </w:tcBorders>
            <w:vAlign w:val="bottom"/>
          </w:tcPr>
          <w:p w14:paraId="7F8A120E" w14:textId="05992533" w:rsidR="00A50E81" w:rsidRPr="009C1D66" w:rsidRDefault="006D4E52">
            <w:pPr>
              <w:tabs>
                <w:tab w:val="decimal" w:pos="743"/>
              </w:tabs>
              <w:rPr>
                <w:b/>
                <w:color w:val="auto"/>
                <w:sz w:val="20"/>
                <w:szCs w:val="20"/>
              </w:rPr>
            </w:pPr>
            <w:r>
              <w:rPr>
                <w:b/>
                <w:color w:val="auto"/>
                <w:sz w:val="20"/>
                <w:szCs w:val="20"/>
              </w:rPr>
              <w:t>(</w:t>
            </w:r>
            <w:r w:rsidR="000C7083" w:rsidRPr="009C1D66">
              <w:rPr>
                <w:b/>
                <w:color w:val="auto"/>
                <w:sz w:val="20"/>
                <w:szCs w:val="20"/>
              </w:rPr>
              <w:t>49.</w:t>
            </w:r>
            <w:r w:rsidR="009E5FB1">
              <w:rPr>
                <w:b/>
                <w:color w:val="auto"/>
                <w:sz w:val="20"/>
                <w:szCs w:val="20"/>
              </w:rPr>
              <w:t>5</w:t>
            </w:r>
            <w:r>
              <w:rPr>
                <w:b/>
                <w:color w:val="auto"/>
                <w:sz w:val="20"/>
                <w:szCs w:val="20"/>
              </w:rPr>
              <w:t>)</w:t>
            </w:r>
          </w:p>
        </w:tc>
        <w:tc>
          <w:tcPr>
            <w:tcW w:w="730" w:type="pct"/>
            <w:tcBorders>
              <w:top w:val="single" w:sz="4" w:space="0" w:color="auto"/>
              <w:bottom w:val="single" w:sz="4" w:space="0" w:color="auto"/>
            </w:tcBorders>
            <w:vAlign w:val="bottom"/>
          </w:tcPr>
          <w:p w14:paraId="6EE39BF1" w14:textId="07383B3A" w:rsidR="00A50E81" w:rsidRPr="009C1D66" w:rsidRDefault="006D4E52" w:rsidP="00730385">
            <w:pPr>
              <w:tabs>
                <w:tab w:val="decimal" w:pos="742"/>
              </w:tabs>
              <w:rPr>
                <w:b/>
                <w:color w:val="auto"/>
                <w:sz w:val="20"/>
                <w:szCs w:val="20"/>
              </w:rPr>
            </w:pPr>
            <w:r>
              <w:rPr>
                <w:b/>
                <w:color w:val="auto"/>
                <w:sz w:val="20"/>
                <w:szCs w:val="20"/>
              </w:rPr>
              <w:t>(</w:t>
            </w:r>
            <w:r w:rsidR="000C7083" w:rsidRPr="009C1D66">
              <w:rPr>
                <w:b/>
                <w:color w:val="auto"/>
                <w:sz w:val="20"/>
                <w:szCs w:val="20"/>
              </w:rPr>
              <w:t>96.7</w:t>
            </w:r>
            <w:r>
              <w:rPr>
                <w:b/>
                <w:color w:val="auto"/>
                <w:sz w:val="20"/>
                <w:szCs w:val="20"/>
              </w:rPr>
              <w:t>)</w:t>
            </w:r>
          </w:p>
        </w:tc>
        <w:tc>
          <w:tcPr>
            <w:tcW w:w="716" w:type="pct"/>
            <w:tcBorders>
              <w:top w:val="single" w:sz="4" w:space="0" w:color="auto"/>
              <w:bottom w:val="single" w:sz="4" w:space="0" w:color="auto"/>
            </w:tcBorders>
            <w:shd w:val="clear" w:color="auto" w:fill="auto"/>
            <w:vAlign w:val="bottom"/>
          </w:tcPr>
          <w:p w14:paraId="2CE26C4E" w14:textId="77777777" w:rsidR="00A50E81" w:rsidRPr="009C1D66" w:rsidRDefault="00A50E81" w:rsidP="00730385">
            <w:pPr>
              <w:tabs>
                <w:tab w:val="decimal" w:pos="742"/>
              </w:tabs>
              <w:rPr>
                <w:b/>
                <w:color w:val="auto"/>
                <w:sz w:val="20"/>
                <w:szCs w:val="20"/>
              </w:rPr>
            </w:pPr>
            <w:r w:rsidRPr="009C1D66">
              <w:rPr>
                <w:b/>
                <w:color w:val="auto"/>
                <w:sz w:val="20"/>
                <w:szCs w:val="20"/>
              </w:rPr>
              <w:t>-</w:t>
            </w:r>
          </w:p>
        </w:tc>
        <w:tc>
          <w:tcPr>
            <w:tcW w:w="647" w:type="pct"/>
            <w:tcBorders>
              <w:top w:val="single" w:sz="4" w:space="0" w:color="auto"/>
              <w:bottom w:val="single" w:sz="4" w:space="0" w:color="auto"/>
            </w:tcBorders>
            <w:shd w:val="clear" w:color="auto" w:fill="auto"/>
            <w:vAlign w:val="bottom"/>
          </w:tcPr>
          <w:p w14:paraId="0561BAA4" w14:textId="553D5375" w:rsidR="00A50E81" w:rsidRPr="003C0F16" w:rsidRDefault="006D4E52">
            <w:pPr>
              <w:tabs>
                <w:tab w:val="decimal" w:pos="631"/>
              </w:tabs>
              <w:rPr>
                <w:b/>
                <w:color w:val="auto"/>
                <w:sz w:val="20"/>
                <w:szCs w:val="20"/>
                <w:highlight w:val="yellow"/>
              </w:rPr>
            </w:pPr>
            <w:r>
              <w:rPr>
                <w:b/>
                <w:color w:val="auto"/>
                <w:sz w:val="20"/>
                <w:szCs w:val="20"/>
              </w:rPr>
              <w:t>(</w:t>
            </w:r>
            <w:r w:rsidR="000C7083" w:rsidRPr="009C1D66">
              <w:rPr>
                <w:b/>
                <w:color w:val="auto"/>
                <w:sz w:val="20"/>
                <w:szCs w:val="20"/>
              </w:rPr>
              <w:t>237.</w:t>
            </w:r>
            <w:r w:rsidR="009E5FB1">
              <w:rPr>
                <w:b/>
                <w:color w:val="auto"/>
                <w:sz w:val="20"/>
                <w:szCs w:val="20"/>
              </w:rPr>
              <w:t>6</w:t>
            </w:r>
            <w:r>
              <w:rPr>
                <w:b/>
                <w:color w:val="auto"/>
                <w:sz w:val="20"/>
                <w:szCs w:val="20"/>
              </w:rPr>
              <w:t>)</w:t>
            </w:r>
          </w:p>
        </w:tc>
      </w:tr>
      <w:tr w:rsidR="00A50E81" w:rsidRPr="003C0F16" w14:paraId="008121DD" w14:textId="77777777" w:rsidTr="009C1D66">
        <w:trPr>
          <w:trHeight w:val="369"/>
        </w:trPr>
        <w:tc>
          <w:tcPr>
            <w:tcW w:w="1644" w:type="pct"/>
            <w:shd w:val="clear" w:color="auto" w:fill="auto"/>
            <w:vAlign w:val="bottom"/>
          </w:tcPr>
          <w:p w14:paraId="251FAC0C" w14:textId="77777777" w:rsidR="00A50E81" w:rsidRPr="009C1D66" w:rsidRDefault="00A50E81" w:rsidP="00730385">
            <w:pPr>
              <w:jc w:val="left"/>
              <w:rPr>
                <w:b/>
                <w:color w:val="auto"/>
                <w:sz w:val="20"/>
                <w:szCs w:val="20"/>
              </w:rPr>
            </w:pPr>
            <w:r w:rsidRPr="009C1D66">
              <w:rPr>
                <w:b/>
                <w:color w:val="auto"/>
                <w:sz w:val="20"/>
                <w:szCs w:val="20"/>
              </w:rPr>
              <w:lastRenderedPageBreak/>
              <w:t>Net Book Value at 31 March 2015</w:t>
            </w:r>
          </w:p>
        </w:tc>
        <w:tc>
          <w:tcPr>
            <w:tcW w:w="599" w:type="pct"/>
            <w:tcBorders>
              <w:top w:val="single" w:sz="4" w:space="0" w:color="auto"/>
              <w:bottom w:val="single" w:sz="4" w:space="0" w:color="auto"/>
            </w:tcBorders>
            <w:shd w:val="clear" w:color="auto" w:fill="auto"/>
            <w:vAlign w:val="bottom"/>
          </w:tcPr>
          <w:p w14:paraId="4B180341" w14:textId="16700FB3" w:rsidR="00A50E81" w:rsidRPr="009C1D66" w:rsidRDefault="00156D8C" w:rsidP="007F40E6">
            <w:pPr>
              <w:tabs>
                <w:tab w:val="decimal" w:pos="602"/>
              </w:tabs>
              <w:rPr>
                <w:b/>
                <w:color w:val="auto"/>
                <w:sz w:val="20"/>
                <w:szCs w:val="20"/>
              </w:rPr>
            </w:pPr>
            <w:r w:rsidRPr="009C1D66">
              <w:rPr>
                <w:b/>
                <w:color w:val="auto"/>
                <w:sz w:val="20"/>
                <w:szCs w:val="20"/>
              </w:rPr>
              <w:t>1,8</w:t>
            </w:r>
            <w:r w:rsidR="007F40E6">
              <w:rPr>
                <w:b/>
                <w:color w:val="auto"/>
                <w:sz w:val="20"/>
                <w:szCs w:val="20"/>
              </w:rPr>
              <w:t>69.5</w:t>
            </w:r>
          </w:p>
        </w:tc>
        <w:tc>
          <w:tcPr>
            <w:tcW w:w="664" w:type="pct"/>
            <w:tcBorders>
              <w:top w:val="single" w:sz="4" w:space="0" w:color="auto"/>
              <w:bottom w:val="single" w:sz="4" w:space="0" w:color="auto"/>
            </w:tcBorders>
            <w:vAlign w:val="bottom"/>
          </w:tcPr>
          <w:p w14:paraId="7341A59C" w14:textId="03F8A89E" w:rsidR="00A50E81" w:rsidRPr="009C1D66" w:rsidRDefault="000C7083">
            <w:pPr>
              <w:tabs>
                <w:tab w:val="decimal" w:pos="743"/>
              </w:tabs>
              <w:rPr>
                <w:b/>
                <w:color w:val="auto"/>
                <w:sz w:val="20"/>
                <w:szCs w:val="20"/>
              </w:rPr>
            </w:pPr>
            <w:r w:rsidRPr="009C1D66">
              <w:rPr>
                <w:b/>
                <w:color w:val="auto"/>
                <w:sz w:val="20"/>
                <w:szCs w:val="20"/>
              </w:rPr>
              <w:t>31.</w:t>
            </w:r>
            <w:r w:rsidR="009E5FB1">
              <w:rPr>
                <w:b/>
                <w:color w:val="auto"/>
                <w:sz w:val="20"/>
                <w:szCs w:val="20"/>
              </w:rPr>
              <w:t>3</w:t>
            </w:r>
          </w:p>
        </w:tc>
        <w:tc>
          <w:tcPr>
            <w:tcW w:w="730" w:type="pct"/>
            <w:tcBorders>
              <w:top w:val="single" w:sz="4" w:space="0" w:color="auto"/>
              <w:bottom w:val="single" w:sz="4" w:space="0" w:color="auto"/>
            </w:tcBorders>
            <w:vAlign w:val="bottom"/>
          </w:tcPr>
          <w:p w14:paraId="387B3913" w14:textId="75697443" w:rsidR="00A50E81" w:rsidRPr="009C1D66" w:rsidRDefault="000C7083" w:rsidP="00730385">
            <w:pPr>
              <w:tabs>
                <w:tab w:val="decimal" w:pos="742"/>
              </w:tabs>
              <w:rPr>
                <w:b/>
                <w:color w:val="auto"/>
                <w:sz w:val="20"/>
                <w:szCs w:val="20"/>
              </w:rPr>
            </w:pPr>
            <w:r w:rsidRPr="009C1D66">
              <w:rPr>
                <w:b/>
                <w:color w:val="auto"/>
                <w:sz w:val="20"/>
                <w:szCs w:val="20"/>
              </w:rPr>
              <w:t>697.6</w:t>
            </w:r>
          </w:p>
        </w:tc>
        <w:tc>
          <w:tcPr>
            <w:tcW w:w="716" w:type="pct"/>
            <w:tcBorders>
              <w:top w:val="single" w:sz="4" w:space="0" w:color="auto"/>
              <w:bottom w:val="single" w:sz="4" w:space="0" w:color="auto"/>
            </w:tcBorders>
            <w:shd w:val="clear" w:color="auto" w:fill="auto"/>
            <w:vAlign w:val="bottom"/>
          </w:tcPr>
          <w:p w14:paraId="6A495ADA" w14:textId="699E1763" w:rsidR="00A50E81" w:rsidRPr="009C1D66" w:rsidRDefault="000C7083" w:rsidP="00730385">
            <w:pPr>
              <w:tabs>
                <w:tab w:val="decimal" w:pos="742"/>
              </w:tabs>
              <w:rPr>
                <w:b/>
                <w:color w:val="auto"/>
                <w:sz w:val="20"/>
                <w:szCs w:val="20"/>
              </w:rPr>
            </w:pPr>
            <w:r w:rsidRPr="009C1D66">
              <w:rPr>
                <w:b/>
                <w:color w:val="auto"/>
                <w:sz w:val="20"/>
                <w:szCs w:val="20"/>
              </w:rPr>
              <w:t>39.8</w:t>
            </w:r>
          </w:p>
        </w:tc>
        <w:tc>
          <w:tcPr>
            <w:tcW w:w="647" w:type="pct"/>
            <w:tcBorders>
              <w:top w:val="single" w:sz="4" w:space="0" w:color="auto"/>
              <w:bottom w:val="single" w:sz="4" w:space="0" w:color="auto"/>
            </w:tcBorders>
            <w:shd w:val="clear" w:color="auto" w:fill="auto"/>
            <w:vAlign w:val="bottom"/>
          </w:tcPr>
          <w:p w14:paraId="1B2F4BF1" w14:textId="64039247" w:rsidR="00A50E81" w:rsidRPr="009C1D66" w:rsidRDefault="000C7083">
            <w:pPr>
              <w:tabs>
                <w:tab w:val="decimal" w:pos="631"/>
              </w:tabs>
              <w:rPr>
                <w:b/>
                <w:color w:val="auto"/>
                <w:sz w:val="20"/>
                <w:szCs w:val="20"/>
              </w:rPr>
            </w:pPr>
            <w:r w:rsidRPr="009C1D66">
              <w:rPr>
                <w:b/>
                <w:color w:val="auto"/>
                <w:sz w:val="20"/>
                <w:szCs w:val="20"/>
              </w:rPr>
              <w:t>2,6</w:t>
            </w:r>
            <w:r w:rsidR="007F40E6">
              <w:rPr>
                <w:b/>
                <w:color w:val="auto"/>
                <w:sz w:val="20"/>
                <w:szCs w:val="20"/>
              </w:rPr>
              <w:t>38.2</w:t>
            </w:r>
          </w:p>
        </w:tc>
      </w:tr>
      <w:tr w:rsidR="00A50E81" w:rsidRPr="003C0F16" w14:paraId="26EDD0E0" w14:textId="77777777" w:rsidTr="009C1D66">
        <w:trPr>
          <w:trHeight w:val="369"/>
        </w:trPr>
        <w:tc>
          <w:tcPr>
            <w:tcW w:w="1644" w:type="pct"/>
            <w:shd w:val="clear" w:color="auto" w:fill="auto"/>
            <w:vAlign w:val="bottom"/>
          </w:tcPr>
          <w:p w14:paraId="74FCCF6F" w14:textId="77777777" w:rsidR="00F51FC4" w:rsidRPr="009C1D66" w:rsidRDefault="00A50E81" w:rsidP="00730385">
            <w:pPr>
              <w:jc w:val="left"/>
              <w:rPr>
                <w:b/>
                <w:color w:val="auto"/>
                <w:sz w:val="20"/>
                <w:szCs w:val="20"/>
                <w:vertAlign w:val="superscript"/>
              </w:rPr>
            </w:pPr>
            <w:r w:rsidRPr="009C1D66">
              <w:rPr>
                <w:b/>
                <w:color w:val="auto"/>
                <w:sz w:val="20"/>
                <w:szCs w:val="20"/>
              </w:rPr>
              <w:t>Net Book Value at 31 March 2014</w:t>
            </w:r>
          </w:p>
        </w:tc>
        <w:tc>
          <w:tcPr>
            <w:tcW w:w="599" w:type="pct"/>
            <w:tcBorders>
              <w:top w:val="single" w:sz="4" w:space="0" w:color="auto"/>
              <w:bottom w:val="single" w:sz="4" w:space="0" w:color="auto"/>
            </w:tcBorders>
            <w:shd w:val="clear" w:color="auto" w:fill="auto"/>
            <w:vAlign w:val="bottom"/>
          </w:tcPr>
          <w:p w14:paraId="21AEBF5A" w14:textId="248CA64F" w:rsidR="009E5FB1" w:rsidRPr="009C1D66" w:rsidRDefault="00156D8C">
            <w:pPr>
              <w:tabs>
                <w:tab w:val="decimal" w:pos="602"/>
              </w:tabs>
              <w:rPr>
                <w:b/>
                <w:color w:val="auto"/>
                <w:sz w:val="20"/>
                <w:szCs w:val="20"/>
              </w:rPr>
            </w:pPr>
            <w:r w:rsidRPr="009C1D66">
              <w:rPr>
                <w:b/>
                <w:color w:val="auto"/>
                <w:sz w:val="20"/>
                <w:szCs w:val="20"/>
              </w:rPr>
              <w:t>1,970.</w:t>
            </w:r>
            <w:r w:rsidR="009E5FB1">
              <w:rPr>
                <w:b/>
                <w:color w:val="auto"/>
                <w:sz w:val="20"/>
                <w:szCs w:val="20"/>
              </w:rPr>
              <w:t>8</w:t>
            </w:r>
          </w:p>
        </w:tc>
        <w:tc>
          <w:tcPr>
            <w:tcW w:w="664" w:type="pct"/>
            <w:tcBorders>
              <w:top w:val="single" w:sz="4" w:space="0" w:color="auto"/>
              <w:bottom w:val="single" w:sz="4" w:space="0" w:color="auto"/>
            </w:tcBorders>
            <w:vAlign w:val="bottom"/>
          </w:tcPr>
          <w:p w14:paraId="47EF9F9C" w14:textId="42D4E01E" w:rsidR="00F51FC4" w:rsidRPr="009C1D66" w:rsidRDefault="000C7083" w:rsidP="00730385">
            <w:pPr>
              <w:tabs>
                <w:tab w:val="decimal" w:pos="743"/>
              </w:tabs>
              <w:rPr>
                <w:b/>
                <w:color w:val="auto"/>
                <w:sz w:val="20"/>
                <w:szCs w:val="20"/>
              </w:rPr>
            </w:pPr>
            <w:r w:rsidRPr="009C1D66">
              <w:rPr>
                <w:b/>
                <w:color w:val="auto"/>
                <w:sz w:val="20"/>
                <w:szCs w:val="20"/>
              </w:rPr>
              <w:t>33.0</w:t>
            </w:r>
          </w:p>
        </w:tc>
        <w:tc>
          <w:tcPr>
            <w:tcW w:w="730" w:type="pct"/>
            <w:tcBorders>
              <w:top w:val="single" w:sz="4" w:space="0" w:color="auto"/>
              <w:bottom w:val="single" w:sz="4" w:space="0" w:color="auto"/>
            </w:tcBorders>
            <w:vAlign w:val="bottom"/>
          </w:tcPr>
          <w:p w14:paraId="4ECAFB30" w14:textId="7BA6BA4F" w:rsidR="00F51FC4" w:rsidRPr="009C1D66" w:rsidRDefault="000C7083" w:rsidP="00730385">
            <w:pPr>
              <w:tabs>
                <w:tab w:val="decimal" w:pos="742"/>
              </w:tabs>
              <w:rPr>
                <w:b/>
                <w:color w:val="auto"/>
                <w:sz w:val="20"/>
                <w:szCs w:val="20"/>
              </w:rPr>
            </w:pPr>
            <w:r w:rsidRPr="009C1D66">
              <w:rPr>
                <w:b/>
                <w:color w:val="auto"/>
                <w:sz w:val="20"/>
                <w:szCs w:val="20"/>
              </w:rPr>
              <w:t>607.3</w:t>
            </w:r>
          </w:p>
        </w:tc>
        <w:tc>
          <w:tcPr>
            <w:tcW w:w="716" w:type="pct"/>
            <w:tcBorders>
              <w:top w:val="single" w:sz="4" w:space="0" w:color="auto"/>
              <w:bottom w:val="single" w:sz="4" w:space="0" w:color="auto"/>
            </w:tcBorders>
            <w:shd w:val="clear" w:color="auto" w:fill="auto"/>
            <w:vAlign w:val="bottom"/>
          </w:tcPr>
          <w:p w14:paraId="5C134045" w14:textId="4646599E" w:rsidR="00F51FC4" w:rsidRPr="009C1D66" w:rsidRDefault="000C7083" w:rsidP="00730385">
            <w:pPr>
              <w:tabs>
                <w:tab w:val="decimal" w:pos="742"/>
              </w:tabs>
              <w:rPr>
                <w:b/>
                <w:color w:val="auto"/>
                <w:sz w:val="20"/>
                <w:szCs w:val="20"/>
              </w:rPr>
            </w:pPr>
            <w:r w:rsidRPr="009C1D66">
              <w:rPr>
                <w:b/>
                <w:color w:val="auto"/>
                <w:sz w:val="20"/>
                <w:szCs w:val="20"/>
              </w:rPr>
              <w:t>28.9</w:t>
            </w:r>
          </w:p>
        </w:tc>
        <w:tc>
          <w:tcPr>
            <w:tcW w:w="647" w:type="pct"/>
            <w:tcBorders>
              <w:top w:val="single" w:sz="4" w:space="0" w:color="auto"/>
              <w:bottom w:val="single" w:sz="4" w:space="0" w:color="auto"/>
            </w:tcBorders>
            <w:shd w:val="clear" w:color="auto" w:fill="auto"/>
            <w:vAlign w:val="bottom"/>
          </w:tcPr>
          <w:p w14:paraId="69957D1E" w14:textId="4F5D40A3" w:rsidR="00F51FC4" w:rsidRPr="009C1D66" w:rsidRDefault="000C7083">
            <w:pPr>
              <w:tabs>
                <w:tab w:val="decimal" w:pos="631"/>
              </w:tabs>
              <w:rPr>
                <w:b/>
                <w:color w:val="auto"/>
                <w:sz w:val="20"/>
                <w:szCs w:val="20"/>
              </w:rPr>
            </w:pPr>
            <w:r w:rsidRPr="009C1D66">
              <w:rPr>
                <w:b/>
                <w:color w:val="auto"/>
                <w:sz w:val="20"/>
                <w:szCs w:val="20"/>
              </w:rPr>
              <w:t>2,6</w:t>
            </w:r>
            <w:r w:rsidR="00CC0395">
              <w:rPr>
                <w:b/>
                <w:color w:val="auto"/>
                <w:sz w:val="20"/>
                <w:szCs w:val="20"/>
              </w:rPr>
              <w:t>40</w:t>
            </w:r>
            <w:r w:rsidRPr="009C1D66">
              <w:rPr>
                <w:b/>
                <w:color w:val="auto"/>
                <w:sz w:val="20"/>
                <w:szCs w:val="20"/>
              </w:rPr>
              <w:t>.</w:t>
            </w:r>
            <w:r w:rsidR="00CC0395">
              <w:rPr>
                <w:b/>
                <w:color w:val="auto"/>
                <w:sz w:val="20"/>
                <w:szCs w:val="20"/>
              </w:rPr>
              <w:t>0</w:t>
            </w:r>
          </w:p>
        </w:tc>
      </w:tr>
    </w:tbl>
    <w:p w14:paraId="0C72E736" w14:textId="4A16182B" w:rsidR="00876D2C" w:rsidRPr="003C0F16" w:rsidRDefault="00876D2C" w:rsidP="00876D2C">
      <w:pPr>
        <w:rPr>
          <w:highlight w:val="yellow"/>
          <w:lang w:eastAsia="en-GB"/>
        </w:rPr>
      </w:pPr>
    </w:p>
    <w:p w14:paraId="2F1CC12F" w14:textId="77777777" w:rsidR="00730385" w:rsidRDefault="00730385" w:rsidP="00876D2C">
      <w:pPr>
        <w:rPr>
          <w:lang w:eastAsia="en-GB"/>
        </w:rPr>
      </w:pPr>
      <w:r w:rsidRPr="009C1D66">
        <w:rPr>
          <w:lang w:eastAsia="en-GB"/>
        </w:rPr>
        <w:t>Within the land and buildings is included the waste treatment facilities. In addition to the land and the fabric of the building, the value includes an element for equipment which is considered to be integral to the overall facility rather than the separate items of loose equipment.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35"/>
        <w:gridCol w:w="1251"/>
        <w:gridCol w:w="1388"/>
        <w:gridCol w:w="1526"/>
        <w:gridCol w:w="1496"/>
        <w:gridCol w:w="1354"/>
      </w:tblGrid>
      <w:tr w:rsidR="00730385" w:rsidRPr="003361F6" w14:paraId="07C88D67" w14:textId="77777777" w:rsidTr="00A06955">
        <w:trPr>
          <w:trHeight w:val="369"/>
          <w:tblHeader/>
        </w:trPr>
        <w:tc>
          <w:tcPr>
            <w:tcW w:w="1643" w:type="pct"/>
            <w:shd w:val="clear" w:color="auto" w:fill="D0CECE"/>
            <w:vAlign w:val="bottom"/>
          </w:tcPr>
          <w:p w14:paraId="7F57B7A6" w14:textId="77777777" w:rsidR="00730385" w:rsidRPr="003361F6" w:rsidRDefault="00730385" w:rsidP="00730385">
            <w:pPr>
              <w:rPr>
                <w:b/>
                <w:color w:val="auto"/>
                <w:sz w:val="20"/>
                <w:szCs w:val="20"/>
              </w:rPr>
            </w:pPr>
          </w:p>
        </w:tc>
        <w:tc>
          <w:tcPr>
            <w:tcW w:w="598" w:type="pct"/>
            <w:shd w:val="clear" w:color="auto" w:fill="D0CECE"/>
            <w:vAlign w:val="bottom"/>
          </w:tcPr>
          <w:p w14:paraId="632D555C" w14:textId="77777777" w:rsidR="00730385" w:rsidRPr="003361F6" w:rsidRDefault="00730385" w:rsidP="00730385">
            <w:pPr>
              <w:jc w:val="center"/>
              <w:rPr>
                <w:b/>
                <w:color w:val="auto"/>
                <w:sz w:val="20"/>
                <w:szCs w:val="20"/>
              </w:rPr>
            </w:pPr>
            <w:r>
              <w:rPr>
                <w:b/>
                <w:color w:val="auto"/>
                <w:sz w:val="20"/>
                <w:szCs w:val="20"/>
              </w:rPr>
              <w:t>Land and Buildings</w:t>
            </w:r>
          </w:p>
        </w:tc>
        <w:tc>
          <w:tcPr>
            <w:tcW w:w="664" w:type="pct"/>
            <w:shd w:val="clear" w:color="auto" w:fill="D0CECE"/>
            <w:vAlign w:val="bottom"/>
          </w:tcPr>
          <w:p w14:paraId="5D30A694" w14:textId="77777777" w:rsidR="00730385" w:rsidRPr="003361F6" w:rsidRDefault="00730385" w:rsidP="00730385">
            <w:pPr>
              <w:jc w:val="center"/>
              <w:rPr>
                <w:b/>
                <w:color w:val="auto"/>
                <w:sz w:val="20"/>
                <w:szCs w:val="20"/>
                <w:vertAlign w:val="superscript"/>
              </w:rPr>
            </w:pPr>
            <w:r w:rsidRPr="00A50E81">
              <w:rPr>
                <w:b/>
                <w:color w:val="auto"/>
                <w:sz w:val="20"/>
                <w:szCs w:val="20"/>
              </w:rPr>
              <w:t>Vehicles, Plant, Furniture &amp; Equipment</w:t>
            </w:r>
          </w:p>
        </w:tc>
        <w:tc>
          <w:tcPr>
            <w:tcW w:w="730" w:type="pct"/>
            <w:shd w:val="clear" w:color="auto" w:fill="D0CECE"/>
            <w:vAlign w:val="bottom"/>
          </w:tcPr>
          <w:p w14:paraId="2E7354C8" w14:textId="77777777" w:rsidR="00730385" w:rsidRPr="003361F6" w:rsidRDefault="00730385" w:rsidP="00730385">
            <w:pPr>
              <w:jc w:val="center"/>
              <w:rPr>
                <w:b/>
                <w:color w:val="auto"/>
                <w:sz w:val="20"/>
                <w:szCs w:val="20"/>
              </w:rPr>
            </w:pPr>
            <w:r w:rsidRPr="00A50E81">
              <w:rPr>
                <w:b/>
                <w:color w:val="auto"/>
                <w:sz w:val="20"/>
                <w:szCs w:val="20"/>
              </w:rPr>
              <w:t>Infrastructure Assets</w:t>
            </w:r>
          </w:p>
        </w:tc>
        <w:tc>
          <w:tcPr>
            <w:tcW w:w="716" w:type="pct"/>
            <w:shd w:val="clear" w:color="auto" w:fill="D0CECE"/>
            <w:vAlign w:val="bottom"/>
          </w:tcPr>
          <w:p w14:paraId="19884E68" w14:textId="77777777" w:rsidR="00730385" w:rsidRPr="003361F6" w:rsidRDefault="00730385" w:rsidP="00730385">
            <w:pPr>
              <w:jc w:val="center"/>
              <w:rPr>
                <w:b/>
                <w:color w:val="auto"/>
                <w:sz w:val="20"/>
                <w:szCs w:val="20"/>
              </w:rPr>
            </w:pPr>
            <w:r w:rsidRPr="00A50E81">
              <w:rPr>
                <w:b/>
                <w:color w:val="auto"/>
                <w:sz w:val="20"/>
                <w:szCs w:val="20"/>
              </w:rPr>
              <w:t>Assets Under Construction</w:t>
            </w:r>
          </w:p>
        </w:tc>
        <w:tc>
          <w:tcPr>
            <w:tcW w:w="648" w:type="pct"/>
            <w:shd w:val="clear" w:color="auto" w:fill="D0CECE"/>
            <w:vAlign w:val="bottom"/>
          </w:tcPr>
          <w:p w14:paraId="1D34A5C7" w14:textId="77777777" w:rsidR="00730385" w:rsidRPr="003361F6" w:rsidRDefault="00730385" w:rsidP="00730385">
            <w:pPr>
              <w:jc w:val="center"/>
              <w:rPr>
                <w:b/>
                <w:color w:val="auto"/>
                <w:sz w:val="20"/>
                <w:szCs w:val="20"/>
              </w:rPr>
            </w:pPr>
            <w:r w:rsidRPr="00A50E81">
              <w:rPr>
                <w:b/>
                <w:color w:val="auto"/>
                <w:sz w:val="20"/>
                <w:szCs w:val="20"/>
              </w:rPr>
              <w:t>Total Property, Plant &amp; Equipment</w:t>
            </w:r>
          </w:p>
        </w:tc>
      </w:tr>
      <w:tr w:rsidR="00730385" w:rsidRPr="003361F6" w14:paraId="5C9F55D2" w14:textId="77777777" w:rsidTr="00A06955">
        <w:trPr>
          <w:trHeight w:val="369"/>
          <w:tblHeader/>
        </w:trPr>
        <w:tc>
          <w:tcPr>
            <w:tcW w:w="1643" w:type="pct"/>
            <w:shd w:val="clear" w:color="auto" w:fill="D0CECE"/>
            <w:vAlign w:val="bottom"/>
          </w:tcPr>
          <w:p w14:paraId="33E54E2F" w14:textId="77777777" w:rsidR="00730385" w:rsidRPr="003361F6" w:rsidRDefault="00730385" w:rsidP="00730385">
            <w:pPr>
              <w:jc w:val="left"/>
              <w:rPr>
                <w:color w:val="auto"/>
                <w:sz w:val="20"/>
                <w:szCs w:val="20"/>
              </w:rPr>
            </w:pPr>
          </w:p>
        </w:tc>
        <w:tc>
          <w:tcPr>
            <w:tcW w:w="598" w:type="pct"/>
            <w:shd w:val="clear" w:color="auto" w:fill="D0CECE"/>
            <w:vAlign w:val="bottom"/>
          </w:tcPr>
          <w:p w14:paraId="7EF52987" w14:textId="77777777" w:rsidR="00730385" w:rsidRPr="003361F6" w:rsidRDefault="00730385" w:rsidP="00730385">
            <w:pPr>
              <w:jc w:val="center"/>
              <w:rPr>
                <w:b/>
                <w:color w:val="auto"/>
                <w:sz w:val="20"/>
                <w:szCs w:val="20"/>
              </w:rPr>
            </w:pPr>
            <w:r>
              <w:rPr>
                <w:b/>
                <w:color w:val="auto"/>
                <w:sz w:val="20"/>
                <w:szCs w:val="20"/>
              </w:rPr>
              <w:t>£m</w:t>
            </w:r>
          </w:p>
        </w:tc>
        <w:tc>
          <w:tcPr>
            <w:tcW w:w="664" w:type="pct"/>
            <w:shd w:val="clear" w:color="auto" w:fill="D0CECE"/>
            <w:vAlign w:val="bottom"/>
          </w:tcPr>
          <w:p w14:paraId="1E4712B0" w14:textId="77777777" w:rsidR="00730385" w:rsidRPr="003361F6" w:rsidRDefault="00730385" w:rsidP="00730385">
            <w:pPr>
              <w:jc w:val="center"/>
              <w:rPr>
                <w:b/>
                <w:color w:val="auto"/>
                <w:sz w:val="20"/>
                <w:szCs w:val="20"/>
              </w:rPr>
            </w:pPr>
            <w:r>
              <w:rPr>
                <w:b/>
                <w:color w:val="auto"/>
                <w:sz w:val="20"/>
                <w:szCs w:val="20"/>
              </w:rPr>
              <w:t>£m</w:t>
            </w:r>
          </w:p>
        </w:tc>
        <w:tc>
          <w:tcPr>
            <w:tcW w:w="730" w:type="pct"/>
            <w:shd w:val="clear" w:color="auto" w:fill="D0CECE"/>
            <w:vAlign w:val="bottom"/>
          </w:tcPr>
          <w:p w14:paraId="27A49A1E" w14:textId="77777777" w:rsidR="00730385" w:rsidRPr="003361F6" w:rsidRDefault="00730385" w:rsidP="00730385">
            <w:pPr>
              <w:jc w:val="center"/>
              <w:rPr>
                <w:b/>
                <w:color w:val="auto"/>
                <w:sz w:val="20"/>
                <w:szCs w:val="20"/>
              </w:rPr>
            </w:pPr>
            <w:r>
              <w:rPr>
                <w:b/>
                <w:color w:val="auto"/>
                <w:sz w:val="20"/>
                <w:szCs w:val="20"/>
              </w:rPr>
              <w:t>£m</w:t>
            </w:r>
          </w:p>
        </w:tc>
        <w:tc>
          <w:tcPr>
            <w:tcW w:w="716" w:type="pct"/>
            <w:shd w:val="clear" w:color="auto" w:fill="D0CECE"/>
            <w:vAlign w:val="bottom"/>
          </w:tcPr>
          <w:p w14:paraId="70B942DE" w14:textId="77777777" w:rsidR="00730385" w:rsidRPr="003361F6" w:rsidRDefault="00730385" w:rsidP="00730385">
            <w:pPr>
              <w:jc w:val="center"/>
              <w:rPr>
                <w:b/>
                <w:color w:val="auto"/>
                <w:sz w:val="20"/>
                <w:szCs w:val="20"/>
              </w:rPr>
            </w:pPr>
            <w:r>
              <w:rPr>
                <w:b/>
                <w:color w:val="auto"/>
                <w:sz w:val="20"/>
                <w:szCs w:val="20"/>
              </w:rPr>
              <w:t>£m</w:t>
            </w:r>
          </w:p>
        </w:tc>
        <w:tc>
          <w:tcPr>
            <w:tcW w:w="648" w:type="pct"/>
            <w:shd w:val="clear" w:color="auto" w:fill="D0CECE"/>
            <w:vAlign w:val="bottom"/>
          </w:tcPr>
          <w:p w14:paraId="0E4733EA" w14:textId="77777777" w:rsidR="00730385" w:rsidRPr="003361F6" w:rsidRDefault="00730385" w:rsidP="00730385">
            <w:pPr>
              <w:jc w:val="center"/>
              <w:rPr>
                <w:b/>
                <w:color w:val="auto"/>
                <w:sz w:val="20"/>
                <w:szCs w:val="20"/>
              </w:rPr>
            </w:pPr>
            <w:r>
              <w:rPr>
                <w:b/>
                <w:color w:val="auto"/>
                <w:sz w:val="20"/>
                <w:szCs w:val="20"/>
              </w:rPr>
              <w:t>£m</w:t>
            </w:r>
          </w:p>
        </w:tc>
      </w:tr>
      <w:tr w:rsidR="00730385" w:rsidRPr="003361F6" w14:paraId="2BBFD9F8" w14:textId="77777777" w:rsidTr="00730385">
        <w:trPr>
          <w:trHeight w:val="369"/>
        </w:trPr>
        <w:tc>
          <w:tcPr>
            <w:tcW w:w="1643" w:type="pct"/>
            <w:shd w:val="clear" w:color="auto" w:fill="auto"/>
            <w:vAlign w:val="bottom"/>
          </w:tcPr>
          <w:p w14:paraId="67AC53DF" w14:textId="77777777" w:rsidR="00730385" w:rsidRPr="00A50E81" w:rsidRDefault="00730385" w:rsidP="00730385">
            <w:pPr>
              <w:jc w:val="left"/>
              <w:rPr>
                <w:color w:val="auto"/>
                <w:sz w:val="20"/>
                <w:szCs w:val="20"/>
                <w:u w:val="single"/>
                <w:vertAlign w:val="superscript"/>
              </w:rPr>
            </w:pPr>
            <w:r w:rsidRPr="00A50E81">
              <w:rPr>
                <w:color w:val="auto"/>
                <w:sz w:val="20"/>
                <w:szCs w:val="20"/>
                <w:u w:val="single"/>
              </w:rPr>
              <w:t>Cost or Valuation</w:t>
            </w:r>
          </w:p>
        </w:tc>
        <w:tc>
          <w:tcPr>
            <w:tcW w:w="598" w:type="pct"/>
            <w:shd w:val="clear" w:color="auto" w:fill="auto"/>
            <w:vAlign w:val="bottom"/>
          </w:tcPr>
          <w:p w14:paraId="591A7225" w14:textId="77777777" w:rsidR="00730385" w:rsidRPr="003361F6" w:rsidRDefault="00730385" w:rsidP="00730385">
            <w:pPr>
              <w:tabs>
                <w:tab w:val="decimal" w:pos="744"/>
              </w:tabs>
              <w:rPr>
                <w:color w:val="auto"/>
                <w:sz w:val="20"/>
                <w:szCs w:val="20"/>
              </w:rPr>
            </w:pPr>
          </w:p>
        </w:tc>
        <w:tc>
          <w:tcPr>
            <w:tcW w:w="664" w:type="pct"/>
            <w:vAlign w:val="bottom"/>
          </w:tcPr>
          <w:p w14:paraId="6699D100" w14:textId="77777777" w:rsidR="00730385" w:rsidRPr="003361F6" w:rsidRDefault="00730385" w:rsidP="00730385">
            <w:pPr>
              <w:tabs>
                <w:tab w:val="decimal" w:pos="743"/>
              </w:tabs>
              <w:rPr>
                <w:color w:val="auto"/>
                <w:sz w:val="20"/>
                <w:szCs w:val="20"/>
              </w:rPr>
            </w:pPr>
          </w:p>
        </w:tc>
        <w:tc>
          <w:tcPr>
            <w:tcW w:w="730" w:type="pct"/>
            <w:vAlign w:val="bottom"/>
          </w:tcPr>
          <w:p w14:paraId="35F3EBDB" w14:textId="77777777" w:rsidR="00730385" w:rsidRPr="003361F6" w:rsidRDefault="00730385" w:rsidP="00730385">
            <w:pPr>
              <w:tabs>
                <w:tab w:val="decimal" w:pos="742"/>
              </w:tabs>
              <w:rPr>
                <w:color w:val="auto"/>
                <w:sz w:val="20"/>
                <w:szCs w:val="20"/>
              </w:rPr>
            </w:pPr>
          </w:p>
        </w:tc>
        <w:tc>
          <w:tcPr>
            <w:tcW w:w="716" w:type="pct"/>
            <w:shd w:val="clear" w:color="auto" w:fill="auto"/>
            <w:vAlign w:val="bottom"/>
          </w:tcPr>
          <w:p w14:paraId="69ABF7E3" w14:textId="77777777" w:rsidR="00730385" w:rsidRPr="003361F6" w:rsidRDefault="00730385" w:rsidP="00730385">
            <w:pPr>
              <w:tabs>
                <w:tab w:val="decimal" w:pos="742"/>
              </w:tabs>
              <w:rPr>
                <w:color w:val="auto"/>
                <w:sz w:val="20"/>
                <w:szCs w:val="20"/>
              </w:rPr>
            </w:pPr>
          </w:p>
        </w:tc>
        <w:tc>
          <w:tcPr>
            <w:tcW w:w="648" w:type="pct"/>
            <w:shd w:val="clear" w:color="auto" w:fill="auto"/>
            <w:vAlign w:val="bottom"/>
          </w:tcPr>
          <w:p w14:paraId="0551BCAD" w14:textId="77777777" w:rsidR="00730385" w:rsidRPr="003361F6" w:rsidRDefault="00730385" w:rsidP="005259C7">
            <w:pPr>
              <w:tabs>
                <w:tab w:val="decimal" w:pos="773"/>
              </w:tabs>
              <w:rPr>
                <w:color w:val="auto"/>
                <w:sz w:val="20"/>
                <w:szCs w:val="20"/>
              </w:rPr>
            </w:pPr>
          </w:p>
        </w:tc>
      </w:tr>
      <w:tr w:rsidR="00730385" w:rsidRPr="00A50E81" w14:paraId="491BAF0E" w14:textId="77777777" w:rsidTr="00730385">
        <w:trPr>
          <w:trHeight w:val="369"/>
        </w:trPr>
        <w:tc>
          <w:tcPr>
            <w:tcW w:w="1643" w:type="pct"/>
            <w:shd w:val="clear" w:color="auto" w:fill="auto"/>
            <w:vAlign w:val="bottom"/>
          </w:tcPr>
          <w:p w14:paraId="7A19BD81" w14:textId="77777777" w:rsidR="00730385" w:rsidRPr="00A50E81" w:rsidRDefault="00730385" w:rsidP="00730385">
            <w:pPr>
              <w:jc w:val="left"/>
              <w:rPr>
                <w:b/>
                <w:color w:val="auto"/>
                <w:sz w:val="20"/>
                <w:szCs w:val="20"/>
              </w:rPr>
            </w:pPr>
            <w:r w:rsidRPr="00A50E81">
              <w:rPr>
                <w:b/>
                <w:color w:val="auto"/>
                <w:sz w:val="20"/>
                <w:szCs w:val="20"/>
              </w:rPr>
              <w:t>At 1 April 201</w:t>
            </w:r>
            <w:r>
              <w:rPr>
                <w:b/>
                <w:color w:val="auto"/>
                <w:sz w:val="20"/>
                <w:szCs w:val="20"/>
              </w:rPr>
              <w:t>3</w:t>
            </w:r>
          </w:p>
        </w:tc>
        <w:tc>
          <w:tcPr>
            <w:tcW w:w="598" w:type="pct"/>
            <w:shd w:val="clear" w:color="auto" w:fill="auto"/>
            <w:vAlign w:val="bottom"/>
          </w:tcPr>
          <w:p w14:paraId="488809D4" w14:textId="77777777" w:rsidR="00730385" w:rsidRPr="00730385" w:rsidRDefault="00730385" w:rsidP="00730385">
            <w:pPr>
              <w:tabs>
                <w:tab w:val="decimal" w:pos="744"/>
              </w:tabs>
              <w:rPr>
                <w:color w:val="auto"/>
                <w:sz w:val="20"/>
                <w:szCs w:val="20"/>
              </w:rPr>
            </w:pPr>
            <w:r w:rsidRPr="00730385">
              <w:rPr>
                <w:color w:val="auto"/>
                <w:sz w:val="20"/>
                <w:szCs w:val="20"/>
              </w:rPr>
              <w:t>2,109.4</w:t>
            </w:r>
          </w:p>
        </w:tc>
        <w:tc>
          <w:tcPr>
            <w:tcW w:w="664" w:type="pct"/>
            <w:vAlign w:val="bottom"/>
          </w:tcPr>
          <w:p w14:paraId="25EDEF8C" w14:textId="77777777" w:rsidR="00730385" w:rsidRPr="00730385" w:rsidRDefault="00730385" w:rsidP="00730385">
            <w:pPr>
              <w:tabs>
                <w:tab w:val="decimal" w:pos="743"/>
              </w:tabs>
              <w:rPr>
                <w:color w:val="auto"/>
                <w:sz w:val="20"/>
                <w:szCs w:val="20"/>
              </w:rPr>
            </w:pPr>
            <w:r w:rsidRPr="00730385">
              <w:rPr>
                <w:color w:val="auto"/>
                <w:sz w:val="20"/>
                <w:szCs w:val="20"/>
              </w:rPr>
              <w:t>71.3</w:t>
            </w:r>
          </w:p>
        </w:tc>
        <w:tc>
          <w:tcPr>
            <w:tcW w:w="730" w:type="pct"/>
            <w:vAlign w:val="bottom"/>
          </w:tcPr>
          <w:p w14:paraId="340B860F" w14:textId="77777777" w:rsidR="00730385" w:rsidRPr="00730385" w:rsidRDefault="00730385" w:rsidP="00730385">
            <w:pPr>
              <w:tabs>
                <w:tab w:val="decimal" w:pos="742"/>
              </w:tabs>
              <w:rPr>
                <w:color w:val="auto"/>
                <w:sz w:val="20"/>
                <w:szCs w:val="20"/>
              </w:rPr>
            </w:pPr>
            <w:r>
              <w:rPr>
                <w:color w:val="auto"/>
                <w:sz w:val="20"/>
                <w:szCs w:val="20"/>
              </w:rPr>
              <w:t>623.1</w:t>
            </w:r>
          </w:p>
        </w:tc>
        <w:tc>
          <w:tcPr>
            <w:tcW w:w="716" w:type="pct"/>
            <w:shd w:val="clear" w:color="auto" w:fill="auto"/>
            <w:vAlign w:val="bottom"/>
          </w:tcPr>
          <w:p w14:paraId="3922A9C4" w14:textId="77777777" w:rsidR="00730385" w:rsidRPr="00730385" w:rsidRDefault="00730385" w:rsidP="00730385">
            <w:pPr>
              <w:tabs>
                <w:tab w:val="decimal" w:pos="742"/>
              </w:tabs>
              <w:rPr>
                <w:color w:val="auto"/>
                <w:sz w:val="20"/>
                <w:szCs w:val="20"/>
              </w:rPr>
            </w:pPr>
            <w:r>
              <w:rPr>
                <w:color w:val="auto"/>
                <w:sz w:val="20"/>
                <w:szCs w:val="20"/>
              </w:rPr>
              <w:t>0.7</w:t>
            </w:r>
          </w:p>
        </w:tc>
        <w:tc>
          <w:tcPr>
            <w:tcW w:w="648" w:type="pct"/>
            <w:shd w:val="clear" w:color="auto" w:fill="auto"/>
            <w:vAlign w:val="bottom"/>
          </w:tcPr>
          <w:p w14:paraId="01D7A683" w14:textId="77777777" w:rsidR="00730385" w:rsidRPr="00730385" w:rsidRDefault="005259C7" w:rsidP="005259C7">
            <w:pPr>
              <w:tabs>
                <w:tab w:val="decimal" w:pos="773"/>
              </w:tabs>
              <w:rPr>
                <w:color w:val="auto"/>
                <w:sz w:val="20"/>
                <w:szCs w:val="20"/>
              </w:rPr>
            </w:pPr>
            <w:r>
              <w:rPr>
                <w:color w:val="auto"/>
                <w:sz w:val="20"/>
                <w:szCs w:val="20"/>
              </w:rPr>
              <w:t>2,804.5</w:t>
            </w:r>
          </w:p>
        </w:tc>
      </w:tr>
      <w:tr w:rsidR="00730385" w:rsidRPr="003361F6" w14:paraId="5E751CC6" w14:textId="77777777" w:rsidTr="00730385">
        <w:trPr>
          <w:trHeight w:val="369"/>
        </w:trPr>
        <w:tc>
          <w:tcPr>
            <w:tcW w:w="1643" w:type="pct"/>
            <w:shd w:val="clear" w:color="auto" w:fill="auto"/>
            <w:vAlign w:val="bottom"/>
          </w:tcPr>
          <w:p w14:paraId="46178028" w14:textId="77777777" w:rsidR="00730385" w:rsidRPr="003361F6" w:rsidRDefault="00730385" w:rsidP="00730385">
            <w:pPr>
              <w:jc w:val="left"/>
              <w:rPr>
                <w:color w:val="auto"/>
                <w:sz w:val="20"/>
                <w:szCs w:val="20"/>
              </w:rPr>
            </w:pPr>
            <w:r>
              <w:rPr>
                <w:color w:val="auto"/>
                <w:sz w:val="20"/>
                <w:szCs w:val="20"/>
              </w:rPr>
              <w:t>Additions</w:t>
            </w:r>
          </w:p>
        </w:tc>
        <w:tc>
          <w:tcPr>
            <w:tcW w:w="598" w:type="pct"/>
            <w:shd w:val="clear" w:color="auto" w:fill="auto"/>
            <w:vAlign w:val="bottom"/>
          </w:tcPr>
          <w:p w14:paraId="0E9C67BC" w14:textId="77777777" w:rsidR="00730385" w:rsidRDefault="00730385" w:rsidP="00730385">
            <w:pPr>
              <w:tabs>
                <w:tab w:val="decimal" w:pos="744"/>
              </w:tabs>
              <w:rPr>
                <w:color w:val="auto"/>
                <w:sz w:val="20"/>
                <w:szCs w:val="20"/>
              </w:rPr>
            </w:pPr>
            <w:r>
              <w:rPr>
                <w:color w:val="auto"/>
                <w:sz w:val="20"/>
                <w:szCs w:val="20"/>
              </w:rPr>
              <w:t>37.6</w:t>
            </w:r>
          </w:p>
        </w:tc>
        <w:tc>
          <w:tcPr>
            <w:tcW w:w="664" w:type="pct"/>
            <w:vAlign w:val="bottom"/>
          </w:tcPr>
          <w:p w14:paraId="21444BAD" w14:textId="77777777" w:rsidR="00730385" w:rsidRDefault="00730385" w:rsidP="00730385">
            <w:pPr>
              <w:tabs>
                <w:tab w:val="decimal" w:pos="743"/>
              </w:tabs>
              <w:rPr>
                <w:color w:val="auto"/>
                <w:sz w:val="20"/>
                <w:szCs w:val="20"/>
              </w:rPr>
            </w:pPr>
            <w:r>
              <w:rPr>
                <w:color w:val="auto"/>
                <w:sz w:val="20"/>
                <w:szCs w:val="20"/>
              </w:rPr>
              <w:t>5.9</w:t>
            </w:r>
          </w:p>
        </w:tc>
        <w:tc>
          <w:tcPr>
            <w:tcW w:w="730" w:type="pct"/>
            <w:vAlign w:val="bottom"/>
          </w:tcPr>
          <w:p w14:paraId="5417DE0C" w14:textId="77777777" w:rsidR="00730385" w:rsidRDefault="00730385" w:rsidP="00730385">
            <w:pPr>
              <w:tabs>
                <w:tab w:val="decimal" w:pos="742"/>
              </w:tabs>
              <w:rPr>
                <w:color w:val="auto"/>
                <w:sz w:val="20"/>
                <w:szCs w:val="20"/>
              </w:rPr>
            </w:pPr>
            <w:r>
              <w:rPr>
                <w:color w:val="auto"/>
                <w:sz w:val="20"/>
                <w:szCs w:val="20"/>
              </w:rPr>
              <w:t>64.7</w:t>
            </w:r>
          </w:p>
        </w:tc>
        <w:tc>
          <w:tcPr>
            <w:tcW w:w="716" w:type="pct"/>
            <w:shd w:val="clear" w:color="auto" w:fill="auto"/>
            <w:vAlign w:val="bottom"/>
          </w:tcPr>
          <w:p w14:paraId="32AE6706" w14:textId="77777777" w:rsidR="00730385" w:rsidRDefault="00730385" w:rsidP="00730385">
            <w:pPr>
              <w:tabs>
                <w:tab w:val="decimal" w:pos="742"/>
              </w:tabs>
              <w:rPr>
                <w:color w:val="auto"/>
                <w:sz w:val="20"/>
                <w:szCs w:val="20"/>
              </w:rPr>
            </w:pPr>
            <w:r>
              <w:rPr>
                <w:color w:val="auto"/>
                <w:sz w:val="20"/>
                <w:szCs w:val="20"/>
              </w:rPr>
              <w:t>28.2</w:t>
            </w:r>
          </w:p>
        </w:tc>
        <w:tc>
          <w:tcPr>
            <w:tcW w:w="648" w:type="pct"/>
            <w:shd w:val="clear" w:color="auto" w:fill="auto"/>
            <w:vAlign w:val="bottom"/>
          </w:tcPr>
          <w:p w14:paraId="67B323E6" w14:textId="77777777" w:rsidR="00730385" w:rsidRDefault="005259C7" w:rsidP="005259C7">
            <w:pPr>
              <w:tabs>
                <w:tab w:val="decimal" w:pos="773"/>
              </w:tabs>
              <w:rPr>
                <w:color w:val="auto"/>
                <w:sz w:val="20"/>
                <w:szCs w:val="20"/>
              </w:rPr>
            </w:pPr>
            <w:r>
              <w:rPr>
                <w:color w:val="auto"/>
                <w:sz w:val="20"/>
                <w:szCs w:val="20"/>
              </w:rPr>
              <w:t>136.4</w:t>
            </w:r>
          </w:p>
        </w:tc>
      </w:tr>
      <w:tr w:rsidR="00730385" w:rsidRPr="003361F6" w14:paraId="5748C3C6" w14:textId="77777777" w:rsidTr="00730385">
        <w:trPr>
          <w:trHeight w:val="369"/>
        </w:trPr>
        <w:tc>
          <w:tcPr>
            <w:tcW w:w="1643" w:type="pct"/>
            <w:shd w:val="clear" w:color="auto" w:fill="auto"/>
            <w:vAlign w:val="bottom"/>
          </w:tcPr>
          <w:p w14:paraId="4DDDB930" w14:textId="77777777" w:rsidR="00730385" w:rsidRPr="003361F6" w:rsidRDefault="00730385" w:rsidP="00730385">
            <w:pPr>
              <w:jc w:val="left"/>
              <w:rPr>
                <w:color w:val="auto"/>
                <w:sz w:val="20"/>
                <w:szCs w:val="20"/>
              </w:rPr>
            </w:pPr>
            <w:r w:rsidRPr="00A50E81">
              <w:rPr>
                <w:color w:val="auto"/>
                <w:sz w:val="20"/>
                <w:szCs w:val="20"/>
              </w:rPr>
              <w:t>De-recognition – disposals</w:t>
            </w:r>
          </w:p>
        </w:tc>
        <w:tc>
          <w:tcPr>
            <w:tcW w:w="598" w:type="pct"/>
            <w:shd w:val="clear" w:color="auto" w:fill="auto"/>
            <w:vAlign w:val="bottom"/>
          </w:tcPr>
          <w:p w14:paraId="4E16376F" w14:textId="77777777" w:rsidR="00730385" w:rsidRDefault="00730385" w:rsidP="00730385">
            <w:pPr>
              <w:tabs>
                <w:tab w:val="decimal" w:pos="744"/>
              </w:tabs>
              <w:rPr>
                <w:color w:val="auto"/>
                <w:sz w:val="20"/>
                <w:szCs w:val="20"/>
              </w:rPr>
            </w:pPr>
            <w:r>
              <w:rPr>
                <w:color w:val="auto"/>
                <w:sz w:val="20"/>
                <w:szCs w:val="20"/>
              </w:rPr>
              <w:t>(39.1)</w:t>
            </w:r>
          </w:p>
        </w:tc>
        <w:tc>
          <w:tcPr>
            <w:tcW w:w="664" w:type="pct"/>
            <w:vAlign w:val="bottom"/>
          </w:tcPr>
          <w:p w14:paraId="455984BA" w14:textId="77777777" w:rsidR="00730385" w:rsidRDefault="00730385" w:rsidP="00730385">
            <w:pPr>
              <w:tabs>
                <w:tab w:val="decimal" w:pos="743"/>
              </w:tabs>
              <w:rPr>
                <w:color w:val="auto"/>
                <w:sz w:val="20"/>
                <w:szCs w:val="20"/>
              </w:rPr>
            </w:pPr>
            <w:r>
              <w:rPr>
                <w:color w:val="auto"/>
                <w:sz w:val="20"/>
                <w:szCs w:val="20"/>
              </w:rPr>
              <w:t>-</w:t>
            </w:r>
          </w:p>
        </w:tc>
        <w:tc>
          <w:tcPr>
            <w:tcW w:w="730" w:type="pct"/>
            <w:vAlign w:val="bottom"/>
          </w:tcPr>
          <w:p w14:paraId="1645A086" w14:textId="77777777" w:rsidR="00730385" w:rsidRDefault="00730385" w:rsidP="00730385">
            <w:pPr>
              <w:tabs>
                <w:tab w:val="decimal" w:pos="742"/>
              </w:tabs>
              <w:rPr>
                <w:color w:val="auto"/>
                <w:sz w:val="20"/>
                <w:szCs w:val="20"/>
              </w:rPr>
            </w:pPr>
            <w:r>
              <w:rPr>
                <w:color w:val="auto"/>
                <w:sz w:val="20"/>
                <w:szCs w:val="20"/>
              </w:rPr>
              <w:t>-</w:t>
            </w:r>
          </w:p>
        </w:tc>
        <w:tc>
          <w:tcPr>
            <w:tcW w:w="716" w:type="pct"/>
            <w:shd w:val="clear" w:color="auto" w:fill="auto"/>
            <w:vAlign w:val="bottom"/>
          </w:tcPr>
          <w:p w14:paraId="082BFD10" w14:textId="77777777" w:rsidR="00730385" w:rsidRDefault="00730385" w:rsidP="00730385">
            <w:pPr>
              <w:tabs>
                <w:tab w:val="decimal" w:pos="742"/>
              </w:tabs>
              <w:rPr>
                <w:color w:val="auto"/>
                <w:sz w:val="20"/>
                <w:szCs w:val="20"/>
              </w:rPr>
            </w:pPr>
            <w:r>
              <w:rPr>
                <w:color w:val="auto"/>
                <w:sz w:val="20"/>
                <w:szCs w:val="20"/>
              </w:rPr>
              <w:t>-</w:t>
            </w:r>
          </w:p>
        </w:tc>
        <w:tc>
          <w:tcPr>
            <w:tcW w:w="648" w:type="pct"/>
            <w:shd w:val="clear" w:color="auto" w:fill="auto"/>
            <w:vAlign w:val="bottom"/>
          </w:tcPr>
          <w:p w14:paraId="1A981420" w14:textId="77777777" w:rsidR="00730385" w:rsidRDefault="005259C7" w:rsidP="005259C7">
            <w:pPr>
              <w:tabs>
                <w:tab w:val="decimal" w:pos="773"/>
              </w:tabs>
              <w:rPr>
                <w:color w:val="auto"/>
                <w:sz w:val="20"/>
                <w:szCs w:val="20"/>
              </w:rPr>
            </w:pPr>
            <w:r>
              <w:rPr>
                <w:color w:val="auto"/>
                <w:sz w:val="20"/>
                <w:szCs w:val="20"/>
              </w:rPr>
              <w:t>(39.1)</w:t>
            </w:r>
          </w:p>
        </w:tc>
      </w:tr>
      <w:tr w:rsidR="00730385" w:rsidRPr="003361F6" w14:paraId="51AA48D9" w14:textId="77777777" w:rsidTr="00730385">
        <w:trPr>
          <w:trHeight w:val="369"/>
        </w:trPr>
        <w:tc>
          <w:tcPr>
            <w:tcW w:w="1643" w:type="pct"/>
            <w:shd w:val="clear" w:color="auto" w:fill="auto"/>
            <w:vAlign w:val="bottom"/>
          </w:tcPr>
          <w:p w14:paraId="1D8B6CF5" w14:textId="77777777" w:rsidR="00730385" w:rsidRPr="003361F6" w:rsidRDefault="00730385" w:rsidP="00730385">
            <w:pPr>
              <w:jc w:val="left"/>
              <w:rPr>
                <w:color w:val="auto"/>
                <w:sz w:val="20"/>
                <w:szCs w:val="20"/>
              </w:rPr>
            </w:pPr>
            <w:r w:rsidRPr="00A50E81">
              <w:rPr>
                <w:color w:val="auto"/>
                <w:sz w:val="20"/>
                <w:szCs w:val="20"/>
              </w:rPr>
              <w:t>De-recognition – others</w:t>
            </w:r>
          </w:p>
        </w:tc>
        <w:tc>
          <w:tcPr>
            <w:tcW w:w="598" w:type="pct"/>
            <w:shd w:val="clear" w:color="auto" w:fill="auto"/>
            <w:vAlign w:val="bottom"/>
          </w:tcPr>
          <w:p w14:paraId="08DFA74F" w14:textId="77777777" w:rsidR="00730385" w:rsidRDefault="00730385" w:rsidP="00730385">
            <w:pPr>
              <w:tabs>
                <w:tab w:val="decimal" w:pos="744"/>
              </w:tabs>
              <w:rPr>
                <w:color w:val="auto"/>
                <w:sz w:val="20"/>
                <w:szCs w:val="20"/>
              </w:rPr>
            </w:pPr>
            <w:r>
              <w:rPr>
                <w:color w:val="auto"/>
                <w:sz w:val="20"/>
                <w:szCs w:val="20"/>
              </w:rPr>
              <w:t>2.1</w:t>
            </w:r>
          </w:p>
        </w:tc>
        <w:tc>
          <w:tcPr>
            <w:tcW w:w="664" w:type="pct"/>
            <w:vAlign w:val="bottom"/>
          </w:tcPr>
          <w:p w14:paraId="07222CF0" w14:textId="77777777" w:rsidR="00730385" w:rsidRDefault="00730385" w:rsidP="00730385">
            <w:pPr>
              <w:tabs>
                <w:tab w:val="decimal" w:pos="743"/>
              </w:tabs>
              <w:rPr>
                <w:color w:val="auto"/>
                <w:sz w:val="20"/>
                <w:szCs w:val="20"/>
              </w:rPr>
            </w:pPr>
            <w:r>
              <w:rPr>
                <w:color w:val="auto"/>
                <w:sz w:val="20"/>
                <w:szCs w:val="20"/>
              </w:rPr>
              <w:t>(1.8)</w:t>
            </w:r>
          </w:p>
        </w:tc>
        <w:tc>
          <w:tcPr>
            <w:tcW w:w="730" w:type="pct"/>
            <w:vAlign w:val="bottom"/>
          </w:tcPr>
          <w:p w14:paraId="45229F3F" w14:textId="77777777" w:rsidR="00730385" w:rsidRDefault="00730385" w:rsidP="00730385">
            <w:pPr>
              <w:tabs>
                <w:tab w:val="decimal" w:pos="742"/>
              </w:tabs>
              <w:rPr>
                <w:color w:val="auto"/>
                <w:sz w:val="20"/>
                <w:szCs w:val="20"/>
              </w:rPr>
            </w:pPr>
            <w:r>
              <w:rPr>
                <w:color w:val="auto"/>
                <w:sz w:val="20"/>
                <w:szCs w:val="20"/>
              </w:rPr>
              <w:t>-</w:t>
            </w:r>
          </w:p>
        </w:tc>
        <w:tc>
          <w:tcPr>
            <w:tcW w:w="716" w:type="pct"/>
            <w:shd w:val="clear" w:color="auto" w:fill="auto"/>
            <w:vAlign w:val="bottom"/>
          </w:tcPr>
          <w:p w14:paraId="5C44063B" w14:textId="77777777" w:rsidR="00730385" w:rsidRDefault="00730385" w:rsidP="00730385">
            <w:pPr>
              <w:tabs>
                <w:tab w:val="decimal" w:pos="742"/>
              </w:tabs>
              <w:rPr>
                <w:color w:val="auto"/>
                <w:sz w:val="20"/>
                <w:szCs w:val="20"/>
              </w:rPr>
            </w:pPr>
            <w:r>
              <w:rPr>
                <w:color w:val="auto"/>
                <w:sz w:val="20"/>
                <w:szCs w:val="20"/>
              </w:rPr>
              <w:t>-</w:t>
            </w:r>
          </w:p>
        </w:tc>
        <w:tc>
          <w:tcPr>
            <w:tcW w:w="648" w:type="pct"/>
            <w:shd w:val="clear" w:color="auto" w:fill="auto"/>
            <w:vAlign w:val="bottom"/>
          </w:tcPr>
          <w:p w14:paraId="38AFF72D" w14:textId="77777777" w:rsidR="00730385" w:rsidRDefault="005259C7" w:rsidP="005259C7">
            <w:pPr>
              <w:tabs>
                <w:tab w:val="decimal" w:pos="773"/>
              </w:tabs>
              <w:rPr>
                <w:color w:val="auto"/>
                <w:sz w:val="20"/>
                <w:szCs w:val="20"/>
              </w:rPr>
            </w:pPr>
            <w:r>
              <w:rPr>
                <w:color w:val="auto"/>
                <w:sz w:val="20"/>
                <w:szCs w:val="20"/>
              </w:rPr>
              <w:t>0.3</w:t>
            </w:r>
          </w:p>
        </w:tc>
      </w:tr>
      <w:tr w:rsidR="00730385" w:rsidRPr="003361F6" w14:paraId="6E2198F4" w14:textId="77777777" w:rsidTr="00730385">
        <w:trPr>
          <w:trHeight w:val="369"/>
        </w:trPr>
        <w:tc>
          <w:tcPr>
            <w:tcW w:w="1643" w:type="pct"/>
            <w:shd w:val="clear" w:color="auto" w:fill="auto"/>
            <w:vAlign w:val="bottom"/>
          </w:tcPr>
          <w:p w14:paraId="0CB97BF6" w14:textId="77777777" w:rsidR="00730385" w:rsidRPr="003361F6" w:rsidRDefault="00730385" w:rsidP="00730385">
            <w:pPr>
              <w:jc w:val="left"/>
              <w:rPr>
                <w:color w:val="auto"/>
                <w:sz w:val="20"/>
                <w:szCs w:val="20"/>
              </w:rPr>
            </w:pPr>
            <w:r w:rsidRPr="00A50E81">
              <w:rPr>
                <w:color w:val="auto"/>
                <w:sz w:val="20"/>
                <w:szCs w:val="20"/>
              </w:rPr>
              <w:t>Revaluations increases/(decreases) recognised in Revaluation Reserve</w:t>
            </w:r>
          </w:p>
        </w:tc>
        <w:tc>
          <w:tcPr>
            <w:tcW w:w="598" w:type="pct"/>
            <w:shd w:val="clear" w:color="auto" w:fill="auto"/>
            <w:vAlign w:val="bottom"/>
          </w:tcPr>
          <w:p w14:paraId="42D538A6" w14:textId="77777777" w:rsidR="00730385" w:rsidRDefault="00730385" w:rsidP="00730385">
            <w:pPr>
              <w:tabs>
                <w:tab w:val="decimal" w:pos="744"/>
              </w:tabs>
              <w:rPr>
                <w:color w:val="auto"/>
                <w:sz w:val="20"/>
                <w:szCs w:val="20"/>
              </w:rPr>
            </w:pPr>
            <w:r>
              <w:rPr>
                <w:color w:val="auto"/>
                <w:sz w:val="20"/>
                <w:szCs w:val="20"/>
              </w:rPr>
              <w:t>14.7</w:t>
            </w:r>
          </w:p>
        </w:tc>
        <w:tc>
          <w:tcPr>
            <w:tcW w:w="664" w:type="pct"/>
            <w:vAlign w:val="bottom"/>
          </w:tcPr>
          <w:p w14:paraId="08EB1F8F" w14:textId="77777777" w:rsidR="00730385" w:rsidRDefault="00730385" w:rsidP="00730385">
            <w:pPr>
              <w:tabs>
                <w:tab w:val="decimal" w:pos="743"/>
              </w:tabs>
              <w:rPr>
                <w:color w:val="auto"/>
                <w:sz w:val="20"/>
                <w:szCs w:val="20"/>
              </w:rPr>
            </w:pPr>
            <w:r>
              <w:rPr>
                <w:color w:val="auto"/>
                <w:sz w:val="20"/>
                <w:szCs w:val="20"/>
              </w:rPr>
              <w:t>-</w:t>
            </w:r>
          </w:p>
        </w:tc>
        <w:tc>
          <w:tcPr>
            <w:tcW w:w="730" w:type="pct"/>
            <w:vAlign w:val="bottom"/>
          </w:tcPr>
          <w:p w14:paraId="3F266FF7" w14:textId="77777777" w:rsidR="00730385" w:rsidRDefault="00730385" w:rsidP="00730385">
            <w:pPr>
              <w:tabs>
                <w:tab w:val="decimal" w:pos="742"/>
              </w:tabs>
              <w:rPr>
                <w:color w:val="auto"/>
                <w:sz w:val="20"/>
                <w:szCs w:val="20"/>
              </w:rPr>
            </w:pPr>
            <w:r>
              <w:rPr>
                <w:color w:val="auto"/>
                <w:sz w:val="20"/>
                <w:szCs w:val="20"/>
              </w:rPr>
              <w:t>-</w:t>
            </w:r>
          </w:p>
        </w:tc>
        <w:tc>
          <w:tcPr>
            <w:tcW w:w="716" w:type="pct"/>
            <w:shd w:val="clear" w:color="auto" w:fill="auto"/>
            <w:vAlign w:val="bottom"/>
          </w:tcPr>
          <w:p w14:paraId="40A2275B" w14:textId="77777777" w:rsidR="00730385" w:rsidRDefault="00730385" w:rsidP="00730385">
            <w:pPr>
              <w:tabs>
                <w:tab w:val="decimal" w:pos="742"/>
              </w:tabs>
              <w:rPr>
                <w:color w:val="auto"/>
                <w:sz w:val="20"/>
                <w:szCs w:val="20"/>
              </w:rPr>
            </w:pPr>
            <w:r>
              <w:rPr>
                <w:color w:val="auto"/>
                <w:sz w:val="20"/>
                <w:szCs w:val="20"/>
              </w:rPr>
              <w:t>-</w:t>
            </w:r>
          </w:p>
        </w:tc>
        <w:tc>
          <w:tcPr>
            <w:tcW w:w="648" w:type="pct"/>
            <w:shd w:val="clear" w:color="auto" w:fill="auto"/>
            <w:vAlign w:val="bottom"/>
          </w:tcPr>
          <w:p w14:paraId="27CC929F" w14:textId="77777777" w:rsidR="00730385" w:rsidRDefault="005259C7" w:rsidP="005259C7">
            <w:pPr>
              <w:tabs>
                <w:tab w:val="decimal" w:pos="773"/>
              </w:tabs>
              <w:rPr>
                <w:color w:val="auto"/>
                <w:sz w:val="20"/>
                <w:szCs w:val="20"/>
              </w:rPr>
            </w:pPr>
            <w:r>
              <w:rPr>
                <w:color w:val="auto"/>
                <w:sz w:val="20"/>
                <w:szCs w:val="20"/>
              </w:rPr>
              <w:t>14.7</w:t>
            </w:r>
          </w:p>
        </w:tc>
      </w:tr>
      <w:tr w:rsidR="00730385" w:rsidRPr="003361F6" w14:paraId="5C28BCD4" w14:textId="77777777" w:rsidTr="00730385">
        <w:trPr>
          <w:trHeight w:val="369"/>
        </w:trPr>
        <w:tc>
          <w:tcPr>
            <w:tcW w:w="1643" w:type="pct"/>
            <w:shd w:val="clear" w:color="auto" w:fill="auto"/>
            <w:vAlign w:val="bottom"/>
          </w:tcPr>
          <w:p w14:paraId="19F5B584" w14:textId="77777777" w:rsidR="00730385" w:rsidRPr="003361F6" w:rsidRDefault="00730385" w:rsidP="00730385">
            <w:pPr>
              <w:jc w:val="left"/>
              <w:rPr>
                <w:color w:val="auto"/>
                <w:sz w:val="20"/>
                <w:szCs w:val="20"/>
              </w:rPr>
            </w:pPr>
            <w:r w:rsidRPr="00A50E81">
              <w:rPr>
                <w:color w:val="auto"/>
                <w:sz w:val="20"/>
                <w:szCs w:val="20"/>
              </w:rPr>
              <w:t>Revaluations increases/(decreases) recognised in Surplus/Deficit on Provision of Services</w:t>
            </w:r>
          </w:p>
        </w:tc>
        <w:tc>
          <w:tcPr>
            <w:tcW w:w="598" w:type="pct"/>
            <w:shd w:val="clear" w:color="auto" w:fill="auto"/>
            <w:vAlign w:val="bottom"/>
          </w:tcPr>
          <w:p w14:paraId="02413996" w14:textId="77777777" w:rsidR="00730385" w:rsidRDefault="00730385" w:rsidP="00730385">
            <w:pPr>
              <w:tabs>
                <w:tab w:val="decimal" w:pos="744"/>
              </w:tabs>
              <w:rPr>
                <w:color w:val="auto"/>
                <w:sz w:val="20"/>
                <w:szCs w:val="20"/>
              </w:rPr>
            </w:pPr>
            <w:r>
              <w:rPr>
                <w:color w:val="auto"/>
                <w:sz w:val="20"/>
                <w:szCs w:val="20"/>
              </w:rPr>
              <w:t>(37.6)</w:t>
            </w:r>
          </w:p>
        </w:tc>
        <w:tc>
          <w:tcPr>
            <w:tcW w:w="664" w:type="pct"/>
            <w:vAlign w:val="bottom"/>
          </w:tcPr>
          <w:p w14:paraId="1B4ADE8D" w14:textId="77777777" w:rsidR="00730385" w:rsidRDefault="00730385" w:rsidP="00730385">
            <w:pPr>
              <w:tabs>
                <w:tab w:val="decimal" w:pos="743"/>
              </w:tabs>
              <w:rPr>
                <w:color w:val="auto"/>
                <w:sz w:val="20"/>
                <w:szCs w:val="20"/>
              </w:rPr>
            </w:pPr>
            <w:r>
              <w:rPr>
                <w:color w:val="auto"/>
                <w:sz w:val="20"/>
                <w:szCs w:val="20"/>
              </w:rPr>
              <w:t>-</w:t>
            </w:r>
          </w:p>
        </w:tc>
        <w:tc>
          <w:tcPr>
            <w:tcW w:w="730" w:type="pct"/>
            <w:vAlign w:val="bottom"/>
          </w:tcPr>
          <w:p w14:paraId="22487D66" w14:textId="77777777" w:rsidR="00730385" w:rsidRDefault="00730385" w:rsidP="00730385">
            <w:pPr>
              <w:tabs>
                <w:tab w:val="decimal" w:pos="742"/>
              </w:tabs>
              <w:rPr>
                <w:color w:val="auto"/>
                <w:sz w:val="20"/>
                <w:szCs w:val="20"/>
              </w:rPr>
            </w:pPr>
            <w:r>
              <w:rPr>
                <w:color w:val="auto"/>
                <w:sz w:val="20"/>
                <w:szCs w:val="20"/>
              </w:rPr>
              <w:t>-</w:t>
            </w:r>
          </w:p>
        </w:tc>
        <w:tc>
          <w:tcPr>
            <w:tcW w:w="716" w:type="pct"/>
            <w:shd w:val="clear" w:color="auto" w:fill="auto"/>
            <w:vAlign w:val="bottom"/>
          </w:tcPr>
          <w:p w14:paraId="51FF890C" w14:textId="77777777" w:rsidR="00730385" w:rsidRDefault="00730385" w:rsidP="00730385">
            <w:pPr>
              <w:tabs>
                <w:tab w:val="decimal" w:pos="742"/>
              </w:tabs>
              <w:rPr>
                <w:color w:val="auto"/>
                <w:sz w:val="20"/>
                <w:szCs w:val="20"/>
              </w:rPr>
            </w:pPr>
            <w:r>
              <w:rPr>
                <w:color w:val="auto"/>
                <w:sz w:val="20"/>
                <w:szCs w:val="20"/>
              </w:rPr>
              <w:t>-</w:t>
            </w:r>
          </w:p>
        </w:tc>
        <w:tc>
          <w:tcPr>
            <w:tcW w:w="648" w:type="pct"/>
            <w:shd w:val="clear" w:color="auto" w:fill="auto"/>
            <w:vAlign w:val="bottom"/>
          </w:tcPr>
          <w:p w14:paraId="533966C7" w14:textId="77777777" w:rsidR="00730385" w:rsidRDefault="005259C7" w:rsidP="005259C7">
            <w:pPr>
              <w:tabs>
                <w:tab w:val="decimal" w:pos="773"/>
              </w:tabs>
              <w:rPr>
                <w:color w:val="auto"/>
                <w:sz w:val="20"/>
                <w:szCs w:val="20"/>
              </w:rPr>
            </w:pPr>
            <w:r>
              <w:rPr>
                <w:color w:val="auto"/>
                <w:sz w:val="20"/>
                <w:szCs w:val="20"/>
              </w:rPr>
              <w:t>(37.6)</w:t>
            </w:r>
          </w:p>
        </w:tc>
      </w:tr>
      <w:tr w:rsidR="00730385" w:rsidRPr="003361F6" w14:paraId="7A32AB77" w14:textId="77777777" w:rsidTr="00730385">
        <w:trPr>
          <w:trHeight w:val="369"/>
        </w:trPr>
        <w:tc>
          <w:tcPr>
            <w:tcW w:w="1643" w:type="pct"/>
            <w:shd w:val="clear" w:color="auto" w:fill="auto"/>
            <w:vAlign w:val="bottom"/>
          </w:tcPr>
          <w:p w14:paraId="21E0F75F" w14:textId="77777777" w:rsidR="00730385" w:rsidRPr="003361F6" w:rsidRDefault="00730385" w:rsidP="00730385">
            <w:pPr>
              <w:jc w:val="left"/>
              <w:rPr>
                <w:color w:val="auto"/>
                <w:sz w:val="20"/>
                <w:szCs w:val="20"/>
              </w:rPr>
            </w:pPr>
            <w:r w:rsidRPr="00A50E81">
              <w:rPr>
                <w:color w:val="auto"/>
                <w:sz w:val="20"/>
                <w:szCs w:val="20"/>
              </w:rPr>
              <w:t>Assets reclassified</w:t>
            </w:r>
          </w:p>
        </w:tc>
        <w:tc>
          <w:tcPr>
            <w:tcW w:w="598" w:type="pct"/>
            <w:tcBorders>
              <w:bottom w:val="single" w:sz="4" w:space="0" w:color="auto"/>
            </w:tcBorders>
            <w:shd w:val="clear" w:color="auto" w:fill="auto"/>
            <w:vAlign w:val="bottom"/>
          </w:tcPr>
          <w:p w14:paraId="4E7EAFA2" w14:textId="77777777" w:rsidR="00730385" w:rsidRDefault="00730385" w:rsidP="00730385">
            <w:pPr>
              <w:tabs>
                <w:tab w:val="decimal" w:pos="744"/>
              </w:tabs>
              <w:rPr>
                <w:color w:val="auto"/>
                <w:sz w:val="20"/>
                <w:szCs w:val="20"/>
              </w:rPr>
            </w:pPr>
            <w:r>
              <w:rPr>
                <w:color w:val="auto"/>
                <w:sz w:val="20"/>
                <w:szCs w:val="20"/>
              </w:rPr>
              <w:t>(5.8)</w:t>
            </w:r>
          </w:p>
        </w:tc>
        <w:tc>
          <w:tcPr>
            <w:tcW w:w="664" w:type="pct"/>
            <w:tcBorders>
              <w:bottom w:val="single" w:sz="4" w:space="0" w:color="auto"/>
            </w:tcBorders>
            <w:vAlign w:val="bottom"/>
          </w:tcPr>
          <w:p w14:paraId="6D24B590" w14:textId="77777777" w:rsidR="00730385" w:rsidRDefault="00730385" w:rsidP="00730385">
            <w:pPr>
              <w:tabs>
                <w:tab w:val="decimal" w:pos="743"/>
              </w:tabs>
              <w:rPr>
                <w:color w:val="auto"/>
                <w:sz w:val="20"/>
                <w:szCs w:val="20"/>
              </w:rPr>
            </w:pPr>
            <w:r>
              <w:rPr>
                <w:color w:val="auto"/>
                <w:sz w:val="20"/>
                <w:szCs w:val="20"/>
              </w:rPr>
              <w:t>-</w:t>
            </w:r>
          </w:p>
        </w:tc>
        <w:tc>
          <w:tcPr>
            <w:tcW w:w="730" w:type="pct"/>
            <w:tcBorders>
              <w:bottom w:val="single" w:sz="4" w:space="0" w:color="auto"/>
            </w:tcBorders>
            <w:vAlign w:val="bottom"/>
          </w:tcPr>
          <w:p w14:paraId="34563BBE" w14:textId="77777777" w:rsidR="00730385" w:rsidRDefault="00730385" w:rsidP="00730385">
            <w:pPr>
              <w:tabs>
                <w:tab w:val="decimal" w:pos="742"/>
              </w:tabs>
              <w:rPr>
                <w:color w:val="auto"/>
                <w:sz w:val="20"/>
                <w:szCs w:val="20"/>
              </w:rPr>
            </w:pPr>
            <w:r>
              <w:rPr>
                <w:color w:val="auto"/>
                <w:sz w:val="20"/>
                <w:szCs w:val="20"/>
              </w:rPr>
              <w:t>-</w:t>
            </w:r>
          </w:p>
        </w:tc>
        <w:tc>
          <w:tcPr>
            <w:tcW w:w="716" w:type="pct"/>
            <w:tcBorders>
              <w:bottom w:val="single" w:sz="4" w:space="0" w:color="auto"/>
            </w:tcBorders>
            <w:shd w:val="clear" w:color="auto" w:fill="auto"/>
            <w:vAlign w:val="bottom"/>
          </w:tcPr>
          <w:p w14:paraId="6B3EA730" w14:textId="77777777" w:rsidR="00730385" w:rsidRDefault="00730385" w:rsidP="00730385">
            <w:pPr>
              <w:tabs>
                <w:tab w:val="decimal" w:pos="742"/>
              </w:tabs>
              <w:rPr>
                <w:color w:val="auto"/>
                <w:sz w:val="20"/>
                <w:szCs w:val="20"/>
              </w:rPr>
            </w:pPr>
            <w:r>
              <w:rPr>
                <w:color w:val="auto"/>
                <w:sz w:val="20"/>
                <w:szCs w:val="20"/>
              </w:rPr>
              <w:t>-</w:t>
            </w:r>
          </w:p>
        </w:tc>
        <w:tc>
          <w:tcPr>
            <w:tcW w:w="648" w:type="pct"/>
            <w:tcBorders>
              <w:bottom w:val="single" w:sz="4" w:space="0" w:color="auto"/>
            </w:tcBorders>
            <w:shd w:val="clear" w:color="auto" w:fill="auto"/>
            <w:vAlign w:val="bottom"/>
          </w:tcPr>
          <w:p w14:paraId="5DA0BAFF" w14:textId="77777777" w:rsidR="00730385" w:rsidRDefault="005259C7" w:rsidP="005259C7">
            <w:pPr>
              <w:tabs>
                <w:tab w:val="decimal" w:pos="773"/>
              </w:tabs>
              <w:rPr>
                <w:color w:val="auto"/>
                <w:sz w:val="20"/>
                <w:szCs w:val="20"/>
              </w:rPr>
            </w:pPr>
            <w:r>
              <w:rPr>
                <w:color w:val="auto"/>
                <w:sz w:val="20"/>
                <w:szCs w:val="20"/>
              </w:rPr>
              <w:t>(5.8)</w:t>
            </w:r>
          </w:p>
        </w:tc>
      </w:tr>
      <w:tr w:rsidR="00730385" w:rsidRPr="00A50E81" w14:paraId="7C3FC64B" w14:textId="77777777" w:rsidTr="00730385">
        <w:trPr>
          <w:trHeight w:val="369"/>
        </w:trPr>
        <w:tc>
          <w:tcPr>
            <w:tcW w:w="1643" w:type="pct"/>
            <w:shd w:val="clear" w:color="auto" w:fill="auto"/>
            <w:vAlign w:val="bottom"/>
          </w:tcPr>
          <w:p w14:paraId="04E8E47A" w14:textId="77777777" w:rsidR="00730385" w:rsidRPr="00A50E81" w:rsidRDefault="00730385" w:rsidP="00730385">
            <w:pPr>
              <w:jc w:val="left"/>
              <w:rPr>
                <w:b/>
                <w:color w:val="auto"/>
                <w:sz w:val="20"/>
                <w:szCs w:val="20"/>
              </w:rPr>
            </w:pPr>
            <w:r w:rsidRPr="00A50E81">
              <w:rPr>
                <w:b/>
                <w:color w:val="auto"/>
                <w:sz w:val="20"/>
                <w:szCs w:val="20"/>
              </w:rPr>
              <w:t>At 31 March 201</w:t>
            </w:r>
            <w:r>
              <w:rPr>
                <w:b/>
                <w:color w:val="auto"/>
                <w:sz w:val="20"/>
                <w:szCs w:val="20"/>
              </w:rPr>
              <w:t>4</w:t>
            </w:r>
          </w:p>
        </w:tc>
        <w:tc>
          <w:tcPr>
            <w:tcW w:w="598" w:type="pct"/>
            <w:tcBorders>
              <w:top w:val="single" w:sz="4" w:space="0" w:color="auto"/>
              <w:bottom w:val="single" w:sz="4" w:space="0" w:color="auto"/>
            </w:tcBorders>
            <w:shd w:val="clear" w:color="auto" w:fill="auto"/>
            <w:vAlign w:val="bottom"/>
          </w:tcPr>
          <w:p w14:paraId="7591D3B0" w14:textId="77777777" w:rsidR="00730385" w:rsidRPr="00A50E81" w:rsidRDefault="00730385" w:rsidP="00730385">
            <w:pPr>
              <w:tabs>
                <w:tab w:val="decimal" w:pos="744"/>
              </w:tabs>
              <w:rPr>
                <w:b/>
                <w:color w:val="auto"/>
                <w:sz w:val="20"/>
                <w:szCs w:val="20"/>
              </w:rPr>
            </w:pPr>
            <w:r>
              <w:rPr>
                <w:b/>
                <w:color w:val="auto"/>
                <w:sz w:val="20"/>
                <w:szCs w:val="20"/>
              </w:rPr>
              <w:t>2,081.3</w:t>
            </w:r>
          </w:p>
        </w:tc>
        <w:tc>
          <w:tcPr>
            <w:tcW w:w="664" w:type="pct"/>
            <w:tcBorders>
              <w:top w:val="single" w:sz="4" w:space="0" w:color="auto"/>
              <w:bottom w:val="single" w:sz="4" w:space="0" w:color="auto"/>
            </w:tcBorders>
            <w:vAlign w:val="bottom"/>
          </w:tcPr>
          <w:p w14:paraId="7673100E" w14:textId="77777777" w:rsidR="00730385" w:rsidRPr="00A50E81" w:rsidRDefault="00730385" w:rsidP="00730385">
            <w:pPr>
              <w:tabs>
                <w:tab w:val="decimal" w:pos="743"/>
              </w:tabs>
              <w:rPr>
                <w:b/>
                <w:color w:val="auto"/>
                <w:sz w:val="20"/>
                <w:szCs w:val="20"/>
              </w:rPr>
            </w:pPr>
            <w:r>
              <w:rPr>
                <w:b/>
                <w:color w:val="auto"/>
                <w:sz w:val="20"/>
                <w:szCs w:val="20"/>
              </w:rPr>
              <w:t>75.4</w:t>
            </w:r>
          </w:p>
        </w:tc>
        <w:tc>
          <w:tcPr>
            <w:tcW w:w="730" w:type="pct"/>
            <w:tcBorders>
              <w:top w:val="single" w:sz="4" w:space="0" w:color="auto"/>
              <w:bottom w:val="single" w:sz="4" w:space="0" w:color="auto"/>
            </w:tcBorders>
            <w:vAlign w:val="bottom"/>
          </w:tcPr>
          <w:p w14:paraId="373BD283" w14:textId="77777777" w:rsidR="00730385" w:rsidRPr="00A50E81" w:rsidRDefault="00730385" w:rsidP="00730385">
            <w:pPr>
              <w:tabs>
                <w:tab w:val="decimal" w:pos="742"/>
              </w:tabs>
              <w:rPr>
                <w:b/>
                <w:color w:val="auto"/>
                <w:sz w:val="20"/>
                <w:szCs w:val="20"/>
              </w:rPr>
            </w:pPr>
            <w:r>
              <w:rPr>
                <w:b/>
                <w:color w:val="auto"/>
                <w:sz w:val="20"/>
                <w:szCs w:val="20"/>
              </w:rPr>
              <w:t>687.8</w:t>
            </w:r>
          </w:p>
        </w:tc>
        <w:tc>
          <w:tcPr>
            <w:tcW w:w="716" w:type="pct"/>
            <w:tcBorders>
              <w:top w:val="single" w:sz="4" w:space="0" w:color="auto"/>
              <w:bottom w:val="single" w:sz="4" w:space="0" w:color="auto"/>
            </w:tcBorders>
            <w:shd w:val="clear" w:color="auto" w:fill="auto"/>
            <w:vAlign w:val="bottom"/>
          </w:tcPr>
          <w:p w14:paraId="0D07B4F3" w14:textId="77777777" w:rsidR="00730385" w:rsidRPr="00A50E81" w:rsidRDefault="00730385" w:rsidP="00730385">
            <w:pPr>
              <w:tabs>
                <w:tab w:val="decimal" w:pos="742"/>
              </w:tabs>
              <w:rPr>
                <w:b/>
                <w:color w:val="auto"/>
                <w:sz w:val="20"/>
                <w:szCs w:val="20"/>
              </w:rPr>
            </w:pPr>
            <w:r>
              <w:rPr>
                <w:b/>
                <w:color w:val="auto"/>
                <w:sz w:val="20"/>
                <w:szCs w:val="20"/>
              </w:rPr>
              <w:t>28.9</w:t>
            </w:r>
          </w:p>
        </w:tc>
        <w:tc>
          <w:tcPr>
            <w:tcW w:w="648" w:type="pct"/>
            <w:tcBorders>
              <w:top w:val="single" w:sz="4" w:space="0" w:color="auto"/>
              <w:bottom w:val="single" w:sz="4" w:space="0" w:color="auto"/>
            </w:tcBorders>
            <w:shd w:val="clear" w:color="auto" w:fill="auto"/>
            <w:vAlign w:val="bottom"/>
          </w:tcPr>
          <w:p w14:paraId="7BB57B15" w14:textId="77777777" w:rsidR="00730385" w:rsidRPr="00A50E81" w:rsidRDefault="005259C7" w:rsidP="005259C7">
            <w:pPr>
              <w:tabs>
                <w:tab w:val="decimal" w:pos="773"/>
              </w:tabs>
              <w:rPr>
                <w:b/>
                <w:color w:val="auto"/>
                <w:sz w:val="20"/>
                <w:szCs w:val="20"/>
              </w:rPr>
            </w:pPr>
            <w:r>
              <w:rPr>
                <w:b/>
                <w:color w:val="auto"/>
                <w:sz w:val="20"/>
                <w:szCs w:val="20"/>
              </w:rPr>
              <w:t>2,873.4</w:t>
            </w:r>
          </w:p>
        </w:tc>
      </w:tr>
      <w:tr w:rsidR="00730385" w:rsidRPr="003361F6" w14:paraId="153ABFC0" w14:textId="77777777" w:rsidTr="00730385">
        <w:trPr>
          <w:trHeight w:val="369"/>
        </w:trPr>
        <w:tc>
          <w:tcPr>
            <w:tcW w:w="1643" w:type="pct"/>
            <w:shd w:val="clear" w:color="auto" w:fill="auto"/>
            <w:vAlign w:val="bottom"/>
          </w:tcPr>
          <w:p w14:paraId="35A71A37" w14:textId="77777777" w:rsidR="00730385" w:rsidRPr="00A50E81" w:rsidRDefault="00730385" w:rsidP="00730385">
            <w:pPr>
              <w:jc w:val="left"/>
              <w:rPr>
                <w:color w:val="auto"/>
                <w:sz w:val="20"/>
                <w:szCs w:val="20"/>
                <w:u w:val="single"/>
              </w:rPr>
            </w:pPr>
            <w:r w:rsidRPr="00A50E81">
              <w:rPr>
                <w:color w:val="auto"/>
                <w:sz w:val="20"/>
                <w:szCs w:val="20"/>
                <w:u w:val="single"/>
              </w:rPr>
              <w:lastRenderedPageBreak/>
              <w:t>Depreciation and Impairments</w:t>
            </w:r>
          </w:p>
        </w:tc>
        <w:tc>
          <w:tcPr>
            <w:tcW w:w="598" w:type="pct"/>
            <w:tcBorders>
              <w:top w:val="single" w:sz="4" w:space="0" w:color="auto"/>
            </w:tcBorders>
            <w:shd w:val="clear" w:color="auto" w:fill="auto"/>
            <w:vAlign w:val="bottom"/>
          </w:tcPr>
          <w:p w14:paraId="66A58A44" w14:textId="77777777" w:rsidR="00730385" w:rsidRDefault="00730385" w:rsidP="00730385">
            <w:pPr>
              <w:tabs>
                <w:tab w:val="decimal" w:pos="744"/>
              </w:tabs>
              <w:rPr>
                <w:color w:val="auto"/>
                <w:sz w:val="20"/>
                <w:szCs w:val="20"/>
              </w:rPr>
            </w:pPr>
          </w:p>
        </w:tc>
        <w:tc>
          <w:tcPr>
            <w:tcW w:w="664" w:type="pct"/>
            <w:tcBorders>
              <w:top w:val="single" w:sz="4" w:space="0" w:color="auto"/>
            </w:tcBorders>
            <w:vAlign w:val="bottom"/>
          </w:tcPr>
          <w:p w14:paraId="77B64E2F" w14:textId="77777777" w:rsidR="00730385" w:rsidRDefault="00730385" w:rsidP="00730385">
            <w:pPr>
              <w:tabs>
                <w:tab w:val="decimal" w:pos="743"/>
              </w:tabs>
              <w:rPr>
                <w:color w:val="auto"/>
                <w:sz w:val="20"/>
                <w:szCs w:val="20"/>
              </w:rPr>
            </w:pPr>
          </w:p>
        </w:tc>
        <w:tc>
          <w:tcPr>
            <w:tcW w:w="730" w:type="pct"/>
            <w:tcBorders>
              <w:top w:val="single" w:sz="4" w:space="0" w:color="auto"/>
            </w:tcBorders>
            <w:vAlign w:val="bottom"/>
          </w:tcPr>
          <w:p w14:paraId="27E2481A" w14:textId="77777777" w:rsidR="00730385" w:rsidRDefault="00730385" w:rsidP="00730385">
            <w:pPr>
              <w:tabs>
                <w:tab w:val="decimal" w:pos="742"/>
              </w:tabs>
              <w:rPr>
                <w:color w:val="auto"/>
                <w:sz w:val="20"/>
                <w:szCs w:val="20"/>
              </w:rPr>
            </w:pPr>
          </w:p>
        </w:tc>
        <w:tc>
          <w:tcPr>
            <w:tcW w:w="716" w:type="pct"/>
            <w:tcBorders>
              <w:top w:val="single" w:sz="4" w:space="0" w:color="auto"/>
            </w:tcBorders>
            <w:shd w:val="clear" w:color="auto" w:fill="auto"/>
            <w:vAlign w:val="bottom"/>
          </w:tcPr>
          <w:p w14:paraId="2EF4DDFF" w14:textId="77777777" w:rsidR="00730385" w:rsidRDefault="00730385" w:rsidP="00730385">
            <w:pPr>
              <w:tabs>
                <w:tab w:val="decimal" w:pos="742"/>
              </w:tabs>
              <w:rPr>
                <w:color w:val="auto"/>
                <w:sz w:val="20"/>
                <w:szCs w:val="20"/>
              </w:rPr>
            </w:pPr>
          </w:p>
        </w:tc>
        <w:tc>
          <w:tcPr>
            <w:tcW w:w="648" w:type="pct"/>
            <w:tcBorders>
              <w:top w:val="single" w:sz="4" w:space="0" w:color="auto"/>
            </w:tcBorders>
            <w:shd w:val="clear" w:color="auto" w:fill="auto"/>
            <w:vAlign w:val="bottom"/>
          </w:tcPr>
          <w:p w14:paraId="02F53D3B" w14:textId="77777777" w:rsidR="00730385" w:rsidRDefault="00730385" w:rsidP="005259C7">
            <w:pPr>
              <w:tabs>
                <w:tab w:val="decimal" w:pos="773"/>
              </w:tabs>
              <w:rPr>
                <w:color w:val="auto"/>
                <w:sz w:val="20"/>
                <w:szCs w:val="20"/>
              </w:rPr>
            </w:pPr>
          </w:p>
        </w:tc>
      </w:tr>
      <w:tr w:rsidR="00730385" w:rsidRPr="00A50E81" w14:paraId="2114CCA6" w14:textId="77777777" w:rsidTr="00730385">
        <w:trPr>
          <w:trHeight w:val="369"/>
        </w:trPr>
        <w:tc>
          <w:tcPr>
            <w:tcW w:w="1643" w:type="pct"/>
            <w:shd w:val="clear" w:color="auto" w:fill="auto"/>
            <w:vAlign w:val="bottom"/>
          </w:tcPr>
          <w:p w14:paraId="09DAEEE4" w14:textId="77777777" w:rsidR="00730385" w:rsidRPr="00A50E81" w:rsidRDefault="00730385" w:rsidP="00730385">
            <w:pPr>
              <w:jc w:val="left"/>
              <w:rPr>
                <w:b/>
                <w:color w:val="auto"/>
                <w:sz w:val="20"/>
                <w:szCs w:val="20"/>
                <w:u w:val="single"/>
              </w:rPr>
            </w:pPr>
            <w:r w:rsidRPr="00A50E81">
              <w:rPr>
                <w:b/>
                <w:color w:val="auto"/>
                <w:sz w:val="20"/>
                <w:szCs w:val="20"/>
              </w:rPr>
              <w:t>At 1 April 201</w:t>
            </w:r>
            <w:r>
              <w:rPr>
                <w:b/>
                <w:color w:val="auto"/>
                <w:sz w:val="20"/>
                <w:szCs w:val="20"/>
              </w:rPr>
              <w:t>3</w:t>
            </w:r>
          </w:p>
        </w:tc>
        <w:tc>
          <w:tcPr>
            <w:tcW w:w="598" w:type="pct"/>
            <w:shd w:val="clear" w:color="auto" w:fill="auto"/>
            <w:vAlign w:val="bottom"/>
          </w:tcPr>
          <w:p w14:paraId="2F0B458B" w14:textId="7DD306EB" w:rsidR="00730385" w:rsidRPr="00730385" w:rsidRDefault="006D4E52" w:rsidP="00730385">
            <w:pPr>
              <w:tabs>
                <w:tab w:val="decimal" w:pos="744"/>
              </w:tabs>
              <w:rPr>
                <w:color w:val="auto"/>
                <w:sz w:val="20"/>
                <w:szCs w:val="20"/>
              </w:rPr>
            </w:pPr>
            <w:r>
              <w:rPr>
                <w:color w:val="auto"/>
                <w:sz w:val="20"/>
                <w:szCs w:val="20"/>
              </w:rPr>
              <w:t>(</w:t>
            </w:r>
            <w:r w:rsidR="00730385" w:rsidRPr="00730385">
              <w:rPr>
                <w:color w:val="auto"/>
                <w:sz w:val="20"/>
                <w:szCs w:val="20"/>
              </w:rPr>
              <w:t>90.8</w:t>
            </w:r>
            <w:r>
              <w:rPr>
                <w:color w:val="auto"/>
                <w:sz w:val="20"/>
                <w:szCs w:val="20"/>
              </w:rPr>
              <w:t>)</w:t>
            </w:r>
          </w:p>
        </w:tc>
        <w:tc>
          <w:tcPr>
            <w:tcW w:w="664" w:type="pct"/>
            <w:vAlign w:val="bottom"/>
          </w:tcPr>
          <w:p w14:paraId="5E77BF7C" w14:textId="33700FD7" w:rsidR="00730385" w:rsidRPr="00730385" w:rsidRDefault="006D4E52" w:rsidP="00730385">
            <w:pPr>
              <w:tabs>
                <w:tab w:val="decimal" w:pos="743"/>
              </w:tabs>
              <w:rPr>
                <w:color w:val="auto"/>
                <w:sz w:val="20"/>
                <w:szCs w:val="20"/>
              </w:rPr>
            </w:pPr>
            <w:r>
              <w:rPr>
                <w:color w:val="auto"/>
                <w:sz w:val="20"/>
                <w:szCs w:val="20"/>
              </w:rPr>
              <w:t>(</w:t>
            </w:r>
            <w:r w:rsidR="00730385">
              <w:rPr>
                <w:color w:val="auto"/>
                <w:sz w:val="20"/>
                <w:szCs w:val="20"/>
              </w:rPr>
              <w:t>35.8</w:t>
            </w:r>
            <w:r>
              <w:rPr>
                <w:color w:val="auto"/>
                <w:sz w:val="20"/>
                <w:szCs w:val="20"/>
              </w:rPr>
              <w:t>)</w:t>
            </w:r>
          </w:p>
        </w:tc>
        <w:tc>
          <w:tcPr>
            <w:tcW w:w="730" w:type="pct"/>
            <w:vAlign w:val="bottom"/>
          </w:tcPr>
          <w:p w14:paraId="32F9D7A8" w14:textId="798CB070" w:rsidR="00730385" w:rsidRPr="00730385" w:rsidRDefault="006D4E52" w:rsidP="00730385">
            <w:pPr>
              <w:tabs>
                <w:tab w:val="decimal" w:pos="742"/>
              </w:tabs>
              <w:rPr>
                <w:color w:val="auto"/>
                <w:sz w:val="20"/>
                <w:szCs w:val="20"/>
              </w:rPr>
            </w:pPr>
            <w:r>
              <w:rPr>
                <w:color w:val="auto"/>
                <w:sz w:val="20"/>
                <w:szCs w:val="20"/>
              </w:rPr>
              <w:t>(</w:t>
            </w:r>
            <w:r w:rsidR="00730385">
              <w:rPr>
                <w:color w:val="auto"/>
                <w:sz w:val="20"/>
                <w:szCs w:val="20"/>
              </w:rPr>
              <w:t>65.6</w:t>
            </w:r>
            <w:r>
              <w:rPr>
                <w:color w:val="auto"/>
                <w:sz w:val="20"/>
                <w:szCs w:val="20"/>
              </w:rPr>
              <w:t>)</w:t>
            </w:r>
          </w:p>
        </w:tc>
        <w:tc>
          <w:tcPr>
            <w:tcW w:w="716" w:type="pct"/>
            <w:shd w:val="clear" w:color="auto" w:fill="auto"/>
            <w:vAlign w:val="bottom"/>
          </w:tcPr>
          <w:p w14:paraId="35D3192E" w14:textId="77777777" w:rsidR="00730385" w:rsidRPr="00730385" w:rsidRDefault="00730385" w:rsidP="00730385">
            <w:pPr>
              <w:tabs>
                <w:tab w:val="decimal" w:pos="742"/>
              </w:tabs>
              <w:rPr>
                <w:color w:val="auto"/>
                <w:sz w:val="20"/>
                <w:szCs w:val="20"/>
              </w:rPr>
            </w:pPr>
            <w:r w:rsidRPr="00730385">
              <w:rPr>
                <w:color w:val="auto"/>
                <w:sz w:val="20"/>
                <w:szCs w:val="20"/>
              </w:rPr>
              <w:t>-</w:t>
            </w:r>
          </w:p>
        </w:tc>
        <w:tc>
          <w:tcPr>
            <w:tcW w:w="648" w:type="pct"/>
            <w:shd w:val="clear" w:color="auto" w:fill="auto"/>
            <w:vAlign w:val="bottom"/>
          </w:tcPr>
          <w:p w14:paraId="7E79C8AF" w14:textId="7C452986" w:rsidR="00730385" w:rsidRPr="00730385" w:rsidRDefault="006D4E52" w:rsidP="005259C7">
            <w:pPr>
              <w:tabs>
                <w:tab w:val="decimal" w:pos="773"/>
              </w:tabs>
              <w:rPr>
                <w:color w:val="auto"/>
                <w:sz w:val="20"/>
                <w:szCs w:val="20"/>
              </w:rPr>
            </w:pPr>
            <w:r>
              <w:rPr>
                <w:color w:val="auto"/>
                <w:sz w:val="20"/>
                <w:szCs w:val="20"/>
              </w:rPr>
              <w:t>(</w:t>
            </w:r>
            <w:r w:rsidR="005259C7">
              <w:rPr>
                <w:color w:val="auto"/>
                <w:sz w:val="20"/>
                <w:szCs w:val="20"/>
              </w:rPr>
              <w:t>192.2</w:t>
            </w:r>
            <w:r>
              <w:rPr>
                <w:color w:val="auto"/>
                <w:sz w:val="20"/>
                <w:szCs w:val="20"/>
              </w:rPr>
              <w:t>)</w:t>
            </w:r>
          </w:p>
        </w:tc>
      </w:tr>
      <w:tr w:rsidR="00730385" w:rsidRPr="003361F6" w14:paraId="14157BE5" w14:textId="77777777" w:rsidTr="00730385">
        <w:trPr>
          <w:trHeight w:val="369"/>
        </w:trPr>
        <w:tc>
          <w:tcPr>
            <w:tcW w:w="1643" w:type="pct"/>
            <w:shd w:val="clear" w:color="auto" w:fill="auto"/>
            <w:vAlign w:val="bottom"/>
          </w:tcPr>
          <w:p w14:paraId="35FBC583" w14:textId="7EE6AF12" w:rsidR="00730385" w:rsidRPr="00A50E81" w:rsidRDefault="00730385">
            <w:pPr>
              <w:jc w:val="left"/>
              <w:rPr>
                <w:color w:val="auto"/>
                <w:sz w:val="20"/>
                <w:szCs w:val="20"/>
              </w:rPr>
            </w:pPr>
            <w:r>
              <w:rPr>
                <w:color w:val="auto"/>
                <w:sz w:val="20"/>
                <w:szCs w:val="20"/>
              </w:rPr>
              <w:t>Depreciation charge for 201</w:t>
            </w:r>
            <w:r w:rsidR="008220F6">
              <w:rPr>
                <w:color w:val="auto"/>
                <w:sz w:val="20"/>
                <w:szCs w:val="20"/>
              </w:rPr>
              <w:t>3/14</w:t>
            </w:r>
          </w:p>
        </w:tc>
        <w:tc>
          <w:tcPr>
            <w:tcW w:w="598" w:type="pct"/>
            <w:shd w:val="clear" w:color="auto" w:fill="auto"/>
            <w:vAlign w:val="bottom"/>
          </w:tcPr>
          <w:p w14:paraId="16D4F7D4" w14:textId="1547A119" w:rsidR="00730385" w:rsidRDefault="006D4E52" w:rsidP="00730385">
            <w:pPr>
              <w:tabs>
                <w:tab w:val="decimal" w:pos="744"/>
              </w:tabs>
              <w:rPr>
                <w:color w:val="auto"/>
                <w:sz w:val="20"/>
                <w:szCs w:val="20"/>
              </w:rPr>
            </w:pPr>
            <w:r>
              <w:rPr>
                <w:color w:val="auto"/>
                <w:sz w:val="20"/>
                <w:szCs w:val="20"/>
              </w:rPr>
              <w:t>(</w:t>
            </w:r>
            <w:r w:rsidR="00730385">
              <w:rPr>
                <w:color w:val="auto"/>
                <w:sz w:val="20"/>
                <w:szCs w:val="20"/>
              </w:rPr>
              <w:t>24.7</w:t>
            </w:r>
            <w:r>
              <w:rPr>
                <w:color w:val="auto"/>
                <w:sz w:val="20"/>
                <w:szCs w:val="20"/>
              </w:rPr>
              <w:t>)</w:t>
            </w:r>
          </w:p>
        </w:tc>
        <w:tc>
          <w:tcPr>
            <w:tcW w:w="664" w:type="pct"/>
            <w:vAlign w:val="bottom"/>
          </w:tcPr>
          <w:p w14:paraId="03342D34" w14:textId="1A16109C" w:rsidR="00730385" w:rsidRDefault="006D4E52" w:rsidP="00730385">
            <w:pPr>
              <w:tabs>
                <w:tab w:val="decimal" w:pos="743"/>
              </w:tabs>
              <w:rPr>
                <w:color w:val="auto"/>
                <w:sz w:val="20"/>
                <w:szCs w:val="20"/>
              </w:rPr>
            </w:pPr>
            <w:r>
              <w:rPr>
                <w:color w:val="auto"/>
                <w:sz w:val="20"/>
                <w:szCs w:val="20"/>
              </w:rPr>
              <w:t>(</w:t>
            </w:r>
            <w:r w:rsidR="00730385">
              <w:rPr>
                <w:color w:val="auto"/>
                <w:sz w:val="20"/>
                <w:szCs w:val="20"/>
              </w:rPr>
              <w:t>7.6</w:t>
            </w:r>
            <w:r>
              <w:rPr>
                <w:color w:val="auto"/>
                <w:sz w:val="20"/>
                <w:szCs w:val="20"/>
              </w:rPr>
              <w:t>)</w:t>
            </w:r>
          </w:p>
        </w:tc>
        <w:tc>
          <w:tcPr>
            <w:tcW w:w="730" w:type="pct"/>
            <w:vAlign w:val="bottom"/>
          </w:tcPr>
          <w:p w14:paraId="03B6C550" w14:textId="0B86E698" w:rsidR="00730385" w:rsidRDefault="006D4E52" w:rsidP="00730385">
            <w:pPr>
              <w:tabs>
                <w:tab w:val="decimal" w:pos="742"/>
              </w:tabs>
              <w:rPr>
                <w:color w:val="auto"/>
                <w:sz w:val="20"/>
                <w:szCs w:val="20"/>
              </w:rPr>
            </w:pPr>
            <w:r>
              <w:rPr>
                <w:color w:val="auto"/>
                <w:sz w:val="20"/>
                <w:szCs w:val="20"/>
              </w:rPr>
              <w:t>(</w:t>
            </w:r>
            <w:r w:rsidR="00730385">
              <w:rPr>
                <w:color w:val="auto"/>
                <w:sz w:val="20"/>
                <w:szCs w:val="20"/>
              </w:rPr>
              <w:t>14.9</w:t>
            </w:r>
            <w:r>
              <w:rPr>
                <w:color w:val="auto"/>
                <w:sz w:val="20"/>
                <w:szCs w:val="20"/>
              </w:rPr>
              <w:t>)</w:t>
            </w:r>
          </w:p>
        </w:tc>
        <w:tc>
          <w:tcPr>
            <w:tcW w:w="716" w:type="pct"/>
            <w:shd w:val="clear" w:color="auto" w:fill="auto"/>
            <w:vAlign w:val="bottom"/>
          </w:tcPr>
          <w:p w14:paraId="15BC41FE" w14:textId="77777777" w:rsidR="00730385" w:rsidRDefault="00730385" w:rsidP="00730385">
            <w:pPr>
              <w:tabs>
                <w:tab w:val="decimal" w:pos="742"/>
              </w:tabs>
              <w:rPr>
                <w:color w:val="auto"/>
                <w:sz w:val="20"/>
                <w:szCs w:val="20"/>
              </w:rPr>
            </w:pPr>
            <w:r>
              <w:rPr>
                <w:color w:val="auto"/>
                <w:sz w:val="20"/>
                <w:szCs w:val="20"/>
              </w:rPr>
              <w:t>-</w:t>
            </w:r>
          </w:p>
        </w:tc>
        <w:tc>
          <w:tcPr>
            <w:tcW w:w="648" w:type="pct"/>
            <w:shd w:val="clear" w:color="auto" w:fill="auto"/>
            <w:vAlign w:val="bottom"/>
          </w:tcPr>
          <w:p w14:paraId="723C7305" w14:textId="7C12CCFC" w:rsidR="00730385" w:rsidRDefault="006D4E52" w:rsidP="005259C7">
            <w:pPr>
              <w:tabs>
                <w:tab w:val="decimal" w:pos="773"/>
              </w:tabs>
              <w:rPr>
                <w:color w:val="auto"/>
                <w:sz w:val="20"/>
                <w:szCs w:val="20"/>
              </w:rPr>
            </w:pPr>
            <w:r>
              <w:rPr>
                <w:color w:val="auto"/>
                <w:sz w:val="20"/>
                <w:szCs w:val="20"/>
              </w:rPr>
              <w:t>(</w:t>
            </w:r>
            <w:r w:rsidR="005259C7">
              <w:rPr>
                <w:color w:val="auto"/>
                <w:sz w:val="20"/>
                <w:szCs w:val="20"/>
              </w:rPr>
              <w:t>47.2</w:t>
            </w:r>
            <w:r>
              <w:rPr>
                <w:color w:val="auto"/>
                <w:sz w:val="20"/>
                <w:szCs w:val="20"/>
              </w:rPr>
              <w:t>)</w:t>
            </w:r>
          </w:p>
        </w:tc>
      </w:tr>
      <w:tr w:rsidR="00730385" w:rsidRPr="003361F6" w14:paraId="61E8FCD6" w14:textId="77777777" w:rsidTr="00730385">
        <w:trPr>
          <w:trHeight w:val="369"/>
        </w:trPr>
        <w:tc>
          <w:tcPr>
            <w:tcW w:w="1643" w:type="pct"/>
            <w:shd w:val="clear" w:color="auto" w:fill="auto"/>
            <w:vAlign w:val="bottom"/>
          </w:tcPr>
          <w:p w14:paraId="173EBFCF" w14:textId="77777777" w:rsidR="00730385" w:rsidRPr="00A50E81" w:rsidRDefault="00730385" w:rsidP="00730385">
            <w:pPr>
              <w:jc w:val="left"/>
              <w:rPr>
                <w:color w:val="auto"/>
                <w:sz w:val="20"/>
                <w:szCs w:val="20"/>
              </w:rPr>
            </w:pPr>
            <w:r w:rsidRPr="00A50E81">
              <w:rPr>
                <w:color w:val="auto"/>
                <w:sz w:val="20"/>
                <w:szCs w:val="20"/>
              </w:rPr>
              <w:t>De-recognition – disposals</w:t>
            </w:r>
          </w:p>
        </w:tc>
        <w:tc>
          <w:tcPr>
            <w:tcW w:w="598" w:type="pct"/>
            <w:shd w:val="clear" w:color="auto" w:fill="auto"/>
            <w:vAlign w:val="bottom"/>
          </w:tcPr>
          <w:p w14:paraId="5D5123D7" w14:textId="11DBCA4A" w:rsidR="00730385" w:rsidRDefault="006D4E52" w:rsidP="00730385">
            <w:pPr>
              <w:tabs>
                <w:tab w:val="decimal" w:pos="744"/>
              </w:tabs>
              <w:rPr>
                <w:color w:val="auto"/>
                <w:sz w:val="20"/>
                <w:szCs w:val="20"/>
              </w:rPr>
            </w:pPr>
            <w:r>
              <w:rPr>
                <w:color w:val="auto"/>
                <w:sz w:val="20"/>
                <w:szCs w:val="20"/>
              </w:rPr>
              <w:t>3.1</w:t>
            </w:r>
          </w:p>
        </w:tc>
        <w:tc>
          <w:tcPr>
            <w:tcW w:w="664" w:type="pct"/>
            <w:vAlign w:val="bottom"/>
          </w:tcPr>
          <w:p w14:paraId="0CD8DF6D" w14:textId="77777777" w:rsidR="00730385" w:rsidRDefault="00730385" w:rsidP="00730385">
            <w:pPr>
              <w:tabs>
                <w:tab w:val="decimal" w:pos="743"/>
              </w:tabs>
              <w:rPr>
                <w:color w:val="auto"/>
                <w:sz w:val="20"/>
                <w:szCs w:val="20"/>
              </w:rPr>
            </w:pPr>
            <w:r>
              <w:rPr>
                <w:color w:val="auto"/>
                <w:sz w:val="20"/>
                <w:szCs w:val="20"/>
              </w:rPr>
              <w:t>-</w:t>
            </w:r>
          </w:p>
        </w:tc>
        <w:tc>
          <w:tcPr>
            <w:tcW w:w="730" w:type="pct"/>
            <w:vAlign w:val="bottom"/>
          </w:tcPr>
          <w:p w14:paraId="770016C9" w14:textId="77777777" w:rsidR="00730385" w:rsidRDefault="00730385" w:rsidP="00730385">
            <w:pPr>
              <w:tabs>
                <w:tab w:val="decimal" w:pos="742"/>
              </w:tabs>
              <w:rPr>
                <w:color w:val="auto"/>
                <w:sz w:val="20"/>
                <w:szCs w:val="20"/>
              </w:rPr>
            </w:pPr>
            <w:r>
              <w:rPr>
                <w:color w:val="auto"/>
                <w:sz w:val="20"/>
                <w:szCs w:val="20"/>
              </w:rPr>
              <w:t>-</w:t>
            </w:r>
          </w:p>
        </w:tc>
        <w:tc>
          <w:tcPr>
            <w:tcW w:w="716" w:type="pct"/>
            <w:shd w:val="clear" w:color="auto" w:fill="auto"/>
            <w:vAlign w:val="bottom"/>
          </w:tcPr>
          <w:p w14:paraId="59771414" w14:textId="77777777" w:rsidR="00730385" w:rsidRDefault="00730385" w:rsidP="00730385">
            <w:pPr>
              <w:tabs>
                <w:tab w:val="decimal" w:pos="742"/>
              </w:tabs>
              <w:rPr>
                <w:color w:val="auto"/>
                <w:sz w:val="20"/>
                <w:szCs w:val="20"/>
              </w:rPr>
            </w:pPr>
            <w:r>
              <w:rPr>
                <w:color w:val="auto"/>
                <w:sz w:val="20"/>
                <w:szCs w:val="20"/>
              </w:rPr>
              <w:t>-</w:t>
            </w:r>
          </w:p>
        </w:tc>
        <w:tc>
          <w:tcPr>
            <w:tcW w:w="648" w:type="pct"/>
            <w:shd w:val="clear" w:color="auto" w:fill="auto"/>
            <w:vAlign w:val="bottom"/>
          </w:tcPr>
          <w:p w14:paraId="484A353B" w14:textId="046D075E" w:rsidR="00730385" w:rsidRDefault="006D4E52" w:rsidP="005259C7">
            <w:pPr>
              <w:tabs>
                <w:tab w:val="decimal" w:pos="773"/>
              </w:tabs>
              <w:rPr>
                <w:color w:val="auto"/>
                <w:sz w:val="20"/>
                <w:szCs w:val="20"/>
              </w:rPr>
            </w:pPr>
            <w:r>
              <w:rPr>
                <w:color w:val="auto"/>
                <w:sz w:val="20"/>
                <w:szCs w:val="20"/>
              </w:rPr>
              <w:t>3.1</w:t>
            </w:r>
          </w:p>
        </w:tc>
      </w:tr>
      <w:tr w:rsidR="00730385" w:rsidRPr="003361F6" w14:paraId="7574C52C" w14:textId="77777777" w:rsidTr="00730385">
        <w:trPr>
          <w:trHeight w:val="369"/>
        </w:trPr>
        <w:tc>
          <w:tcPr>
            <w:tcW w:w="1643" w:type="pct"/>
            <w:shd w:val="clear" w:color="auto" w:fill="auto"/>
            <w:vAlign w:val="bottom"/>
          </w:tcPr>
          <w:p w14:paraId="423886DE" w14:textId="77777777" w:rsidR="00730385" w:rsidRPr="00A50E81" w:rsidRDefault="00730385" w:rsidP="00730385">
            <w:pPr>
              <w:jc w:val="left"/>
              <w:rPr>
                <w:color w:val="auto"/>
                <w:sz w:val="20"/>
                <w:szCs w:val="20"/>
              </w:rPr>
            </w:pPr>
            <w:r w:rsidRPr="00A50E81">
              <w:rPr>
                <w:color w:val="auto"/>
                <w:sz w:val="20"/>
                <w:szCs w:val="20"/>
              </w:rPr>
              <w:t>De-recognitions – others</w:t>
            </w:r>
          </w:p>
        </w:tc>
        <w:tc>
          <w:tcPr>
            <w:tcW w:w="598" w:type="pct"/>
            <w:tcBorders>
              <w:bottom w:val="single" w:sz="4" w:space="0" w:color="auto"/>
            </w:tcBorders>
            <w:shd w:val="clear" w:color="auto" w:fill="auto"/>
            <w:vAlign w:val="bottom"/>
          </w:tcPr>
          <w:p w14:paraId="0D9AC66C" w14:textId="6B8A5E81" w:rsidR="00730385" w:rsidRDefault="006D4E52" w:rsidP="00730385">
            <w:pPr>
              <w:tabs>
                <w:tab w:val="decimal" w:pos="744"/>
              </w:tabs>
              <w:rPr>
                <w:color w:val="auto"/>
                <w:sz w:val="20"/>
                <w:szCs w:val="20"/>
              </w:rPr>
            </w:pPr>
            <w:r>
              <w:rPr>
                <w:color w:val="auto"/>
                <w:sz w:val="20"/>
                <w:szCs w:val="20"/>
              </w:rPr>
              <w:t>1.9</w:t>
            </w:r>
          </w:p>
        </w:tc>
        <w:tc>
          <w:tcPr>
            <w:tcW w:w="664" w:type="pct"/>
            <w:tcBorders>
              <w:bottom w:val="single" w:sz="4" w:space="0" w:color="auto"/>
            </w:tcBorders>
            <w:vAlign w:val="bottom"/>
          </w:tcPr>
          <w:p w14:paraId="05BAD390" w14:textId="148D17C8" w:rsidR="00730385" w:rsidRDefault="006D4E52" w:rsidP="00730385">
            <w:pPr>
              <w:tabs>
                <w:tab w:val="decimal" w:pos="743"/>
              </w:tabs>
              <w:rPr>
                <w:color w:val="auto"/>
                <w:sz w:val="20"/>
                <w:szCs w:val="20"/>
              </w:rPr>
            </w:pPr>
            <w:r>
              <w:rPr>
                <w:color w:val="auto"/>
                <w:sz w:val="20"/>
                <w:szCs w:val="20"/>
              </w:rPr>
              <w:t>1.0</w:t>
            </w:r>
          </w:p>
        </w:tc>
        <w:tc>
          <w:tcPr>
            <w:tcW w:w="730" w:type="pct"/>
            <w:tcBorders>
              <w:bottom w:val="single" w:sz="4" w:space="0" w:color="auto"/>
            </w:tcBorders>
            <w:vAlign w:val="bottom"/>
          </w:tcPr>
          <w:p w14:paraId="6B52E2DF" w14:textId="77777777" w:rsidR="00730385" w:rsidRDefault="00730385" w:rsidP="00730385">
            <w:pPr>
              <w:tabs>
                <w:tab w:val="decimal" w:pos="742"/>
              </w:tabs>
              <w:rPr>
                <w:color w:val="auto"/>
                <w:sz w:val="20"/>
                <w:szCs w:val="20"/>
              </w:rPr>
            </w:pPr>
            <w:r>
              <w:rPr>
                <w:color w:val="auto"/>
                <w:sz w:val="20"/>
                <w:szCs w:val="20"/>
              </w:rPr>
              <w:t>-</w:t>
            </w:r>
          </w:p>
        </w:tc>
        <w:tc>
          <w:tcPr>
            <w:tcW w:w="716" w:type="pct"/>
            <w:tcBorders>
              <w:bottom w:val="single" w:sz="4" w:space="0" w:color="auto"/>
            </w:tcBorders>
            <w:shd w:val="clear" w:color="auto" w:fill="auto"/>
            <w:vAlign w:val="bottom"/>
          </w:tcPr>
          <w:p w14:paraId="65D6819E" w14:textId="77777777" w:rsidR="00730385" w:rsidRDefault="00730385" w:rsidP="00730385">
            <w:pPr>
              <w:tabs>
                <w:tab w:val="decimal" w:pos="742"/>
              </w:tabs>
              <w:rPr>
                <w:color w:val="auto"/>
                <w:sz w:val="20"/>
                <w:szCs w:val="20"/>
              </w:rPr>
            </w:pPr>
            <w:r>
              <w:rPr>
                <w:color w:val="auto"/>
                <w:sz w:val="20"/>
                <w:szCs w:val="20"/>
              </w:rPr>
              <w:t>-</w:t>
            </w:r>
          </w:p>
        </w:tc>
        <w:tc>
          <w:tcPr>
            <w:tcW w:w="648" w:type="pct"/>
            <w:tcBorders>
              <w:bottom w:val="single" w:sz="4" w:space="0" w:color="auto"/>
            </w:tcBorders>
            <w:shd w:val="clear" w:color="auto" w:fill="auto"/>
            <w:vAlign w:val="bottom"/>
          </w:tcPr>
          <w:p w14:paraId="713766EF" w14:textId="4C9C73C2" w:rsidR="00730385" w:rsidRDefault="006D4E52" w:rsidP="005259C7">
            <w:pPr>
              <w:tabs>
                <w:tab w:val="decimal" w:pos="773"/>
              </w:tabs>
              <w:rPr>
                <w:color w:val="auto"/>
                <w:sz w:val="20"/>
                <w:szCs w:val="20"/>
              </w:rPr>
            </w:pPr>
            <w:r>
              <w:rPr>
                <w:color w:val="auto"/>
                <w:sz w:val="20"/>
                <w:szCs w:val="20"/>
              </w:rPr>
              <w:t>2.9</w:t>
            </w:r>
          </w:p>
        </w:tc>
      </w:tr>
      <w:tr w:rsidR="00730385" w:rsidRPr="00A50E81" w14:paraId="480296E9" w14:textId="77777777" w:rsidTr="00730385">
        <w:trPr>
          <w:trHeight w:val="369"/>
        </w:trPr>
        <w:tc>
          <w:tcPr>
            <w:tcW w:w="1643" w:type="pct"/>
            <w:shd w:val="clear" w:color="auto" w:fill="auto"/>
            <w:vAlign w:val="bottom"/>
          </w:tcPr>
          <w:p w14:paraId="1BBD2DFC" w14:textId="77777777" w:rsidR="00730385" w:rsidRPr="00A50E81" w:rsidRDefault="00730385" w:rsidP="00730385">
            <w:pPr>
              <w:jc w:val="left"/>
              <w:rPr>
                <w:b/>
                <w:color w:val="auto"/>
                <w:sz w:val="20"/>
                <w:szCs w:val="20"/>
              </w:rPr>
            </w:pPr>
            <w:r w:rsidRPr="00A50E81">
              <w:rPr>
                <w:b/>
                <w:color w:val="auto"/>
                <w:sz w:val="20"/>
                <w:szCs w:val="20"/>
              </w:rPr>
              <w:t>At 31 March 201</w:t>
            </w:r>
            <w:r>
              <w:rPr>
                <w:b/>
                <w:color w:val="auto"/>
                <w:sz w:val="20"/>
                <w:szCs w:val="20"/>
              </w:rPr>
              <w:t>4</w:t>
            </w:r>
          </w:p>
        </w:tc>
        <w:tc>
          <w:tcPr>
            <w:tcW w:w="598" w:type="pct"/>
            <w:tcBorders>
              <w:top w:val="single" w:sz="4" w:space="0" w:color="auto"/>
              <w:bottom w:val="single" w:sz="4" w:space="0" w:color="auto"/>
            </w:tcBorders>
            <w:shd w:val="clear" w:color="auto" w:fill="auto"/>
            <w:vAlign w:val="bottom"/>
          </w:tcPr>
          <w:p w14:paraId="4399DFE8" w14:textId="1A1C6FA0" w:rsidR="00730385" w:rsidRPr="00A50E81" w:rsidRDefault="006D4E52" w:rsidP="00730385">
            <w:pPr>
              <w:tabs>
                <w:tab w:val="decimal" w:pos="744"/>
              </w:tabs>
              <w:rPr>
                <w:b/>
                <w:color w:val="auto"/>
                <w:sz w:val="20"/>
                <w:szCs w:val="20"/>
              </w:rPr>
            </w:pPr>
            <w:r>
              <w:rPr>
                <w:b/>
                <w:color w:val="auto"/>
                <w:sz w:val="20"/>
                <w:szCs w:val="20"/>
              </w:rPr>
              <w:t>(</w:t>
            </w:r>
            <w:r w:rsidR="00730385">
              <w:rPr>
                <w:b/>
                <w:color w:val="auto"/>
                <w:sz w:val="20"/>
                <w:szCs w:val="20"/>
              </w:rPr>
              <w:t>110.5</w:t>
            </w:r>
            <w:r>
              <w:rPr>
                <w:b/>
                <w:color w:val="auto"/>
                <w:sz w:val="20"/>
                <w:szCs w:val="20"/>
              </w:rPr>
              <w:t>)</w:t>
            </w:r>
          </w:p>
        </w:tc>
        <w:tc>
          <w:tcPr>
            <w:tcW w:w="664" w:type="pct"/>
            <w:tcBorders>
              <w:top w:val="single" w:sz="4" w:space="0" w:color="auto"/>
              <w:bottom w:val="single" w:sz="4" w:space="0" w:color="auto"/>
            </w:tcBorders>
            <w:vAlign w:val="bottom"/>
          </w:tcPr>
          <w:p w14:paraId="012FAC70" w14:textId="37A76E6A" w:rsidR="00730385" w:rsidRPr="00A50E81" w:rsidRDefault="006D4E52" w:rsidP="00730385">
            <w:pPr>
              <w:tabs>
                <w:tab w:val="decimal" w:pos="743"/>
              </w:tabs>
              <w:rPr>
                <w:b/>
                <w:color w:val="auto"/>
                <w:sz w:val="20"/>
                <w:szCs w:val="20"/>
              </w:rPr>
            </w:pPr>
            <w:r>
              <w:rPr>
                <w:b/>
                <w:color w:val="auto"/>
                <w:sz w:val="20"/>
                <w:szCs w:val="20"/>
              </w:rPr>
              <w:t>(</w:t>
            </w:r>
            <w:r w:rsidR="00730385">
              <w:rPr>
                <w:b/>
                <w:color w:val="auto"/>
                <w:sz w:val="20"/>
                <w:szCs w:val="20"/>
              </w:rPr>
              <w:t>42.4</w:t>
            </w:r>
            <w:r>
              <w:rPr>
                <w:b/>
                <w:color w:val="auto"/>
                <w:sz w:val="20"/>
                <w:szCs w:val="20"/>
              </w:rPr>
              <w:t>)</w:t>
            </w:r>
          </w:p>
        </w:tc>
        <w:tc>
          <w:tcPr>
            <w:tcW w:w="730" w:type="pct"/>
            <w:tcBorders>
              <w:top w:val="single" w:sz="4" w:space="0" w:color="auto"/>
              <w:bottom w:val="single" w:sz="4" w:space="0" w:color="auto"/>
            </w:tcBorders>
            <w:vAlign w:val="bottom"/>
          </w:tcPr>
          <w:p w14:paraId="1CF70068" w14:textId="150D40D3" w:rsidR="00730385" w:rsidRPr="00A50E81" w:rsidRDefault="006D4E52" w:rsidP="00730385">
            <w:pPr>
              <w:tabs>
                <w:tab w:val="decimal" w:pos="742"/>
              </w:tabs>
              <w:rPr>
                <w:b/>
                <w:color w:val="auto"/>
                <w:sz w:val="20"/>
                <w:szCs w:val="20"/>
              </w:rPr>
            </w:pPr>
            <w:r>
              <w:rPr>
                <w:b/>
                <w:color w:val="auto"/>
                <w:sz w:val="20"/>
                <w:szCs w:val="20"/>
              </w:rPr>
              <w:t>(</w:t>
            </w:r>
            <w:r w:rsidR="00730385">
              <w:rPr>
                <w:b/>
                <w:color w:val="auto"/>
                <w:sz w:val="20"/>
                <w:szCs w:val="20"/>
              </w:rPr>
              <w:t>80.5</w:t>
            </w:r>
            <w:r>
              <w:rPr>
                <w:b/>
                <w:color w:val="auto"/>
                <w:sz w:val="20"/>
                <w:szCs w:val="20"/>
              </w:rPr>
              <w:t>)</w:t>
            </w:r>
          </w:p>
        </w:tc>
        <w:tc>
          <w:tcPr>
            <w:tcW w:w="716" w:type="pct"/>
            <w:tcBorders>
              <w:top w:val="single" w:sz="4" w:space="0" w:color="auto"/>
              <w:bottom w:val="single" w:sz="4" w:space="0" w:color="auto"/>
            </w:tcBorders>
            <w:shd w:val="clear" w:color="auto" w:fill="auto"/>
            <w:vAlign w:val="bottom"/>
          </w:tcPr>
          <w:p w14:paraId="4AD766B4" w14:textId="77777777" w:rsidR="00730385" w:rsidRPr="00A50E81" w:rsidRDefault="00730385" w:rsidP="00730385">
            <w:pPr>
              <w:tabs>
                <w:tab w:val="decimal" w:pos="742"/>
              </w:tabs>
              <w:rPr>
                <w:b/>
                <w:color w:val="auto"/>
                <w:sz w:val="20"/>
                <w:szCs w:val="20"/>
              </w:rPr>
            </w:pPr>
            <w:r>
              <w:rPr>
                <w:b/>
                <w:color w:val="auto"/>
                <w:sz w:val="20"/>
                <w:szCs w:val="20"/>
              </w:rPr>
              <w:t>-</w:t>
            </w:r>
          </w:p>
        </w:tc>
        <w:tc>
          <w:tcPr>
            <w:tcW w:w="648" w:type="pct"/>
            <w:tcBorders>
              <w:top w:val="single" w:sz="4" w:space="0" w:color="auto"/>
              <w:bottom w:val="single" w:sz="4" w:space="0" w:color="auto"/>
            </w:tcBorders>
            <w:shd w:val="clear" w:color="auto" w:fill="auto"/>
            <w:vAlign w:val="bottom"/>
          </w:tcPr>
          <w:p w14:paraId="448BF353" w14:textId="1D46D5F0" w:rsidR="00730385" w:rsidRPr="00A50E81" w:rsidRDefault="006D4E52" w:rsidP="005259C7">
            <w:pPr>
              <w:tabs>
                <w:tab w:val="decimal" w:pos="773"/>
              </w:tabs>
              <w:rPr>
                <w:b/>
                <w:color w:val="auto"/>
                <w:sz w:val="20"/>
                <w:szCs w:val="20"/>
              </w:rPr>
            </w:pPr>
            <w:r>
              <w:rPr>
                <w:b/>
                <w:color w:val="auto"/>
                <w:sz w:val="20"/>
                <w:szCs w:val="20"/>
              </w:rPr>
              <w:t>(</w:t>
            </w:r>
            <w:r w:rsidR="005259C7">
              <w:rPr>
                <w:b/>
                <w:color w:val="auto"/>
                <w:sz w:val="20"/>
                <w:szCs w:val="20"/>
              </w:rPr>
              <w:t>233.4</w:t>
            </w:r>
            <w:r>
              <w:rPr>
                <w:b/>
                <w:color w:val="auto"/>
                <w:sz w:val="20"/>
                <w:szCs w:val="20"/>
              </w:rPr>
              <w:t>)</w:t>
            </w:r>
          </w:p>
        </w:tc>
      </w:tr>
      <w:tr w:rsidR="00730385" w:rsidRPr="00A50E81" w14:paraId="670CE11C" w14:textId="77777777" w:rsidTr="00730385">
        <w:trPr>
          <w:trHeight w:val="369"/>
        </w:trPr>
        <w:tc>
          <w:tcPr>
            <w:tcW w:w="1643" w:type="pct"/>
            <w:shd w:val="clear" w:color="auto" w:fill="auto"/>
            <w:vAlign w:val="bottom"/>
          </w:tcPr>
          <w:p w14:paraId="266447BB" w14:textId="77777777" w:rsidR="00730385" w:rsidRPr="00A50E81" w:rsidRDefault="00730385" w:rsidP="00730385">
            <w:pPr>
              <w:jc w:val="left"/>
              <w:rPr>
                <w:b/>
                <w:color w:val="auto"/>
                <w:sz w:val="20"/>
                <w:szCs w:val="20"/>
              </w:rPr>
            </w:pPr>
            <w:r w:rsidRPr="00A50E81">
              <w:rPr>
                <w:b/>
                <w:color w:val="auto"/>
                <w:sz w:val="20"/>
                <w:szCs w:val="20"/>
              </w:rPr>
              <w:t>Net Book Value at 31 March 201</w:t>
            </w:r>
            <w:r>
              <w:rPr>
                <w:b/>
                <w:color w:val="auto"/>
                <w:sz w:val="20"/>
                <w:szCs w:val="20"/>
              </w:rPr>
              <w:t>4</w:t>
            </w:r>
          </w:p>
        </w:tc>
        <w:tc>
          <w:tcPr>
            <w:tcW w:w="598" w:type="pct"/>
            <w:tcBorders>
              <w:top w:val="single" w:sz="4" w:space="0" w:color="auto"/>
              <w:bottom w:val="single" w:sz="4" w:space="0" w:color="auto"/>
            </w:tcBorders>
            <w:shd w:val="clear" w:color="auto" w:fill="auto"/>
            <w:vAlign w:val="bottom"/>
          </w:tcPr>
          <w:p w14:paraId="702097AA" w14:textId="77777777" w:rsidR="00730385" w:rsidRPr="00A50E81" w:rsidRDefault="00730385" w:rsidP="00730385">
            <w:pPr>
              <w:tabs>
                <w:tab w:val="decimal" w:pos="744"/>
              </w:tabs>
              <w:rPr>
                <w:b/>
                <w:color w:val="auto"/>
                <w:sz w:val="20"/>
                <w:szCs w:val="20"/>
              </w:rPr>
            </w:pPr>
            <w:r>
              <w:rPr>
                <w:b/>
                <w:color w:val="auto"/>
                <w:sz w:val="20"/>
                <w:szCs w:val="20"/>
              </w:rPr>
              <w:t>1,970.8</w:t>
            </w:r>
          </w:p>
        </w:tc>
        <w:tc>
          <w:tcPr>
            <w:tcW w:w="664" w:type="pct"/>
            <w:tcBorders>
              <w:top w:val="single" w:sz="4" w:space="0" w:color="auto"/>
              <w:bottom w:val="single" w:sz="4" w:space="0" w:color="auto"/>
            </w:tcBorders>
            <w:vAlign w:val="bottom"/>
          </w:tcPr>
          <w:p w14:paraId="2D674095" w14:textId="77777777" w:rsidR="00730385" w:rsidRPr="00A50E81" w:rsidRDefault="00730385" w:rsidP="00730385">
            <w:pPr>
              <w:tabs>
                <w:tab w:val="decimal" w:pos="743"/>
              </w:tabs>
              <w:rPr>
                <w:b/>
                <w:color w:val="auto"/>
                <w:sz w:val="20"/>
                <w:szCs w:val="20"/>
              </w:rPr>
            </w:pPr>
            <w:r>
              <w:rPr>
                <w:b/>
                <w:color w:val="auto"/>
                <w:sz w:val="20"/>
                <w:szCs w:val="20"/>
              </w:rPr>
              <w:t>33.0</w:t>
            </w:r>
          </w:p>
        </w:tc>
        <w:tc>
          <w:tcPr>
            <w:tcW w:w="730" w:type="pct"/>
            <w:tcBorders>
              <w:top w:val="single" w:sz="4" w:space="0" w:color="auto"/>
              <w:bottom w:val="single" w:sz="4" w:space="0" w:color="auto"/>
            </w:tcBorders>
            <w:vAlign w:val="bottom"/>
          </w:tcPr>
          <w:p w14:paraId="6D25564A" w14:textId="77777777" w:rsidR="00730385" w:rsidRPr="00A50E81" w:rsidRDefault="00730385" w:rsidP="00730385">
            <w:pPr>
              <w:tabs>
                <w:tab w:val="decimal" w:pos="742"/>
              </w:tabs>
              <w:rPr>
                <w:b/>
                <w:color w:val="auto"/>
                <w:sz w:val="20"/>
                <w:szCs w:val="20"/>
              </w:rPr>
            </w:pPr>
            <w:r>
              <w:rPr>
                <w:b/>
                <w:color w:val="auto"/>
                <w:sz w:val="20"/>
                <w:szCs w:val="20"/>
              </w:rPr>
              <w:t>607.3</w:t>
            </w:r>
          </w:p>
        </w:tc>
        <w:tc>
          <w:tcPr>
            <w:tcW w:w="716" w:type="pct"/>
            <w:tcBorders>
              <w:top w:val="single" w:sz="4" w:space="0" w:color="auto"/>
              <w:bottom w:val="single" w:sz="4" w:space="0" w:color="auto"/>
            </w:tcBorders>
            <w:shd w:val="clear" w:color="auto" w:fill="auto"/>
            <w:vAlign w:val="bottom"/>
          </w:tcPr>
          <w:p w14:paraId="4C6C3DA2" w14:textId="77777777" w:rsidR="00730385" w:rsidRPr="00A50E81" w:rsidRDefault="00730385" w:rsidP="00730385">
            <w:pPr>
              <w:tabs>
                <w:tab w:val="decimal" w:pos="742"/>
              </w:tabs>
              <w:rPr>
                <w:b/>
                <w:color w:val="auto"/>
                <w:sz w:val="20"/>
                <w:szCs w:val="20"/>
              </w:rPr>
            </w:pPr>
            <w:r>
              <w:rPr>
                <w:b/>
                <w:color w:val="auto"/>
                <w:sz w:val="20"/>
                <w:szCs w:val="20"/>
              </w:rPr>
              <w:t>28.9</w:t>
            </w:r>
          </w:p>
        </w:tc>
        <w:tc>
          <w:tcPr>
            <w:tcW w:w="648" w:type="pct"/>
            <w:tcBorders>
              <w:top w:val="single" w:sz="4" w:space="0" w:color="auto"/>
              <w:bottom w:val="single" w:sz="4" w:space="0" w:color="auto"/>
            </w:tcBorders>
            <w:shd w:val="clear" w:color="auto" w:fill="auto"/>
            <w:vAlign w:val="bottom"/>
          </w:tcPr>
          <w:p w14:paraId="6F85474A" w14:textId="77777777" w:rsidR="00730385" w:rsidRPr="00A50E81" w:rsidRDefault="005259C7" w:rsidP="005259C7">
            <w:pPr>
              <w:tabs>
                <w:tab w:val="decimal" w:pos="773"/>
              </w:tabs>
              <w:rPr>
                <w:b/>
                <w:color w:val="auto"/>
                <w:sz w:val="20"/>
                <w:szCs w:val="20"/>
              </w:rPr>
            </w:pPr>
            <w:r>
              <w:rPr>
                <w:b/>
                <w:color w:val="auto"/>
                <w:sz w:val="20"/>
                <w:szCs w:val="20"/>
              </w:rPr>
              <w:t>2,640.0</w:t>
            </w:r>
          </w:p>
        </w:tc>
      </w:tr>
      <w:tr w:rsidR="00730385" w:rsidRPr="00A50E81" w14:paraId="68F29DE8" w14:textId="77777777" w:rsidTr="00730385">
        <w:trPr>
          <w:trHeight w:val="369"/>
        </w:trPr>
        <w:tc>
          <w:tcPr>
            <w:tcW w:w="1643" w:type="pct"/>
            <w:shd w:val="clear" w:color="auto" w:fill="auto"/>
            <w:vAlign w:val="bottom"/>
          </w:tcPr>
          <w:p w14:paraId="7424D97E" w14:textId="77777777" w:rsidR="00730385" w:rsidRPr="00A50E81" w:rsidRDefault="00730385" w:rsidP="00730385">
            <w:pPr>
              <w:jc w:val="left"/>
              <w:rPr>
                <w:b/>
                <w:color w:val="auto"/>
                <w:sz w:val="20"/>
                <w:szCs w:val="20"/>
                <w:vertAlign w:val="superscript"/>
              </w:rPr>
            </w:pPr>
            <w:r w:rsidRPr="00A50E81">
              <w:rPr>
                <w:b/>
                <w:color w:val="auto"/>
                <w:sz w:val="20"/>
                <w:szCs w:val="20"/>
              </w:rPr>
              <w:t>Net Book Value at 31 March 201</w:t>
            </w:r>
            <w:r>
              <w:rPr>
                <w:b/>
                <w:color w:val="auto"/>
                <w:sz w:val="20"/>
                <w:szCs w:val="20"/>
              </w:rPr>
              <w:t>3</w:t>
            </w:r>
          </w:p>
        </w:tc>
        <w:tc>
          <w:tcPr>
            <w:tcW w:w="598" w:type="pct"/>
            <w:tcBorders>
              <w:top w:val="single" w:sz="4" w:space="0" w:color="auto"/>
              <w:bottom w:val="single" w:sz="4" w:space="0" w:color="auto"/>
            </w:tcBorders>
            <w:shd w:val="clear" w:color="auto" w:fill="auto"/>
            <w:vAlign w:val="bottom"/>
          </w:tcPr>
          <w:p w14:paraId="44B8AD4F" w14:textId="77777777" w:rsidR="00730385" w:rsidRPr="00A50E81" w:rsidRDefault="00730385" w:rsidP="00730385">
            <w:pPr>
              <w:tabs>
                <w:tab w:val="decimal" w:pos="744"/>
              </w:tabs>
              <w:rPr>
                <w:b/>
                <w:color w:val="auto"/>
                <w:sz w:val="20"/>
                <w:szCs w:val="20"/>
              </w:rPr>
            </w:pPr>
            <w:r>
              <w:rPr>
                <w:b/>
                <w:color w:val="auto"/>
                <w:sz w:val="20"/>
                <w:szCs w:val="20"/>
              </w:rPr>
              <w:t>2,018.6</w:t>
            </w:r>
          </w:p>
        </w:tc>
        <w:tc>
          <w:tcPr>
            <w:tcW w:w="664" w:type="pct"/>
            <w:tcBorders>
              <w:top w:val="single" w:sz="4" w:space="0" w:color="auto"/>
              <w:bottom w:val="single" w:sz="4" w:space="0" w:color="auto"/>
            </w:tcBorders>
            <w:vAlign w:val="bottom"/>
          </w:tcPr>
          <w:p w14:paraId="7BDD9752" w14:textId="77777777" w:rsidR="00730385" w:rsidRPr="00A50E81" w:rsidRDefault="00730385" w:rsidP="00730385">
            <w:pPr>
              <w:tabs>
                <w:tab w:val="decimal" w:pos="743"/>
              </w:tabs>
              <w:rPr>
                <w:b/>
                <w:color w:val="auto"/>
                <w:sz w:val="20"/>
                <w:szCs w:val="20"/>
              </w:rPr>
            </w:pPr>
            <w:r>
              <w:rPr>
                <w:b/>
                <w:color w:val="auto"/>
                <w:sz w:val="20"/>
                <w:szCs w:val="20"/>
              </w:rPr>
              <w:t>35.6</w:t>
            </w:r>
          </w:p>
        </w:tc>
        <w:tc>
          <w:tcPr>
            <w:tcW w:w="730" w:type="pct"/>
            <w:tcBorders>
              <w:top w:val="single" w:sz="4" w:space="0" w:color="auto"/>
              <w:bottom w:val="single" w:sz="4" w:space="0" w:color="auto"/>
            </w:tcBorders>
            <w:vAlign w:val="bottom"/>
          </w:tcPr>
          <w:p w14:paraId="7F032D01" w14:textId="77777777" w:rsidR="00730385" w:rsidRPr="00A50E81" w:rsidRDefault="00730385" w:rsidP="00730385">
            <w:pPr>
              <w:tabs>
                <w:tab w:val="decimal" w:pos="742"/>
              </w:tabs>
              <w:rPr>
                <w:b/>
                <w:color w:val="auto"/>
                <w:sz w:val="20"/>
                <w:szCs w:val="20"/>
              </w:rPr>
            </w:pPr>
            <w:r>
              <w:rPr>
                <w:b/>
                <w:color w:val="auto"/>
                <w:sz w:val="20"/>
                <w:szCs w:val="20"/>
              </w:rPr>
              <w:t>557.5</w:t>
            </w:r>
          </w:p>
        </w:tc>
        <w:tc>
          <w:tcPr>
            <w:tcW w:w="716" w:type="pct"/>
            <w:tcBorders>
              <w:top w:val="single" w:sz="4" w:space="0" w:color="auto"/>
              <w:bottom w:val="single" w:sz="4" w:space="0" w:color="auto"/>
            </w:tcBorders>
            <w:shd w:val="clear" w:color="auto" w:fill="auto"/>
            <w:vAlign w:val="bottom"/>
          </w:tcPr>
          <w:p w14:paraId="37E28842" w14:textId="77777777" w:rsidR="00730385" w:rsidRPr="00A50E81" w:rsidRDefault="00730385" w:rsidP="00730385">
            <w:pPr>
              <w:tabs>
                <w:tab w:val="decimal" w:pos="742"/>
              </w:tabs>
              <w:rPr>
                <w:b/>
                <w:color w:val="auto"/>
                <w:sz w:val="20"/>
                <w:szCs w:val="20"/>
              </w:rPr>
            </w:pPr>
            <w:r>
              <w:rPr>
                <w:b/>
                <w:color w:val="auto"/>
                <w:sz w:val="20"/>
                <w:szCs w:val="20"/>
              </w:rPr>
              <w:t>0.7</w:t>
            </w:r>
          </w:p>
        </w:tc>
        <w:tc>
          <w:tcPr>
            <w:tcW w:w="648" w:type="pct"/>
            <w:tcBorders>
              <w:top w:val="single" w:sz="4" w:space="0" w:color="auto"/>
              <w:bottom w:val="single" w:sz="4" w:space="0" w:color="auto"/>
            </w:tcBorders>
            <w:shd w:val="clear" w:color="auto" w:fill="auto"/>
            <w:vAlign w:val="bottom"/>
          </w:tcPr>
          <w:p w14:paraId="0892206D" w14:textId="77777777" w:rsidR="00730385" w:rsidRPr="00A50E81" w:rsidRDefault="005259C7" w:rsidP="005259C7">
            <w:pPr>
              <w:tabs>
                <w:tab w:val="decimal" w:pos="773"/>
              </w:tabs>
              <w:rPr>
                <w:b/>
                <w:color w:val="auto"/>
                <w:sz w:val="20"/>
                <w:szCs w:val="20"/>
              </w:rPr>
            </w:pPr>
            <w:r>
              <w:rPr>
                <w:b/>
                <w:color w:val="auto"/>
                <w:sz w:val="20"/>
                <w:szCs w:val="20"/>
              </w:rPr>
              <w:t>2,612.4</w:t>
            </w:r>
          </w:p>
        </w:tc>
      </w:tr>
    </w:tbl>
    <w:p w14:paraId="3EA0C2D8" w14:textId="77777777" w:rsidR="00730385" w:rsidRDefault="00730385" w:rsidP="00876D2C">
      <w:pPr>
        <w:rPr>
          <w:lang w:eastAsia="en-GB"/>
        </w:rPr>
      </w:pPr>
    </w:p>
    <w:p w14:paraId="385FB215" w14:textId="71217F6C" w:rsidR="005259C7" w:rsidRPr="009C1D66" w:rsidRDefault="005259C7" w:rsidP="00876D2C">
      <w:pPr>
        <w:rPr>
          <w:b/>
          <w:lang w:eastAsia="en-GB"/>
        </w:rPr>
      </w:pPr>
      <w:r w:rsidRPr="009C1D66">
        <w:rPr>
          <w:b/>
          <w:lang w:eastAsia="en-GB"/>
        </w:rPr>
        <w:t xml:space="preserve">Effects of </w:t>
      </w:r>
      <w:r w:rsidR="00311222">
        <w:rPr>
          <w:b/>
          <w:lang w:eastAsia="en-GB"/>
        </w:rPr>
        <w:t>c</w:t>
      </w:r>
      <w:r w:rsidRPr="009C1D66">
        <w:rPr>
          <w:b/>
          <w:lang w:eastAsia="en-GB"/>
        </w:rPr>
        <w:t xml:space="preserve">hanges in </w:t>
      </w:r>
      <w:r w:rsidR="00311222">
        <w:rPr>
          <w:b/>
          <w:lang w:eastAsia="en-GB"/>
        </w:rPr>
        <w:t>e</w:t>
      </w:r>
      <w:r w:rsidRPr="009C1D66">
        <w:rPr>
          <w:b/>
          <w:lang w:eastAsia="en-GB"/>
        </w:rPr>
        <w:t>stimates</w:t>
      </w:r>
    </w:p>
    <w:p w14:paraId="4A3FB2C2" w14:textId="77777777" w:rsidR="005259C7" w:rsidRPr="009C1D66" w:rsidRDefault="005259C7" w:rsidP="00876D2C">
      <w:pPr>
        <w:rPr>
          <w:lang w:eastAsia="en-GB"/>
        </w:rPr>
      </w:pPr>
      <w:r w:rsidRPr="009C1D66">
        <w:rPr>
          <w:lang w:eastAsia="en-GB"/>
        </w:rPr>
        <w:t>In 2014/15 the council made no material changes to its accounting estimates for property, plant and equipment.</w:t>
      </w:r>
    </w:p>
    <w:p w14:paraId="75B21561" w14:textId="77777777" w:rsidR="007A2DD0" w:rsidRDefault="007A2DD0" w:rsidP="00876D2C">
      <w:pPr>
        <w:rPr>
          <w:b/>
          <w:lang w:eastAsia="en-GB"/>
        </w:rPr>
      </w:pPr>
    </w:p>
    <w:p w14:paraId="08B9A23C" w14:textId="77777777" w:rsidR="005259C7" w:rsidRPr="009C1D66" w:rsidRDefault="005259C7" w:rsidP="00876D2C">
      <w:pPr>
        <w:rPr>
          <w:b/>
          <w:lang w:eastAsia="en-GB"/>
        </w:rPr>
      </w:pPr>
      <w:r w:rsidRPr="009C1D66">
        <w:rPr>
          <w:b/>
          <w:lang w:eastAsia="en-GB"/>
        </w:rPr>
        <w:t>Depreciation</w:t>
      </w:r>
    </w:p>
    <w:p w14:paraId="54917E89" w14:textId="77777777" w:rsidR="005259C7" w:rsidRDefault="005259C7" w:rsidP="00876D2C">
      <w:pPr>
        <w:rPr>
          <w:lang w:eastAsia="en-GB"/>
        </w:rPr>
      </w:pPr>
      <w:r w:rsidRPr="009C1D66">
        <w:rPr>
          <w:lang w:eastAsia="en-GB"/>
        </w:rPr>
        <w:t>The useful lives for land and buildings used for depreciation are assessed by the valuer in groups of 10 year</w:t>
      </w:r>
      <w:r w:rsidR="004B0E77" w:rsidRPr="009C1D66">
        <w:rPr>
          <w:lang w:eastAsia="en-GB"/>
        </w:rPr>
        <w:t>s</w:t>
      </w:r>
      <w:r w:rsidRPr="009C1D66">
        <w:rPr>
          <w:lang w:eastAsia="en-GB"/>
        </w:rPr>
        <w:t xml:space="preserve"> up to over 50 years, namely:</w:t>
      </w:r>
    </w:p>
    <w:p w14:paraId="2CC40D07" w14:textId="77777777" w:rsidR="00B868AF" w:rsidRPr="009C1D66" w:rsidRDefault="00B868AF" w:rsidP="00876D2C">
      <w:pPr>
        <w:rPr>
          <w:lang w:eastAsia="en-GB"/>
        </w:rPr>
      </w:pPr>
    </w:p>
    <w:tbl>
      <w:tblPr>
        <w:tblW w:w="2656"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5"/>
        <w:gridCol w:w="2776"/>
      </w:tblGrid>
      <w:tr w:rsidR="00E12DB9" w:rsidRPr="00F93E1D" w14:paraId="13D86193" w14:textId="77777777" w:rsidTr="00F3439E">
        <w:trPr>
          <w:trHeight w:val="369"/>
          <w:tblHeader/>
          <w:jc w:val="center"/>
        </w:trPr>
        <w:tc>
          <w:tcPr>
            <w:tcW w:w="2500" w:type="pct"/>
            <w:shd w:val="clear" w:color="auto" w:fill="D0CECE"/>
            <w:vAlign w:val="bottom"/>
          </w:tcPr>
          <w:p w14:paraId="6CB02416" w14:textId="77777777" w:rsidR="00E12DB9" w:rsidRPr="009C1D66" w:rsidRDefault="00E12DB9" w:rsidP="000C7D6E">
            <w:pPr>
              <w:jc w:val="left"/>
              <w:rPr>
                <w:b/>
                <w:color w:val="auto"/>
              </w:rPr>
            </w:pPr>
            <w:r w:rsidRPr="009C1D66">
              <w:rPr>
                <w:b/>
                <w:color w:val="auto"/>
              </w:rPr>
              <w:lastRenderedPageBreak/>
              <w:t>Life Grouping</w:t>
            </w:r>
          </w:p>
        </w:tc>
        <w:tc>
          <w:tcPr>
            <w:tcW w:w="2500" w:type="pct"/>
            <w:shd w:val="clear" w:color="auto" w:fill="D0CECE"/>
            <w:vAlign w:val="bottom"/>
          </w:tcPr>
          <w:p w14:paraId="3C65436C" w14:textId="77777777" w:rsidR="00E12DB9" w:rsidRPr="009C1D66" w:rsidRDefault="00E12DB9" w:rsidP="00E12DB9">
            <w:pPr>
              <w:jc w:val="right"/>
              <w:rPr>
                <w:b/>
                <w:color w:val="auto"/>
              </w:rPr>
            </w:pPr>
            <w:r w:rsidRPr="009C1D66">
              <w:rPr>
                <w:b/>
                <w:color w:val="auto"/>
              </w:rPr>
              <w:t>Life used for depreciation</w:t>
            </w:r>
          </w:p>
        </w:tc>
      </w:tr>
      <w:tr w:rsidR="00E12DB9" w:rsidRPr="00F93E1D" w14:paraId="1A15381B" w14:textId="77777777" w:rsidTr="00F3439E">
        <w:trPr>
          <w:trHeight w:val="369"/>
          <w:jc w:val="center"/>
        </w:trPr>
        <w:tc>
          <w:tcPr>
            <w:tcW w:w="2500" w:type="pct"/>
            <w:shd w:val="clear" w:color="auto" w:fill="auto"/>
            <w:vAlign w:val="bottom"/>
          </w:tcPr>
          <w:p w14:paraId="6F2407FC" w14:textId="77777777" w:rsidR="00E12DB9" w:rsidRPr="009C1D66" w:rsidRDefault="00E12DB9" w:rsidP="000C7D6E">
            <w:pPr>
              <w:jc w:val="left"/>
              <w:rPr>
                <w:color w:val="auto"/>
              </w:rPr>
            </w:pPr>
            <w:r w:rsidRPr="009C1D66">
              <w:rPr>
                <w:color w:val="auto"/>
              </w:rPr>
              <w:t>0 up to 10 years</w:t>
            </w:r>
          </w:p>
        </w:tc>
        <w:tc>
          <w:tcPr>
            <w:tcW w:w="2500" w:type="pct"/>
            <w:tcBorders>
              <w:bottom w:val="nil"/>
            </w:tcBorders>
            <w:shd w:val="clear" w:color="auto" w:fill="auto"/>
            <w:vAlign w:val="bottom"/>
          </w:tcPr>
          <w:p w14:paraId="5453489B" w14:textId="77777777" w:rsidR="00E12DB9" w:rsidRPr="009C1D66" w:rsidRDefault="00E12DB9" w:rsidP="00E12DB9">
            <w:pPr>
              <w:tabs>
                <w:tab w:val="decimal" w:pos="1451"/>
              </w:tabs>
              <w:jc w:val="right"/>
              <w:rPr>
                <w:color w:val="auto"/>
              </w:rPr>
            </w:pPr>
            <w:r w:rsidRPr="009C1D66">
              <w:rPr>
                <w:color w:val="auto"/>
              </w:rPr>
              <w:t>specific asset life used</w:t>
            </w:r>
          </w:p>
        </w:tc>
      </w:tr>
      <w:tr w:rsidR="00E12DB9" w:rsidRPr="00F93E1D" w14:paraId="18CE2D65" w14:textId="77777777" w:rsidTr="00F3439E">
        <w:trPr>
          <w:trHeight w:val="369"/>
          <w:jc w:val="center"/>
        </w:trPr>
        <w:tc>
          <w:tcPr>
            <w:tcW w:w="2500" w:type="pct"/>
            <w:shd w:val="clear" w:color="auto" w:fill="auto"/>
            <w:vAlign w:val="bottom"/>
          </w:tcPr>
          <w:p w14:paraId="3B161676" w14:textId="77777777" w:rsidR="00E12DB9" w:rsidRPr="009C1D66" w:rsidRDefault="00E12DB9" w:rsidP="000C7D6E">
            <w:pPr>
              <w:jc w:val="left"/>
              <w:rPr>
                <w:color w:val="auto"/>
              </w:rPr>
            </w:pPr>
            <w:r w:rsidRPr="009C1D66">
              <w:rPr>
                <w:color w:val="auto"/>
              </w:rPr>
              <w:t>10-20 years</w:t>
            </w:r>
          </w:p>
        </w:tc>
        <w:tc>
          <w:tcPr>
            <w:tcW w:w="2500" w:type="pct"/>
            <w:tcBorders>
              <w:bottom w:val="nil"/>
            </w:tcBorders>
            <w:shd w:val="clear" w:color="auto" w:fill="auto"/>
            <w:vAlign w:val="bottom"/>
          </w:tcPr>
          <w:p w14:paraId="59687E9D" w14:textId="77777777" w:rsidR="00E12DB9" w:rsidRPr="009C1D66" w:rsidRDefault="00E12DB9" w:rsidP="00E12DB9">
            <w:pPr>
              <w:tabs>
                <w:tab w:val="decimal" w:pos="1451"/>
              </w:tabs>
              <w:jc w:val="right"/>
              <w:rPr>
                <w:color w:val="auto"/>
              </w:rPr>
            </w:pPr>
            <w:r w:rsidRPr="009C1D66">
              <w:rPr>
                <w:color w:val="auto"/>
              </w:rPr>
              <w:t>10</w:t>
            </w:r>
          </w:p>
        </w:tc>
      </w:tr>
      <w:tr w:rsidR="00E12DB9" w:rsidRPr="00F93E1D" w14:paraId="0A223F9F" w14:textId="77777777" w:rsidTr="00F3439E">
        <w:trPr>
          <w:trHeight w:val="369"/>
          <w:jc w:val="center"/>
        </w:trPr>
        <w:tc>
          <w:tcPr>
            <w:tcW w:w="2500" w:type="pct"/>
            <w:shd w:val="clear" w:color="auto" w:fill="auto"/>
            <w:vAlign w:val="bottom"/>
          </w:tcPr>
          <w:p w14:paraId="38B045CC" w14:textId="77777777" w:rsidR="00E12DB9" w:rsidRPr="009C1D66" w:rsidRDefault="00E12DB9" w:rsidP="00E12DB9">
            <w:pPr>
              <w:jc w:val="left"/>
              <w:rPr>
                <w:color w:val="auto"/>
              </w:rPr>
            </w:pPr>
            <w:r w:rsidRPr="009C1D66">
              <w:rPr>
                <w:color w:val="auto"/>
              </w:rPr>
              <w:t>20-30 years</w:t>
            </w:r>
          </w:p>
        </w:tc>
        <w:tc>
          <w:tcPr>
            <w:tcW w:w="2500" w:type="pct"/>
            <w:tcBorders>
              <w:bottom w:val="nil"/>
            </w:tcBorders>
            <w:shd w:val="clear" w:color="auto" w:fill="auto"/>
            <w:vAlign w:val="bottom"/>
          </w:tcPr>
          <w:p w14:paraId="5D726F3C" w14:textId="77777777" w:rsidR="00E12DB9" w:rsidRPr="009C1D66" w:rsidRDefault="00E12DB9" w:rsidP="00E12DB9">
            <w:pPr>
              <w:tabs>
                <w:tab w:val="decimal" w:pos="1451"/>
              </w:tabs>
              <w:jc w:val="right"/>
              <w:rPr>
                <w:color w:val="auto"/>
              </w:rPr>
            </w:pPr>
            <w:r w:rsidRPr="009C1D66">
              <w:rPr>
                <w:color w:val="auto"/>
              </w:rPr>
              <w:t>20</w:t>
            </w:r>
          </w:p>
        </w:tc>
      </w:tr>
      <w:tr w:rsidR="00E12DB9" w:rsidRPr="00F93E1D" w14:paraId="1DF82190" w14:textId="77777777" w:rsidTr="00F3439E">
        <w:trPr>
          <w:trHeight w:val="369"/>
          <w:jc w:val="center"/>
        </w:trPr>
        <w:tc>
          <w:tcPr>
            <w:tcW w:w="2500" w:type="pct"/>
            <w:tcBorders>
              <w:bottom w:val="nil"/>
            </w:tcBorders>
            <w:shd w:val="clear" w:color="auto" w:fill="auto"/>
            <w:vAlign w:val="bottom"/>
          </w:tcPr>
          <w:p w14:paraId="5EEF5CAD" w14:textId="77777777" w:rsidR="00E12DB9" w:rsidRPr="009C1D66" w:rsidRDefault="00E12DB9" w:rsidP="00E12DB9">
            <w:pPr>
              <w:jc w:val="left"/>
              <w:rPr>
                <w:color w:val="auto"/>
              </w:rPr>
            </w:pPr>
            <w:r w:rsidRPr="009C1D66">
              <w:rPr>
                <w:color w:val="auto"/>
              </w:rPr>
              <w:t>30-40 years</w:t>
            </w:r>
          </w:p>
        </w:tc>
        <w:tc>
          <w:tcPr>
            <w:tcW w:w="2500" w:type="pct"/>
            <w:tcBorders>
              <w:bottom w:val="nil"/>
            </w:tcBorders>
            <w:shd w:val="clear" w:color="auto" w:fill="auto"/>
            <w:vAlign w:val="bottom"/>
          </w:tcPr>
          <w:p w14:paraId="1FC32F3E" w14:textId="77777777" w:rsidR="00E12DB9" w:rsidRPr="009C1D66" w:rsidRDefault="00E12DB9" w:rsidP="00E12DB9">
            <w:pPr>
              <w:tabs>
                <w:tab w:val="decimal" w:pos="1451"/>
              </w:tabs>
              <w:jc w:val="right"/>
              <w:rPr>
                <w:color w:val="auto"/>
              </w:rPr>
            </w:pPr>
            <w:r w:rsidRPr="009C1D66">
              <w:rPr>
                <w:color w:val="auto"/>
              </w:rPr>
              <w:t>30</w:t>
            </w:r>
          </w:p>
        </w:tc>
      </w:tr>
      <w:tr w:rsidR="00E12DB9" w:rsidRPr="003C0F16" w14:paraId="152ECD6A" w14:textId="77777777" w:rsidTr="00F3439E">
        <w:trPr>
          <w:trHeight w:val="369"/>
          <w:jc w:val="center"/>
        </w:trPr>
        <w:tc>
          <w:tcPr>
            <w:tcW w:w="2500" w:type="pct"/>
            <w:tcBorders>
              <w:top w:val="nil"/>
              <w:bottom w:val="nil"/>
            </w:tcBorders>
            <w:shd w:val="clear" w:color="auto" w:fill="auto"/>
            <w:vAlign w:val="bottom"/>
          </w:tcPr>
          <w:p w14:paraId="532C4217" w14:textId="77777777" w:rsidR="00E12DB9" w:rsidRPr="009C1D66" w:rsidRDefault="00E12DB9" w:rsidP="000C7D6E">
            <w:pPr>
              <w:jc w:val="left"/>
              <w:rPr>
                <w:color w:val="auto"/>
              </w:rPr>
            </w:pPr>
            <w:r w:rsidRPr="009C1D66">
              <w:rPr>
                <w:color w:val="auto"/>
              </w:rPr>
              <w:t>40-50 years</w:t>
            </w:r>
          </w:p>
        </w:tc>
        <w:tc>
          <w:tcPr>
            <w:tcW w:w="2500" w:type="pct"/>
            <w:tcBorders>
              <w:top w:val="nil"/>
              <w:bottom w:val="nil"/>
            </w:tcBorders>
            <w:shd w:val="clear" w:color="auto" w:fill="auto"/>
            <w:vAlign w:val="bottom"/>
          </w:tcPr>
          <w:p w14:paraId="63F04FB5" w14:textId="77777777" w:rsidR="00E12DB9" w:rsidRPr="009C1D66" w:rsidRDefault="00E12DB9" w:rsidP="00E12DB9">
            <w:pPr>
              <w:tabs>
                <w:tab w:val="decimal" w:pos="1451"/>
              </w:tabs>
              <w:jc w:val="right"/>
              <w:rPr>
                <w:color w:val="auto"/>
              </w:rPr>
            </w:pPr>
            <w:r w:rsidRPr="009C1D66">
              <w:rPr>
                <w:color w:val="auto"/>
              </w:rPr>
              <w:t>40</w:t>
            </w:r>
          </w:p>
        </w:tc>
      </w:tr>
      <w:tr w:rsidR="00E12DB9" w:rsidRPr="003C0F16" w14:paraId="3CC69362" w14:textId="77777777" w:rsidTr="00F3439E">
        <w:trPr>
          <w:trHeight w:val="369"/>
          <w:jc w:val="center"/>
        </w:trPr>
        <w:tc>
          <w:tcPr>
            <w:tcW w:w="2500" w:type="pct"/>
            <w:tcBorders>
              <w:top w:val="nil"/>
              <w:bottom w:val="single" w:sz="4" w:space="0" w:color="auto"/>
            </w:tcBorders>
            <w:shd w:val="clear" w:color="auto" w:fill="auto"/>
            <w:vAlign w:val="bottom"/>
          </w:tcPr>
          <w:p w14:paraId="3F8B1C3F" w14:textId="77777777" w:rsidR="00E12DB9" w:rsidRPr="009C1D66" w:rsidRDefault="00E12DB9" w:rsidP="000C7D6E">
            <w:pPr>
              <w:jc w:val="left"/>
              <w:rPr>
                <w:color w:val="auto"/>
              </w:rPr>
            </w:pPr>
            <w:r w:rsidRPr="009C1D66">
              <w:rPr>
                <w:color w:val="auto"/>
              </w:rPr>
              <w:t>Over 50 years</w:t>
            </w:r>
          </w:p>
        </w:tc>
        <w:tc>
          <w:tcPr>
            <w:tcW w:w="2500" w:type="pct"/>
            <w:tcBorders>
              <w:top w:val="nil"/>
              <w:bottom w:val="single" w:sz="4" w:space="0" w:color="auto"/>
            </w:tcBorders>
            <w:shd w:val="clear" w:color="auto" w:fill="auto"/>
            <w:vAlign w:val="bottom"/>
          </w:tcPr>
          <w:p w14:paraId="56C77454" w14:textId="77777777" w:rsidR="00E12DB9" w:rsidRPr="009C1D66" w:rsidRDefault="00E12DB9" w:rsidP="00E12DB9">
            <w:pPr>
              <w:tabs>
                <w:tab w:val="decimal" w:pos="1451"/>
              </w:tabs>
              <w:jc w:val="right"/>
              <w:rPr>
                <w:color w:val="auto"/>
              </w:rPr>
            </w:pPr>
            <w:r w:rsidRPr="009C1D66">
              <w:rPr>
                <w:color w:val="auto"/>
              </w:rPr>
              <w:t>50</w:t>
            </w:r>
          </w:p>
        </w:tc>
      </w:tr>
    </w:tbl>
    <w:p w14:paraId="2DF88EF2" w14:textId="77777777" w:rsidR="006148DA" w:rsidRDefault="006148DA" w:rsidP="00876D2C">
      <w:pPr>
        <w:rPr>
          <w:lang w:eastAsia="en-GB"/>
        </w:rPr>
      </w:pPr>
    </w:p>
    <w:p w14:paraId="0697D6C0" w14:textId="77777777" w:rsidR="00E12DB9" w:rsidRPr="009C1D66" w:rsidRDefault="00E12DB9" w:rsidP="00876D2C">
      <w:pPr>
        <w:rPr>
          <w:lang w:eastAsia="en-GB"/>
        </w:rPr>
      </w:pPr>
      <w:r w:rsidRPr="009C1D66">
        <w:rPr>
          <w:lang w:eastAsia="en-GB"/>
        </w:rPr>
        <w:t>The following useful lives and depreciation rates have been used in the calculation of depreciation:</w:t>
      </w:r>
    </w:p>
    <w:p w14:paraId="0A1626BF" w14:textId="77777777" w:rsidR="00E12DB9" w:rsidRPr="009C1D66" w:rsidRDefault="00E12DB9" w:rsidP="00EC401F">
      <w:pPr>
        <w:numPr>
          <w:ilvl w:val="0"/>
          <w:numId w:val="36"/>
        </w:numPr>
        <w:rPr>
          <w:lang w:eastAsia="en-GB"/>
        </w:rPr>
      </w:pPr>
      <w:r w:rsidRPr="009C1D66">
        <w:rPr>
          <w:lang w:eastAsia="en-GB"/>
        </w:rPr>
        <w:t>Land is not depreciated</w:t>
      </w:r>
    </w:p>
    <w:p w14:paraId="0ED91A32" w14:textId="77777777" w:rsidR="00E12DB9" w:rsidRPr="009C1D66" w:rsidRDefault="00E12DB9" w:rsidP="00EC401F">
      <w:pPr>
        <w:numPr>
          <w:ilvl w:val="0"/>
          <w:numId w:val="36"/>
        </w:numPr>
        <w:rPr>
          <w:lang w:eastAsia="en-GB"/>
        </w:rPr>
      </w:pPr>
      <w:r w:rsidRPr="009C1D66">
        <w:rPr>
          <w:lang w:eastAsia="en-GB"/>
        </w:rPr>
        <w:t xml:space="preserve">Vehicles, Plant, Furniture and Equipment </w:t>
      </w:r>
      <w:r w:rsidR="004B0E77" w:rsidRPr="009C1D66">
        <w:rPr>
          <w:lang w:eastAsia="en-GB"/>
        </w:rPr>
        <w:t xml:space="preserve">- </w:t>
      </w:r>
      <w:r w:rsidRPr="009C1D66">
        <w:rPr>
          <w:lang w:eastAsia="en-GB"/>
        </w:rPr>
        <w:t>10 years</w:t>
      </w:r>
    </w:p>
    <w:p w14:paraId="39CEBB78" w14:textId="77777777" w:rsidR="00E12DB9" w:rsidRPr="009C1D66" w:rsidRDefault="00E12DB9" w:rsidP="00EC401F">
      <w:pPr>
        <w:numPr>
          <w:ilvl w:val="0"/>
          <w:numId w:val="36"/>
        </w:numPr>
        <w:rPr>
          <w:lang w:eastAsia="en-GB"/>
        </w:rPr>
      </w:pPr>
      <w:r w:rsidRPr="009C1D66">
        <w:rPr>
          <w:lang w:eastAsia="en-GB"/>
        </w:rPr>
        <w:t>Infrastructure generally 50 years with exceptions as based on advice from surveyors</w:t>
      </w:r>
    </w:p>
    <w:p w14:paraId="0EB6A5E0" w14:textId="17E12E86" w:rsidR="00E12DB9" w:rsidRPr="009C1D66" w:rsidRDefault="001E537B" w:rsidP="00E12DB9">
      <w:pPr>
        <w:rPr>
          <w:b/>
          <w:lang w:eastAsia="en-GB"/>
        </w:rPr>
      </w:pPr>
      <w:r w:rsidRPr="009C1D66">
        <w:rPr>
          <w:b/>
          <w:lang w:eastAsia="en-GB"/>
        </w:rPr>
        <w:t>Property, Plant and Equipment</w:t>
      </w:r>
      <w:r w:rsidR="00311222">
        <w:rPr>
          <w:b/>
          <w:lang w:eastAsia="en-GB"/>
        </w:rPr>
        <w:t xml:space="preserve"> v</w:t>
      </w:r>
      <w:r w:rsidR="00E12DB9" w:rsidRPr="009C1D66">
        <w:rPr>
          <w:b/>
          <w:lang w:eastAsia="en-GB"/>
        </w:rPr>
        <w:t>aluation</w:t>
      </w:r>
    </w:p>
    <w:p w14:paraId="582A6AEE" w14:textId="77777777" w:rsidR="00E12DB9" w:rsidRPr="009C1D66" w:rsidRDefault="00E12DB9" w:rsidP="00E12DB9">
      <w:pPr>
        <w:rPr>
          <w:lang w:eastAsia="en-GB"/>
        </w:rPr>
      </w:pPr>
      <w:r w:rsidRPr="009C1D66">
        <w:rPr>
          <w:lang w:eastAsia="en-GB"/>
        </w:rPr>
        <w:t xml:space="preserve">All valuations have been undertaken in accordance with the practice statements, guidance notes and valuation information papers of the Royal Institution of Chartered Surveyors’ (RICS) Valuation </w:t>
      </w:r>
      <w:r w:rsidRPr="009C1D66">
        <w:rPr>
          <w:lang w:eastAsia="en-GB"/>
        </w:rPr>
        <w:lastRenderedPageBreak/>
        <w:t>Standards (The Red Book) and in accordance with CIPFA regulations and current Code of Practice on Local Authority Accounting.</w:t>
      </w:r>
    </w:p>
    <w:p w14:paraId="6E550014" w14:textId="77777777" w:rsidR="00E12DB9" w:rsidRPr="009C1D66" w:rsidRDefault="00E12DB9" w:rsidP="00E12DB9">
      <w:pPr>
        <w:rPr>
          <w:lang w:eastAsia="en-GB"/>
        </w:rPr>
      </w:pPr>
      <w:r w:rsidRPr="009C1D66">
        <w:rPr>
          <w:lang w:eastAsia="en-GB"/>
        </w:rPr>
        <w:t xml:space="preserve">Properties regarded by the council as operational are to be valued on the basis of existing use value  or, where this cannot be assessed because there is no market for the subject asset, the depreciated replacement cost. </w:t>
      </w:r>
    </w:p>
    <w:p w14:paraId="4DF0F461" w14:textId="77777777" w:rsidR="00E12DB9" w:rsidRPr="009C1D66" w:rsidRDefault="00E12DB9" w:rsidP="00E12DB9">
      <w:pPr>
        <w:rPr>
          <w:lang w:eastAsia="en-GB"/>
        </w:rPr>
      </w:pPr>
      <w:r w:rsidRPr="009C1D66">
        <w:rPr>
          <w:lang w:eastAsia="en-GB"/>
        </w:rPr>
        <w:t>Properties regarded by the council as non-operational are to be valued on the basis of market value.</w:t>
      </w:r>
    </w:p>
    <w:p w14:paraId="2FDC037B" w14:textId="05CF1A35" w:rsidR="00E12DB9" w:rsidRPr="009C1D66" w:rsidRDefault="00E12DB9" w:rsidP="00E12DB9">
      <w:pPr>
        <w:rPr>
          <w:lang w:eastAsia="en-GB"/>
        </w:rPr>
      </w:pPr>
      <w:r w:rsidRPr="009C1D66">
        <w:rPr>
          <w:lang w:eastAsia="en-GB"/>
        </w:rPr>
        <w:t>No property valuation is to be more than five years old and at least 20% of properties are revalued each year</w:t>
      </w:r>
      <w:r w:rsidR="001575F2">
        <w:rPr>
          <w:lang w:eastAsia="en-GB"/>
        </w:rPr>
        <w:t>.</w:t>
      </w:r>
    </w:p>
    <w:p w14:paraId="267E6226" w14:textId="752D0532" w:rsidR="00E12DB9" w:rsidRDefault="00E12DB9" w:rsidP="00E12DB9">
      <w:pPr>
        <w:rPr>
          <w:lang w:eastAsia="en-GB"/>
        </w:rPr>
      </w:pPr>
      <w:r w:rsidRPr="009C1D66">
        <w:rPr>
          <w:lang w:eastAsia="en-GB"/>
        </w:rPr>
        <w:t xml:space="preserve">The following statement shows the progress of the council's rolling programme for the revaluation of </w:t>
      </w:r>
      <w:r w:rsidR="001E537B" w:rsidRPr="009C1D66">
        <w:rPr>
          <w:lang w:eastAsia="en-GB"/>
        </w:rPr>
        <w:t>property, plant and equipment</w:t>
      </w:r>
      <w:r w:rsidRPr="009C1D66">
        <w:rPr>
          <w:lang w:eastAsia="en-GB"/>
        </w:rPr>
        <w:t>. Valuations are undertaken internally by Lancashire County Council’s Property Group</w:t>
      </w:r>
      <w:r w:rsidR="001575F2">
        <w:rPr>
          <w:lang w:eastAsia="en-GB"/>
        </w:rPr>
        <w:t xml:space="preserve"> with the exception of the waste plant equipment for which specialist valuers have been commissioned.</w:t>
      </w:r>
      <w:r w:rsidRPr="009C1D66">
        <w:rPr>
          <w:lang w:eastAsia="en-GB"/>
        </w:rPr>
        <w:t xml:space="preserve"> All valuations have been undertaken by qualified Chartered Surveyors who are members of the Royal Institution of Chartered Surveyors. The basis for valuation is set out in the statement of accounting policies.</w:t>
      </w:r>
    </w:p>
    <w:p w14:paraId="00F2713F" w14:textId="77777777" w:rsidR="003931E0" w:rsidRDefault="003931E0" w:rsidP="00E12DB9">
      <w:pPr>
        <w:rPr>
          <w:lang w:eastAsia="en-GB"/>
        </w:rPr>
      </w:pPr>
    </w:p>
    <w:p w14:paraId="6FEF369B" w14:textId="77777777" w:rsidR="003931E0" w:rsidRDefault="003931E0" w:rsidP="00E12DB9">
      <w:pPr>
        <w:rPr>
          <w:lang w:eastAsia="en-GB"/>
        </w:rPr>
      </w:pPr>
    </w:p>
    <w:tbl>
      <w:tblPr>
        <w:tblW w:w="2914"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6"/>
        <w:gridCol w:w="2834"/>
      </w:tblGrid>
      <w:tr w:rsidR="00E12DB9" w:rsidRPr="003C0F16" w14:paraId="4826C050" w14:textId="77777777" w:rsidTr="00F3439E">
        <w:trPr>
          <w:trHeight w:val="369"/>
          <w:tblHeader/>
          <w:jc w:val="center"/>
        </w:trPr>
        <w:tc>
          <w:tcPr>
            <w:tcW w:w="2673" w:type="pct"/>
            <w:shd w:val="clear" w:color="auto" w:fill="D0CECE"/>
            <w:vAlign w:val="bottom"/>
          </w:tcPr>
          <w:p w14:paraId="598804D3" w14:textId="77777777" w:rsidR="00E12DB9" w:rsidRPr="003C0F16" w:rsidRDefault="00E12DB9" w:rsidP="000C7D6E">
            <w:pPr>
              <w:jc w:val="left"/>
              <w:rPr>
                <w:color w:val="auto"/>
                <w:highlight w:val="yellow"/>
              </w:rPr>
            </w:pPr>
          </w:p>
        </w:tc>
        <w:tc>
          <w:tcPr>
            <w:tcW w:w="2327" w:type="pct"/>
            <w:shd w:val="clear" w:color="auto" w:fill="D0CECE"/>
            <w:vAlign w:val="bottom"/>
          </w:tcPr>
          <w:p w14:paraId="522DF542" w14:textId="77777777" w:rsidR="00E12DB9" w:rsidRPr="00A84DB6" w:rsidRDefault="00E12DB9" w:rsidP="000C7D6E">
            <w:pPr>
              <w:jc w:val="center"/>
              <w:rPr>
                <w:b/>
                <w:color w:val="auto"/>
              </w:rPr>
            </w:pPr>
            <w:r w:rsidRPr="00A84DB6">
              <w:rPr>
                <w:b/>
                <w:color w:val="auto"/>
              </w:rPr>
              <w:t>Land and Buildings</w:t>
            </w:r>
          </w:p>
        </w:tc>
      </w:tr>
      <w:tr w:rsidR="00E12DB9" w:rsidRPr="003C0F16" w14:paraId="583B81BD" w14:textId="77777777" w:rsidTr="00F3439E">
        <w:trPr>
          <w:trHeight w:val="369"/>
          <w:tblHeader/>
          <w:jc w:val="center"/>
        </w:trPr>
        <w:tc>
          <w:tcPr>
            <w:tcW w:w="2673" w:type="pct"/>
            <w:shd w:val="clear" w:color="auto" w:fill="D0CECE"/>
            <w:vAlign w:val="bottom"/>
          </w:tcPr>
          <w:p w14:paraId="11ACA704" w14:textId="77777777" w:rsidR="00E12DB9" w:rsidRPr="003C0F16" w:rsidRDefault="00E12DB9" w:rsidP="000C7D6E">
            <w:pPr>
              <w:jc w:val="left"/>
              <w:rPr>
                <w:color w:val="auto"/>
                <w:highlight w:val="yellow"/>
              </w:rPr>
            </w:pPr>
          </w:p>
        </w:tc>
        <w:tc>
          <w:tcPr>
            <w:tcW w:w="2327" w:type="pct"/>
            <w:shd w:val="clear" w:color="auto" w:fill="D0CECE"/>
            <w:vAlign w:val="bottom"/>
          </w:tcPr>
          <w:p w14:paraId="278FF1C9" w14:textId="77777777" w:rsidR="00E12DB9" w:rsidRPr="00A84DB6" w:rsidRDefault="00E12DB9" w:rsidP="000C7D6E">
            <w:pPr>
              <w:jc w:val="center"/>
              <w:rPr>
                <w:b/>
                <w:color w:val="auto"/>
              </w:rPr>
            </w:pPr>
            <w:r w:rsidRPr="00A84DB6">
              <w:rPr>
                <w:b/>
                <w:color w:val="auto"/>
              </w:rPr>
              <w:t>£m</w:t>
            </w:r>
          </w:p>
        </w:tc>
      </w:tr>
      <w:tr w:rsidR="00E12DB9" w:rsidRPr="003C0F16" w14:paraId="7ED97DE4" w14:textId="77777777" w:rsidTr="00F3439E">
        <w:trPr>
          <w:trHeight w:val="369"/>
          <w:jc w:val="center"/>
        </w:trPr>
        <w:tc>
          <w:tcPr>
            <w:tcW w:w="2673" w:type="pct"/>
            <w:shd w:val="clear" w:color="auto" w:fill="auto"/>
            <w:vAlign w:val="bottom"/>
          </w:tcPr>
          <w:p w14:paraId="7DED01B4" w14:textId="77777777" w:rsidR="00E12DB9" w:rsidRPr="00A84DB6" w:rsidRDefault="00E12DB9" w:rsidP="000C7D6E">
            <w:pPr>
              <w:jc w:val="left"/>
              <w:rPr>
                <w:color w:val="auto"/>
              </w:rPr>
            </w:pPr>
            <w:r w:rsidRPr="00A84DB6">
              <w:rPr>
                <w:color w:val="auto"/>
              </w:rPr>
              <w:t>Valued at historical cost</w:t>
            </w:r>
          </w:p>
        </w:tc>
        <w:tc>
          <w:tcPr>
            <w:tcW w:w="2327" w:type="pct"/>
            <w:tcBorders>
              <w:bottom w:val="nil"/>
            </w:tcBorders>
            <w:shd w:val="clear" w:color="auto" w:fill="auto"/>
            <w:vAlign w:val="bottom"/>
          </w:tcPr>
          <w:p w14:paraId="086752A0" w14:textId="780FA347" w:rsidR="00E12DB9" w:rsidRPr="00A84DB6" w:rsidRDefault="00BB6F2A" w:rsidP="00BB6F2A">
            <w:pPr>
              <w:tabs>
                <w:tab w:val="decimal" w:pos="1451"/>
              </w:tabs>
              <w:rPr>
                <w:color w:val="auto"/>
              </w:rPr>
            </w:pPr>
            <w:r>
              <w:rPr>
                <w:color w:val="auto"/>
              </w:rPr>
              <w:t>123.5</w:t>
            </w:r>
          </w:p>
        </w:tc>
      </w:tr>
      <w:tr w:rsidR="00E12DB9" w:rsidRPr="003C0F16" w14:paraId="16DAF276" w14:textId="77777777" w:rsidTr="00F3439E">
        <w:trPr>
          <w:trHeight w:val="369"/>
          <w:jc w:val="center"/>
        </w:trPr>
        <w:tc>
          <w:tcPr>
            <w:tcW w:w="2673" w:type="pct"/>
            <w:shd w:val="clear" w:color="auto" w:fill="auto"/>
            <w:vAlign w:val="bottom"/>
          </w:tcPr>
          <w:p w14:paraId="78BF95C0" w14:textId="77777777" w:rsidR="00E12DB9" w:rsidRPr="00A84DB6" w:rsidRDefault="00E12DB9" w:rsidP="000C7D6E">
            <w:pPr>
              <w:jc w:val="left"/>
              <w:rPr>
                <w:color w:val="auto"/>
              </w:rPr>
            </w:pPr>
            <w:r w:rsidRPr="00A84DB6">
              <w:rPr>
                <w:color w:val="auto"/>
              </w:rPr>
              <w:t>Valued at current value in:</w:t>
            </w:r>
          </w:p>
        </w:tc>
        <w:tc>
          <w:tcPr>
            <w:tcW w:w="2327" w:type="pct"/>
            <w:tcBorders>
              <w:bottom w:val="nil"/>
            </w:tcBorders>
            <w:shd w:val="clear" w:color="auto" w:fill="auto"/>
            <w:vAlign w:val="bottom"/>
          </w:tcPr>
          <w:p w14:paraId="68E0E5C0" w14:textId="77777777" w:rsidR="00E12DB9" w:rsidRPr="00A84DB6" w:rsidRDefault="00E12DB9" w:rsidP="000C7D6E">
            <w:pPr>
              <w:tabs>
                <w:tab w:val="decimal" w:pos="1451"/>
              </w:tabs>
              <w:rPr>
                <w:color w:val="auto"/>
              </w:rPr>
            </w:pPr>
          </w:p>
        </w:tc>
      </w:tr>
      <w:tr w:rsidR="00E12DB9" w:rsidRPr="003C0F16" w14:paraId="0E9BE234" w14:textId="77777777" w:rsidTr="00F3439E">
        <w:trPr>
          <w:trHeight w:val="369"/>
          <w:jc w:val="center"/>
        </w:trPr>
        <w:tc>
          <w:tcPr>
            <w:tcW w:w="2673" w:type="pct"/>
            <w:shd w:val="clear" w:color="auto" w:fill="auto"/>
            <w:vAlign w:val="bottom"/>
          </w:tcPr>
          <w:p w14:paraId="68944812" w14:textId="77777777" w:rsidR="00E12DB9" w:rsidRPr="00A84DB6" w:rsidRDefault="00E12DB9" w:rsidP="000C7D6E">
            <w:pPr>
              <w:jc w:val="left"/>
              <w:rPr>
                <w:color w:val="auto"/>
              </w:rPr>
            </w:pPr>
            <w:r w:rsidRPr="00A84DB6">
              <w:rPr>
                <w:color w:val="auto"/>
              </w:rPr>
              <w:t>2014/15</w:t>
            </w:r>
          </w:p>
        </w:tc>
        <w:tc>
          <w:tcPr>
            <w:tcW w:w="2327" w:type="pct"/>
            <w:tcBorders>
              <w:bottom w:val="nil"/>
            </w:tcBorders>
            <w:shd w:val="clear" w:color="auto" w:fill="auto"/>
            <w:vAlign w:val="bottom"/>
          </w:tcPr>
          <w:p w14:paraId="1B9DC504" w14:textId="6E925F42" w:rsidR="00E12DB9" w:rsidRPr="00A84DB6" w:rsidRDefault="00A84DB6" w:rsidP="00A84DB6">
            <w:pPr>
              <w:tabs>
                <w:tab w:val="decimal" w:pos="1451"/>
              </w:tabs>
              <w:rPr>
                <w:color w:val="auto"/>
              </w:rPr>
            </w:pPr>
            <w:r w:rsidRPr="00A84DB6">
              <w:rPr>
                <w:color w:val="auto"/>
              </w:rPr>
              <w:t>393.3</w:t>
            </w:r>
          </w:p>
        </w:tc>
      </w:tr>
      <w:tr w:rsidR="00E12DB9" w:rsidRPr="003C0F16" w14:paraId="33C25CCF" w14:textId="77777777" w:rsidTr="00F3439E">
        <w:trPr>
          <w:trHeight w:val="369"/>
          <w:jc w:val="center"/>
        </w:trPr>
        <w:tc>
          <w:tcPr>
            <w:tcW w:w="2673" w:type="pct"/>
            <w:shd w:val="clear" w:color="auto" w:fill="auto"/>
            <w:vAlign w:val="bottom"/>
          </w:tcPr>
          <w:p w14:paraId="0D419DC4" w14:textId="77777777" w:rsidR="00E12DB9" w:rsidRPr="00A84DB6" w:rsidRDefault="00E12DB9" w:rsidP="000C7D6E">
            <w:pPr>
              <w:jc w:val="left"/>
              <w:rPr>
                <w:color w:val="auto"/>
              </w:rPr>
            </w:pPr>
            <w:r w:rsidRPr="00A84DB6">
              <w:rPr>
                <w:color w:val="auto"/>
              </w:rPr>
              <w:t>2013/14</w:t>
            </w:r>
          </w:p>
        </w:tc>
        <w:tc>
          <w:tcPr>
            <w:tcW w:w="2327" w:type="pct"/>
            <w:tcBorders>
              <w:bottom w:val="nil"/>
            </w:tcBorders>
            <w:shd w:val="clear" w:color="auto" w:fill="auto"/>
            <w:vAlign w:val="bottom"/>
          </w:tcPr>
          <w:p w14:paraId="294E1683" w14:textId="4ECF3AF5" w:rsidR="00E12DB9" w:rsidRPr="00A84DB6" w:rsidRDefault="00D8682B" w:rsidP="00D2689C">
            <w:pPr>
              <w:tabs>
                <w:tab w:val="decimal" w:pos="1451"/>
              </w:tabs>
              <w:rPr>
                <w:color w:val="auto"/>
              </w:rPr>
            </w:pPr>
            <w:r w:rsidRPr="00A84DB6">
              <w:rPr>
                <w:color w:val="auto"/>
              </w:rPr>
              <w:t>4</w:t>
            </w:r>
            <w:r w:rsidR="00A84DB6" w:rsidRPr="00A84DB6">
              <w:rPr>
                <w:color w:val="auto"/>
              </w:rPr>
              <w:t>00.</w:t>
            </w:r>
            <w:r w:rsidR="00D2689C">
              <w:rPr>
                <w:color w:val="auto"/>
              </w:rPr>
              <w:t>6</w:t>
            </w:r>
          </w:p>
        </w:tc>
      </w:tr>
      <w:tr w:rsidR="00E12DB9" w:rsidRPr="003C0F16" w14:paraId="19A1DD4B" w14:textId="77777777" w:rsidTr="00F3439E">
        <w:trPr>
          <w:trHeight w:val="369"/>
          <w:jc w:val="center"/>
        </w:trPr>
        <w:tc>
          <w:tcPr>
            <w:tcW w:w="2673" w:type="pct"/>
            <w:shd w:val="clear" w:color="auto" w:fill="auto"/>
            <w:vAlign w:val="bottom"/>
          </w:tcPr>
          <w:p w14:paraId="426F3409" w14:textId="77777777" w:rsidR="00E12DB9" w:rsidRPr="00A84DB6" w:rsidRDefault="00E12DB9" w:rsidP="000C7D6E">
            <w:pPr>
              <w:jc w:val="left"/>
              <w:rPr>
                <w:color w:val="auto"/>
              </w:rPr>
            </w:pPr>
            <w:r w:rsidRPr="00A84DB6">
              <w:rPr>
                <w:color w:val="auto"/>
              </w:rPr>
              <w:t>2012/13</w:t>
            </w:r>
          </w:p>
        </w:tc>
        <w:tc>
          <w:tcPr>
            <w:tcW w:w="2327" w:type="pct"/>
            <w:tcBorders>
              <w:bottom w:val="nil"/>
            </w:tcBorders>
            <w:shd w:val="clear" w:color="auto" w:fill="auto"/>
            <w:vAlign w:val="bottom"/>
          </w:tcPr>
          <w:p w14:paraId="3F2C1802" w14:textId="3A601C8F" w:rsidR="00E12DB9" w:rsidRPr="00A84DB6" w:rsidRDefault="00D8682B" w:rsidP="00A84DB6">
            <w:pPr>
              <w:tabs>
                <w:tab w:val="decimal" w:pos="1451"/>
              </w:tabs>
              <w:rPr>
                <w:color w:val="auto"/>
              </w:rPr>
            </w:pPr>
            <w:r w:rsidRPr="00A84DB6">
              <w:rPr>
                <w:color w:val="auto"/>
              </w:rPr>
              <w:t>31</w:t>
            </w:r>
            <w:r w:rsidR="00A84DB6" w:rsidRPr="00A84DB6">
              <w:rPr>
                <w:color w:val="auto"/>
              </w:rPr>
              <w:t>1.9</w:t>
            </w:r>
          </w:p>
        </w:tc>
      </w:tr>
      <w:tr w:rsidR="00E12DB9" w:rsidRPr="003C0F16" w14:paraId="51A988FC" w14:textId="77777777" w:rsidTr="00F3439E">
        <w:trPr>
          <w:trHeight w:val="369"/>
          <w:jc w:val="center"/>
        </w:trPr>
        <w:tc>
          <w:tcPr>
            <w:tcW w:w="2673" w:type="pct"/>
            <w:shd w:val="clear" w:color="auto" w:fill="auto"/>
            <w:vAlign w:val="bottom"/>
          </w:tcPr>
          <w:p w14:paraId="71B3548B" w14:textId="77777777" w:rsidR="00E12DB9" w:rsidRPr="00A84DB6" w:rsidRDefault="00E12DB9" w:rsidP="000C7D6E">
            <w:pPr>
              <w:jc w:val="left"/>
              <w:rPr>
                <w:color w:val="auto"/>
              </w:rPr>
            </w:pPr>
            <w:r w:rsidRPr="00A84DB6">
              <w:rPr>
                <w:color w:val="auto"/>
              </w:rPr>
              <w:t>2011/12</w:t>
            </w:r>
          </w:p>
        </w:tc>
        <w:tc>
          <w:tcPr>
            <w:tcW w:w="2327" w:type="pct"/>
            <w:tcBorders>
              <w:bottom w:val="nil"/>
            </w:tcBorders>
            <w:shd w:val="clear" w:color="auto" w:fill="auto"/>
            <w:vAlign w:val="bottom"/>
          </w:tcPr>
          <w:p w14:paraId="07BF5195" w14:textId="3CC92CDB" w:rsidR="00E12DB9" w:rsidRPr="00A84DB6" w:rsidRDefault="00D8682B" w:rsidP="00A84DB6">
            <w:pPr>
              <w:tabs>
                <w:tab w:val="decimal" w:pos="1451"/>
              </w:tabs>
              <w:rPr>
                <w:color w:val="auto"/>
              </w:rPr>
            </w:pPr>
            <w:r w:rsidRPr="00A84DB6">
              <w:rPr>
                <w:color w:val="auto"/>
              </w:rPr>
              <w:t>147.</w:t>
            </w:r>
            <w:r w:rsidR="00A84DB6" w:rsidRPr="00A84DB6">
              <w:rPr>
                <w:color w:val="auto"/>
              </w:rPr>
              <w:t>4</w:t>
            </w:r>
          </w:p>
        </w:tc>
      </w:tr>
      <w:tr w:rsidR="00E12DB9" w:rsidRPr="003C0F16" w14:paraId="326BD1DB" w14:textId="77777777" w:rsidTr="00F3439E">
        <w:trPr>
          <w:trHeight w:val="369"/>
          <w:jc w:val="center"/>
        </w:trPr>
        <w:tc>
          <w:tcPr>
            <w:tcW w:w="2673" w:type="pct"/>
            <w:shd w:val="clear" w:color="auto" w:fill="auto"/>
            <w:vAlign w:val="bottom"/>
          </w:tcPr>
          <w:p w14:paraId="6FF90CCD" w14:textId="77777777" w:rsidR="00E12DB9" w:rsidRPr="00A84DB6" w:rsidRDefault="00E12DB9" w:rsidP="000C7D6E">
            <w:pPr>
              <w:jc w:val="left"/>
              <w:rPr>
                <w:color w:val="auto"/>
              </w:rPr>
            </w:pPr>
            <w:r w:rsidRPr="00A84DB6">
              <w:rPr>
                <w:color w:val="auto"/>
              </w:rPr>
              <w:t>2010/11</w:t>
            </w:r>
          </w:p>
        </w:tc>
        <w:tc>
          <w:tcPr>
            <w:tcW w:w="2327" w:type="pct"/>
            <w:tcBorders>
              <w:bottom w:val="nil"/>
            </w:tcBorders>
            <w:shd w:val="clear" w:color="auto" w:fill="auto"/>
            <w:vAlign w:val="bottom"/>
          </w:tcPr>
          <w:p w14:paraId="406D0BD5" w14:textId="31604192" w:rsidR="00E12DB9" w:rsidRPr="00A84DB6" w:rsidRDefault="00D8682B" w:rsidP="00A84DB6">
            <w:pPr>
              <w:tabs>
                <w:tab w:val="decimal" w:pos="1451"/>
              </w:tabs>
              <w:rPr>
                <w:color w:val="auto"/>
              </w:rPr>
            </w:pPr>
            <w:r w:rsidRPr="00A84DB6">
              <w:rPr>
                <w:color w:val="auto"/>
              </w:rPr>
              <w:t>58</w:t>
            </w:r>
            <w:r w:rsidR="00A84DB6" w:rsidRPr="00A84DB6">
              <w:rPr>
                <w:color w:val="auto"/>
              </w:rPr>
              <w:t>4</w:t>
            </w:r>
            <w:r w:rsidRPr="00A84DB6">
              <w:rPr>
                <w:color w:val="auto"/>
              </w:rPr>
              <w:t>.</w:t>
            </w:r>
            <w:r w:rsidR="00A84DB6" w:rsidRPr="00A84DB6">
              <w:rPr>
                <w:color w:val="auto"/>
              </w:rPr>
              <w:t>1</w:t>
            </w:r>
          </w:p>
        </w:tc>
      </w:tr>
      <w:tr w:rsidR="00E12DB9" w:rsidRPr="003C7B37" w14:paraId="3CEB9E07" w14:textId="77777777" w:rsidTr="00F3439E">
        <w:trPr>
          <w:trHeight w:val="369"/>
          <w:jc w:val="center"/>
        </w:trPr>
        <w:tc>
          <w:tcPr>
            <w:tcW w:w="2673" w:type="pct"/>
            <w:shd w:val="clear" w:color="auto" w:fill="auto"/>
            <w:vAlign w:val="bottom"/>
          </w:tcPr>
          <w:p w14:paraId="3F9E0572" w14:textId="77777777" w:rsidR="00E12DB9" w:rsidRPr="003C0F16" w:rsidRDefault="00E12DB9" w:rsidP="000C7D6E">
            <w:pPr>
              <w:jc w:val="left"/>
              <w:rPr>
                <w:b/>
                <w:color w:val="auto"/>
                <w:highlight w:val="yellow"/>
              </w:rPr>
            </w:pPr>
            <w:r w:rsidRPr="00A84DB6">
              <w:rPr>
                <w:b/>
                <w:color w:val="auto"/>
              </w:rPr>
              <w:t>Total</w:t>
            </w:r>
          </w:p>
        </w:tc>
        <w:tc>
          <w:tcPr>
            <w:tcW w:w="2327" w:type="pct"/>
            <w:tcBorders>
              <w:top w:val="nil"/>
              <w:bottom w:val="single" w:sz="4" w:space="0" w:color="auto"/>
            </w:tcBorders>
            <w:shd w:val="clear" w:color="auto" w:fill="auto"/>
            <w:vAlign w:val="bottom"/>
          </w:tcPr>
          <w:p w14:paraId="2C43B7B6" w14:textId="608546CC" w:rsidR="00E12DB9" w:rsidRPr="003C7B37" w:rsidRDefault="00A84DB6" w:rsidP="00BB6F2A">
            <w:pPr>
              <w:tabs>
                <w:tab w:val="decimal" w:pos="1451"/>
              </w:tabs>
              <w:rPr>
                <w:b/>
                <w:color w:val="auto"/>
              </w:rPr>
            </w:pPr>
            <w:r w:rsidRPr="00D2689C">
              <w:rPr>
                <w:b/>
                <w:color w:val="auto"/>
              </w:rPr>
              <w:t>1,9</w:t>
            </w:r>
            <w:r w:rsidR="00BB6F2A">
              <w:rPr>
                <w:b/>
                <w:color w:val="auto"/>
              </w:rPr>
              <w:t>60</w:t>
            </w:r>
            <w:r w:rsidRPr="00D2689C">
              <w:rPr>
                <w:b/>
                <w:color w:val="auto"/>
              </w:rPr>
              <w:t>.</w:t>
            </w:r>
            <w:r w:rsidR="00BB6F2A">
              <w:rPr>
                <w:b/>
                <w:color w:val="auto"/>
              </w:rPr>
              <w:t>8</w:t>
            </w:r>
          </w:p>
        </w:tc>
      </w:tr>
    </w:tbl>
    <w:p w14:paraId="361A5560" w14:textId="77777777" w:rsidR="00E12DB9" w:rsidRDefault="00E12DB9" w:rsidP="00E12DB9">
      <w:pPr>
        <w:rPr>
          <w:lang w:eastAsia="en-GB"/>
        </w:rPr>
      </w:pPr>
    </w:p>
    <w:p w14:paraId="4B18305A" w14:textId="60A46698" w:rsidR="00116B87" w:rsidRDefault="00CF78B2" w:rsidP="00CF78B2">
      <w:pPr>
        <w:pStyle w:val="Heading2"/>
      </w:pPr>
      <w:r>
        <w:t>22. Heritage Assets</w:t>
      </w:r>
    </w:p>
    <w:p w14:paraId="590D6B3A" w14:textId="73F9EC74" w:rsidR="00CF78B2" w:rsidRDefault="00CF78B2" w:rsidP="00CF78B2">
      <w:pPr>
        <w:rPr>
          <w:lang w:eastAsia="en-GB"/>
        </w:rPr>
      </w:pPr>
      <w:r>
        <w:rPr>
          <w:lang w:eastAsia="en-GB"/>
        </w:rPr>
        <w:t>The council's heritage assets are mainly contained within the Museum Service and the Libraries Special Collection. The museum service contains some 140,000 items which cover a variety of artefacts which are relevant to Lancashire's heritage including pictures, furniture, toys, medals and archaeological objects. This collection has been valued by in-house professionals and a valuation of £13.</w:t>
      </w:r>
      <w:r w:rsidR="0035371C">
        <w:rPr>
          <w:lang w:eastAsia="en-GB"/>
        </w:rPr>
        <w:t>5</w:t>
      </w:r>
      <w:r>
        <w:rPr>
          <w:lang w:eastAsia="en-GB"/>
        </w:rPr>
        <w:t>m has been placed on the collection.</w:t>
      </w:r>
    </w:p>
    <w:p w14:paraId="72D76D81" w14:textId="55F11101" w:rsidR="00CF78B2" w:rsidRDefault="00CF78B2" w:rsidP="00CF78B2">
      <w:pPr>
        <w:rPr>
          <w:lang w:eastAsia="en-GB"/>
        </w:rPr>
      </w:pPr>
      <w:r>
        <w:rPr>
          <w:lang w:eastAsia="en-GB"/>
        </w:rPr>
        <w:lastRenderedPageBreak/>
        <w:t>Lancashire also holds a special Libraries Collection which consists of publications held for their historical and cultural importance. Where these do not form part of the normal operations of the library service they are to be treated as a heritage asset and a valuation made. Again, these valuations have been made by internal professional staff and it is estimated that the collection is valued at £14.</w:t>
      </w:r>
      <w:r w:rsidR="0035371C">
        <w:rPr>
          <w:lang w:eastAsia="en-GB"/>
        </w:rPr>
        <w:t>6</w:t>
      </w:r>
      <w:r>
        <w:rPr>
          <w:lang w:eastAsia="en-GB"/>
        </w:rPr>
        <w:t>m.</w:t>
      </w:r>
    </w:p>
    <w:p w14:paraId="4D90DB1C" w14:textId="77777777" w:rsidR="00CF78B2" w:rsidRDefault="00CF78B2" w:rsidP="00CF78B2">
      <w:pPr>
        <w:rPr>
          <w:lang w:eastAsia="en-GB"/>
        </w:rPr>
      </w:pPr>
      <w:r>
        <w:rPr>
          <w:lang w:eastAsia="en-GB"/>
        </w:rPr>
        <w:t>Other heritage assets with a value of £0.6m are held in the record office, however most of the archives are either operational documents relating to the work of the county council or held on behalf of other organisations or individuals and therefore do not form part of the county council's heritage assets.</w:t>
      </w:r>
    </w:p>
    <w:p w14:paraId="493294B7" w14:textId="77777777" w:rsidR="00CF78B2" w:rsidRDefault="00CF78B2" w:rsidP="00CF78B2">
      <w:pPr>
        <w:rPr>
          <w:lang w:eastAsia="en-GB"/>
        </w:rPr>
      </w:pPr>
      <w:r>
        <w:rPr>
          <w:lang w:eastAsia="en-GB"/>
        </w:rPr>
        <w:t>In addition, Lancashire County Council has an interest in two properties which are considered as heritage assets but due to their nature it is not considered appropriate to place a value on them and therefore they are included at a nominal value of £1. These properties are Gawthorpe Hall a 17th century country house held on a long term lease from the National Trust and part of Ribchester Roman Bath House.</w:t>
      </w:r>
    </w:p>
    <w:p w14:paraId="34801EA0" w14:textId="77777777" w:rsidR="00CF78B2" w:rsidRDefault="00CF78B2" w:rsidP="00CF78B2">
      <w:pPr>
        <w:rPr>
          <w:lang w:eastAsia="en-GB"/>
        </w:rPr>
      </w:pPr>
      <w:r>
        <w:rPr>
          <w:lang w:eastAsia="en-GB"/>
        </w:rPr>
        <w:t xml:space="preserve">The valuation of the council's heritage assets has included a degree of estimation. With respect to the museum's collection those assets considered to have a value of £50,000 or over have been identified and valued as separate items. The rest of the collection involves a large quantity of small value items. It is not considered </w:t>
      </w:r>
      <w:r>
        <w:rPr>
          <w:lang w:eastAsia="en-GB"/>
        </w:rPr>
        <w:lastRenderedPageBreak/>
        <w:t>to be economic to value each item separately. Therefore, a sample of items was valued by the museums staff. The resulting value was then used to give an estimated value of the whole collection. It is considered that the result provides a fair reflection of the value of the council's holding.</w:t>
      </w:r>
    </w:p>
    <w:p w14:paraId="3223BA6A" w14:textId="377529FC" w:rsidR="00CF78B2" w:rsidRDefault="00CF78B2" w:rsidP="00CF78B2">
      <w:pPr>
        <w:rPr>
          <w:lang w:eastAsia="en-GB"/>
        </w:rPr>
      </w:pPr>
      <w:r>
        <w:rPr>
          <w:lang w:eastAsia="en-GB"/>
        </w:rPr>
        <w:t>As part of the valuation process for heritage assets consideration is given as to whether there has been any physical damage or any factors which are likely to significantly affect the market value. Where there is a change in the value of the heritage assets the normal accounting policy for the change as outlined in the accounting policy for proper</w:t>
      </w:r>
      <w:r w:rsidR="000A0396">
        <w:rPr>
          <w:lang w:eastAsia="en-GB"/>
        </w:rPr>
        <w:t>ty, plant and equipment</w:t>
      </w:r>
      <w:r>
        <w:rPr>
          <w:lang w:eastAsia="en-GB"/>
        </w:rPr>
        <w:t xml:space="preserve"> will be followed.</w:t>
      </w:r>
    </w:p>
    <w:p w14:paraId="1FB349A1" w14:textId="77777777" w:rsidR="00CF78B2" w:rsidRDefault="00CF78B2" w:rsidP="00CF78B2">
      <w:pPr>
        <w:rPr>
          <w:lang w:eastAsia="en-GB"/>
        </w:rPr>
      </w:pPr>
      <w:r>
        <w:rPr>
          <w:lang w:eastAsia="en-GB"/>
        </w:rPr>
        <w:t>Lancashire County Council maintains accession registers for its heritage assets. Some of these records are published on the internet for as broad access as possible. Work is ongoing to migrate any paper records that accompany existing collections onto the computerised system.</w:t>
      </w:r>
    </w:p>
    <w:p w14:paraId="3C1C6627" w14:textId="77777777" w:rsidR="00CF78B2" w:rsidRDefault="00CF78B2" w:rsidP="00CF78B2">
      <w:pPr>
        <w:rPr>
          <w:lang w:eastAsia="en-GB"/>
        </w:rPr>
      </w:pPr>
      <w:r>
        <w:rPr>
          <w:lang w:eastAsia="en-GB"/>
        </w:rPr>
        <w:t>Access to collections (assets) and their records can be affected in a number of ways from virtual access to physical examination – either on display in temporary or longer term displays and exhibitions or on request from those held in store. For the latter a mutually convenient appointment is needed to view the item(s) concerned.</w:t>
      </w:r>
    </w:p>
    <w:p w14:paraId="2887B6A5" w14:textId="77777777" w:rsidR="00CF78B2" w:rsidRDefault="00CF78B2" w:rsidP="00CF78B2">
      <w:pPr>
        <w:rPr>
          <w:lang w:eastAsia="en-GB"/>
        </w:rPr>
      </w:pPr>
      <w:r>
        <w:rPr>
          <w:lang w:eastAsia="en-GB"/>
        </w:rPr>
        <w:t xml:space="preserve">No collection is static and Lancashire County Museum Service is currently reviewing certain areas of the collections to identify any </w:t>
      </w:r>
      <w:r>
        <w:rPr>
          <w:lang w:eastAsia="en-GB"/>
        </w:rPr>
        <w:lastRenderedPageBreak/>
        <w:t>areas that are not appropriate to the formal Acquisition and Disposals Policy or are not in a fit state for long term preservation. If any items are thought to be appropriate for rationalisation the Museums Association code of practice for the review of collections is followed. This is a lengthy process that allows for efforts to find an alternative home/location of an item before any consideration of final disposal is made.</w:t>
      </w:r>
    </w:p>
    <w:p w14:paraId="3B0F9A6F" w14:textId="79768E90" w:rsidR="00CF78B2" w:rsidRPr="00CF78B2" w:rsidRDefault="00CF78B2" w:rsidP="00CF78B2">
      <w:pPr>
        <w:rPr>
          <w:lang w:eastAsia="en-GB"/>
        </w:rPr>
      </w:pPr>
      <w:r>
        <w:rPr>
          <w:lang w:eastAsia="en-GB"/>
        </w:rPr>
        <w:t>There was no material change in the value of heritage assets during 2014/15.</w:t>
      </w:r>
    </w:p>
    <w:p w14:paraId="59807BAA" w14:textId="77777777" w:rsidR="00EF5F4D" w:rsidRDefault="00EF5F4D" w:rsidP="00E12DB9">
      <w:pPr>
        <w:rPr>
          <w:lang w:eastAsia="en-GB"/>
        </w:rPr>
      </w:pPr>
    </w:p>
    <w:p w14:paraId="2D228848" w14:textId="77777777" w:rsidR="007A2DD0" w:rsidRDefault="007A2DD0" w:rsidP="00E12DB9">
      <w:pPr>
        <w:rPr>
          <w:lang w:eastAsia="en-GB"/>
        </w:rPr>
      </w:pPr>
    </w:p>
    <w:p w14:paraId="20D2FA64" w14:textId="77777777" w:rsidR="007A2DD0" w:rsidRDefault="007A2DD0" w:rsidP="00E12DB9">
      <w:pPr>
        <w:rPr>
          <w:lang w:eastAsia="en-GB"/>
        </w:rPr>
      </w:pPr>
    </w:p>
    <w:p w14:paraId="58DC85B3" w14:textId="77777777" w:rsidR="007A2DD0" w:rsidRDefault="007A2DD0" w:rsidP="00E12DB9">
      <w:pPr>
        <w:rPr>
          <w:lang w:eastAsia="en-GB"/>
        </w:rPr>
      </w:pPr>
    </w:p>
    <w:p w14:paraId="1F0206C9" w14:textId="77777777" w:rsidR="007A2DD0" w:rsidRDefault="007A2DD0" w:rsidP="00E12DB9">
      <w:pPr>
        <w:rPr>
          <w:lang w:eastAsia="en-GB"/>
        </w:rPr>
      </w:pPr>
    </w:p>
    <w:p w14:paraId="2BCB0FEF" w14:textId="77777777" w:rsidR="007A2DD0" w:rsidRDefault="007A2DD0" w:rsidP="00E12DB9">
      <w:pPr>
        <w:rPr>
          <w:lang w:eastAsia="en-GB"/>
        </w:rPr>
      </w:pPr>
    </w:p>
    <w:p w14:paraId="282EFF2B" w14:textId="77777777" w:rsidR="007A2DD0" w:rsidRDefault="007A2DD0" w:rsidP="00E12DB9">
      <w:pPr>
        <w:rPr>
          <w:lang w:eastAsia="en-GB"/>
        </w:rPr>
      </w:pPr>
    </w:p>
    <w:p w14:paraId="2DFFE911" w14:textId="77777777" w:rsidR="007A2DD0" w:rsidRDefault="007A2DD0" w:rsidP="00E12DB9">
      <w:pPr>
        <w:rPr>
          <w:lang w:eastAsia="en-GB"/>
        </w:rPr>
      </w:pPr>
    </w:p>
    <w:p w14:paraId="311517CE" w14:textId="77777777" w:rsidR="00EF5F4D" w:rsidRDefault="00EF5F4D" w:rsidP="00E12DB9">
      <w:pPr>
        <w:rPr>
          <w:lang w:eastAsia="en-GB"/>
        </w:rPr>
      </w:pPr>
    </w:p>
    <w:p w14:paraId="113EF4A8" w14:textId="77777777" w:rsidR="00EF5F4D" w:rsidRDefault="00EF5F4D" w:rsidP="00E12DB9">
      <w:pPr>
        <w:rPr>
          <w:lang w:eastAsia="en-GB"/>
        </w:rPr>
      </w:pPr>
    </w:p>
    <w:p w14:paraId="7A03BE37" w14:textId="279651DD" w:rsidR="00D8682B" w:rsidRPr="00224A51" w:rsidRDefault="00D8682B" w:rsidP="00717919">
      <w:pPr>
        <w:pStyle w:val="Heading2"/>
        <w:numPr>
          <w:ilvl w:val="0"/>
          <w:numId w:val="68"/>
        </w:numPr>
        <w:ind w:left="567" w:hanging="567"/>
      </w:pPr>
      <w:r w:rsidRPr="00224A51">
        <w:lastRenderedPageBreak/>
        <w:t xml:space="preserve">Financial </w:t>
      </w:r>
      <w:r w:rsidR="00311222">
        <w:t>i</w:t>
      </w:r>
      <w:r w:rsidRPr="00224A51">
        <w:t>nstruments</w:t>
      </w:r>
    </w:p>
    <w:p w14:paraId="7CA5442E" w14:textId="77777777" w:rsidR="00D8682B" w:rsidRDefault="00411B4C" w:rsidP="00A06955">
      <w:pPr>
        <w:rPr>
          <w:lang w:eastAsia="en-GB"/>
        </w:rPr>
      </w:pPr>
      <w:r w:rsidRPr="00224A51">
        <w:rPr>
          <w:lang w:eastAsia="en-GB"/>
        </w:rPr>
        <w:t>The following categories of financial instruments are carried in the balance sheet. The instruments have been valued in accordance with International Financial Reporting Standards (IFRS) using the accounting policies explained within our accounting policies section.</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9"/>
        <w:gridCol w:w="1557"/>
        <w:gridCol w:w="1559"/>
        <w:gridCol w:w="1555"/>
        <w:gridCol w:w="1530"/>
      </w:tblGrid>
      <w:tr w:rsidR="00116B87" w:rsidRPr="00AE1174" w14:paraId="58A57C08" w14:textId="77777777" w:rsidTr="00A06955">
        <w:trPr>
          <w:trHeight w:val="369"/>
          <w:tblHeader/>
        </w:trPr>
        <w:tc>
          <w:tcPr>
            <w:tcW w:w="2033" w:type="pct"/>
            <w:shd w:val="clear" w:color="auto" w:fill="D0CECE"/>
            <w:vAlign w:val="bottom"/>
          </w:tcPr>
          <w:p w14:paraId="6B3590D2" w14:textId="77777777" w:rsidR="00116B87" w:rsidRPr="00224A51" w:rsidRDefault="00116B87" w:rsidP="00A06955">
            <w:pPr>
              <w:jc w:val="center"/>
              <w:rPr>
                <w:b/>
                <w:color w:val="auto"/>
                <w:u w:val="single"/>
              </w:rPr>
            </w:pPr>
          </w:p>
        </w:tc>
        <w:tc>
          <w:tcPr>
            <w:tcW w:w="1491" w:type="pct"/>
            <w:gridSpan w:val="2"/>
            <w:shd w:val="clear" w:color="auto" w:fill="D0CECE"/>
            <w:vAlign w:val="bottom"/>
          </w:tcPr>
          <w:p w14:paraId="0101A8BA" w14:textId="77777777" w:rsidR="00116B87" w:rsidRPr="00A06955" w:rsidRDefault="00116B87" w:rsidP="00A06955">
            <w:pPr>
              <w:jc w:val="center"/>
              <w:rPr>
                <w:b/>
                <w:color w:val="auto"/>
              </w:rPr>
            </w:pPr>
            <w:r w:rsidRPr="00A06955">
              <w:rPr>
                <w:b/>
                <w:color w:val="auto"/>
              </w:rPr>
              <w:t>Long-term</w:t>
            </w:r>
          </w:p>
        </w:tc>
        <w:tc>
          <w:tcPr>
            <w:tcW w:w="1476" w:type="pct"/>
            <w:gridSpan w:val="2"/>
            <w:shd w:val="clear" w:color="auto" w:fill="D0CECE"/>
            <w:vAlign w:val="bottom"/>
          </w:tcPr>
          <w:p w14:paraId="37B2925B" w14:textId="77777777" w:rsidR="00116B87" w:rsidRPr="00A06955" w:rsidRDefault="00116B87" w:rsidP="00A06955">
            <w:pPr>
              <w:jc w:val="center"/>
              <w:rPr>
                <w:b/>
                <w:color w:val="auto"/>
              </w:rPr>
            </w:pPr>
            <w:r w:rsidRPr="00A06955">
              <w:rPr>
                <w:b/>
                <w:color w:val="auto"/>
              </w:rPr>
              <w:t>Current</w:t>
            </w:r>
          </w:p>
        </w:tc>
      </w:tr>
      <w:tr w:rsidR="000E1A52" w:rsidRPr="00AE1174" w14:paraId="3D733AFF" w14:textId="77777777" w:rsidTr="00EF5F4D">
        <w:trPr>
          <w:trHeight w:val="369"/>
          <w:tblHeader/>
        </w:trPr>
        <w:tc>
          <w:tcPr>
            <w:tcW w:w="2033" w:type="pct"/>
            <w:shd w:val="clear" w:color="auto" w:fill="D0CECE"/>
            <w:vAlign w:val="bottom"/>
          </w:tcPr>
          <w:p w14:paraId="5F943571" w14:textId="77777777" w:rsidR="00116B87" w:rsidRPr="00A06955" w:rsidRDefault="00116B87" w:rsidP="00116B87">
            <w:pPr>
              <w:jc w:val="center"/>
              <w:rPr>
                <w:b/>
                <w:color w:val="auto"/>
                <w:u w:val="single"/>
              </w:rPr>
            </w:pPr>
          </w:p>
        </w:tc>
        <w:tc>
          <w:tcPr>
            <w:tcW w:w="745" w:type="pct"/>
            <w:shd w:val="clear" w:color="auto" w:fill="D0CECE"/>
            <w:vAlign w:val="bottom"/>
          </w:tcPr>
          <w:p w14:paraId="53D31787" w14:textId="77777777" w:rsidR="00116B87" w:rsidRPr="00A06955" w:rsidRDefault="00116B87" w:rsidP="00116B87">
            <w:pPr>
              <w:jc w:val="center"/>
              <w:rPr>
                <w:b/>
                <w:color w:val="auto"/>
              </w:rPr>
            </w:pPr>
            <w:r w:rsidRPr="00A06955">
              <w:rPr>
                <w:b/>
                <w:color w:val="auto"/>
              </w:rPr>
              <w:t>31/03/2015</w:t>
            </w:r>
          </w:p>
        </w:tc>
        <w:tc>
          <w:tcPr>
            <w:tcW w:w="746" w:type="pct"/>
            <w:shd w:val="clear" w:color="auto" w:fill="D0CECE"/>
            <w:vAlign w:val="bottom"/>
          </w:tcPr>
          <w:p w14:paraId="643A69F6" w14:textId="77777777" w:rsidR="00116B87" w:rsidRPr="00AE1174" w:rsidRDefault="00116B87" w:rsidP="00116B87">
            <w:pPr>
              <w:jc w:val="center"/>
              <w:rPr>
                <w:b/>
                <w:color w:val="auto"/>
              </w:rPr>
            </w:pPr>
            <w:r w:rsidRPr="00AE1174">
              <w:rPr>
                <w:b/>
                <w:color w:val="auto"/>
              </w:rPr>
              <w:t>31/03/2014</w:t>
            </w:r>
          </w:p>
        </w:tc>
        <w:tc>
          <w:tcPr>
            <w:tcW w:w="744" w:type="pct"/>
            <w:shd w:val="clear" w:color="auto" w:fill="D0CECE"/>
            <w:vAlign w:val="bottom"/>
          </w:tcPr>
          <w:p w14:paraId="2FFFECFE" w14:textId="77777777" w:rsidR="00116B87" w:rsidRPr="00A06955" w:rsidRDefault="00116B87" w:rsidP="00116B87">
            <w:pPr>
              <w:jc w:val="center"/>
              <w:rPr>
                <w:b/>
                <w:color w:val="auto"/>
              </w:rPr>
            </w:pPr>
            <w:r w:rsidRPr="00A06955">
              <w:rPr>
                <w:b/>
                <w:color w:val="auto"/>
              </w:rPr>
              <w:t>31/03/2015</w:t>
            </w:r>
          </w:p>
        </w:tc>
        <w:tc>
          <w:tcPr>
            <w:tcW w:w="732" w:type="pct"/>
            <w:shd w:val="clear" w:color="auto" w:fill="D0CECE"/>
            <w:vAlign w:val="bottom"/>
          </w:tcPr>
          <w:p w14:paraId="083391F6" w14:textId="77777777" w:rsidR="00116B87" w:rsidRPr="00AE1174" w:rsidRDefault="00116B87" w:rsidP="00116B87">
            <w:pPr>
              <w:jc w:val="center"/>
              <w:rPr>
                <w:b/>
                <w:color w:val="auto"/>
              </w:rPr>
            </w:pPr>
            <w:r w:rsidRPr="00AE1174">
              <w:rPr>
                <w:b/>
                <w:color w:val="auto"/>
              </w:rPr>
              <w:t>31/03/2014</w:t>
            </w:r>
          </w:p>
        </w:tc>
      </w:tr>
      <w:tr w:rsidR="000E1A52" w:rsidRPr="00AE1174" w14:paraId="4A770C78" w14:textId="77777777" w:rsidTr="00EF5F4D">
        <w:trPr>
          <w:trHeight w:val="369"/>
          <w:tblHeader/>
        </w:trPr>
        <w:tc>
          <w:tcPr>
            <w:tcW w:w="2033" w:type="pct"/>
            <w:shd w:val="clear" w:color="auto" w:fill="D0CECE"/>
            <w:vAlign w:val="bottom"/>
          </w:tcPr>
          <w:p w14:paraId="08AB1E0F" w14:textId="77777777" w:rsidR="00116B87" w:rsidRPr="00A06955" w:rsidRDefault="00116B87" w:rsidP="00116B87">
            <w:pPr>
              <w:jc w:val="left"/>
              <w:rPr>
                <w:color w:val="auto"/>
              </w:rPr>
            </w:pPr>
          </w:p>
        </w:tc>
        <w:tc>
          <w:tcPr>
            <w:tcW w:w="745" w:type="pct"/>
            <w:shd w:val="clear" w:color="auto" w:fill="D0CECE"/>
            <w:vAlign w:val="bottom"/>
          </w:tcPr>
          <w:p w14:paraId="27ACDBA0" w14:textId="77777777" w:rsidR="00116B87" w:rsidRPr="00A06955" w:rsidRDefault="00116B87" w:rsidP="00116B87">
            <w:pPr>
              <w:jc w:val="center"/>
              <w:rPr>
                <w:b/>
                <w:color w:val="auto"/>
              </w:rPr>
            </w:pPr>
            <w:r w:rsidRPr="00A06955">
              <w:rPr>
                <w:b/>
                <w:color w:val="auto"/>
              </w:rPr>
              <w:t>£m</w:t>
            </w:r>
          </w:p>
        </w:tc>
        <w:tc>
          <w:tcPr>
            <w:tcW w:w="746" w:type="pct"/>
            <w:shd w:val="clear" w:color="auto" w:fill="D0CECE"/>
            <w:vAlign w:val="bottom"/>
          </w:tcPr>
          <w:p w14:paraId="2D72491D" w14:textId="77777777" w:rsidR="00116B87" w:rsidRPr="00AE1174" w:rsidRDefault="00116B87" w:rsidP="00116B87">
            <w:pPr>
              <w:jc w:val="center"/>
              <w:rPr>
                <w:b/>
                <w:color w:val="auto"/>
              </w:rPr>
            </w:pPr>
            <w:r w:rsidRPr="00AE1174">
              <w:rPr>
                <w:b/>
                <w:color w:val="auto"/>
              </w:rPr>
              <w:t>£m</w:t>
            </w:r>
          </w:p>
        </w:tc>
        <w:tc>
          <w:tcPr>
            <w:tcW w:w="744" w:type="pct"/>
            <w:shd w:val="clear" w:color="auto" w:fill="D0CECE"/>
            <w:vAlign w:val="bottom"/>
          </w:tcPr>
          <w:p w14:paraId="146BBC06" w14:textId="77777777" w:rsidR="00116B87" w:rsidRPr="00A06955" w:rsidRDefault="00116B87" w:rsidP="00116B87">
            <w:pPr>
              <w:jc w:val="center"/>
              <w:rPr>
                <w:b/>
                <w:color w:val="auto"/>
              </w:rPr>
            </w:pPr>
            <w:r w:rsidRPr="00A06955">
              <w:rPr>
                <w:b/>
                <w:color w:val="auto"/>
              </w:rPr>
              <w:t>£m</w:t>
            </w:r>
          </w:p>
        </w:tc>
        <w:tc>
          <w:tcPr>
            <w:tcW w:w="732" w:type="pct"/>
            <w:shd w:val="clear" w:color="auto" w:fill="D0CECE"/>
            <w:vAlign w:val="bottom"/>
          </w:tcPr>
          <w:p w14:paraId="0418E788" w14:textId="77777777" w:rsidR="00116B87" w:rsidRPr="00AE1174" w:rsidRDefault="00116B87" w:rsidP="00116B87">
            <w:pPr>
              <w:jc w:val="center"/>
              <w:rPr>
                <w:b/>
                <w:color w:val="auto"/>
              </w:rPr>
            </w:pPr>
            <w:r w:rsidRPr="00AE1174">
              <w:rPr>
                <w:b/>
                <w:color w:val="auto"/>
              </w:rPr>
              <w:t>£m</w:t>
            </w:r>
          </w:p>
        </w:tc>
      </w:tr>
      <w:tr w:rsidR="000E1A52" w:rsidRPr="00AE1174" w14:paraId="6F649F22" w14:textId="77777777" w:rsidTr="00EF5F4D">
        <w:trPr>
          <w:trHeight w:val="369"/>
        </w:trPr>
        <w:tc>
          <w:tcPr>
            <w:tcW w:w="2033" w:type="pct"/>
            <w:shd w:val="clear" w:color="auto" w:fill="auto"/>
            <w:vAlign w:val="bottom"/>
          </w:tcPr>
          <w:p w14:paraId="54263D0C" w14:textId="77777777" w:rsidR="00116B87" w:rsidRPr="00A06955" w:rsidRDefault="00116B87" w:rsidP="00116B87">
            <w:pPr>
              <w:jc w:val="left"/>
              <w:rPr>
                <w:color w:val="auto"/>
                <w:u w:val="single"/>
              </w:rPr>
            </w:pPr>
            <w:r w:rsidRPr="00A06955">
              <w:rPr>
                <w:color w:val="auto"/>
                <w:u w:val="single"/>
              </w:rPr>
              <w:t>Cash and cash equivalents</w:t>
            </w:r>
          </w:p>
        </w:tc>
        <w:tc>
          <w:tcPr>
            <w:tcW w:w="745" w:type="pct"/>
            <w:vAlign w:val="bottom"/>
          </w:tcPr>
          <w:p w14:paraId="5A00CCF3" w14:textId="77777777" w:rsidR="00116B87" w:rsidRPr="00A06955" w:rsidRDefault="00116B87" w:rsidP="00B556DD">
            <w:pPr>
              <w:tabs>
                <w:tab w:val="decimal" w:pos="743"/>
              </w:tabs>
              <w:rPr>
                <w:color w:val="auto"/>
              </w:rPr>
            </w:pPr>
          </w:p>
        </w:tc>
        <w:tc>
          <w:tcPr>
            <w:tcW w:w="746" w:type="pct"/>
            <w:vAlign w:val="bottom"/>
          </w:tcPr>
          <w:p w14:paraId="6BC36D14" w14:textId="77777777" w:rsidR="00116B87" w:rsidRPr="00AE1174" w:rsidRDefault="00116B87" w:rsidP="00B556DD">
            <w:pPr>
              <w:tabs>
                <w:tab w:val="decimal" w:pos="743"/>
              </w:tabs>
              <w:rPr>
                <w:color w:val="auto"/>
              </w:rPr>
            </w:pPr>
          </w:p>
        </w:tc>
        <w:tc>
          <w:tcPr>
            <w:tcW w:w="744" w:type="pct"/>
            <w:shd w:val="clear" w:color="auto" w:fill="auto"/>
            <w:vAlign w:val="bottom"/>
          </w:tcPr>
          <w:p w14:paraId="433C7A32" w14:textId="77777777" w:rsidR="00116B87" w:rsidRPr="00A06955" w:rsidRDefault="00116B87" w:rsidP="00B556DD">
            <w:pPr>
              <w:tabs>
                <w:tab w:val="decimal" w:pos="742"/>
              </w:tabs>
              <w:rPr>
                <w:color w:val="auto"/>
              </w:rPr>
            </w:pPr>
          </w:p>
        </w:tc>
        <w:tc>
          <w:tcPr>
            <w:tcW w:w="732" w:type="pct"/>
            <w:shd w:val="clear" w:color="auto" w:fill="auto"/>
            <w:vAlign w:val="bottom"/>
          </w:tcPr>
          <w:p w14:paraId="0228B998" w14:textId="77777777" w:rsidR="00116B87" w:rsidRPr="00AE1174" w:rsidRDefault="00116B87" w:rsidP="00B556DD">
            <w:pPr>
              <w:tabs>
                <w:tab w:val="decimal" w:pos="742"/>
              </w:tabs>
              <w:rPr>
                <w:color w:val="auto"/>
              </w:rPr>
            </w:pPr>
          </w:p>
        </w:tc>
      </w:tr>
      <w:tr w:rsidR="000E1A52" w:rsidRPr="00AE1174" w14:paraId="59957AF8" w14:textId="77777777" w:rsidTr="00EF5F4D">
        <w:trPr>
          <w:trHeight w:val="369"/>
        </w:trPr>
        <w:tc>
          <w:tcPr>
            <w:tcW w:w="2033" w:type="pct"/>
            <w:shd w:val="clear" w:color="auto" w:fill="auto"/>
            <w:vAlign w:val="bottom"/>
          </w:tcPr>
          <w:p w14:paraId="0239CDEC" w14:textId="1FA4B1EF" w:rsidR="00116B87" w:rsidRPr="005F43DD" w:rsidRDefault="00116B87" w:rsidP="000A0396">
            <w:pPr>
              <w:jc w:val="left"/>
              <w:rPr>
                <w:color w:val="auto"/>
              </w:rPr>
            </w:pPr>
            <w:r w:rsidRPr="005F43DD">
              <w:rPr>
                <w:color w:val="auto"/>
              </w:rPr>
              <w:t>Loans &amp; receivables (See Table 2 Note 2</w:t>
            </w:r>
            <w:r w:rsidR="000A0396">
              <w:rPr>
                <w:color w:val="auto"/>
              </w:rPr>
              <w:t>5</w:t>
            </w:r>
            <w:r w:rsidRPr="005F43DD">
              <w:rPr>
                <w:color w:val="auto"/>
              </w:rPr>
              <w:t>)</w:t>
            </w:r>
          </w:p>
        </w:tc>
        <w:tc>
          <w:tcPr>
            <w:tcW w:w="745" w:type="pct"/>
            <w:vAlign w:val="bottom"/>
          </w:tcPr>
          <w:p w14:paraId="7E9D96CB" w14:textId="77777777" w:rsidR="00116B87" w:rsidRPr="005F43DD" w:rsidRDefault="00116B87" w:rsidP="00B556DD">
            <w:pPr>
              <w:tabs>
                <w:tab w:val="decimal" w:pos="743"/>
              </w:tabs>
              <w:rPr>
                <w:color w:val="auto"/>
              </w:rPr>
            </w:pPr>
            <w:r w:rsidRPr="005F43DD">
              <w:rPr>
                <w:color w:val="auto"/>
              </w:rPr>
              <w:t>-</w:t>
            </w:r>
          </w:p>
        </w:tc>
        <w:tc>
          <w:tcPr>
            <w:tcW w:w="746" w:type="pct"/>
            <w:vAlign w:val="bottom"/>
          </w:tcPr>
          <w:p w14:paraId="7EAEF590" w14:textId="77777777" w:rsidR="00116B87" w:rsidRPr="005F43DD" w:rsidRDefault="00B556DD" w:rsidP="00B556DD">
            <w:pPr>
              <w:tabs>
                <w:tab w:val="decimal" w:pos="743"/>
              </w:tabs>
              <w:rPr>
                <w:color w:val="auto"/>
              </w:rPr>
            </w:pPr>
            <w:r w:rsidRPr="005F43DD">
              <w:rPr>
                <w:color w:val="auto"/>
              </w:rPr>
              <w:t>-</w:t>
            </w:r>
          </w:p>
        </w:tc>
        <w:tc>
          <w:tcPr>
            <w:tcW w:w="744" w:type="pct"/>
            <w:shd w:val="clear" w:color="auto" w:fill="auto"/>
            <w:vAlign w:val="bottom"/>
          </w:tcPr>
          <w:p w14:paraId="190F83FC" w14:textId="3A82526C" w:rsidR="00116B87" w:rsidRPr="005F43DD" w:rsidRDefault="00AE1174" w:rsidP="00B556DD">
            <w:pPr>
              <w:tabs>
                <w:tab w:val="decimal" w:pos="742"/>
              </w:tabs>
              <w:rPr>
                <w:color w:val="auto"/>
              </w:rPr>
            </w:pPr>
            <w:r w:rsidRPr="005F43DD">
              <w:rPr>
                <w:color w:val="auto"/>
              </w:rPr>
              <w:t>130.3</w:t>
            </w:r>
          </w:p>
        </w:tc>
        <w:tc>
          <w:tcPr>
            <w:tcW w:w="732" w:type="pct"/>
            <w:shd w:val="clear" w:color="auto" w:fill="auto"/>
            <w:vAlign w:val="bottom"/>
          </w:tcPr>
          <w:p w14:paraId="034718F7" w14:textId="77777777" w:rsidR="00116B87" w:rsidRPr="005F43DD" w:rsidRDefault="00B556DD" w:rsidP="00B556DD">
            <w:pPr>
              <w:tabs>
                <w:tab w:val="decimal" w:pos="742"/>
              </w:tabs>
              <w:rPr>
                <w:color w:val="auto"/>
              </w:rPr>
            </w:pPr>
            <w:r w:rsidRPr="005F43DD">
              <w:rPr>
                <w:color w:val="auto"/>
              </w:rPr>
              <w:t>91.4</w:t>
            </w:r>
          </w:p>
        </w:tc>
      </w:tr>
      <w:tr w:rsidR="000E1A52" w:rsidRPr="00AE1174" w14:paraId="46EB29F5" w14:textId="77777777" w:rsidTr="00EF5F4D">
        <w:trPr>
          <w:trHeight w:val="369"/>
        </w:trPr>
        <w:tc>
          <w:tcPr>
            <w:tcW w:w="2033" w:type="pct"/>
            <w:shd w:val="clear" w:color="auto" w:fill="auto"/>
            <w:vAlign w:val="bottom"/>
          </w:tcPr>
          <w:p w14:paraId="7561881C" w14:textId="77777777" w:rsidR="005A6798" w:rsidRDefault="005A6798" w:rsidP="00116B87">
            <w:pPr>
              <w:jc w:val="left"/>
              <w:rPr>
                <w:color w:val="auto"/>
                <w:u w:val="single"/>
              </w:rPr>
            </w:pPr>
          </w:p>
          <w:p w14:paraId="569B619F" w14:textId="77777777" w:rsidR="00116B87" w:rsidRPr="00A06955" w:rsidRDefault="00116B87" w:rsidP="00116B87">
            <w:pPr>
              <w:jc w:val="left"/>
              <w:rPr>
                <w:color w:val="auto"/>
                <w:u w:val="single"/>
              </w:rPr>
            </w:pPr>
            <w:r w:rsidRPr="00A06955">
              <w:rPr>
                <w:color w:val="auto"/>
                <w:u w:val="single"/>
              </w:rPr>
              <w:t>Investments</w:t>
            </w:r>
          </w:p>
        </w:tc>
        <w:tc>
          <w:tcPr>
            <w:tcW w:w="745" w:type="pct"/>
            <w:tcBorders>
              <w:bottom w:val="nil"/>
            </w:tcBorders>
            <w:vAlign w:val="bottom"/>
          </w:tcPr>
          <w:p w14:paraId="21FD0654" w14:textId="77777777" w:rsidR="00116B87" w:rsidRPr="00A06955" w:rsidRDefault="00116B87" w:rsidP="00B556DD">
            <w:pPr>
              <w:tabs>
                <w:tab w:val="decimal" w:pos="743"/>
              </w:tabs>
              <w:rPr>
                <w:color w:val="auto"/>
              </w:rPr>
            </w:pPr>
          </w:p>
        </w:tc>
        <w:tc>
          <w:tcPr>
            <w:tcW w:w="746" w:type="pct"/>
            <w:tcBorders>
              <w:bottom w:val="nil"/>
            </w:tcBorders>
            <w:vAlign w:val="bottom"/>
          </w:tcPr>
          <w:p w14:paraId="02E877C5" w14:textId="77777777" w:rsidR="00116B87" w:rsidRPr="00AE1174" w:rsidRDefault="00116B87" w:rsidP="00B556DD">
            <w:pPr>
              <w:tabs>
                <w:tab w:val="decimal" w:pos="743"/>
              </w:tabs>
              <w:rPr>
                <w:color w:val="auto"/>
              </w:rPr>
            </w:pPr>
          </w:p>
        </w:tc>
        <w:tc>
          <w:tcPr>
            <w:tcW w:w="744" w:type="pct"/>
            <w:tcBorders>
              <w:bottom w:val="nil"/>
            </w:tcBorders>
            <w:shd w:val="clear" w:color="auto" w:fill="auto"/>
            <w:vAlign w:val="bottom"/>
          </w:tcPr>
          <w:p w14:paraId="2B477D56" w14:textId="77777777" w:rsidR="00116B87" w:rsidRPr="00A06955" w:rsidRDefault="00116B87" w:rsidP="00B556DD">
            <w:pPr>
              <w:tabs>
                <w:tab w:val="decimal" w:pos="742"/>
              </w:tabs>
              <w:rPr>
                <w:color w:val="auto"/>
              </w:rPr>
            </w:pPr>
          </w:p>
        </w:tc>
        <w:tc>
          <w:tcPr>
            <w:tcW w:w="732" w:type="pct"/>
            <w:tcBorders>
              <w:bottom w:val="nil"/>
            </w:tcBorders>
            <w:shd w:val="clear" w:color="auto" w:fill="auto"/>
            <w:vAlign w:val="bottom"/>
          </w:tcPr>
          <w:p w14:paraId="70A00BA2" w14:textId="77777777" w:rsidR="00116B87" w:rsidRPr="00AE1174" w:rsidRDefault="00116B87" w:rsidP="00B556DD">
            <w:pPr>
              <w:tabs>
                <w:tab w:val="decimal" w:pos="742"/>
              </w:tabs>
              <w:rPr>
                <w:color w:val="auto"/>
              </w:rPr>
            </w:pPr>
          </w:p>
        </w:tc>
      </w:tr>
      <w:tr w:rsidR="000E1A52" w:rsidRPr="00AE1174" w14:paraId="0398C5B2" w14:textId="77777777" w:rsidTr="00EF5F4D">
        <w:trPr>
          <w:trHeight w:val="369"/>
        </w:trPr>
        <w:tc>
          <w:tcPr>
            <w:tcW w:w="2033" w:type="pct"/>
            <w:tcBorders>
              <w:bottom w:val="nil"/>
            </w:tcBorders>
            <w:shd w:val="clear" w:color="auto" w:fill="auto"/>
            <w:vAlign w:val="bottom"/>
          </w:tcPr>
          <w:p w14:paraId="46B56941" w14:textId="304EA5FD" w:rsidR="00116B87" w:rsidRPr="00A06955" w:rsidRDefault="00116B87" w:rsidP="000A0396">
            <w:pPr>
              <w:jc w:val="left"/>
              <w:rPr>
                <w:color w:val="auto"/>
              </w:rPr>
            </w:pPr>
            <w:r w:rsidRPr="00A06955">
              <w:rPr>
                <w:color w:val="auto"/>
              </w:rPr>
              <w:t>Loans &amp; receivables (See Table 2 Note 2</w:t>
            </w:r>
            <w:r w:rsidR="000A0396">
              <w:rPr>
                <w:color w:val="auto"/>
              </w:rPr>
              <w:t>5</w:t>
            </w:r>
            <w:r w:rsidRPr="00A06955">
              <w:rPr>
                <w:color w:val="auto"/>
              </w:rPr>
              <w:t>)</w:t>
            </w:r>
          </w:p>
        </w:tc>
        <w:tc>
          <w:tcPr>
            <w:tcW w:w="745" w:type="pct"/>
            <w:tcBorders>
              <w:top w:val="nil"/>
              <w:bottom w:val="nil"/>
            </w:tcBorders>
            <w:vAlign w:val="bottom"/>
          </w:tcPr>
          <w:p w14:paraId="3893C6DE" w14:textId="1C263EBD" w:rsidR="00116B87" w:rsidRPr="00A06955" w:rsidRDefault="006E5CA7" w:rsidP="006E5CA7">
            <w:pPr>
              <w:tabs>
                <w:tab w:val="decimal" w:pos="743"/>
              </w:tabs>
              <w:rPr>
                <w:color w:val="auto"/>
              </w:rPr>
            </w:pPr>
            <w:r>
              <w:rPr>
                <w:color w:val="auto"/>
              </w:rPr>
              <w:t>63.8</w:t>
            </w:r>
          </w:p>
        </w:tc>
        <w:tc>
          <w:tcPr>
            <w:tcW w:w="746" w:type="pct"/>
            <w:tcBorders>
              <w:top w:val="nil"/>
              <w:bottom w:val="nil"/>
            </w:tcBorders>
            <w:vAlign w:val="bottom"/>
          </w:tcPr>
          <w:p w14:paraId="18410DD7" w14:textId="77777777" w:rsidR="00116B87" w:rsidRPr="00AE1174" w:rsidRDefault="00B556DD" w:rsidP="00B556DD">
            <w:pPr>
              <w:tabs>
                <w:tab w:val="decimal" w:pos="743"/>
              </w:tabs>
              <w:rPr>
                <w:color w:val="auto"/>
              </w:rPr>
            </w:pPr>
            <w:r w:rsidRPr="00AE1174">
              <w:rPr>
                <w:color w:val="auto"/>
              </w:rPr>
              <w:t>127.1</w:t>
            </w:r>
          </w:p>
        </w:tc>
        <w:tc>
          <w:tcPr>
            <w:tcW w:w="744" w:type="pct"/>
            <w:tcBorders>
              <w:top w:val="nil"/>
              <w:bottom w:val="nil"/>
            </w:tcBorders>
            <w:shd w:val="clear" w:color="auto" w:fill="auto"/>
            <w:vAlign w:val="bottom"/>
          </w:tcPr>
          <w:p w14:paraId="12BCA6C2" w14:textId="19E804E7" w:rsidR="00116B87" w:rsidRPr="00A06955" w:rsidRDefault="00AE1174" w:rsidP="00B556DD">
            <w:pPr>
              <w:tabs>
                <w:tab w:val="decimal" w:pos="742"/>
              </w:tabs>
              <w:rPr>
                <w:color w:val="auto"/>
              </w:rPr>
            </w:pPr>
            <w:r w:rsidRPr="00A06955">
              <w:rPr>
                <w:color w:val="auto"/>
              </w:rPr>
              <w:t>74.6</w:t>
            </w:r>
          </w:p>
        </w:tc>
        <w:tc>
          <w:tcPr>
            <w:tcW w:w="732" w:type="pct"/>
            <w:tcBorders>
              <w:top w:val="nil"/>
              <w:bottom w:val="nil"/>
            </w:tcBorders>
            <w:shd w:val="clear" w:color="auto" w:fill="auto"/>
            <w:vAlign w:val="bottom"/>
          </w:tcPr>
          <w:p w14:paraId="6A56160C" w14:textId="77777777" w:rsidR="00116B87" w:rsidRPr="00AE1174" w:rsidRDefault="00B556DD" w:rsidP="00B556DD">
            <w:pPr>
              <w:tabs>
                <w:tab w:val="decimal" w:pos="742"/>
              </w:tabs>
              <w:rPr>
                <w:color w:val="auto"/>
              </w:rPr>
            </w:pPr>
            <w:r w:rsidRPr="00AE1174">
              <w:rPr>
                <w:color w:val="auto"/>
              </w:rPr>
              <w:t>23.7</w:t>
            </w:r>
          </w:p>
        </w:tc>
      </w:tr>
      <w:tr w:rsidR="000E1A52" w:rsidRPr="00AE1174" w14:paraId="66DF0657" w14:textId="77777777" w:rsidTr="00EF5F4D">
        <w:trPr>
          <w:trHeight w:val="369"/>
        </w:trPr>
        <w:tc>
          <w:tcPr>
            <w:tcW w:w="2033" w:type="pct"/>
            <w:tcBorders>
              <w:top w:val="nil"/>
              <w:bottom w:val="nil"/>
            </w:tcBorders>
            <w:shd w:val="clear" w:color="auto" w:fill="auto"/>
            <w:vAlign w:val="bottom"/>
          </w:tcPr>
          <w:p w14:paraId="16E4F065" w14:textId="77777777" w:rsidR="00116B87" w:rsidRPr="00A06955" w:rsidRDefault="00116B87" w:rsidP="00116B87">
            <w:pPr>
              <w:jc w:val="left"/>
              <w:rPr>
                <w:color w:val="auto"/>
              </w:rPr>
            </w:pPr>
            <w:r w:rsidRPr="00A06955">
              <w:rPr>
                <w:color w:val="auto"/>
              </w:rPr>
              <w:t>Available-for-sale financial assets</w:t>
            </w:r>
          </w:p>
        </w:tc>
        <w:tc>
          <w:tcPr>
            <w:tcW w:w="745" w:type="pct"/>
            <w:tcBorders>
              <w:top w:val="nil"/>
              <w:bottom w:val="nil"/>
            </w:tcBorders>
            <w:vAlign w:val="bottom"/>
          </w:tcPr>
          <w:p w14:paraId="67E7050B" w14:textId="7510D713" w:rsidR="00116B87" w:rsidRPr="00A06955" w:rsidRDefault="00AE1174" w:rsidP="00B556DD">
            <w:pPr>
              <w:tabs>
                <w:tab w:val="decimal" w:pos="743"/>
              </w:tabs>
              <w:rPr>
                <w:color w:val="auto"/>
              </w:rPr>
            </w:pPr>
            <w:r w:rsidRPr="00A06955">
              <w:rPr>
                <w:color w:val="auto"/>
              </w:rPr>
              <w:t>198.4</w:t>
            </w:r>
          </w:p>
        </w:tc>
        <w:tc>
          <w:tcPr>
            <w:tcW w:w="746" w:type="pct"/>
            <w:tcBorders>
              <w:top w:val="nil"/>
              <w:bottom w:val="nil"/>
            </w:tcBorders>
            <w:vAlign w:val="bottom"/>
          </w:tcPr>
          <w:p w14:paraId="24B9533C" w14:textId="77777777" w:rsidR="00116B87" w:rsidRPr="00AE1174" w:rsidRDefault="00B556DD" w:rsidP="00B556DD">
            <w:pPr>
              <w:tabs>
                <w:tab w:val="decimal" w:pos="743"/>
              </w:tabs>
              <w:rPr>
                <w:color w:val="auto"/>
              </w:rPr>
            </w:pPr>
            <w:r w:rsidRPr="00AE1174">
              <w:rPr>
                <w:color w:val="auto"/>
              </w:rPr>
              <w:t>360.8</w:t>
            </w:r>
          </w:p>
        </w:tc>
        <w:tc>
          <w:tcPr>
            <w:tcW w:w="744" w:type="pct"/>
            <w:tcBorders>
              <w:top w:val="nil"/>
              <w:bottom w:val="nil"/>
            </w:tcBorders>
            <w:shd w:val="clear" w:color="auto" w:fill="auto"/>
            <w:vAlign w:val="bottom"/>
          </w:tcPr>
          <w:p w14:paraId="74BAEF46" w14:textId="77777777" w:rsidR="00116B87" w:rsidRPr="00A06955" w:rsidRDefault="00116B87" w:rsidP="00B556DD">
            <w:pPr>
              <w:tabs>
                <w:tab w:val="decimal" w:pos="742"/>
              </w:tabs>
              <w:rPr>
                <w:color w:val="auto"/>
              </w:rPr>
            </w:pPr>
            <w:r w:rsidRPr="00A06955">
              <w:rPr>
                <w:color w:val="auto"/>
              </w:rPr>
              <w:t>-</w:t>
            </w:r>
          </w:p>
        </w:tc>
        <w:tc>
          <w:tcPr>
            <w:tcW w:w="732" w:type="pct"/>
            <w:tcBorders>
              <w:top w:val="nil"/>
              <w:bottom w:val="nil"/>
            </w:tcBorders>
            <w:shd w:val="clear" w:color="auto" w:fill="auto"/>
            <w:vAlign w:val="bottom"/>
          </w:tcPr>
          <w:p w14:paraId="427A3F66" w14:textId="77777777" w:rsidR="00116B87" w:rsidRPr="00AE1174" w:rsidRDefault="00B556DD" w:rsidP="00B556DD">
            <w:pPr>
              <w:tabs>
                <w:tab w:val="decimal" w:pos="742"/>
              </w:tabs>
              <w:rPr>
                <w:color w:val="auto"/>
              </w:rPr>
            </w:pPr>
            <w:r w:rsidRPr="00AE1174">
              <w:rPr>
                <w:color w:val="auto"/>
              </w:rPr>
              <w:t>-</w:t>
            </w:r>
          </w:p>
        </w:tc>
      </w:tr>
      <w:tr w:rsidR="000E1A52" w:rsidRPr="00AE1174" w14:paraId="5ADA2C89" w14:textId="77777777" w:rsidTr="00EF5F4D">
        <w:trPr>
          <w:trHeight w:val="369"/>
        </w:trPr>
        <w:tc>
          <w:tcPr>
            <w:tcW w:w="2033" w:type="pct"/>
            <w:tcBorders>
              <w:top w:val="nil"/>
            </w:tcBorders>
            <w:shd w:val="clear" w:color="auto" w:fill="auto"/>
            <w:vAlign w:val="bottom"/>
          </w:tcPr>
          <w:p w14:paraId="15033317" w14:textId="77777777" w:rsidR="00116B87" w:rsidRPr="00A06955" w:rsidRDefault="00116B87" w:rsidP="00116B87">
            <w:pPr>
              <w:jc w:val="left"/>
              <w:rPr>
                <w:color w:val="auto"/>
              </w:rPr>
            </w:pPr>
            <w:r w:rsidRPr="00A06955">
              <w:rPr>
                <w:color w:val="auto"/>
              </w:rPr>
              <w:t>Financial assets at fair value through profit and loss</w:t>
            </w:r>
          </w:p>
        </w:tc>
        <w:tc>
          <w:tcPr>
            <w:tcW w:w="745" w:type="pct"/>
            <w:tcBorders>
              <w:top w:val="nil"/>
              <w:bottom w:val="single" w:sz="4" w:space="0" w:color="auto"/>
            </w:tcBorders>
            <w:vAlign w:val="bottom"/>
          </w:tcPr>
          <w:p w14:paraId="36CBBA05" w14:textId="77777777" w:rsidR="00116B87" w:rsidRPr="00A06955" w:rsidRDefault="00116B87" w:rsidP="00B556DD">
            <w:pPr>
              <w:tabs>
                <w:tab w:val="decimal" w:pos="743"/>
              </w:tabs>
              <w:rPr>
                <w:color w:val="auto"/>
              </w:rPr>
            </w:pPr>
            <w:r w:rsidRPr="00A06955">
              <w:rPr>
                <w:color w:val="auto"/>
              </w:rPr>
              <w:t>-</w:t>
            </w:r>
          </w:p>
        </w:tc>
        <w:tc>
          <w:tcPr>
            <w:tcW w:w="746" w:type="pct"/>
            <w:tcBorders>
              <w:top w:val="nil"/>
              <w:bottom w:val="single" w:sz="4" w:space="0" w:color="auto"/>
            </w:tcBorders>
            <w:vAlign w:val="bottom"/>
          </w:tcPr>
          <w:p w14:paraId="40AC224A" w14:textId="77777777" w:rsidR="00116B87" w:rsidRPr="00AE1174" w:rsidRDefault="00B556DD" w:rsidP="00B556DD">
            <w:pPr>
              <w:tabs>
                <w:tab w:val="decimal" w:pos="743"/>
              </w:tabs>
              <w:rPr>
                <w:color w:val="auto"/>
              </w:rPr>
            </w:pPr>
            <w:r w:rsidRPr="00AE1174">
              <w:rPr>
                <w:color w:val="auto"/>
              </w:rPr>
              <w:t>-</w:t>
            </w:r>
          </w:p>
        </w:tc>
        <w:tc>
          <w:tcPr>
            <w:tcW w:w="744" w:type="pct"/>
            <w:tcBorders>
              <w:top w:val="nil"/>
              <w:bottom w:val="single" w:sz="4" w:space="0" w:color="auto"/>
            </w:tcBorders>
            <w:shd w:val="clear" w:color="auto" w:fill="auto"/>
            <w:vAlign w:val="bottom"/>
          </w:tcPr>
          <w:p w14:paraId="26AC4DDF" w14:textId="2217E6D8" w:rsidR="00116B87" w:rsidRPr="00A06955" w:rsidRDefault="00AE1174" w:rsidP="00B556DD">
            <w:pPr>
              <w:tabs>
                <w:tab w:val="decimal" w:pos="742"/>
              </w:tabs>
              <w:rPr>
                <w:color w:val="auto"/>
              </w:rPr>
            </w:pPr>
            <w:r w:rsidRPr="00A06955">
              <w:rPr>
                <w:color w:val="auto"/>
              </w:rPr>
              <w:t>193.2</w:t>
            </w:r>
          </w:p>
        </w:tc>
        <w:tc>
          <w:tcPr>
            <w:tcW w:w="732" w:type="pct"/>
            <w:tcBorders>
              <w:top w:val="nil"/>
              <w:bottom w:val="single" w:sz="4" w:space="0" w:color="auto"/>
            </w:tcBorders>
            <w:shd w:val="clear" w:color="auto" w:fill="auto"/>
            <w:vAlign w:val="bottom"/>
          </w:tcPr>
          <w:p w14:paraId="3B342773" w14:textId="77777777" w:rsidR="00116B87" w:rsidRPr="00AE1174" w:rsidRDefault="00B556DD" w:rsidP="00B556DD">
            <w:pPr>
              <w:tabs>
                <w:tab w:val="decimal" w:pos="742"/>
              </w:tabs>
              <w:rPr>
                <w:color w:val="auto"/>
              </w:rPr>
            </w:pPr>
            <w:r w:rsidRPr="00AE1174">
              <w:rPr>
                <w:color w:val="auto"/>
              </w:rPr>
              <w:t>1.0</w:t>
            </w:r>
          </w:p>
        </w:tc>
      </w:tr>
      <w:tr w:rsidR="000E1A52" w:rsidRPr="00AE1174" w14:paraId="034CDE7D" w14:textId="77777777" w:rsidTr="00EF5F4D">
        <w:trPr>
          <w:trHeight w:val="369"/>
        </w:trPr>
        <w:tc>
          <w:tcPr>
            <w:tcW w:w="2033" w:type="pct"/>
            <w:shd w:val="clear" w:color="auto" w:fill="auto"/>
            <w:vAlign w:val="bottom"/>
          </w:tcPr>
          <w:p w14:paraId="7EEB61BA" w14:textId="77777777" w:rsidR="00116B87" w:rsidRPr="009C1D66" w:rsidRDefault="00116B87" w:rsidP="00116B87">
            <w:pPr>
              <w:jc w:val="left"/>
              <w:rPr>
                <w:color w:val="auto"/>
              </w:rPr>
            </w:pPr>
            <w:r w:rsidRPr="009C1D66">
              <w:rPr>
                <w:color w:val="auto"/>
              </w:rPr>
              <w:t>Total investments</w:t>
            </w:r>
          </w:p>
        </w:tc>
        <w:tc>
          <w:tcPr>
            <w:tcW w:w="745" w:type="pct"/>
            <w:tcBorders>
              <w:top w:val="single" w:sz="4" w:space="0" w:color="auto"/>
              <w:bottom w:val="nil"/>
            </w:tcBorders>
            <w:vAlign w:val="bottom"/>
          </w:tcPr>
          <w:p w14:paraId="2711143C" w14:textId="0241974E" w:rsidR="00116B87" w:rsidRPr="009C1D66" w:rsidRDefault="00AE1174" w:rsidP="006E5CA7">
            <w:pPr>
              <w:tabs>
                <w:tab w:val="decimal" w:pos="743"/>
              </w:tabs>
              <w:rPr>
                <w:color w:val="auto"/>
              </w:rPr>
            </w:pPr>
            <w:r w:rsidRPr="009C1D66">
              <w:rPr>
                <w:color w:val="auto"/>
              </w:rPr>
              <w:t>2</w:t>
            </w:r>
            <w:r w:rsidR="006E5CA7">
              <w:rPr>
                <w:color w:val="auto"/>
              </w:rPr>
              <w:t>62.2</w:t>
            </w:r>
          </w:p>
        </w:tc>
        <w:tc>
          <w:tcPr>
            <w:tcW w:w="746" w:type="pct"/>
            <w:tcBorders>
              <w:top w:val="single" w:sz="4" w:space="0" w:color="auto"/>
              <w:bottom w:val="nil"/>
            </w:tcBorders>
            <w:vAlign w:val="bottom"/>
          </w:tcPr>
          <w:p w14:paraId="5541F86B" w14:textId="77777777" w:rsidR="00116B87" w:rsidRPr="009C1D66" w:rsidRDefault="00B556DD" w:rsidP="00B556DD">
            <w:pPr>
              <w:tabs>
                <w:tab w:val="decimal" w:pos="743"/>
              </w:tabs>
              <w:rPr>
                <w:color w:val="auto"/>
              </w:rPr>
            </w:pPr>
            <w:r w:rsidRPr="009C1D66">
              <w:rPr>
                <w:color w:val="auto"/>
              </w:rPr>
              <w:t>487.9</w:t>
            </w:r>
          </w:p>
        </w:tc>
        <w:tc>
          <w:tcPr>
            <w:tcW w:w="744" w:type="pct"/>
            <w:tcBorders>
              <w:top w:val="single" w:sz="4" w:space="0" w:color="auto"/>
              <w:bottom w:val="nil"/>
            </w:tcBorders>
            <w:shd w:val="clear" w:color="auto" w:fill="auto"/>
            <w:vAlign w:val="bottom"/>
          </w:tcPr>
          <w:p w14:paraId="5EE40AAB" w14:textId="3256AE2B" w:rsidR="00116B87" w:rsidRPr="009C1D66" w:rsidRDefault="00AE1174" w:rsidP="00B556DD">
            <w:pPr>
              <w:tabs>
                <w:tab w:val="decimal" w:pos="742"/>
              </w:tabs>
              <w:rPr>
                <w:color w:val="auto"/>
              </w:rPr>
            </w:pPr>
            <w:r w:rsidRPr="009C1D66">
              <w:rPr>
                <w:color w:val="auto"/>
              </w:rPr>
              <w:t>267.8</w:t>
            </w:r>
          </w:p>
        </w:tc>
        <w:tc>
          <w:tcPr>
            <w:tcW w:w="732" w:type="pct"/>
            <w:tcBorders>
              <w:top w:val="single" w:sz="4" w:space="0" w:color="auto"/>
              <w:bottom w:val="nil"/>
              <w:right w:val="single" w:sz="4" w:space="0" w:color="auto"/>
            </w:tcBorders>
            <w:shd w:val="clear" w:color="auto" w:fill="auto"/>
            <w:vAlign w:val="bottom"/>
          </w:tcPr>
          <w:p w14:paraId="6D7A2E3D" w14:textId="77777777" w:rsidR="00116B87" w:rsidRPr="009C1D66" w:rsidRDefault="00B556DD" w:rsidP="00B556DD">
            <w:pPr>
              <w:tabs>
                <w:tab w:val="decimal" w:pos="742"/>
              </w:tabs>
              <w:rPr>
                <w:color w:val="auto"/>
              </w:rPr>
            </w:pPr>
            <w:r w:rsidRPr="009C1D66">
              <w:rPr>
                <w:color w:val="auto"/>
              </w:rPr>
              <w:t>24.7</w:t>
            </w:r>
          </w:p>
        </w:tc>
      </w:tr>
      <w:tr w:rsidR="000E1A52" w:rsidRPr="00AE1174" w14:paraId="74D6E7E2" w14:textId="77777777" w:rsidTr="00EF5F4D">
        <w:trPr>
          <w:trHeight w:val="369"/>
        </w:trPr>
        <w:tc>
          <w:tcPr>
            <w:tcW w:w="2033" w:type="pct"/>
            <w:shd w:val="clear" w:color="auto" w:fill="auto"/>
            <w:vAlign w:val="bottom"/>
          </w:tcPr>
          <w:p w14:paraId="39AF8F6F" w14:textId="77777777" w:rsidR="005A6798" w:rsidRDefault="005A6798" w:rsidP="00116B87">
            <w:pPr>
              <w:jc w:val="left"/>
              <w:rPr>
                <w:color w:val="auto"/>
                <w:u w:val="single"/>
              </w:rPr>
            </w:pPr>
          </w:p>
          <w:p w14:paraId="37000C7F" w14:textId="77777777" w:rsidR="00116B87" w:rsidRPr="00A06955" w:rsidRDefault="00116B87" w:rsidP="00116B87">
            <w:pPr>
              <w:jc w:val="left"/>
              <w:rPr>
                <w:color w:val="auto"/>
                <w:u w:val="single"/>
              </w:rPr>
            </w:pPr>
            <w:r w:rsidRPr="00A06955">
              <w:rPr>
                <w:color w:val="auto"/>
                <w:u w:val="single"/>
              </w:rPr>
              <w:t>Debtors</w:t>
            </w:r>
          </w:p>
        </w:tc>
        <w:tc>
          <w:tcPr>
            <w:tcW w:w="745" w:type="pct"/>
            <w:tcBorders>
              <w:top w:val="nil"/>
              <w:bottom w:val="nil"/>
            </w:tcBorders>
            <w:vAlign w:val="bottom"/>
          </w:tcPr>
          <w:p w14:paraId="17EC28A0" w14:textId="77777777" w:rsidR="00116B87" w:rsidRPr="00A06955" w:rsidRDefault="00116B87" w:rsidP="00B556DD">
            <w:pPr>
              <w:tabs>
                <w:tab w:val="decimal" w:pos="743"/>
              </w:tabs>
              <w:rPr>
                <w:color w:val="auto"/>
              </w:rPr>
            </w:pPr>
          </w:p>
        </w:tc>
        <w:tc>
          <w:tcPr>
            <w:tcW w:w="746" w:type="pct"/>
            <w:tcBorders>
              <w:top w:val="nil"/>
              <w:bottom w:val="nil"/>
            </w:tcBorders>
            <w:vAlign w:val="bottom"/>
          </w:tcPr>
          <w:p w14:paraId="59DF4D5A" w14:textId="77777777" w:rsidR="00116B87" w:rsidRPr="00AE1174" w:rsidRDefault="00116B87" w:rsidP="00B556DD">
            <w:pPr>
              <w:tabs>
                <w:tab w:val="decimal" w:pos="743"/>
              </w:tabs>
              <w:rPr>
                <w:color w:val="auto"/>
              </w:rPr>
            </w:pPr>
          </w:p>
        </w:tc>
        <w:tc>
          <w:tcPr>
            <w:tcW w:w="744" w:type="pct"/>
            <w:tcBorders>
              <w:top w:val="nil"/>
              <w:bottom w:val="nil"/>
            </w:tcBorders>
            <w:shd w:val="clear" w:color="auto" w:fill="auto"/>
            <w:vAlign w:val="bottom"/>
          </w:tcPr>
          <w:p w14:paraId="66A75D9E" w14:textId="77777777" w:rsidR="00116B87" w:rsidRPr="00A06955" w:rsidRDefault="00116B87" w:rsidP="00B556DD">
            <w:pPr>
              <w:tabs>
                <w:tab w:val="decimal" w:pos="742"/>
              </w:tabs>
              <w:rPr>
                <w:color w:val="auto"/>
              </w:rPr>
            </w:pPr>
          </w:p>
        </w:tc>
        <w:tc>
          <w:tcPr>
            <w:tcW w:w="732" w:type="pct"/>
            <w:tcBorders>
              <w:top w:val="nil"/>
              <w:bottom w:val="nil"/>
            </w:tcBorders>
            <w:shd w:val="clear" w:color="auto" w:fill="auto"/>
            <w:vAlign w:val="bottom"/>
          </w:tcPr>
          <w:p w14:paraId="3DBF7421" w14:textId="77777777" w:rsidR="00116B87" w:rsidRPr="00AE1174" w:rsidRDefault="00116B87" w:rsidP="00B556DD">
            <w:pPr>
              <w:tabs>
                <w:tab w:val="decimal" w:pos="742"/>
              </w:tabs>
              <w:rPr>
                <w:color w:val="auto"/>
              </w:rPr>
            </w:pPr>
          </w:p>
        </w:tc>
      </w:tr>
      <w:tr w:rsidR="000E1A52" w:rsidRPr="00AE1174" w14:paraId="4D8573C7" w14:textId="77777777" w:rsidTr="00EF5F4D">
        <w:trPr>
          <w:trHeight w:val="369"/>
        </w:trPr>
        <w:tc>
          <w:tcPr>
            <w:tcW w:w="2033" w:type="pct"/>
            <w:shd w:val="clear" w:color="auto" w:fill="auto"/>
            <w:vAlign w:val="bottom"/>
          </w:tcPr>
          <w:p w14:paraId="738AB765" w14:textId="77777777" w:rsidR="00116B87" w:rsidRPr="00A06955" w:rsidRDefault="00116B87" w:rsidP="00116B87">
            <w:pPr>
              <w:jc w:val="left"/>
              <w:rPr>
                <w:color w:val="auto"/>
              </w:rPr>
            </w:pPr>
            <w:r w:rsidRPr="00A06955">
              <w:rPr>
                <w:color w:val="auto"/>
              </w:rPr>
              <w:t>Loans &amp; receivables</w:t>
            </w:r>
          </w:p>
        </w:tc>
        <w:tc>
          <w:tcPr>
            <w:tcW w:w="745" w:type="pct"/>
            <w:tcBorders>
              <w:top w:val="nil"/>
              <w:bottom w:val="nil"/>
            </w:tcBorders>
            <w:vAlign w:val="bottom"/>
          </w:tcPr>
          <w:p w14:paraId="2BAA85EB" w14:textId="2956391E" w:rsidR="00116B87" w:rsidRPr="00A06955" w:rsidRDefault="006E5CA7" w:rsidP="006E5CA7">
            <w:pPr>
              <w:tabs>
                <w:tab w:val="decimal" w:pos="743"/>
              </w:tabs>
              <w:rPr>
                <w:color w:val="auto"/>
              </w:rPr>
            </w:pPr>
            <w:r>
              <w:rPr>
                <w:color w:val="auto"/>
              </w:rPr>
              <w:t>74.2</w:t>
            </w:r>
          </w:p>
        </w:tc>
        <w:tc>
          <w:tcPr>
            <w:tcW w:w="746" w:type="pct"/>
            <w:tcBorders>
              <w:top w:val="nil"/>
              <w:bottom w:val="nil"/>
            </w:tcBorders>
            <w:vAlign w:val="bottom"/>
          </w:tcPr>
          <w:p w14:paraId="47E05553" w14:textId="77777777" w:rsidR="00116B87" w:rsidRPr="00AE1174" w:rsidRDefault="00B556DD" w:rsidP="00B556DD">
            <w:pPr>
              <w:tabs>
                <w:tab w:val="decimal" w:pos="743"/>
              </w:tabs>
              <w:rPr>
                <w:color w:val="auto"/>
              </w:rPr>
            </w:pPr>
            <w:r w:rsidRPr="00AE1174">
              <w:rPr>
                <w:color w:val="auto"/>
              </w:rPr>
              <w:t>41.1</w:t>
            </w:r>
          </w:p>
        </w:tc>
        <w:tc>
          <w:tcPr>
            <w:tcW w:w="744" w:type="pct"/>
            <w:tcBorders>
              <w:top w:val="nil"/>
              <w:bottom w:val="nil"/>
            </w:tcBorders>
            <w:shd w:val="clear" w:color="auto" w:fill="auto"/>
            <w:vAlign w:val="bottom"/>
          </w:tcPr>
          <w:p w14:paraId="04361989" w14:textId="235D2DD6" w:rsidR="00116B87" w:rsidRPr="00A06955" w:rsidRDefault="00AE1174" w:rsidP="00B556DD">
            <w:pPr>
              <w:tabs>
                <w:tab w:val="decimal" w:pos="742"/>
              </w:tabs>
              <w:rPr>
                <w:color w:val="auto"/>
              </w:rPr>
            </w:pPr>
            <w:r w:rsidRPr="00A06955">
              <w:rPr>
                <w:color w:val="auto"/>
              </w:rPr>
              <w:t>108.3</w:t>
            </w:r>
          </w:p>
        </w:tc>
        <w:tc>
          <w:tcPr>
            <w:tcW w:w="732" w:type="pct"/>
            <w:tcBorders>
              <w:top w:val="nil"/>
              <w:bottom w:val="nil"/>
              <w:right w:val="single" w:sz="4" w:space="0" w:color="auto"/>
            </w:tcBorders>
            <w:shd w:val="clear" w:color="auto" w:fill="auto"/>
            <w:vAlign w:val="bottom"/>
          </w:tcPr>
          <w:p w14:paraId="2A7E6214" w14:textId="77777777" w:rsidR="00116B87" w:rsidRPr="00AE1174" w:rsidRDefault="00B556DD" w:rsidP="00B556DD">
            <w:pPr>
              <w:tabs>
                <w:tab w:val="decimal" w:pos="742"/>
              </w:tabs>
              <w:rPr>
                <w:color w:val="auto"/>
              </w:rPr>
            </w:pPr>
            <w:r w:rsidRPr="00AE1174">
              <w:rPr>
                <w:color w:val="auto"/>
              </w:rPr>
              <w:t>80.6</w:t>
            </w:r>
          </w:p>
        </w:tc>
      </w:tr>
      <w:tr w:rsidR="000E1A52" w:rsidRPr="00AE1174" w14:paraId="53956F92" w14:textId="77777777" w:rsidTr="00EF5F4D">
        <w:trPr>
          <w:trHeight w:val="369"/>
        </w:trPr>
        <w:tc>
          <w:tcPr>
            <w:tcW w:w="2033" w:type="pct"/>
            <w:shd w:val="clear" w:color="auto" w:fill="auto"/>
            <w:vAlign w:val="bottom"/>
          </w:tcPr>
          <w:p w14:paraId="1F1E7981" w14:textId="77777777" w:rsidR="005A6798" w:rsidRDefault="005A6798" w:rsidP="00116B87">
            <w:pPr>
              <w:jc w:val="left"/>
              <w:rPr>
                <w:color w:val="auto"/>
                <w:u w:val="single"/>
              </w:rPr>
            </w:pPr>
          </w:p>
          <w:p w14:paraId="13B78352" w14:textId="77777777" w:rsidR="00116B87" w:rsidRPr="00A06955" w:rsidRDefault="00116B87" w:rsidP="00116B87">
            <w:pPr>
              <w:jc w:val="left"/>
              <w:rPr>
                <w:color w:val="auto"/>
                <w:u w:val="single"/>
              </w:rPr>
            </w:pPr>
            <w:r w:rsidRPr="00A06955">
              <w:rPr>
                <w:color w:val="auto"/>
                <w:u w:val="single"/>
              </w:rPr>
              <w:t>Borrowings</w:t>
            </w:r>
          </w:p>
        </w:tc>
        <w:tc>
          <w:tcPr>
            <w:tcW w:w="745" w:type="pct"/>
            <w:tcBorders>
              <w:top w:val="nil"/>
              <w:bottom w:val="nil"/>
            </w:tcBorders>
            <w:vAlign w:val="bottom"/>
          </w:tcPr>
          <w:p w14:paraId="02359518" w14:textId="77777777" w:rsidR="00116B87" w:rsidRPr="00A06955" w:rsidRDefault="00116B87" w:rsidP="00B556DD">
            <w:pPr>
              <w:tabs>
                <w:tab w:val="decimal" w:pos="743"/>
              </w:tabs>
              <w:rPr>
                <w:color w:val="auto"/>
              </w:rPr>
            </w:pPr>
          </w:p>
        </w:tc>
        <w:tc>
          <w:tcPr>
            <w:tcW w:w="746" w:type="pct"/>
            <w:tcBorders>
              <w:top w:val="nil"/>
              <w:bottom w:val="nil"/>
            </w:tcBorders>
            <w:vAlign w:val="bottom"/>
          </w:tcPr>
          <w:p w14:paraId="5CA564F3" w14:textId="77777777" w:rsidR="00116B87" w:rsidRPr="00AE1174" w:rsidRDefault="00116B87" w:rsidP="00B556DD">
            <w:pPr>
              <w:tabs>
                <w:tab w:val="decimal" w:pos="743"/>
              </w:tabs>
              <w:rPr>
                <w:color w:val="auto"/>
              </w:rPr>
            </w:pPr>
          </w:p>
        </w:tc>
        <w:tc>
          <w:tcPr>
            <w:tcW w:w="744" w:type="pct"/>
            <w:tcBorders>
              <w:top w:val="nil"/>
              <w:bottom w:val="nil"/>
            </w:tcBorders>
            <w:shd w:val="clear" w:color="auto" w:fill="auto"/>
            <w:vAlign w:val="bottom"/>
          </w:tcPr>
          <w:p w14:paraId="501EB710" w14:textId="77777777" w:rsidR="00116B87" w:rsidRPr="00A06955" w:rsidRDefault="00116B87" w:rsidP="00B556DD">
            <w:pPr>
              <w:tabs>
                <w:tab w:val="decimal" w:pos="742"/>
              </w:tabs>
              <w:rPr>
                <w:color w:val="auto"/>
              </w:rPr>
            </w:pPr>
          </w:p>
        </w:tc>
        <w:tc>
          <w:tcPr>
            <w:tcW w:w="732" w:type="pct"/>
            <w:tcBorders>
              <w:top w:val="nil"/>
              <w:bottom w:val="nil"/>
            </w:tcBorders>
            <w:shd w:val="clear" w:color="auto" w:fill="auto"/>
            <w:vAlign w:val="bottom"/>
          </w:tcPr>
          <w:p w14:paraId="4561CA29" w14:textId="77777777" w:rsidR="00116B87" w:rsidRPr="00AE1174" w:rsidRDefault="00116B87" w:rsidP="00B556DD">
            <w:pPr>
              <w:tabs>
                <w:tab w:val="decimal" w:pos="742"/>
              </w:tabs>
              <w:rPr>
                <w:color w:val="auto"/>
              </w:rPr>
            </w:pPr>
          </w:p>
        </w:tc>
      </w:tr>
      <w:tr w:rsidR="000E1A52" w:rsidRPr="00AE1174" w14:paraId="77BAD92F" w14:textId="77777777" w:rsidTr="00EF5F4D">
        <w:trPr>
          <w:trHeight w:val="369"/>
        </w:trPr>
        <w:tc>
          <w:tcPr>
            <w:tcW w:w="2033" w:type="pct"/>
            <w:shd w:val="clear" w:color="auto" w:fill="auto"/>
            <w:vAlign w:val="bottom"/>
          </w:tcPr>
          <w:p w14:paraId="26E6045D" w14:textId="19827073" w:rsidR="00116B87" w:rsidRPr="00A06955" w:rsidRDefault="00116B87" w:rsidP="000A0396">
            <w:pPr>
              <w:jc w:val="left"/>
              <w:rPr>
                <w:color w:val="auto"/>
              </w:rPr>
            </w:pPr>
            <w:r w:rsidRPr="00A06955">
              <w:rPr>
                <w:color w:val="auto"/>
              </w:rPr>
              <w:t>Financial liabilities at amortised cost (See Table 1 Note 2</w:t>
            </w:r>
            <w:r w:rsidR="000A0396">
              <w:rPr>
                <w:color w:val="auto"/>
              </w:rPr>
              <w:t>5</w:t>
            </w:r>
            <w:r w:rsidRPr="00A06955">
              <w:rPr>
                <w:color w:val="auto"/>
              </w:rPr>
              <w:t>)</w:t>
            </w:r>
          </w:p>
        </w:tc>
        <w:tc>
          <w:tcPr>
            <w:tcW w:w="745" w:type="pct"/>
            <w:tcBorders>
              <w:top w:val="nil"/>
              <w:bottom w:val="nil"/>
            </w:tcBorders>
            <w:vAlign w:val="bottom"/>
          </w:tcPr>
          <w:p w14:paraId="614232D5" w14:textId="27341580" w:rsidR="00116B87" w:rsidRPr="00A06955" w:rsidRDefault="00877090" w:rsidP="006E5CA7">
            <w:pPr>
              <w:tabs>
                <w:tab w:val="decimal" w:pos="743"/>
              </w:tabs>
              <w:rPr>
                <w:color w:val="auto"/>
              </w:rPr>
            </w:pPr>
            <w:r>
              <w:rPr>
                <w:color w:val="auto"/>
              </w:rPr>
              <w:t>(</w:t>
            </w:r>
            <w:r w:rsidR="00AE1174" w:rsidRPr="00A06955">
              <w:rPr>
                <w:color w:val="auto"/>
              </w:rPr>
              <w:t>4</w:t>
            </w:r>
            <w:r w:rsidR="00427F9B">
              <w:rPr>
                <w:color w:val="auto"/>
              </w:rPr>
              <w:t>6</w:t>
            </w:r>
            <w:r w:rsidR="0014363B">
              <w:rPr>
                <w:color w:val="auto"/>
              </w:rPr>
              <w:t>7.6</w:t>
            </w:r>
            <w:r>
              <w:rPr>
                <w:color w:val="auto"/>
              </w:rPr>
              <w:t>)</w:t>
            </w:r>
          </w:p>
        </w:tc>
        <w:tc>
          <w:tcPr>
            <w:tcW w:w="746" w:type="pct"/>
            <w:tcBorders>
              <w:top w:val="nil"/>
              <w:bottom w:val="nil"/>
            </w:tcBorders>
            <w:vAlign w:val="bottom"/>
          </w:tcPr>
          <w:p w14:paraId="43A5076B" w14:textId="5EE488BE" w:rsidR="00116B87" w:rsidRPr="00AE1174" w:rsidRDefault="00877090" w:rsidP="00B556DD">
            <w:pPr>
              <w:tabs>
                <w:tab w:val="decimal" w:pos="743"/>
              </w:tabs>
              <w:rPr>
                <w:color w:val="auto"/>
              </w:rPr>
            </w:pPr>
            <w:r>
              <w:rPr>
                <w:color w:val="auto"/>
              </w:rPr>
              <w:t>(</w:t>
            </w:r>
            <w:r w:rsidR="00B556DD" w:rsidRPr="00AE1174">
              <w:rPr>
                <w:color w:val="auto"/>
              </w:rPr>
              <w:t>436.1</w:t>
            </w:r>
            <w:r>
              <w:rPr>
                <w:color w:val="auto"/>
              </w:rPr>
              <w:t>)</w:t>
            </w:r>
          </w:p>
        </w:tc>
        <w:tc>
          <w:tcPr>
            <w:tcW w:w="744" w:type="pct"/>
            <w:tcBorders>
              <w:top w:val="nil"/>
              <w:bottom w:val="nil"/>
            </w:tcBorders>
            <w:shd w:val="clear" w:color="auto" w:fill="auto"/>
            <w:vAlign w:val="bottom"/>
          </w:tcPr>
          <w:p w14:paraId="2D1A7F3F" w14:textId="1311651B" w:rsidR="00116B87" w:rsidRPr="00A06955" w:rsidRDefault="00877090" w:rsidP="006E5CA7">
            <w:pPr>
              <w:tabs>
                <w:tab w:val="decimal" w:pos="742"/>
              </w:tabs>
              <w:rPr>
                <w:color w:val="auto"/>
              </w:rPr>
            </w:pPr>
            <w:r>
              <w:rPr>
                <w:color w:val="auto"/>
              </w:rPr>
              <w:t>(</w:t>
            </w:r>
            <w:r w:rsidR="00AE1174" w:rsidRPr="00A06955">
              <w:rPr>
                <w:color w:val="auto"/>
              </w:rPr>
              <w:t>57</w:t>
            </w:r>
            <w:r w:rsidR="0014363B">
              <w:rPr>
                <w:color w:val="auto"/>
              </w:rPr>
              <w:t>4.1</w:t>
            </w:r>
            <w:r>
              <w:rPr>
                <w:color w:val="auto"/>
              </w:rPr>
              <w:t>)</w:t>
            </w:r>
          </w:p>
        </w:tc>
        <w:tc>
          <w:tcPr>
            <w:tcW w:w="732" w:type="pct"/>
            <w:tcBorders>
              <w:top w:val="nil"/>
              <w:bottom w:val="nil"/>
            </w:tcBorders>
            <w:shd w:val="clear" w:color="auto" w:fill="auto"/>
            <w:vAlign w:val="bottom"/>
          </w:tcPr>
          <w:p w14:paraId="6C905286" w14:textId="05DA944F" w:rsidR="00116B87" w:rsidRPr="00AE1174" w:rsidRDefault="00877090" w:rsidP="00B556DD">
            <w:pPr>
              <w:tabs>
                <w:tab w:val="decimal" w:pos="742"/>
              </w:tabs>
              <w:rPr>
                <w:color w:val="auto"/>
              </w:rPr>
            </w:pPr>
            <w:r>
              <w:rPr>
                <w:color w:val="auto"/>
              </w:rPr>
              <w:t>(</w:t>
            </w:r>
            <w:r w:rsidR="00B556DD" w:rsidRPr="00AE1174">
              <w:rPr>
                <w:color w:val="auto"/>
              </w:rPr>
              <w:t>384.0</w:t>
            </w:r>
            <w:r>
              <w:rPr>
                <w:color w:val="auto"/>
              </w:rPr>
              <w:t>)</w:t>
            </w:r>
          </w:p>
        </w:tc>
      </w:tr>
      <w:tr w:rsidR="000E1A52" w:rsidRPr="00AE1174" w14:paraId="5A755AB9" w14:textId="77777777" w:rsidTr="00EF5F4D">
        <w:trPr>
          <w:trHeight w:val="369"/>
        </w:trPr>
        <w:tc>
          <w:tcPr>
            <w:tcW w:w="2033" w:type="pct"/>
            <w:shd w:val="clear" w:color="auto" w:fill="auto"/>
            <w:vAlign w:val="bottom"/>
          </w:tcPr>
          <w:p w14:paraId="6F281E15" w14:textId="77777777" w:rsidR="005A6798" w:rsidRDefault="005A6798" w:rsidP="00116B87">
            <w:pPr>
              <w:jc w:val="left"/>
              <w:rPr>
                <w:color w:val="auto"/>
                <w:u w:val="single"/>
              </w:rPr>
            </w:pPr>
          </w:p>
          <w:p w14:paraId="562ADFAD" w14:textId="77777777" w:rsidR="00116B87" w:rsidRPr="00A06955" w:rsidRDefault="00116B87" w:rsidP="00116B87">
            <w:pPr>
              <w:jc w:val="left"/>
              <w:rPr>
                <w:color w:val="auto"/>
                <w:u w:val="single"/>
              </w:rPr>
            </w:pPr>
            <w:r w:rsidRPr="00A06955">
              <w:rPr>
                <w:color w:val="auto"/>
                <w:u w:val="single"/>
              </w:rPr>
              <w:t>Other Liabilities (PFI related)</w:t>
            </w:r>
          </w:p>
        </w:tc>
        <w:tc>
          <w:tcPr>
            <w:tcW w:w="745" w:type="pct"/>
            <w:tcBorders>
              <w:top w:val="nil"/>
              <w:bottom w:val="nil"/>
            </w:tcBorders>
            <w:vAlign w:val="bottom"/>
          </w:tcPr>
          <w:p w14:paraId="45D3D693" w14:textId="77777777" w:rsidR="00116B87" w:rsidRPr="00A06955" w:rsidRDefault="00116B87" w:rsidP="00B556DD">
            <w:pPr>
              <w:tabs>
                <w:tab w:val="decimal" w:pos="743"/>
              </w:tabs>
              <w:rPr>
                <w:color w:val="auto"/>
              </w:rPr>
            </w:pPr>
          </w:p>
        </w:tc>
        <w:tc>
          <w:tcPr>
            <w:tcW w:w="746" w:type="pct"/>
            <w:tcBorders>
              <w:top w:val="nil"/>
              <w:bottom w:val="nil"/>
            </w:tcBorders>
            <w:vAlign w:val="bottom"/>
          </w:tcPr>
          <w:p w14:paraId="6ADBA05D" w14:textId="77777777" w:rsidR="00116B87" w:rsidRPr="00AE1174" w:rsidRDefault="00116B87" w:rsidP="00B556DD">
            <w:pPr>
              <w:tabs>
                <w:tab w:val="decimal" w:pos="743"/>
              </w:tabs>
              <w:rPr>
                <w:color w:val="auto"/>
              </w:rPr>
            </w:pPr>
          </w:p>
        </w:tc>
        <w:tc>
          <w:tcPr>
            <w:tcW w:w="744" w:type="pct"/>
            <w:tcBorders>
              <w:top w:val="nil"/>
              <w:bottom w:val="nil"/>
            </w:tcBorders>
            <w:shd w:val="clear" w:color="auto" w:fill="auto"/>
            <w:vAlign w:val="bottom"/>
          </w:tcPr>
          <w:p w14:paraId="06A3FD42" w14:textId="77777777" w:rsidR="00116B87" w:rsidRPr="00A06955" w:rsidRDefault="00116B87" w:rsidP="00B556DD">
            <w:pPr>
              <w:tabs>
                <w:tab w:val="decimal" w:pos="742"/>
              </w:tabs>
              <w:rPr>
                <w:color w:val="auto"/>
              </w:rPr>
            </w:pPr>
          </w:p>
        </w:tc>
        <w:tc>
          <w:tcPr>
            <w:tcW w:w="732" w:type="pct"/>
            <w:tcBorders>
              <w:top w:val="nil"/>
              <w:bottom w:val="nil"/>
            </w:tcBorders>
            <w:shd w:val="clear" w:color="auto" w:fill="auto"/>
            <w:vAlign w:val="bottom"/>
          </w:tcPr>
          <w:p w14:paraId="5C378EFD" w14:textId="77777777" w:rsidR="00116B87" w:rsidRPr="00AE1174" w:rsidRDefault="00116B87" w:rsidP="00B556DD">
            <w:pPr>
              <w:tabs>
                <w:tab w:val="decimal" w:pos="742"/>
              </w:tabs>
              <w:rPr>
                <w:color w:val="auto"/>
              </w:rPr>
            </w:pPr>
          </w:p>
        </w:tc>
      </w:tr>
      <w:tr w:rsidR="000E1A52" w:rsidRPr="00AE1174" w14:paraId="3B028E01" w14:textId="77777777" w:rsidTr="00EF5F4D">
        <w:trPr>
          <w:trHeight w:val="369"/>
        </w:trPr>
        <w:tc>
          <w:tcPr>
            <w:tcW w:w="2033" w:type="pct"/>
            <w:shd w:val="clear" w:color="auto" w:fill="auto"/>
            <w:vAlign w:val="bottom"/>
          </w:tcPr>
          <w:p w14:paraId="63264ABD" w14:textId="4AB85037" w:rsidR="00116B87" w:rsidRPr="00A06955" w:rsidRDefault="00116B87" w:rsidP="000A0396">
            <w:pPr>
              <w:jc w:val="left"/>
              <w:rPr>
                <w:color w:val="auto"/>
              </w:rPr>
            </w:pPr>
            <w:r w:rsidRPr="00A06955">
              <w:rPr>
                <w:color w:val="auto"/>
              </w:rPr>
              <w:t>Financial liabilities at amortised cost (See Table 1 Note 2</w:t>
            </w:r>
            <w:r w:rsidR="000A0396">
              <w:rPr>
                <w:color w:val="auto"/>
              </w:rPr>
              <w:t>5</w:t>
            </w:r>
            <w:r w:rsidRPr="00A06955">
              <w:rPr>
                <w:color w:val="auto"/>
              </w:rPr>
              <w:t>)</w:t>
            </w:r>
          </w:p>
        </w:tc>
        <w:tc>
          <w:tcPr>
            <w:tcW w:w="745" w:type="pct"/>
            <w:tcBorders>
              <w:top w:val="nil"/>
              <w:bottom w:val="nil"/>
            </w:tcBorders>
            <w:vAlign w:val="bottom"/>
          </w:tcPr>
          <w:p w14:paraId="4F0E2534" w14:textId="78FD614E" w:rsidR="00116B87" w:rsidRPr="00A06955" w:rsidRDefault="00877090" w:rsidP="00B556DD">
            <w:pPr>
              <w:tabs>
                <w:tab w:val="decimal" w:pos="743"/>
              </w:tabs>
              <w:rPr>
                <w:color w:val="auto"/>
              </w:rPr>
            </w:pPr>
            <w:r>
              <w:rPr>
                <w:color w:val="auto"/>
              </w:rPr>
              <w:t>(</w:t>
            </w:r>
            <w:r w:rsidR="00AE1174" w:rsidRPr="00A06955">
              <w:rPr>
                <w:color w:val="auto"/>
              </w:rPr>
              <w:t>167.8</w:t>
            </w:r>
            <w:r>
              <w:rPr>
                <w:color w:val="auto"/>
              </w:rPr>
              <w:t>)</w:t>
            </w:r>
          </w:p>
        </w:tc>
        <w:tc>
          <w:tcPr>
            <w:tcW w:w="746" w:type="pct"/>
            <w:tcBorders>
              <w:top w:val="nil"/>
              <w:bottom w:val="nil"/>
            </w:tcBorders>
            <w:vAlign w:val="bottom"/>
          </w:tcPr>
          <w:p w14:paraId="6CB60EFC" w14:textId="09CACFD9" w:rsidR="00116B87" w:rsidRPr="00AE1174" w:rsidRDefault="00877090" w:rsidP="00B556DD">
            <w:pPr>
              <w:tabs>
                <w:tab w:val="decimal" w:pos="743"/>
              </w:tabs>
              <w:rPr>
                <w:color w:val="auto"/>
              </w:rPr>
            </w:pPr>
            <w:r>
              <w:rPr>
                <w:color w:val="auto"/>
              </w:rPr>
              <w:t>(</w:t>
            </w:r>
            <w:r w:rsidR="00B556DD" w:rsidRPr="00AE1174">
              <w:rPr>
                <w:color w:val="auto"/>
              </w:rPr>
              <w:t>395.4</w:t>
            </w:r>
            <w:r>
              <w:rPr>
                <w:color w:val="auto"/>
              </w:rPr>
              <w:t>)</w:t>
            </w:r>
          </w:p>
        </w:tc>
        <w:tc>
          <w:tcPr>
            <w:tcW w:w="744" w:type="pct"/>
            <w:tcBorders>
              <w:top w:val="nil"/>
              <w:bottom w:val="nil"/>
            </w:tcBorders>
            <w:shd w:val="clear" w:color="auto" w:fill="auto"/>
            <w:vAlign w:val="bottom"/>
          </w:tcPr>
          <w:p w14:paraId="1F69C43F" w14:textId="0EFF0F31" w:rsidR="00116B87" w:rsidRPr="00A06955" w:rsidRDefault="00877090" w:rsidP="00B556DD">
            <w:pPr>
              <w:tabs>
                <w:tab w:val="decimal" w:pos="742"/>
              </w:tabs>
              <w:rPr>
                <w:color w:val="auto"/>
              </w:rPr>
            </w:pPr>
            <w:r>
              <w:rPr>
                <w:color w:val="auto"/>
              </w:rPr>
              <w:t>(</w:t>
            </w:r>
            <w:r w:rsidR="00AE1174" w:rsidRPr="00A06955">
              <w:rPr>
                <w:color w:val="auto"/>
              </w:rPr>
              <w:t>4.6</w:t>
            </w:r>
            <w:r>
              <w:rPr>
                <w:color w:val="auto"/>
              </w:rPr>
              <w:t>)</w:t>
            </w:r>
          </w:p>
        </w:tc>
        <w:tc>
          <w:tcPr>
            <w:tcW w:w="732" w:type="pct"/>
            <w:tcBorders>
              <w:top w:val="nil"/>
              <w:bottom w:val="nil"/>
            </w:tcBorders>
            <w:shd w:val="clear" w:color="auto" w:fill="auto"/>
            <w:vAlign w:val="bottom"/>
          </w:tcPr>
          <w:p w14:paraId="379A718A" w14:textId="2FC4A210" w:rsidR="00116B87" w:rsidRPr="00AE1174" w:rsidRDefault="00877090" w:rsidP="00B556DD">
            <w:pPr>
              <w:tabs>
                <w:tab w:val="decimal" w:pos="742"/>
              </w:tabs>
              <w:rPr>
                <w:color w:val="auto"/>
              </w:rPr>
            </w:pPr>
            <w:r>
              <w:rPr>
                <w:color w:val="auto"/>
              </w:rPr>
              <w:t>(</w:t>
            </w:r>
            <w:r w:rsidR="00B556DD" w:rsidRPr="00AE1174">
              <w:rPr>
                <w:color w:val="auto"/>
              </w:rPr>
              <w:t>7.5</w:t>
            </w:r>
            <w:r>
              <w:rPr>
                <w:color w:val="auto"/>
              </w:rPr>
              <w:t>)</w:t>
            </w:r>
          </w:p>
        </w:tc>
      </w:tr>
      <w:tr w:rsidR="000E1A52" w:rsidRPr="00AE1174" w14:paraId="22F11633" w14:textId="77777777" w:rsidTr="00EF5F4D">
        <w:trPr>
          <w:trHeight w:val="369"/>
        </w:trPr>
        <w:tc>
          <w:tcPr>
            <w:tcW w:w="2033" w:type="pct"/>
            <w:shd w:val="clear" w:color="auto" w:fill="auto"/>
            <w:vAlign w:val="bottom"/>
          </w:tcPr>
          <w:p w14:paraId="7116EBC2" w14:textId="77777777" w:rsidR="005A6798" w:rsidRDefault="005A6798" w:rsidP="00116B87">
            <w:pPr>
              <w:jc w:val="left"/>
              <w:rPr>
                <w:color w:val="auto"/>
                <w:u w:val="single"/>
              </w:rPr>
            </w:pPr>
          </w:p>
          <w:p w14:paraId="6C0E9227" w14:textId="77777777" w:rsidR="00116B87" w:rsidRPr="00A06955" w:rsidRDefault="00116B87" w:rsidP="00116B87">
            <w:pPr>
              <w:jc w:val="left"/>
              <w:rPr>
                <w:color w:val="auto"/>
                <w:u w:val="single"/>
              </w:rPr>
            </w:pPr>
            <w:r w:rsidRPr="00A06955">
              <w:rPr>
                <w:color w:val="auto"/>
                <w:u w:val="single"/>
              </w:rPr>
              <w:t>Creditors</w:t>
            </w:r>
          </w:p>
        </w:tc>
        <w:tc>
          <w:tcPr>
            <w:tcW w:w="745" w:type="pct"/>
            <w:tcBorders>
              <w:top w:val="nil"/>
              <w:bottom w:val="nil"/>
            </w:tcBorders>
            <w:vAlign w:val="bottom"/>
          </w:tcPr>
          <w:p w14:paraId="0609E18D" w14:textId="77777777" w:rsidR="00116B87" w:rsidRPr="00A06955" w:rsidRDefault="00116B87" w:rsidP="00B556DD">
            <w:pPr>
              <w:tabs>
                <w:tab w:val="decimal" w:pos="743"/>
              </w:tabs>
              <w:rPr>
                <w:color w:val="auto"/>
              </w:rPr>
            </w:pPr>
          </w:p>
        </w:tc>
        <w:tc>
          <w:tcPr>
            <w:tcW w:w="746" w:type="pct"/>
            <w:tcBorders>
              <w:top w:val="nil"/>
              <w:bottom w:val="nil"/>
            </w:tcBorders>
            <w:vAlign w:val="bottom"/>
          </w:tcPr>
          <w:p w14:paraId="441E899B" w14:textId="77777777" w:rsidR="00116B87" w:rsidRPr="00AE1174" w:rsidRDefault="00116B87" w:rsidP="00B556DD">
            <w:pPr>
              <w:tabs>
                <w:tab w:val="decimal" w:pos="743"/>
              </w:tabs>
              <w:rPr>
                <w:color w:val="auto"/>
              </w:rPr>
            </w:pPr>
          </w:p>
        </w:tc>
        <w:tc>
          <w:tcPr>
            <w:tcW w:w="744" w:type="pct"/>
            <w:tcBorders>
              <w:top w:val="nil"/>
              <w:bottom w:val="nil"/>
            </w:tcBorders>
            <w:shd w:val="clear" w:color="auto" w:fill="auto"/>
            <w:vAlign w:val="bottom"/>
          </w:tcPr>
          <w:p w14:paraId="6291DFAA" w14:textId="77777777" w:rsidR="00116B87" w:rsidRPr="00A06955" w:rsidRDefault="00116B87" w:rsidP="00B556DD">
            <w:pPr>
              <w:tabs>
                <w:tab w:val="decimal" w:pos="742"/>
              </w:tabs>
              <w:rPr>
                <w:color w:val="auto"/>
              </w:rPr>
            </w:pPr>
          </w:p>
        </w:tc>
        <w:tc>
          <w:tcPr>
            <w:tcW w:w="732" w:type="pct"/>
            <w:tcBorders>
              <w:top w:val="nil"/>
              <w:bottom w:val="nil"/>
            </w:tcBorders>
            <w:shd w:val="clear" w:color="auto" w:fill="auto"/>
            <w:vAlign w:val="bottom"/>
          </w:tcPr>
          <w:p w14:paraId="113E6D3A" w14:textId="77777777" w:rsidR="00116B87" w:rsidRPr="00AE1174" w:rsidRDefault="00116B87" w:rsidP="00B556DD">
            <w:pPr>
              <w:tabs>
                <w:tab w:val="decimal" w:pos="742"/>
              </w:tabs>
              <w:rPr>
                <w:color w:val="auto"/>
              </w:rPr>
            </w:pPr>
          </w:p>
        </w:tc>
      </w:tr>
      <w:tr w:rsidR="000E1A52" w:rsidRPr="00116B87" w14:paraId="5AC47DBC" w14:textId="77777777" w:rsidTr="00EF5F4D">
        <w:trPr>
          <w:trHeight w:val="369"/>
        </w:trPr>
        <w:tc>
          <w:tcPr>
            <w:tcW w:w="2033" w:type="pct"/>
            <w:shd w:val="clear" w:color="auto" w:fill="auto"/>
            <w:vAlign w:val="bottom"/>
          </w:tcPr>
          <w:p w14:paraId="15ED6AFC" w14:textId="77777777" w:rsidR="00116B87" w:rsidRPr="00A06955" w:rsidRDefault="00116B87" w:rsidP="00116B87">
            <w:pPr>
              <w:jc w:val="left"/>
              <w:rPr>
                <w:color w:val="auto"/>
              </w:rPr>
            </w:pPr>
            <w:r w:rsidRPr="00A06955">
              <w:rPr>
                <w:color w:val="auto"/>
              </w:rPr>
              <w:t>Financial liabilities at amortised cost</w:t>
            </w:r>
          </w:p>
        </w:tc>
        <w:tc>
          <w:tcPr>
            <w:tcW w:w="745" w:type="pct"/>
            <w:tcBorders>
              <w:top w:val="nil"/>
              <w:bottom w:val="single" w:sz="4" w:space="0" w:color="auto"/>
            </w:tcBorders>
            <w:vAlign w:val="bottom"/>
          </w:tcPr>
          <w:p w14:paraId="502E11D3" w14:textId="77777777" w:rsidR="00116B87" w:rsidRPr="00A06955" w:rsidRDefault="00116B87" w:rsidP="00B556DD">
            <w:pPr>
              <w:tabs>
                <w:tab w:val="decimal" w:pos="743"/>
              </w:tabs>
              <w:rPr>
                <w:color w:val="auto"/>
              </w:rPr>
            </w:pPr>
            <w:r w:rsidRPr="00A06955">
              <w:rPr>
                <w:color w:val="auto"/>
              </w:rPr>
              <w:t>-</w:t>
            </w:r>
          </w:p>
        </w:tc>
        <w:tc>
          <w:tcPr>
            <w:tcW w:w="746" w:type="pct"/>
            <w:tcBorders>
              <w:top w:val="nil"/>
              <w:bottom w:val="single" w:sz="4" w:space="0" w:color="auto"/>
            </w:tcBorders>
            <w:vAlign w:val="bottom"/>
          </w:tcPr>
          <w:p w14:paraId="126EA20C" w14:textId="77777777" w:rsidR="00116B87" w:rsidRPr="00AE1174" w:rsidRDefault="00B556DD" w:rsidP="00B556DD">
            <w:pPr>
              <w:tabs>
                <w:tab w:val="decimal" w:pos="743"/>
              </w:tabs>
              <w:rPr>
                <w:color w:val="auto"/>
              </w:rPr>
            </w:pPr>
            <w:r w:rsidRPr="00AE1174">
              <w:rPr>
                <w:color w:val="auto"/>
              </w:rPr>
              <w:t>-</w:t>
            </w:r>
          </w:p>
        </w:tc>
        <w:tc>
          <w:tcPr>
            <w:tcW w:w="744" w:type="pct"/>
            <w:tcBorders>
              <w:top w:val="nil"/>
              <w:bottom w:val="single" w:sz="4" w:space="0" w:color="auto"/>
            </w:tcBorders>
            <w:shd w:val="clear" w:color="auto" w:fill="auto"/>
            <w:vAlign w:val="bottom"/>
          </w:tcPr>
          <w:p w14:paraId="394B6A65" w14:textId="3AF630A5" w:rsidR="00116B87" w:rsidRPr="00A06955" w:rsidRDefault="00877090" w:rsidP="00B556DD">
            <w:pPr>
              <w:tabs>
                <w:tab w:val="decimal" w:pos="742"/>
              </w:tabs>
              <w:rPr>
                <w:color w:val="auto"/>
              </w:rPr>
            </w:pPr>
            <w:r>
              <w:rPr>
                <w:color w:val="auto"/>
              </w:rPr>
              <w:t>(</w:t>
            </w:r>
            <w:r w:rsidR="00AE1174" w:rsidRPr="00A06955">
              <w:rPr>
                <w:color w:val="auto"/>
              </w:rPr>
              <w:t>177.0</w:t>
            </w:r>
            <w:r>
              <w:rPr>
                <w:color w:val="auto"/>
              </w:rPr>
              <w:t>)</w:t>
            </w:r>
          </w:p>
        </w:tc>
        <w:tc>
          <w:tcPr>
            <w:tcW w:w="732" w:type="pct"/>
            <w:tcBorders>
              <w:top w:val="nil"/>
              <w:bottom w:val="single" w:sz="4" w:space="0" w:color="auto"/>
            </w:tcBorders>
            <w:shd w:val="clear" w:color="auto" w:fill="auto"/>
            <w:vAlign w:val="bottom"/>
          </w:tcPr>
          <w:p w14:paraId="1D3D7BD6" w14:textId="6A2DAC81" w:rsidR="00116B87" w:rsidRPr="00116B87" w:rsidRDefault="00877090" w:rsidP="00B556DD">
            <w:pPr>
              <w:tabs>
                <w:tab w:val="decimal" w:pos="742"/>
              </w:tabs>
              <w:rPr>
                <w:color w:val="auto"/>
              </w:rPr>
            </w:pPr>
            <w:r>
              <w:rPr>
                <w:color w:val="auto"/>
              </w:rPr>
              <w:t>(</w:t>
            </w:r>
            <w:r w:rsidR="00B556DD" w:rsidRPr="00AE1174">
              <w:rPr>
                <w:color w:val="auto"/>
              </w:rPr>
              <w:t>166.4</w:t>
            </w:r>
            <w:r>
              <w:rPr>
                <w:color w:val="auto"/>
              </w:rPr>
              <w:t>)</w:t>
            </w:r>
          </w:p>
        </w:tc>
      </w:tr>
    </w:tbl>
    <w:p w14:paraId="3F186997" w14:textId="77777777" w:rsidR="00A70636" w:rsidRDefault="00A70636" w:rsidP="00D8682B">
      <w:pPr>
        <w:rPr>
          <w:lang w:eastAsia="en-GB"/>
        </w:rPr>
      </w:pPr>
    </w:p>
    <w:p w14:paraId="4DBAB4EB" w14:textId="77777777" w:rsidR="005B4833" w:rsidRDefault="005B4833" w:rsidP="00D8682B">
      <w:pPr>
        <w:rPr>
          <w:lang w:eastAsia="en-GB"/>
        </w:rPr>
      </w:pPr>
    </w:p>
    <w:p w14:paraId="0EBB84B9" w14:textId="77777777" w:rsidR="005B4833" w:rsidRDefault="005B4833" w:rsidP="00D8682B">
      <w:pPr>
        <w:rPr>
          <w:lang w:eastAsia="en-GB"/>
        </w:rPr>
      </w:pPr>
    </w:p>
    <w:p w14:paraId="4ADF6F85" w14:textId="77777777" w:rsidR="005B4833" w:rsidRDefault="005B4833" w:rsidP="00D8682B">
      <w:pPr>
        <w:rPr>
          <w:lang w:eastAsia="en-GB"/>
        </w:rPr>
      </w:pPr>
    </w:p>
    <w:p w14:paraId="78C611A3" w14:textId="77777777" w:rsidR="005B4833" w:rsidRDefault="005B4833" w:rsidP="00D8682B">
      <w:pPr>
        <w:rPr>
          <w:lang w:eastAsia="en-GB"/>
        </w:rPr>
      </w:pPr>
    </w:p>
    <w:p w14:paraId="619F8FA0" w14:textId="77777777" w:rsidR="005B4833" w:rsidRDefault="005B4833" w:rsidP="00D8682B">
      <w:pPr>
        <w:rPr>
          <w:lang w:eastAsia="en-GB"/>
        </w:rPr>
      </w:pPr>
    </w:p>
    <w:p w14:paraId="4155DF3E" w14:textId="77777777" w:rsidR="005B4833" w:rsidRDefault="005B4833" w:rsidP="00D8682B">
      <w:pPr>
        <w:rPr>
          <w:lang w:eastAsia="en-GB"/>
        </w:rPr>
      </w:pPr>
    </w:p>
    <w:p w14:paraId="16621981" w14:textId="77777777" w:rsidR="005B4833" w:rsidRDefault="005B4833" w:rsidP="00D8682B">
      <w:pPr>
        <w:rPr>
          <w:lang w:eastAsia="en-GB"/>
        </w:rPr>
      </w:pPr>
    </w:p>
    <w:p w14:paraId="148B9EA2" w14:textId="7E160948" w:rsidR="00A50CD2" w:rsidRPr="00ED2793" w:rsidRDefault="00A50CD2" w:rsidP="00717919">
      <w:pPr>
        <w:pStyle w:val="Heading2"/>
        <w:numPr>
          <w:ilvl w:val="0"/>
          <w:numId w:val="69"/>
        </w:numPr>
        <w:ind w:left="0" w:firstLine="0"/>
      </w:pPr>
      <w:r w:rsidRPr="00ED2793">
        <w:t xml:space="preserve">Income, </w:t>
      </w:r>
      <w:r w:rsidR="00311222">
        <w:t>e</w:t>
      </w:r>
      <w:r w:rsidRPr="00ED2793">
        <w:t xml:space="preserve">xpense, </w:t>
      </w:r>
      <w:r w:rsidR="00311222">
        <w:t>g</w:t>
      </w:r>
      <w:r w:rsidRPr="00ED2793">
        <w:t xml:space="preserve">ains and </w:t>
      </w:r>
      <w:r w:rsidR="00311222">
        <w:t>l</w:t>
      </w:r>
      <w:r w:rsidRPr="00ED2793">
        <w:t xml:space="preserve">osses on </w:t>
      </w:r>
      <w:r w:rsidR="00311222">
        <w:t>f</w:t>
      </w:r>
      <w:r w:rsidRPr="00ED2793">
        <w:t xml:space="preserve">inancial </w:t>
      </w:r>
      <w:r w:rsidR="00311222">
        <w:t>i</w:t>
      </w:r>
      <w:r w:rsidRPr="00ED2793">
        <w:t>nstruments</w:t>
      </w:r>
    </w:p>
    <w:p w14:paraId="4B5177C8" w14:textId="77777777" w:rsidR="00A50CD2" w:rsidRPr="00ED2793" w:rsidRDefault="00A50CD2" w:rsidP="00A50CD2">
      <w:pPr>
        <w:rPr>
          <w:lang w:eastAsia="en-GB"/>
        </w:rPr>
      </w:pPr>
      <w:r w:rsidRPr="00ED2793">
        <w:rPr>
          <w:lang w:eastAsia="en-GB"/>
        </w:rPr>
        <w:t>The gains and losses during 2014/15 on financial instruments, which have been recognised in the Comprehensive Income and Expenditure Statement, are as shown in the following table: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51"/>
        <w:gridCol w:w="1388"/>
        <w:gridCol w:w="1388"/>
        <w:gridCol w:w="1110"/>
        <w:gridCol w:w="1515"/>
        <w:gridCol w:w="1198"/>
      </w:tblGrid>
      <w:tr w:rsidR="00A50CD2" w:rsidRPr="003C0F16" w14:paraId="08816D3B" w14:textId="77777777" w:rsidTr="00814732">
        <w:trPr>
          <w:trHeight w:val="369"/>
          <w:tblHeader/>
        </w:trPr>
        <w:tc>
          <w:tcPr>
            <w:tcW w:w="1843" w:type="pct"/>
            <w:shd w:val="clear" w:color="auto" w:fill="D0CECE"/>
            <w:vAlign w:val="bottom"/>
          </w:tcPr>
          <w:p w14:paraId="0F6CFFB6" w14:textId="77777777" w:rsidR="00A50CD2" w:rsidRPr="009C6556" w:rsidRDefault="00A50CD2" w:rsidP="00814732">
            <w:pPr>
              <w:jc w:val="center"/>
              <w:rPr>
                <w:b/>
                <w:color w:val="auto"/>
                <w:u w:val="single"/>
              </w:rPr>
            </w:pPr>
            <w:r w:rsidRPr="009C6556">
              <w:rPr>
                <w:b/>
                <w:color w:val="auto"/>
                <w:u w:val="single"/>
              </w:rPr>
              <w:lastRenderedPageBreak/>
              <w:t>2014/15</w:t>
            </w:r>
          </w:p>
        </w:tc>
        <w:tc>
          <w:tcPr>
            <w:tcW w:w="664" w:type="pct"/>
            <w:shd w:val="clear" w:color="auto" w:fill="D0CECE"/>
            <w:vAlign w:val="bottom"/>
          </w:tcPr>
          <w:p w14:paraId="639AAA9A" w14:textId="77777777" w:rsidR="00A50CD2" w:rsidRPr="009C6556" w:rsidRDefault="00A50CD2" w:rsidP="00814732">
            <w:pPr>
              <w:jc w:val="center"/>
              <w:rPr>
                <w:b/>
                <w:color w:val="auto"/>
                <w:sz w:val="20"/>
                <w:szCs w:val="20"/>
              </w:rPr>
            </w:pPr>
            <w:r w:rsidRPr="009C6556">
              <w:rPr>
                <w:b/>
                <w:color w:val="auto"/>
                <w:sz w:val="20"/>
                <w:szCs w:val="20"/>
              </w:rPr>
              <w:t>Financial Liabilities at Amortised Cost</w:t>
            </w:r>
          </w:p>
        </w:tc>
        <w:tc>
          <w:tcPr>
            <w:tcW w:w="664" w:type="pct"/>
            <w:shd w:val="clear" w:color="auto" w:fill="D0CECE"/>
            <w:vAlign w:val="bottom"/>
          </w:tcPr>
          <w:p w14:paraId="3F8FCCB5" w14:textId="77777777" w:rsidR="00A50CD2" w:rsidRPr="009C6556" w:rsidRDefault="00A50CD2" w:rsidP="00814732">
            <w:pPr>
              <w:jc w:val="center"/>
              <w:rPr>
                <w:b/>
                <w:color w:val="auto"/>
                <w:sz w:val="20"/>
                <w:szCs w:val="20"/>
                <w:vertAlign w:val="superscript"/>
              </w:rPr>
            </w:pPr>
            <w:r w:rsidRPr="009C6556">
              <w:rPr>
                <w:b/>
                <w:color w:val="auto"/>
                <w:sz w:val="20"/>
                <w:szCs w:val="20"/>
              </w:rPr>
              <w:t>Financial Assets: Loans &amp; Receivables</w:t>
            </w:r>
          </w:p>
        </w:tc>
        <w:tc>
          <w:tcPr>
            <w:tcW w:w="531" w:type="pct"/>
            <w:shd w:val="clear" w:color="auto" w:fill="D0CECE"/>
            <w:vAlign w:val="bottom"/>
          </w:tcPr>
          <w:p w14:paraId="0AAD11C6" w14:textId="77777777" w:rsidR="00A50CD2" w:rsidRPr="009C6556" w:rsidRDefault="00A50CD2" w:rsidP="00814732">
            <w:pPr>
              <w:jc w:val="center"/>
              <w:rPr>
                <w:b/>
                <w:color w:val="auto"/>
                <w:sz w:val="20"/>
                <w:szCs w:val="20"/>
              </w:rPr>
            </w:pPr>
            <w:r w:rsidRPr="009C6556">
              <w:rPr>
                <w:b/>
                <w:color w:val="auto"/>
                <w:sz w:val="20"/>
                <w:szCs w:val="20"/>
              </w:rPr>
              <w:t>Financial Assets: Available for Sale</w:t>
            </w:r>
          </w:p>
        </w:tc>
        <w:tc>
          <w:tcPr>
            <w:tcW w:w="725" w:type="pct"/>
            <w:shd w:val="clear" w:color="auto" w:fill="D0CECE"/>
            <w:vAlign w:val="bottom"/>
          </w:tcPr>
          <w:p w14:paraId="2C8FA07D" w14:textId="77777777" w:rsidR="00A50CD2" w:rsidRPr="009C6556" w:rsidRDefault="00A50CD2" w:rsidP="00814732">
            <w:pPr>
              <w:jc w:val="center"/>
              <w:rPr>
                <w:b/>
                <w:color w:val="auto"/>
                <w:sz w:val="20"/>
                <w:szCs w:val="20"/>
              </w:rPr>
            </w:pPr>
            <w:r w:rsidRPr="009C6556">
              <w:rPr>
                <w:b/>
                <w:color w:val="auto"/>
                <w:sz w:val="20"/>
                <w:szCs w:val="20"/>
              </w:rPr>
              <w:t>Assets and Liabilities at Fair Value through Profit &amp; Loss</w:t>
            </w:r>
          </w:p>
        </w:tc>
        <w:tc>
          <w:tcPr>
            <w:tcW w:w="573" w:type="pct"/>
            <w:shd w:val="clear" w:color="auto" w:fill="D0CECE"/>
            <w:vAlign w:val="bottom"/>
          </w:tcPr>
          <w:p w14:paraId="1D0CA0CC" w14:textId="77777777" w:rsidR="00A50CD2" w:rsidRPr="009C6556" w:rsidRDefault="00A50CD2" w:rsidP="00814732">
            <w:pPr>
              <w:jc w:val="center"/>
              <w:rPr>
                <w:b/>
                <w:color w:val="auto"/>
                <w:sz w:val="20"/>
                <w:szCs w:val="20"/>
              </w:rPr>
            </w:pPr>
            <w:r w:rsidRPr="009C6556">
              <w:rPr>
                <w:b/>
                <w:color w:val="auto"/>
                <w:sz w:val="20"/>
                <w:szCs w:val="20"/>
              </w:rPr>
              <w:t>Total</w:t>
            </w:r>
          </w:p>
        </w:tc>
      </w:tr>
      <w:tr w:rsidR="00A50CD2" w:rsidRPr="003C0F16" w14:paraId="3425B2DE" w14:textId="77777777" w:rsidTr="00814732">
        <w:trPr>
          <w:trHeight w:val="369"/>
          <w:tblHeader/>
        </w:trPr>
        <w:tc>
          <w:tcPr>
            <w:tcW w:w="1843" w:type="pct"/>
            <w:shd w:val="clear" w:color="auto" w:fill="D0CECE"/>
            <w:vAlign w:val="bottom"/>
          </w:tcPr>
          <w:p w14:paraId="68482FF8" w14:textId="77777777" w:rsidR="00A50CD2" w:rsidRPr="009C6556" w:rsidRDefault="00A50CD2" w:rsidP="00814732">
            <w:pPr>
              <w:jc w:val="left"/>
              <w:rPr>
                <w:color w:val="auto"/>
                <w:sz w:val="20"/>
                <w:szCs w:val="20"/>
              </w:rPr>
            </w:pPr>
          </w:p>
        </w:tc>
        <w:tc>
          <w:tcPr>
            <w:tcW w:w="664" w:type="pct"/>
            <w:shd w:val="clear" w:color="auto" w:fill="D0CECE"/>
            <w:vAlign w:val="bottom"/>
          </w:tcPr>
          <w:p w14:paraId="34653E7F" w14:textId="77777777" w:rsidR="00A50CD2" w:rsidRPr="009C6556" w:rsidRDefault="00A50CD2" w:rsidP="00814732">
            <w:pPr>
              <w:jc w:val="center"/>
              <w:rPr>
                <w:b/>
                <w:color w:val="auto"/>
                <w:sz w:val="20"/>
                <w:szCs w:val="20"/>
              </w:rPr>
            </w:pPr>
            <w:r w:rsidRPr="009C6556">
              <w:rPr>
                <w:b/>
                <w:color w:val="auto"/>
                <w:sz w:val="20"/>
                <w:szCs w:val="20"/>
              </w:rPr>
              <w:t>£m</w:t>
            </w:r>
          </w:p>
        </w:tc>
        <w:tc>
          <w:tcPr>
            <w:tcW w:w="664" w:type="pct"/>
            <w:shd w:val="clear" w:color="auto" w:fill="D0CECE"/>
            <w:vAlign w:val="bottom"/>
          </w:tcPr>
          <w:p w14:paraId="2B1B5C37" w14:textId="77777777" w:rsidR="00A50CD2" w:rsidRPr="009C6556" w:rsidRDefault="00A50CD2" w:rsidP="00814732">
            <w:pPr>
              <w:jc w:val="center"/>
              <w:rPr>
                <w:b/>
                <w:color w:val="auto"/>
                <w:sz w:val="20"/>
                <w:szCs w:val="20"/>
              </w:rPr>
            </w:pPr>
            <w:r w:rsidRPr="009C6556">
              <w:rPr>
                <w:b/>
                <w:color w:val="auto"/>
                <w:sz w:val="20"/>
                <w:szCs w:val="20"/>
              </w:rPr>
              <w:t>£m</w:t>
            </w:r>
          </w:p>
        </w:tc>
        <w:tc>
          <w:tcPr>
            <w:tcW w:w="531" w:type="pct"/>
            <w:shd w:val="clear" w:color="auto" w:fill="D0CECE"/>
            <w:vAlign w:val="bottom"/>
          </w:tcPr>
          <w:p w14:paraId="53AD67CC" w14:textId="77777777" w:rsidR="00A50CD2" w:rsidRPr="009C6556" w:rsidRDefault="00A50CD2" w:rsidP="00814732">
            <w:pPr>
              <w:jc w:val="center"/>
              <w:rPr>
                <w:b/>
                <w:color w:val="auto"/>
                <w:sz w:val="20"/>
                <w:szCs w:val="20"/>
              </w:rPr>
            </w:pPr>
            <w:r w:rsidRPr="009C6556">
              <w:rPr>
                <w:b/>
                <w:color w:val="auto"/>
                <w:sz w:val="20"/>
                <w:szCs w:val="20"/>
              </w:rPr>
              <w:t>£m</w:t>
            </w:r>
          </w:p>
        </w:tc>
        <w:tc>
          <w:tcPr>
            <w:tcW w:w="725" w:type="pct"/>
            <w:shd w:val="clear" w:color="auto" w:fill="D0CECE"/>
            <w:vAlign w:val="bottom"/>
          </w:tcPr>
          <w:p w14:paraId="3E73D154" w14:textId="77777777" w:rsidR="00A50CD2" w:rsidRPr="009C6556" w:rsidRDefault="00A50CD2" w:rsidP="00814732">
            <w:pPr>
              <w:jc w:val="center"/>
              <w:rPr>
                <w:b/>
                <w:color w:val="auto"/>
                <w:sz w:val="20"/>
                <w:szCs w:val="20"/>
              </w:rPr>
            </w:pPr>
            <w:r w:rsidRPr="009C6556">
              <w:rPr>
                <w:b/>
                <w:color w:val="auto"/>
                <w:sz w:val="20"/>
                <w:szCs w:val="20"/>
              </w:rPr>
              <w:t>£m</w:t>
            </w:r>
          </w:p>
        </w:tc>
        <w:tc>
          <w:tcPr>
            <w:tcW w:w="573" w:type="pct"/>
            <w:shd w:val="clear" w:color="auto" w:fill="D0CECE"/>
            <w:vAlign w:val="bottom"/>
          </w:tcPr>
          <w:p w14:paraId="7C3263A5" w14:textId="77777777" w:rsidR="00A50CD2" w:rsidRPr="009C6556" w:rsidRDefault="00A50CD2" w:rsidP="00814732">
            <w:pPr>
              <w:jc w:val="center"/>
              <w:rPr>
                <w:b/>
                <w:color w:val="auto"/>
                <w:sz w:val="20"/>
                <w:szCs w:val="20"/>
              </w:rPr>
            </w:pPr>
            <w:r w:rsidRPr="009C6556">
              <w:rPr>
                <w:b/>
                <w:color w:val="auto"/>
                <w:sz w:val="20"/>
                <w:szCs w:val="20"/>
              </w:rPr>
              <w:t>£m</w:t>
            </w:r>
          </w:p>
        </w:tc>
      </w:tr>
      <w:tr w:rsidR="00A50CD2" w:rsidRPr="003C0F16" w14:paraId="76C429FA" w14:textId="77777777" w:rsidTr="00814732">
        <w:trPr>
          <w:trHeight w:val="369"/>
        </w:trPr>
        <w:tc>
          <w:tcPr>
            <w:tcW w:w="1843" w:type="pct"/>
            <w:shd w:val="clear" w:color="auto" w:fill="auto"/>
            <w:vAlign w:val="bottom"/>
          </w:tcPr>
          <w:p w14:paraId="254BC74A" w14:textId="77777777" w:rsidR="00A50CD2" w:rsidRPr="009C6556" w:rsidRDefault="00A50CD2" w:rsidP="00814732">
            <w:pPr>
              <w:jc w:val="left"/>
              <w:rPr>
                <w:color w:val="auto"/>
                <w:sz w:val="20"/>
                <w:szCs w:val="20"/>
              </w:rPr>
            </w:pPr>
            <w:r w:rsidRPr="009C6556">
              <w:rPr>
                <w:color w:val="auto"/>
                <w:sz w:val="20"/>
                <w:szCs w:val="20"/>
              </w:rPr>
              <w:t>Interest Expense</w:t>
            </w:r>
          </w:p>
        </w:tc>
        <w:tc>
          <w:tcPr>
            <w:tcW w:w="664" w:type="pct"/>
            <w:tcBorders>
              <w:bottom w:val="nil"/>
            </w:tcBorders>
            <w:shd w:val="clear" w:color="auto" w:fill="auto"/>
            <w:vAlign w:val="bottom"/>
          </w:tcPr>
          <w:p w14:paraId="67293726" w14:textId="77777777" w:rsidR="00A50CD2" w:rsidRPr="009C6556" w:rsidRDefault="00A50CD2" w:rsidP="00814732">
            <w:pPr>
              <w:tabs>
                <w:tab w:val="decimal" w:pos="744"/>
              </w:tabs>
              <w:rPr>
                <w:color w:val="auto"/>
                <w:sz w:val="20"/>
                <w:szCs w:val="20"/>
              </w:rPr>
            </w:pPr>
            <w:r>
              <w:rPr>
                <w:color w:val="auto"/>
                <w:sz w:val="20"/>
                <w:szCs w:val="20"/>
              </w:rPr>
              <w:t>67.9</w:t>
            </w:r>
          </w:p>
        </w:tc>
        <w:tc>
          <w:tcPr>
            <w:tcW w:w="664" w:type="pct"/>
            <w:tcBorders>
              <w:bottom w:val="nil"/>
            </w:tcBorders>
            <w:vAlign w:val="bottom"/>
          </w:tcPr>
          <w:p w14:paraId="3335A1C5" w14:textId="77777777" w:rsidR="00A50CD2" w:rsidRPr="009C6556" w:rsidRDefault="00A50CD2" w:rsidP="00814732">
            <w:pPr>
              <w:tabs>
                <w:tab w:val="decimal" w:pos="743"/>
              </w:tabs>
              <w:rPr>
                <w:color w:val="auto"/>
                <w:sz w:val="20"/>
                <w:szCs w:val="20"/>
              </w:rPr>
            </w:pPr>
            <w:r w:rsidRPr="009C6556">
              <w:rPr>
                <w:color w:val="auto"/>
                <w:sz w:val="20"/>
                <w:szCs w:val="20"/>
              </w:rPr>
              <w:t>-</w:t>
            </w:r>
          </w:p>
        </w:tc>
        <w:tc>
          <w:tcPr>
            <w:tcW w:w="531" w:type="pct"/>
            <w:tcBorders>
              <w:bottom w:val="nil"/>
            </w:tcBorders>
            <w:vAlign w:val="bottom"/>
          </w:tcPr>
          <w:p w14:paraId="2B8BCACD" w14:textId="77777777" w:rsidR="00A50CD2" w:rsidRPr="009C6556" w:rsidRDefault="00A50CD2" w:rsidP="00814732">
            <w:pPr>
              <w:tabs>
                <w:tab w:val="decimal" w:pos="600"/>
              </w:tabs>
              <w:rPr>
                <w:color w:val="auto"/>
                <w:sz w:val="20"/>
                <w:szCs w:val="20"/>
              </w:rPr>
            </w:pPr>
            <w:r w:rsidRPr="009C6556">
              <w:rPr>
                <w:color w:val="auto"/>
                <w:sz w:val="20"/>
                <w:szCs w:val="20"/>
              </w:rPr>
              <w:t>-</w:t>
            </w:r>
          </w:p>
        </w:tc>
        <w:tc>
          <w:tcPr>
            <w:tcW w:w="725" w:type="pct"/>
            <w:tcBorders>
              <w:bottom w:val="nil"/>
            </w:tcBorders>
            <w:shd w:val="clear" w:color="auto" w:fill="auto"/>
            <w:vAlign w:val="bottom"/>
          </w:tcPr>
          <w:p w14:paraId="2CEFD1D9" w14:textId="77777777" w:rsidR="00A50CD2" w:rsidRPr="009C6556" w:rsidRDefault="00A50CD2" w:rsidP="00814732">
            <w:pPr>
              <w:tabs>
                <w:tab w:val="decimal" w:pos="742"/>
              </w:tabs>
              <w:rPr>
                <w:color w:val="auto"/>
                <w:sz w:val="20"/>
                <w:szCs w:val="20"/>
              </w:rPr>
            </w:pPr>
            <w:r w:rsidRPr="009C6556">
              <w:rPr>
                <w:color w:val="auto"/>
                <w:sz w:val="20"/>
                <w:szCs w:val="20"/>
              </w:rPr>
              <w:t>-</w:t>
            </w:r>
          </w:p>
        </w:tc>
        <w:tc>
          <w:tcPr>
            <w:tcW w:w="573" w:type="pct"/>
            <w:tcBorders>
              <w:bottom w:val="nil"/>
            </w:tcBorders>
            <w:shd w:val="clear" w:color="auto" w:fill="auto"/>
            <w:vAlign w:val="bottom"/>
          </w:tcPr>
          <w:p w14:paraId="07522E3A" w14:textId="1B8403EF" w:rsidR="00A50CD2" w:rsidRPr="00BA7E5C" w:rsidRDefault="00A50CD2" w:rsidP="00BA7E5C">
            <w:pPr>
              <w:tabs>
                <w:tab w:val="decimal" w:pos="612"/>
              </w:tabs>
              <w:rPr>
                <w:color w:val="auto"/>
                <w:sz w:val="20"/>
                <w:szCs w:val="20"/>
                <w:vertAlign w:val="superscript"/>
              </w:rPr>
            </w:pPr>
            <w:r>
              <w:rPr>
                <w:color w:val="auto"/>
                <w:sz w:val="20"/>
                <w:szCs w:val="20"/>
              </w:rPr>
              <w:t>67.9</w:t>
            </w:r>
            <w:r w:rsidR="00BA7E5C">
              <w:rPr>
                <w:color w:val="auto"/>
                <w:sz w:val="20"/>
                <w:szCs w:val="20"/>
                <w:vertAlign w:val="superscript"/>
              </w:rPr>
              <w:t>1</w:t>
            </w:r>
          </w:p>
        </w:tc>
      </w:tr>
      <w:tr w:rsidR="00A50CD2" w:rsidRPr="003C0F16" w14:paraId="231B1EF1" w14:textId="77777777" w:rsidTr="00814732">
        <w:trPr>
          <w:trHeight w:val="369"/>
        </w:trPr>
        <w:tc>
          <w:tcPr>
            <w:tcW w:w="1843" w:type="pct"/>
            <w:shd w:val="clear" w:color="auto" w:fill="auto"/>
            <w:vAlign w:val="bottom"/>
          </w:tcPr>
          <w:p w14:paraId="5E8B63E3" w14:textId="77777777" w:rsidR="00A50CD2" w:rsidRPr="009C6556" w:rsidRDefault="00A50CD2" w:rsidP="00814732">
            <w:pPr>
              <w:jc w:val="left"/>
              <w:rPr>
                <w:color w:val="auto"/>
                <w:sz w:val="20"/>
                <w:szCs w:val="20"/>
              </w:rPr>
            </w:pPr>
            <w:r w:rsidRPr="009C6556">
              <w:rPr>
                <w:color w:val="auto"/>
                <w:sz w:val="20"/>
                <w:szCs w:val="20"/>
              </w:rPr>
              <w:t>Fee Expense</w:t>
            </w:r>
          </w:p>
        </w:tc>
        <w:tc>
          <w:tcPr>
            <w:tcW w:w="664" w:type="pct"/>
            <w:tcBorders>
              <w:top w:val="nil"/>
              <w:bottom w:val="single" w:sz="4" w:space="0" w:color="auto"/>
            </w:tcBorders>
            <w:shd w:val="clear" w:color="auto" w:fill="auto"/>
            <w:vAlign w:val="bottom"/>
          </w:tcPr>
          <w:p w14:paraId="2483F646" w14:textId="742CC6D4" w:rsidR="00A50CD2" w:rsidRPr="009C6556" w:rsidRDefault="00A50CD2" w:rsidP="00814732">
            <w:pPr>
              <w:tabs>
                <w:tab w:val="decimal" w:pos="744"/>
              </w:tabs>
              <w:rPr>
                <w:color w:val="auto"/>
                <w:sz w:val="20"/>
                <w:szCs w:val="20"/>
              </w:rPr>
            </w:pPr>
            <w:r w:rsidRPr="009C6556">
              <w:rPr>
                <w:color w:val="auto"/>
                <w:sz w:val="20"/>
                <w:szCs w:val="20"/>
              </w:rPr>
              <w:t>0.</w:t>
            </w:r>
            <w:r w:rsidR="00371403">
              <w:rPr>
                <w:color w:val="auto"/>
                <w:sz w:val="20"/>
                <w:szCs w:val="20"/>
              </w:rPr>
              <w:t>5</w:t>
            </w:r>
          </w:p>
        </w:tc>
        <w:tc>
          <w:tcPr>
            <w:tcW w:w="664" w:type="pct"/>
            <w:tcBorders>
              <w:top w:val="nil"/>
              <w:bottom w:val="single" w:sz="4" w:space="0" w:color="auto"/>
            </w:tcBorders>
            <w:vAlign w:val="bottom"/>
          </w:tcPr>
          <w:p w14:paraId="758BAA1A" w14:textId="77777777" w:rsidR="00A50CD2" w:rsidRPr="009C6556" w:rsidRDefault="00A50CD2" w:rsidP="00814732">
            <w:pPr>
              <w:tabs>
                <w:tab w:val="decimal" w:pos="743"/>
              </w:tabs>
              <w:rPr>
                <w:color w:val="auto"/>
                <w:sz w:val="20"/>
                <w:szCs w:val="20"/>
              </w:rPr>
            </w:pPr>
            <w:r w:rsidRPr="009C6556">
              <w:rPr>
                <w:color w:val="auto"/>
                <w:sz w:val="20"/>
                <w:szCs w:val="20"/>
              </w:rPr>
              <w:t>-</w:t>
            </w:r>
          </w:p>
        </w:tc>
        <w:tc>
          <w:tcPr>
            <w:tcW w:w="531" w:type="pct"/>
            <w:tcBorders>
              <w:top w:val="nil"/>
              <w:bottom w:val="single" w:sz="4" w:space="0" w:color="auto"/>
            </w:tcBorders>
            <w:vAlign w:val="bottom"/>
          </w:tcPr>
          <w:p w14:paraId="0A099D03" w14:textId="77777777" w:rsidR="00A50CD2" w:rsidRPr="009C6556" w:rsidRDefault="00A50CD2" w:rsidP="00814732">
            <w:pPr>
              <w:tabs>
                <w:tab w:val="decimal" w:pos="600"/>
              </w:tabs>
              <w:rPr>
                <w:color w:val="auto"/>
                <w:sz w:val="20"/>
                <w:szCs w:val="20"/>
              </w:rPr>
            </w:pPr>
            <w:r w:rsidRPr="009C6556">
              <w:rPr>
                <w:color w:val="auto"/>
                <w:sz w:val="20"/>
                <w:szCs w:val="20"/>
              </w:rPr>
              <w:t>-</w:t>
            </w:r>
          </w:p>
        </w:tc>
        <w:tc>
          <w:tcPr>
            <w:tcW w:w="725" w:type="pct"/>
            <w:tcBorders>
              <w:top w:val="nil"/>
              <w:bottom w:val="single" w:sz="4" w:space="0" w:color="auto"/>
            </w:tcBorders>
            <w:shd w:val="clear" w:color="auto" w:fill="auto"/>
            <w:vAlign w:val="bottom"/>
          </w:tcPr>
          <w:p w14:paraId="2DD92F6B" w14:textId="77777777" w:rsidR="00A50CD2" w:rsidRPr="009C6556" w:rsidRDefault="00A50CD2" w:rsidP="00814732">
            <w:pPr>
              <w:tabs>
                <w:tab w:val="decimal" w:pos="742"/>
              </w:tabs>
              <w:rPr>
                <w:color w:val="auto"/>
                <w:sz w:val="20"/>
                <w:szCs w:val="20"/>
              </w:rPr>
            </w:pPr>
            <w:r w:rsidRPr="009C6556">
              <w:rPr>
                <w:color w:val="auto"/>
                <w:sz w:val="20"/>
                <w:szCs w:val="20"/>
              </w:rPr>
              <w:t>-</w:t>
            </w:r>
          </w:p>
        </w:tc>
        <w:tc>
          <w:tcPr>
            <w:tcW w:w="573" w:type="pct"/>
            <w:tcBorders>
              <w:top w:val="nil"/>
              <w:bottom w:val="single" w:sz="4" w:space="0" w:color="auto"/>
            </w:tcBorders>
            <w:shd w:val="clear" w:color="auto" w:fill="auto"/>
            <w:vAlign w:val="bottom"/>
          </w:tcPr>
          <w:p w14:paraId="7FFCDF9A" w14:textId="1B5FE5F6" w:rsidR="00A50CD2" w:rsidRPr="009C6556" w:rsidRDefault="00A50CD2" w:rsidP="00814732">
            <w:pPr>
              <w:tabs>
                <w:tab w:val="decimal" w:pos="612"/>
              </w:tabs>
              <w:rPr>
                <w:color w:val="auto"/>
                <w:sz w:val="20"/>
                <w:szCs w:val="20"/>
              </w:rPr>
            </w:pPr>
            <w:r w:rsidRPr="009C6556">
              <w:rPr>
                <w:color w:val="auto"/>
                <w:sz w:val="20"/>
                <w:szCs w:val="20"/>
              </w:rPr>
              <w:t>0.</w:t>
            </w:r>
            <w:r w:rsidR="00371403">
              <w:rPr>
                <w:color w:val="auto"/>
                <w:sz w:val="20"/>
                <w:szCs w:val="20"/>
              </w:rPr>
              <w:t>5</w:t>
            </w:r>
          </w:p>
        </w:tc>
      </w:tr>
      <w:tr w:rsidR="00A50CD2" w:rsidRPr="003C0F16" w14:paraId="39C3AD8D" w14:textId="77777777" w:rsidTr="00814732">
        <w:trPr>
          <w:trHeight w:val="369"/>
        </w:trPr>
        <w:tc>
          <w:tcPr>
            <w:tcW w:w="1843" w:type="pct"/>
            <w:shd w:val="clear" w:color="auto" w:fill="auto"/>
            <w:vAlign w:val="bottom"/>
          </w:tcPr>
          <w:p w14:paraId="627ED11A" w14:textId="77777777" w:rsidR="00A50CD2" w:rsidRPr="00224A51" w:rsidRDefault="00A50CD2" w:rsidP="00814732">
            <w:pPr>
              <w:jc w:val="left"/>
              <w:rPr>
                <w:b/>
                <w:color w:val="auto"/>
                <w:sz w:val="20"/>
                <w:szCs w:val="20"/>
              </w:rPr>
            </w:pPr>
            <w:r w:rsidRPr="00224A51">
              <w:rPr>
                <w:b/>
                <w:color w:val="auto"/>
                <w:sz w:val="20"/>
                <w:szCs w:val="20"/>
              </w:rPr>
              <w:t>Total Expense in Surplus on the Provision of Services</w:t>
            </w:r>
          </w:p>
        </w:tc>
        <w:tc>
          <w:tcPr>
            <w:tcW w:w="664" w:type="pct"/>
            <w:tcBorders>
              <w:top w:val="single" w:sz="4" w:space="0" w:color="auto"/>
            </w:tcBorders>
            <w:shd w:val="clear" w:color="auto" w:fill="auto"/>
            <w:vAlign w:val="bottom"/>
          </w:tcPr>
          <w:p w14:paraId="3628AC36" w14:textId="7D96C561" w:rsidR="00A50CD2" w:rsidRPr="009C6556" w:rsidRDefault="00371403" w:rsidP="00814732">
            <w:pPr>
              <w:tabs>
                <w:tab w:val="decimal" w:pos="744"/>
              </w:tabs>
              <w:rPr>
                <w:b/>
                <w:color w:val="auto"/>
                <w:sz w:val="20"/>
                <w:szCs w:val="20"/>
              </w:rPr>
            </w:pPr>
            <w:r>
              <w:rPr>
                <w:b/>
                <w:color w:val="auto"/>
                <w:sz w:val="20"/>
                <w:szCs w:val="20"/>
              </w:rPr>
              <w:t>68.4</w:t>
            </w:r>
          </w:p>
        </w:tc>
        <w:tc>
          <w:tcPr>
            <w:tcW w:w="664" w:type="pct"/>
            <w:tcBorders>
              <w:top w:val="single" w:sz="4" w:space="0" w:color="auto"/>
            </w:tcBorders>
            <w:vAlign w:val="bottom"/>
          </w:tcPr>
          <w:p w14:paraId="51635E52" w14:textId="77777777" w:rsidR="00A50CD2" w:rsidRPr="009C6556" w:rsidRDefault="00A50CD2" w:rsidP="00814732">
            <w:pPr>
              <w:tabs>
                <w:tab w:val="decimal" w:pos="743"/>
              </w:tabs>
              <w:rPr>
                <w:b/>
                <w:color w:val="auto"/>
                <w:sz w:val="20"/>
                <w:szCs w:val="20"/>
              </w:rPr>
            </w:pPr>
            <w:r w:rsidRPr="009C6556">
              <w:rPr>
                <w:b/>
                <w:color w:val="auto"/>
                <w:sz w:val="20"/>
                <w:szCs w:val="20"/>
              </w:rPr>
              <w:t>-</w:t>
            </w:r>
          </w:p>
        </w:tc>
        <w:tc>
          <w:tcPr>
            <w:tcW w:w="531" w:type="pct"/>
            <w:tcBorders>
              <w:top w:val="single" w:sz="4" w:space="0" w:color="auto"/>
            </w:tcBorders>
            <w:vAlign w:val="bottom"/>
          </w:tcPr>
          <w:p w14:paraId="6C264D4C" w14:textId="77777777" w:rsidR="00A50CD2" w:rsidRPr="009C6556" w:rsidRDefault="00A50CD2" w:rsidP="00814732">
            <w:pPr>
              <w:tabs>
                <w:tab w:val="decimal" w:pos="600"/>
              </w:tabs>
              <w:rPr>
                <w:b/>
                <w:color w:val="auto"/>
                <w:sz w:val="20"/>
                <w:szCs w:val="20"/>
              </w:rPr>
            </w:pPr>
            <w:r w:rsidRPr="009C6556">
              <w:rPr>
                <w:b/>
                <w:color w:val="auto"/>
                <w:sz w:val="20"/>
                <w:szCs w:val="20"/>
              </w:rPr>
              <w:t>-</w:t>
            </w:r>
          </w:p>
        </w:tc>
        <w:tc>
          <w:tcPr>
            <w:tcW w:w="725" w:type="pct"/>
            <w:tcBorders>
              <w:top w:val="single" w:sz="4" w:space="0" w:color="auto"/>
            </w:tcBorders>
            <w:shd w:val="clear" w:color="auto" w:fill="auto"/>
            <w:vAlign w:val="bottom"/>
          </w:tcPr>
          <w:p w14:paraId="147050D3" w14:textId="77777777" w:rsidR="00A50CD2" w:rsidRPr="009C6556" w:rsidRDefault="00A50CD2" w:rsidP="00814732">
            <w:pPr>
              <w:tabs>
                <w:tab w:val="decimal" w:pos="742"/>
              </w:tabs>
              <w:rPr>
                <w:b/>
                <w:color w:val="auto"/>
                <w:sz w:val="20"/>
                <w:szCs w:val="20"/>
              </w:rPr>
            </w:pPr>
            <w:r w:rsidRPr="009C6556">
              <w:rPr>
                <w:b/>
                <w:color w:val="auto"/>
                <w:sz w:val="20"/>
                <w:szCs w:val="20"/>
              </w:rPr>
              <w:t>-</w:t>
            </w:r>
          </w:p>
        </w:tc>
        <w:tc>
          <w:tcPr>
            <w:tcW w:w="573" w:type="pct"/>
            <w:tcBorders>
              <w:top w:val="single" w:sz="4" w:space="0" w:color="auto"/>
            </w:tcBorders>
            <w:shd w:val="clear" w:color="auto" w:fill="auto"/>
            <w:vAlign w:val="bottom"/>
          </w:tcPr>
          <w:p w14:paraId="33D97E01" w14:textId="6DA5910F" w:rsidR="00A50CD2" w:rsidRPr="009C6556" w:rsidRDefault="00371403" w:rsidP="00814732">
            <w:pPr>
              <w:tabs>
                <w:tab w:val="decimal" w:pos="612"/>
              </w:tabs>
              <w:rPr>
                <w:b/>
                <w:color w:val="auto"/>
                <w:sz w:val="20"/>
                <w:szCs w:val="20"/>
              </w:rPr>
            </w:pPr>
            <w:r>
              <w:rPr>
                <w:b/>
                <w:color w:val="auto"/>
                <w:sz w:val="20"/>
                <w:szCs w:val="20"/>
              </w:rPr>
              <w:t>68.4</w:t>
            </w:r>
          </w:p>
        </w:tc>
      </w:tr>
      <w:tr w:rsidR="00A50CD2" w:rsidRPr="003C0F16" w14:paraId="549113E7" w14:textId="77777777" w:rsidTr="00814732">
        <w:trPr>
          <w:trHeight w:val="369"/>
        </w:trPr>
        <w:tc>
          <w:tcPr>
            <w:tcW w:w="1843" w:type="pct"/>
            <w:shd w:val="clear" w:color="auto" w:fill="auto"/>
            <w:vAlign w:val="bottom"/>
          </w:tcPr>
          <w:p w14:paraId="22E5D51D" w14:textId="77777777" w:rsidR="00A50CD2" w:rsidRPr="00224A51" w:rsidRDefault="00A50CD2" w:rsidP="00814732">
            <w:pPr>
              <w:jc w:val="left"/>
              <w:rPr>
                <w:color w:val="auto"/>
                <w:sz w:val="20"/>
                <w:szCs w:val="20"/>
              </w:rPr>
            </w:pPr>
          </w:p>
        </w:tc>
        <w:tc>
          <w:tcPr>
            <w:tcW w:w="664" w:type="pct"/>
            <w:shd w:val="clear" w:color="auto" w:fill="auto"/>
            <w:vAlign w:val="bottom"/>
          </w:tcPr>
          <w:p w14:paraId="662D79AC" w14:textId="77777777" w:rsidR="00A50CD2" w:rsidRPr="009C6556" w:rsidRDefault="00A50CD2" w:rsidP="00814732">
            <w:pPr>
              <w:tabs>
                <w:tab w:val="decimal" w:pos="744"/>
              </w:tabs>
              <w:rPr>
                <w:color w:val="auto"/>
                <w:sz w:val="20"/>
                <w:szCs w:val="20"/>
              </w:rPr>
            </w:pPr>
          </w:p>
        </w:tc>
        <w:tc>
          <w:tcPr>
            <w:tcW w:w="664" w:type="pct"/>
            <w:vAlign w:val="bottom"/>
          </w:tcPr>
          <w:p w14:paraId="79A1A7E7" w14:textId="77777777" w:rsidR="00A50CD2" w:rsidRPr="009C6556" w:rsidRDefault="00A50CD2" w:rsidP="00814732">
            <w:pPr>
              <w:tabs>
                <w:tab w:val="decimal" w:pos="743"/>
              </w:tabs>
              <w:rPr>
                <w:color w:val="auto"/>
                <w:sz w:val="20"/>
                <w:szCs w:val="20"/>
              </w:rPr>
            </w:pPr>
          </w:p>
        </w:tc>
        <w:tc>
          <w:tcPr>
            <w:tcW w:w="531" w:type="pct"/>
            <w:vAlign w:val="bottom"/>
          </w:tcPr>
          <w:p w14:paraId="49B342C0" w14:textId="77777777" w:rsidR="00A50CD2" w:rsidRPr="009C6556" w:rsidRDefault="00A50CD2" w:rsidP="00814732">
            <w:pPr>
              <w:tabs>
                <w:tab w:val="decimal" w:pos="600"/>
              </w:tabs>
              <w:rPr>
                <w:color w:val="auto"/>
                <w:sz w:val="20"/>
                <w:szCs w:val="20"/>
              </w:rPr>
            </w:pPr>
          </w:p>
        </w:tc>
        <w:tc>
          <w:tcPr>
            <w:tcW w:w="725" w:type="pct"/>
            <w:shd w:val="clear" w:color="auto" w:fill="auto"/>
            <w:vAlign w:val="bottom"/>
          </w:tcPr>
          <w:p w14:paraId="7D14A713" w14:textId="77777777" w:rsidR="00A50CD2" w:rsidRPr="009C6556" w:rsidRDefault="00A50CD2" w:rsidP="00814732">
            <w:pPr>
              <w:tabs>
                <w:tab w:val="decimal" w:pos="742"/>
              </w:tabs>
              <w:rPr>
                <w:color w:val="auto"/>
                <w:sz w:val="20"/>
                <w:szCs w:val="20"/>
              </w:rPr>
            </w:pPr>
          </w:p>
        </w:tc>
        <w:tc>
          <w:tcPr>
            <w:tcW w:w="573" w:type="pct"/>
            <w:shd w:val="clear" w:color="auto" w:fill="auto"/>
            <w:vAlign w:val="bottom"/>
          </w:tcPr>
          <w:p w14:paraId="1C5A7040" w14:textId="77777777" w:rsidR="00A50CD2" w:rsidRPr="009C6556" w:rsidRDefault="00A50CD2" w:rsidP="00814732">
            <w:pPr>
              <w:tabs>
                <w:tab w:val="decimal" w:pos="612"/>
              </w:tabs>
              <w:rPr>
                <w:color w:val="auto"/>
                <w:sz w:val="20"/>
                <w:szCs w:val="20"/>
              </w:rPr>
            </w:pPr>
          </w:p>
        </w:tc>
      </w:tr>
      <w:tr w:rsidR="00A50CD2" w:rsidRPr="003C0F16" w14:paraId="210D84B8" w14:textId="77777777" w:rsidTr="00814732">
        <w:trPr>
          <w:trHeight w:val="369"/>
        </w:trPr>
        <w:tc>
          <w:tcPr>
            <w:tcW w:w="1843" w:type="pct"/>
            <w:shd w:val="clear" w:color="auto" w:fill="auto"/>
            <w:vAlign w:val="bottom"/>
          </w:tcPr>
          <w:p w14:paraId="5CB557CA" w14:textId="77777777" w:rsidR="00A50CD2" w:rsidRPr="00224A51" w:rsidRDefault="00A50CD2" w:rsidP="00814732">
            <w:pPr>
              <w:jc w:val="left"/>
              <w:rPr>
                <w:color w:val="auto"/>
                <w:sz w:val="20"/>
                <w:szCs w:val="20"/>
              </w:rPr>
            </w:pPr>
            <w:r w:rsidRPr="00224A51">
              <w:rPr>
                <w:color w:val="auto"/>
                <w:sz w:val="20"/>
                <w:szCs w:val="20"/>
              </w:rPr>
              <w:t>Interest Income</w:t>
            </w:r>
          </w:p>
        </w:tc>
        <w:tc>
          <w:tcPr>
            <w:tcW w:w="664" w:type="pct"/>
            <w:shd w:val="clear" w:color="auto" w:fill="auto"/>
            <w:vAlign w:val="bottom"/>
          </w:tcPr>
          <w:p w14:paraId="33F5B62D" w14:textId="77777777" w:rsidR="00A50CD2" w:rsidRPr="009C6556" w:rsidRDefault="00A50CD2" w:rsidP="00814732">
            <w:pPr>
              <w:tabs>
                <w:tab w:val="decimal" w:pos="744"/>
              </w:tabs>
              <w:rPr>
                <w:color w:val="auto"/>
                <w:sz w:val="20"/>
                <w:szCs w:val="20"/>
              </w:rPr>
            </w:pPr>
            <w:r w:rsidRPr="009C6556">
              <w:rPr>
                <w:color w:val="auto"/>
                <w:sz w:val="20"/>
                <w:szCs w:val="20"/>
              </w:rPr>
              <w:t>-</w:t>
            </w:r>
          </w:p>
        </w:tc>
        <w:tc>
          <w:tcPr>
            <w:tcW w:w="664" w:type="pct"/>
            <w:vAlign w:val="bottom"/>
          </w:tcPr>
          <w:p w14:paraId="745AB55C" w14:textId="7544344D" w:rsidR="00A50CD2" w:rsidRPr="009C6556" w:rsidRDefault="008F3BD1" w:rsidP="00975458">
            <w:pPr>
              <w:tabs>
                <w:tab w:val="decimal" w:pos="743"/>
              </w:tabs>
              <w:rPr>
                <w:color w:val="auto"/>
                <w:sz w:val="20"/>
                <w:szCs w:val="20"/>
              </w:rPr>
            </w:pPr>
            <w:r>
              <w:rPr>
                <w:color w:val="auto"/>
                <w:sz w:val="20"/>
                <w:szCs w:val="20"/>
              </w:rPr>
              <w:t>(</w:t>
            </w:r>
            <w:r w:rsidR="00975458">
              <w:rPr>
                <w:color w:val="auto"/>
                <w:sz w:val="20"/>
                <w:szCs w:val="20"/>
              </w:rPr>
              <w:t>4.9</w:t>
            </w:r>
            <w:r w:rsidR="00A50CD2" w:rsidRPr="009C6556">
              <w:rPr>
                <w:color w:val="auto"/>
                <w:sz w:val="20"/>
                <w:szCs w:val="20"/>
              </w:rPr>
              <w:t>)</w:t>
            </w:r>
          </w:p>
        </w:tc>
        <w:tc>
          <w:tcPr>
            <w:tcW w:w="531" w:type="pct"/>
            <w:vAlign w:val="bottom"/>
          </w:tcPr>
          <w:p w14:paraId="56EC8288" w14:textId="3F6E3EB7" w:rsidR="00A50CD2" w:rsidRPr="009C6556" w:rsidRDefault="008F3BD1" w:rsidP="00814732">
            <w:pPr>
              <w:tabs>
                <w:tab w:val="decimal" w:pos="600"/>
              </w:tabs>
              <w:rPr>
                <w:color w:val="auto"/>
                <w:sz w:val="20"/>
                <w:szCs w:val="20"/>
              </w:rPr>
            </w:pPr>
            <w:r>
              <w:rPr>
                <w:color w:val="auto"/>
                <w:sz w:val="20"/>
                <w:szCs w:val="20"/>
              </w:rPr>
              <w:t>(5.1</w:t>
            </w:r>
            <w:r w:rsidR="00A50CD2" w:rsidRPr="009C6556">
              <w:rPr>
                <w:color w:val="auto"/>
                <w:sz w:val="20"/>
                <w:szCs w:val="20"/>
              </w:rPr>
              <w:t>)</w:t>
            </w:r>
          </w:p>
        </w:tc>
        <w:tc>
          <w:tcPr>
            <w:tcW w:w="725" w:type="pct"/>
            <w:shd w:val="clear" w:color="auto" w:fill="auto"/>
            <w:vAlign w:val="bottom"/>
          </w:tcPr>
          <w:p w14:paraId="4A587BD7" w14:textId="77777777" w:rsidR="00A50CD2" w:rsidRPr="009C6556" w:rsidRDefault="00A50CD2" w:rsidP="00814732">
            <w:pPr>
              <w:tabs>
                <w:tab w:val="decimal" w:pos="742"/>
              </w:tabs>
              <w:rPr>
                <w:color w:val="auto"/>
                <w:sz w:val="20"/>
                <w:szCs w:val="20"/>
              </w:rPr>
            </w:pPr>
            <w:r w:rsidRPr="009C6556">
              <w:rPr>
                <w:color w:val="auto"/>
                <w:sz w:val="20"/>
                <w:szCs w:val="20"/>
              </w:rPr>
              <w:t>(1.1)</w:t>
            </w:r>
          </w:p>
        </w:tc>
        <w:tc>
          <w:tcPr>
            <w:tcW w:w="573" w:type="pct"/>
            <w:shd w:val="clear" w:color="auto" w:fill="auto"/>
            <w:vAlign w:val="bottom"/>
          </w:tcPr>
          <w:p w14:paraId="3F93B82E" w14:textId="1940E6D4" w:rsidR="00A50CD2" w:rsidRPr="009C6556" w:rsidRDefault="008F3BD1" w:rsidP="00814732">
            <w:pPr>
              <w:tabs>
                <w:tab w:val="decimal" w:pos="612"/>
              </w:tabs>
              <w:rPr>
                <w:color w:val="auto"/>
                <w:sz w:val="20"/>
                <w:szCs w:val="20"/>
              </w:rPr>
            </w:pPr>
            <w:r>
              <w:rPr>
                <w:color w:val="auto"/>
                <w:sz w:val="20"/>
                <w:szCs w:val="20"/>
              </w:rPr>
              <w:t>(11.1</w:t>
            </w:r>
            <w:r w:rsidR="00A50CD2" w:rsidRPr="009C6556">
              <w:rPr>
                <w:color w:val="auto"/>
                <w:sz w:val="20"/>
                <w:szCs w:val="20"/>
              </w:rPr>
              <w:t>)</w:t>
            </w:r>
          </w:p>
        </w:tc>
      </w:tr>
      <w:tr w:rsidR="00A50CD2" w:rsidRPr="003C0F16" w14:paraId="2DC9BFDF" w14:textId="77777777" w:rsidTr="00814732">
        <w:trPr>
          <w:trHeight w:val="369"/>
        </w:trPr>
        <w:tc>
          <w:tcPr>
            <w:tcW w:w="1843" w:type="pct"/>
            <w:shd w:val="clear" w:color="auto" w:fill="auto"/>
            <w:vAlign w:val="bottom"/>
          </w:tcPr>
          <w:p w14:paraId="7244C737" w14:textId="77777777" w:rsidR="00A50CD2" w:rsidRPr="00224A51" w:rsidRDefault="00A50CD2" w:rsidP="00814732">
            <w:pPr>
              <w:jc w:val="left"/>
              <w:rPr>
                <w:color w:val="auto"/>
                <w:sz w:val="20"/>
                <w:szCs w:val="20"/>
              </w:rPr>
            </w:pPr>
            <w:r w:rsidRPr="00224A51">
              <w:rPr>
                <w:color w:val="auto"/>
                <w:sz w:val="20"/>
                <w:szCs w:val="20"/>
              </w:rPr>
              <w:t>Decreases in fair value</w:t>
            </w:r>
          </w:p>
        </w:tc>
        <w:tc>
          <w:tcPr>
            <w:tcW w:w="664" w:type="pct"/>
            <w:tcBorders>
              <w:top w:val="nil"/>
              <w:bottom w:val="nil"/>
            </w:tcBorders>
            <w:shd w:val="clear" w:color="auto" w:fill="auto"/>
            <w:vAlign w:val="bottom"/>
          </w:tcPr>
          <w:p w14:paraId="539B7660" w14:textId="77777777" w:rsidR="00A50CD2" w:rsidRPr="009C6556" w:rsidRDefault="00A50CD2" w:rsidP="00814732">
            <w:pPr>
              <w:tabs>
                <w:tab w:val="decimal" w:pos="744"/>
              </w:tabs>
              <w:rPr>
                <w:color w:val="auto"/>
                <w:sz w:val="20"/>
                <w:szCs w:val="20"/>
              </w:rPr>
            </w:pPr>
            <w:r w:rsidRPr="009C6556">
              <w:rPr>
                <w:color w:val="auto"/>
                <w:sz w:val="20"/>
                <w:szCs w:val="20"/>
              </w:rPr>
              <w:t>-</w:t>
            </w:r>
          </w:p>
        </w:tc>
        <w:tc>
          <w:tcPr>
            <w:tcW w:w="664" w:type="pct"/>
            <w:tcBorders>
              <w:top w:val="nil"/>
              <w:bottom w:val="nil"/>
            </w:tcBorders>
            <w:vAlign w:val="bottom"/>
          </w:tcPr>
          <w:p w14:paraId="0E192236" w14:textId="77777777" w:rsidR="00A50CD2" w:rsidRPr="009C6556" w:rsidRDefault="00A50CD2" w:rsidP="00814732">
            <w:pPr>
              <w:tabs>
                <w:tab w:val="decimal" w:pos="743"/>
              </w:tabs>
              <w:rPr>
                <w:color w:val="auto"/>
                <w:sz w:val="20"/>
                <w:szCs w:val="20"/>
              </w:rPr>
            </w:pPr>
            <w:r w:rsidRPr="009C6556">
              <w:rPr>
                <w:color w:val="auto"/>
                <w:sz w:val="20"/>
                <w:szCs w:val="20"/>
              </w:rPr>
              <w:t>-</w:t>
            </w:r>
          </w:p>
        </w:tc>
        <w:tc>
          <w:tcPr>
            <w:tcW w:w="531" w:type="pct"/>
            <w:tcBorders>
              <w:top w:val="nil"/>
              <w:bottom w:val="nil"/>
            </w:tcBorders>
            <w:vAlign w:val="bottom"/>
          </w:tcPr>
          <w:p w14:paraId="75422337" w14:textId="77777777" w:rsidR="00A50CD2" w:rsidRPr="009C6556" w:rsidRDefault="00A50CD2" w:rsidP="00814732">
            <w:pPr>
              <w:tabs>
                <w:tab w:val="decimal" w:pos="600"/>
              </w:tabs>
              <w:rPr>
                <w:color w:val="auto"/>
                <w:sz w:val="20"/>
                <w:szCs w:val="20"/>
              </w:rPr>
            </w:pPr>
            <w:r w:rsidRPr="009C6556">
              <w:rPr>
                <w:color w:val="auto"/>
                <w:sz w:val="20"/>
                <w:szCs w:val="20"/>
              </w:rPr>
              <w:t>-</w:t>
            </w:r>
          </w:p>
        </w:tc>
        <w:tc>
          <w:tcPr>
            <w:tcW w:w="725" w:type="pct"/>
            <w:tcBorders>
              <w:top w:val="nil"/>
              <w:bottom w:val="nil"/>
            </w:tcBorders>
            <w:shd w:val="clear" w:color="auto" w:fill="auto"/>
            <w:vAlign w:val="bottom"/>
          </w:tcPr>
          <w:p w14:paraId="054DFEA1" w14:textId="77777777" w:rsidR="00A50CD2" w:rsidRPr="009C6556" w:rsidRDefault="00A50CD2" w:rsidP="00814732">
            <w:pPr>
              <w:tabs>
                <w:tab w:val="decimal" w:pos="742"/>
              </w:tabs>
              <w:rPr>
                <w:color w:val="auto"/>
                <w:sz w:val="20"/>
                <w:szCs w:val="20"/>
              </w:rPr>
            </w:pPr>
            <w:r w:rsidRPr="009C6556">
              <w:rPr>
                <w:color w:val="auto"/>
                <w:sz w:val="20"/>
                <w:szCs w:val="20"/>
              </w:rPr>
              <w:t>0.1</w:t>
            </w:r>
          </w:p>
        </w:tc>
        <w:tc>
          <w:tcPr>
            <w:tcW w:w="573" w:type="pct"/>
            <w:tcBorders>
              <w:top w:val="nil"/>
              <w:bottom w:val="nil"/>
            </w:tcBorders>
            <w:shd w:val="clear" w:color="auto" w:fill="auto"/>
            <w:vAlign w:val="bottom"/>
          </w:tcPr>
          <w:p w14:paraId="1C2E0D87" w14:textId="77777777" w:rsidR="00A50CD2" w:rsidRPr="009C6556" w:rsidRDefault="00A50CD2" w:rsidP="00814732">
            <w:pPr>
              <w:tabs>
                <w:tab w:val="decimal" w:pos="612"/>
              </w:tabs>
              <w:rPr>
                <w:color w:val="auto"/>
                <w:sz w:val="20"/>
                <w:szCs w:val="20"/>
              </w:rPr>
            </w:pPr>
            <w:r w:rsidRPr="009C6556">
              <w:rPr>
                <w:color w:val="auto"/>
                <w:sz w:val="20"/>
                <w:szCs w:val="20"/>
              </w:rPr>
              <w:t>0.1</w:t>
            </w:r>
          </w:p>
        </w:tc>
      </w:tr>
      <w:tr w:rsidR="00A50CD2" w:rsidRPr="003C0F16" w14:paraId="30937E53" w14:textId="77777777" w:rsidTr="00814732">
        <w:trPr>
          <w:trHeight w:val="369"/>
        </w:trPr>
        <w:tc>
          <w:tcPr>
            <w:tcW w:w="1843" w:type="pct"/>
            <w:shd w:val="clear" w:color="auto" w:fill="auto"/>
            <w:vAlign w:val="bottom"/>
          </w:tcPr>
          <w:p w14:paraId="2FD2A0F5" w14:textId="77777777" w:rsidR="00A50CD2" w:rsidRPr="00224A51" w:rsidRDefault="00A50CD2" w:rsidP="00814732">
            <w:pPr>
              <w:jc w:val="left"/>
              <w:rPr>
                <w:color w:val="auto"/>
                <w:sz w:val="20"/>
                <w:szCs w:val="20"/>
              </w:rPr>
            </w:pPr>
            <w:r w:rsidRPr="00224A51">
              <w:rPr>
                <w:color w:val="auto"/>
                <w:sz w:val="20"/>
                <w:szCs w:val="20"/>
              </w:rPr>
              <w:t>Gains on de-recognition</w:t>
            </w:r>
          </w:p>
        </w:tc>
        <w:tc>
          <w:tcPr>
            <w:tcW w:w="664" w:type="pct"/>
            <w:tcBorders>
              <w:top w:val="nil"/>
              <w:bottom w:val="nil"/>
            </w:tcBorders>
            <w:shd w:val="clear" w:color="auto" w:fill="auto"/>
            <w:vAlign w:val="bottom"/>
          </w:tcPr>
          <w:p w14:paraId="3E75B3C4" w14:textId="77777777" w:rsidR="00A50CD2" w:rsidRPr="009C6556" w:rsidRDefault="00A50CD2" w:rsidP="00814732">
            <w:pPr>
              <w:tabs>
                <w:tab w:val="decimal" w:pos="744"/>
              </w:tabs>
              <w:rPr>
                <w:color w:val="auto"/>
                <w:sz w:val="20"/>
                <w:szCs w:val="20"/>
              </w:rPr>
            </w:pPr>
            <w:r w:rsidRPr="009C6556">
              <w:rPr>
                <w:color w:val="auto"/>
                <w:sz w:val="20"/>
                <w:szCs w:val="20"/>
              </w:rPr>
              <w:t>-</w:t>
            </w:r>
          </w:p>
        </w:tc>
        <w:tc>
          <w:tcPr>
            <w:tcW w:w="664" w:type="pct"/>
            <w:tcBorders>
              <w:top w:val="nil"/>
              <w:bottom w:val="nil"/>
            </w:tcBorders>
            <w:vAlign w:val="bottom"/>
          </w:tcPr>
          <w:p w14:paraId="447E3B19" w14:textId="77777777" w:rsidR="00A50CD2" w:rsidRPr="009C6556" w:rsidRDefault="00A50CD2" w:rsidP="00814732">
            <w:pPr>
              <w:tabs>
                <w:tab w:val="decimal" w:pos="743"/>
              </w:tabs>
              <w:rPr>
                <w:color w:val="auto"/>
                <w:sz w:val="20"/>
                <w:szCs w:val="20"/>
              </w:rPr>
            </w:pPr>
            <w:r w:rsidRPr="009C6556">
              <w:rPr>
                <w:color w:val="auto"/>
                <w:sz w:val="20"/>
                <w:szCs w:val="20"/>
              </w:rPr>
              <w:t>-</w:t>
            </w:r>
          </w:p>
        </w:tc>
        <w:tc>
          <w:tcPr>
            <w:tcW w:w="531" w:type="pct"/>
            <w:tcBorders>
              <w:top w:val="nil"/>
              <w:bottom w:val="nil"/>
            </w:tcBorders>
            <w:vAlign w:val="bottom"/>
          </w:tcPr>
          <w:p w14:paraId="39AE0034" w14:textId="77777777" w:rsidR="00A50CD2" w:rsidRPr="009C6556" w:rsidRDefault="00A50CD2" w:rsidP="00814732">
            <w:pPr>
              <w:tabs>
                <w:tab w:val="decimal" w:pos="600"/>
              </w:tabs>
              <w:rPr>
                <w:color w:val="auto"/>
                <w:sz w:val="20"/>
                <w:szCs w:val="20"/>
              </w:rPr>
            </w:pPr>
            <w:r w:rsidRPr="009C6556">
              <w:rPr>
                <w:color w:val="auto"/>
                <w:sz w:val="20"/>
                <w:szCs w:val="20"/>
              </w:rPr>
              <w:t>(14.7)</w:t>
            </w:r>
          </w:p>
        </w:tc>
        <w:tc>
          <w:tcPr>
            <w:tcW w:w="725" w:type="pct"/>
            <w:tcBorders>
              <w:top w:val="nil"/>
              <w:bottom w:val="nil"/>
            </w:tcBorders>
            <w:shd w:val="clear" w:color="auto" w:fill="auto"/>
            <w:vAlign w:val="bottom"/>
          </w:tcPr>
          <w:p w14:paraId="634AA7BA" w14:textId="77777777" w:rsidR="00A50CD2" w:rsidRPr="009C6556" w:rsidRDefault="00A50CD2" w:rsidP="00814732">
            <w:pPr>
              <w:tabs>
                <w:tab w:val="decimal" w:pos="742"/>
              </w:tabs>
              <w:rPr>
                <w:color w:val="auto"/>
                <w:sz w:val="20"/>
                <w:szCs w:val="20"/>
              </w:rPr>
            </w:pPr>
            <w:r w:rsidRPr="009C6556">
              <w:rPr>
                <w:color w:val="auto"/>
                <w:sz w:val="20"/>
                <w:szCs w:val="20"/>
              </w:rPr>
              <w:t>(66.0)</w:t>
            </w:r>
          </w:p>
        </w:tc>
        <w:tc>
          <w:tcPr>
            <w:tcW w:w="573" w:type="pct"/>
            <w:tcBorders>
              <w:top w:val="nil"/>
              <w:bottom w:val="nil"/>
            </w:tcBorders>
            <w:shd w:val="clear" w:color="auto" w:fill="auto"/>
            <w:vAlign w:val="bottom"/>
          </w:tcPr>
          <w:p w14:paraId="4211666F" w14:textId="77777777" w:rsidR="00A50CD2" w:rsidRPr="009C6556" w:rsidRDefault="00A50CD2" w:rsidP="00814732">
            <w:pPr>
              <w:tabs>
                <w:tab w:val="decimal" w:pos="612"/>
              </w:tabs>
              <w:rPr>
                <w:color w:val="auto"/>
                <w:sz w:val="20"/>
                <w:szCs w:val="20"/>
              </w:rPr>
            </w:pPr>
            <w:r w:rsidRPr="009C6556">
              <w:rPr>
                <w:color w:val="auto"/>
                <w:sz w:val="20"/>
                <w:szCs w:val="20"/>
              </w:rPr>
              <w:t>(80.7)</w:t>
            </w:r>
          </w:p>
        </w:tc>
      </w:tr>
      <w:tr w:rsidR="00A50CD2" w:rsidRPr="003C0F16" w14:paraId="5900BF00" w14:textId="77777777" w:rsidTr="00814732">
        <w:trPr>
          <w:trHeight w:val="369"/>
        </w:trPr>
        <w:tc>
          <w:tcPr>
            <w:tcW w:w="1843" w:type="pct"/>
            <w:shd w:val="clear" w:color="auto" w:fill="auto"/>
            <w:vAlign w:val="bottom"/>
          </w:tcPr>
          <w:p w14:paraId="2562135D" w14:textId="77777777" w:rsidR="00A50CD2" w:rsidRPr="00224A51" w:rsidRDefault="00A50CD2" w:rsidP="00814732">
            <w:pPr>
              <w:jc w:val="left"/>
              <w:rPr>
                <w:color w:val="auto"/>
                <w:sz w:val="20"/>
                <w:szCs w:val="20"/>
              </w:rPr>
            </w:pPr>
            <w:r w:rsidRPr="00224A51">
              <w:rPr>
                <w:color w:val="auto"/>
                <w:sz w:val="20"/>
                <w:szCs w:val="20"/>
              </w:rPr>
              <w:t>Loss on de-recognition</w:t>
            </w:r>
          </w:p>
        </w:tc>
        <w:tc>
          <w:tcPr>
            <w:tcW w:w="664" w:type="pct"/>
            <w:tcBorders>
              <w:top w:val="nil"/>
              <w:bottom w:val="single" w:sz="4" w:space="0" w:color="auto"/>
            </w:tcBorders>
            <w:shd w:val="clear" w:color="auto" w:fill="auto"/>
            <w:vAlign w:val="bottom"/>
          </w:tcPr>
          <w:p w14:paraId="3E8DAF20" w14:textId="77777777" w:rsidR="00A50CD2" w:rsidRPr="009C6556" w:rsidRDefault="00A50CD2" w:rsidP="00814732">
            <w:pPr>
              <w:tabs>
                <w:tab w:val="decimal" w:pos="744"/>
              </w:tabs>
              <w:rPr>
                <w:color w:val="auto"/>
                <w:sz w:val="20"/>
                <w:szCs w:val="20"/>
              </w:rPr>
            </w:pPr>
            <w:r w:rsidRPr="009C6556">
              <w:rPr>
                <w:color w:val="auto"/>
                <w:sz w:val="20"/>
                <w:szCs w:val="20"/>
              </w:rPr>
              <w:t>-</w:t>
            </w:r>
          </w:p>
        </w:tc>
        <w:tc>
          <w:tcPr>
            <w:tcW w:w="664" w:type="pct"/>
            <w:tcBorders>
              <w:top w:val="nil"/>
              <w:bottom w:val="single" w:sz="4" w:space="0" w:color="auto"/>
            </w:tcBorders>
            <w:vAlign w:val="bottom"/>
          </w:tcPr>
          <w:p w14:paraId="5C843E62" w14:textId="77777777" w:rsidR="00A50CD2" w:rsidRPr="009C6556" w:rsidRDefault="00A50CD2" w:rsidP="00814732">
            <w:pPr>
              <w:tabs>
                <w:tab w:val="decimal" w:pos="743"/>
              </w:tabs>
              <w:rPr>
                <w:color w:val="auto"/>
                <w:sz w:val="20"/>
                <w:szCs w:val="20"/>
              </w:rPr>
            </w:pPr>
            <w:r w:rsidRPr="009C6556">
              <w:rPr>
                <w:color w:val="auto"/>
                <w:sz w:val="20"/>
                <w:szCs w:val="20"/>
              </w:rPr>
              <w:t>0.5</w:t>
            </w:r>
          </w:p>
        </w:tc>
        <w:tc>
          <w:tcPr>
            <w:tcW w:w="531" w:type="pct"/>
            <w:tcBorders>
              <w:top w:val="nil"/>
              <w:bottom w:val="single" w:sz="4" w:space="0" w:color="auto"/>
            </w:tcBorders>
            <w:vAlign w:val="bottom"/>
          </w:tcPr>
          <w:p w14:paraId="585A14AF" w14:textId="77777777" w:rsidR="00A50CD2" w:rsidRPr="009C6556" w:rsidRDefault="00A50CD2" w:rsidP="00814732">
            <w:pPr>
              <w:tabs>
                <w:tab w:val="decimal" w:pos="600"/>
              </w:tabs>
              <w:rPr>
                <w:color w:val="auto"/>
                <w:sz w:val="20"/>
                <w:szCs w:val="20"/>
              </w:rPr>
            </w:pPr>
            <w:r w:rsidRPr="009C6556">
              <w:rPr>
                <w:color w:val="auto"/>
                <w:sz w:val="20"/>
                <w:szCs w:val="20"/>
              </w:rPr>
              <w:t>1.2</w:t>
            </w:r>
          </w:p>
        </w:tc>
        <w:tc>
          <w:tcPr>
            <w:tcW w:w="725" w:type="pct"/>
            <w:tcBorders>
              <w:top w:val="nil"/>
              <w:bottom w:val="single" w:sz="4" w:space="0" w:color="auto"/>
            </w:tcBorders>
            <w:shd w:val="clear" w:color="auto" w:fill="auto"/>
            <w:vAlign w:val="bottom"/>
          </w:tcPr>
          <w:p w14:paraId="12D86AAC" w14:textId="4B8ED0EA" w:rsidR="00A50CD2" w:rsidRPr="009C6556" w:rsidRDefault="00A50CD2" w:rsidP="001A6F15">
            <w:pPr>
              <w:tabs>
                <w:tab w:val="decimal" w:pos="742"/>
              </w:tabs>
              <w:rPr>
                <w:color w:val="auto"/>
                <w:sz w:val="20"/>
                <w:szCs w:val="20"/>
              </w:rPr>
            </w:pPr>
            <w:r w:rsidRPr="009C6556">
              <w:rPr>
                <w:color w:val="auto"/>
                <w:sz w:val="20"/>
                <w:szCs w:val="20"/>
              </w:rPr>
              <w:t>7.</w:t>
            </w:r>
            <w:r w:rsidR="001A6F15">
              <w:rPr>
                <w:color w:val="auto"/>
                <w:sz w:val="20"/>
                <w:szCs w:val="20"/>
              </w:rPr>
              <w:t>6</w:t>
            </w:r>
          </w:p>
        </w:tc>
        <w:tc>
          <w:tcPr>
            <w:tcW w:w="573" w:type="pct"/>
            <w:tcBorders>
              <w:top w:val="nil"/>
              <w:bottom w:val="single" w:sz="4" w:space="0" w:color="auto"/>
            </w:tcBorders>
            <w:shd w:val="clear" w:color="auto" w:fill="auto"/>
            <w:vAlign w:val="bottom"/>
          </w:tcPr>
          <w:p w14:paraId="13810DF2" w14:textId="6B2D6934" w:rsidR="00A50CD2" w:rsidRPr="009C6556" w:rsidRDefault="008F3BD1" w:rsidP="00814732">
            <w:pPr>
              <w:tabs>
                <w:tab w:val="decimal" w:pos="612"/>
              </w:tabs>
              <w:rPr>
                <w:color w:val="auto"/>
                <w:sz w:val="20"/>
                <w:szCs w:val="20"/>
              </w:rPr>
            </w:pPr>
            <w:r>
              <w:rPr>
                <w:color w:val="auto"/>
                <w:sz w:val="20"/>
                <w:szCs w:val="20"/>
              </w:rPr>
              <w:t>9.3</w:t>
            </w:r>
          </w:p>
        </w:tc>
      </w:tr>
      <w:tr w:rsidR="00A50CD2" w:rsidRPr="003C0F16" w14:paraId="405E399D" w14:textId="77777777" w:rsidTr="00814732">
        <w:trPr>
          <w:trHeight w:val="369"/>
        </w:trPr>
        <w:tc>
          <w:tcPr>
            <w:tcW w:w="1843" w:type="pct"/>
            <w:shd w:val="clear" w:color="auto" w:fill="auto"/>
            <w:vAlign w:val="bottom"/>
          </w:tcPr>
          <w:p w14:paraId="0CAC44C9" w14:textId="77777777" w:rsidR="00A50CD2" w:rsidRPr="00224A51" w:rsidRDefault="00A50CD2" w:rsidP="00814732">
            <w:pPr>
              <w:jc w:val="left"/>
              <w:rPr>
                <w:b/>
                <w:color w:val="auto"/>
                <w:sz w:val="20"/>
                <w:szCs w:val="20"/>
              </w:rPr>
            </w:pPr>
            <w:r w:rsidRPr="00224A51">
              <w:rPr>
                <w:b/>
                <w:color w:val="auto"/>
                <w:sz w:val="20"/>
                <w:szCs w:val="20"/>
              </w:rPr>
              <w:t>Total income in Surplus on the Provision of Services</w:t>
            </w:r>
          </w:p>
        </w:tc>
        <w:tc>
          <w:tcPr>
            <w:tcW w:w="664" w:type="pct"/>
            <w:tcBorders>
              <w:top w:val="single" w:sz="4" w:space="0" w:color="auto"/>
            </w:tcBorders>
            <w:shd w:val="clear" w:color="auto" w:fill="auto"/>
            <w:vAlign w:val="bottom"/>
          </w:tcPr>
          <w:p w14:paraId="47D78812" w14:textId="77777777" w:rsidR="00A50CD2" w:rsidRPr="009C6556" w:rsidRDefault="00A50CD2" w:rsidP="00814732">
            <w:pPr>
              <w:tabs>
                <w:tab w:val="decimal" w:pos="744"/>
              </w:tabs>
              <w:rPr>
                <w:b/>
                <w:color w:val="auto"/>
                <w:sz w:val="20"/>
                <w:szCs w:val="20"/>
              </w:rPr>
            </w:pPr>
            <w:r w:rsidRPr="009C6556">
              <w:rPr>
                <w:b/>
                <w:color w:val="auto"/>
                <w:sz w:val="20"/>
                <w:szCs w:val="20"/>
              </w:rPr>
              <w:t>-</w:t>
            </w:r>
          </w:p>
        </w:tc>
        <w:tc>
          <w:tcPr>
            <w:tcW w:w="664" w:type="pct"/>
            <w:tcBorders>
              <w:top w:val="single" w:sz="4" w:space="0" w:color="auto"/>
            </w:tcBorders>
            <w:vAlign w:val="bottom"/>
          </w:tcPr>
          <w:p w14:paraId="328BE518" w14:textId="5008CA7E" w:rsidR="00A50CD2" w:rsidRPr="009C6556" w:rsidRDefault="008F3BD1" w:rsidP="00975458">
            <w:pPr>
              <w:tabs>
                <w:tab w:val="decimal" w:pos="743"/>
              </w:tabs>
              <w:rPr>
                <w:b/>
                <w:color w:val="auto"/>
                <w:sz w:val="20"/>
                <w:szCs w:val="20"/>
              </w:rPr>
            </w:pPr>
            <w:r>
              <w:rPr>
                <w:b/>
                <w:color w:val="auto"/>
                <w:sz w:val="20"/>
                <w:szCs w:val="20"/>
              </w:rPr>
              <w:t>(4.</w:t>
            </w:r>
            <w:r w:rsidR="00975458">
              <w:rPr>
                <w:b/>
                <w:color w:val="auto"/>
                <w:sz w:val="20"/>
                <w:szCs w:val="20"/>
              </w:rPr>
              <w:t>4</w:t>
            </w:r>
            <w:r w:rsidR="00A50CD2" w:rsidRPr="009C6556">
              <w:rPr>
                <w:b/>
                <w:color w:val="auto"/>
                <w:sz w:val="20"/>
                <w:szCs w:val="20"/>
              </w:rPr>
              <w:t>)</w:t>
            </w:r>
          </w:p>
        </w:tc>
        <w:tc>
          <w:tcPr>
            <w:tcW w:w="531" w:type="pct"/>
            <w:tcBorders>
              <w:top w:val="single" w:sz="4" w:space="0" w:color="auto"/>
            </w:tcBorders>
            <w:vAlign w:val="bottom"/>
          </w:tcPr>
          <w:p w14:paraId="3BE0994B" w14:textId="34704D7A" w:rsidR="00A50CD2" w:rsidRPr="009C6556" w:rsidRDefault="008F3BD1" w:rsidP="00975458">
            <w:pPr>
              <w:tabs>
                <w:tab w:val="decimal" w:pos="600"/>
              </w:tabs>
              <w:rPr>
                <w:b/>
                <w:color w:val="auto"/>
                <w:sz w:val="20"/>
                <w:szCs w:val="20"/>
              </w:rPr>
            </w:pPr>
            <w:r>
              <w:rPr>
                <w:b/>
                <w:color w:val="auto"/>
                <w:sz w:val="20"/>
                <w:szCs w:val="20"/>
              </w:rPr>
              <w:t>(18.</w:t>
            </w:r>
            <w:r w:rsidR="00975458">
              <w:rPr>
                <w:b/>
                <w:color w:val="auto"/>
                <w:sz w:val="20"/>
                <w:szCs w:val="20"/>
              </w:rPr>
              <w:t>6</w:t>
            </w:r>
            <w:r w:rsidR="00A50CD2" w:rsidRPr="009C6556">
              <w:rPr>
                <w:b/>
                <w:color w:val="auto"/>
                <w:sz w:val="20"/>
                <w:szCs w:val="20"/>
              </w:rPr>
              <w:t>)</w:t>
            </w:r>
          </w:p>
        </w:tc>
        <w:tc>
          <w:tcPr>
            <w:tcW w:w="725" w:type="pct"/>
            <w:tcBorders>
              <w:top w:val="single" w:sz="4" w:space="0" w:color="auto"/>
            </w:tcBorders>
            <w:shd w:val="clear" w:color="auto" w:fill="auto"/>
            <w:vAlign w:val="bottom"/>
          </w:tcPr>
          <w:p w14:paraId="3265A857" w14:textId="55C206BB" w:rsidR="00A50CD2" w:rsidRPr="009C6556" w:rsidRDefault="008F3BD1" w:rsidP="00814732">
            <w:pPr>
              <w:tabs>
                <w:tab w:val="decimal" w:pos="742"/>
              </w:tabs>
              <w:rPr>
                <w:b/>
                <w:color w:val="auto"/>
                <w:sz w:val="20"/>
                <w:szCs w:val="20"/>
              </w:rPr>
            </w:pPr>
            <w:r>
              <w:rPr>
                <w:b/>
                <w:color w:val="auto"/>
                <w:sz w:val="20"/>
                <w:szCs w:val="20"/>
              </w:rPr>
              <w:t>(59.4</w:t>
            </w:r>
            <w:r w:rsidR="00A50CD2" w:rsidRPr="009C6556">
              <w:rPr>
                <w:b/>
                <w:color w:val="auto"/>
                <w:sz w:val="20"/>
                <w:szCs w:val="20"/>
              </w:rPr>
              <w:t>)</w:t>
            </w:r>
          </w:p>
        </w:tc>
        <w:tc>
          <w:tcPr>
            <w:tcW w:w="573" w:type="pct"/>
            <w:tcBorders>
              <w:top w:val="single" w:sz="4" w:space="0" w:color="auto"/>
            </w:tcBorders>
            <w:shd w:val="clear" w:color="auto" w:fill="auto"/>
            <w:vAlign w:val="bottom"/>
          </w:tcPr>
          <w:p w14:paraId="00F7E022" w14:textId="31192240" w:rsidR="00A50CD2" w:rsidRPr="009C6556" w:rsidRDefault="00371403" w:rsidP="00814732">
            <w:pPr>
              <w:tabs>
                <w:tab w:val="decimal" w:pos="612"/>
              </w:tabs>
              <w:rPr>
                <w:b/>
                <w:color w:val="auto"/>
                <w:sz w:val="20"/>
                <w:szCs w:val="20"/>
              </w:rPr>
            </w:pPr>
            <w:r>
              <w:rPr>
                <w:b/>
                <w:color w:val="auto"/>
                <w:sz w:val="20"/>
                <w:szCs w:val="20"/>
              </w:rPr>
              <w:t>(82.4</w:t>
            </w:r>
            <w:r w:rsidR="00A50CD2" w:rsidRPr="009C6556">
              <w:rPr>
                <w:b/>
                <w:color w:val="auto"/>
                <w:sz w:val="20"/>
                <w:szCs w:val="20"/>
              </w:rPr>
              <w:t>)</w:t>
            </w:r>
          </w:p>
        </w:tc>
      </w:tr>
      <w:tr w:rsidR="00A50CD2" w:rsidRPr="003C0F16" w14:paraId="582082C6" w14:textId="77777777" w:rsidTr="00814732">
        <w:trPr>
          <w:trHeight w:val="369"/>
        </w:trPr>
        <w:tc>
          <w:tcPr>
            <w:tcW w:w="1843" w:type="pct"/>
            <w:shd w:val="clear" w:color="auto" w:fill="auto"/>
            <w:vAlign w:val="bottom"/>
          </w:tcPr>
          <w:p w14:paraId="79D51DE4" w14:textId="77777777" w:rsidR="00A50CD2" w:rsidRPr="00224A51" w:rsidRDefault="00A50CD2" w:rsidP="00814732">
            <w:pPr>
              <w:jc w:val="left"/>
              <w:rPr>
                <w:color w:val="auto"/>
                <w:sz w:val="20"/>
                <w:szCs w:val="20"/>
              </w:rPr>
            </w:pPr>
          </w:p>
        </w:tc>
        <w:tc>
          <w:tcPr>
            <w:tcW w:w="664" w:type="pct"/>
            <w:shd w:val="clear" w:color="auto" w:fill="auto"/>
            <w:vAlign w:val="bottom"/>
          </w:tcPr>
          <w:p w14:paraId="7FE8A1AB" w14:textId="77777777" w:rsidR="00A50CD2" w:rsidRPr="009C6556" w:rsidRDefault="00A50CD2" w:rsidP="00814732">
            <w:pPr>
              <w:tabs>
                <w:tab w:val="decimal" w:pos="744"/>
              </w:tabs>
              <w:rPr>
                <w:color w:val="auto"/>
                <w:sz w:val="20"/>
                <w:szCs w:val="20"/>
              </w:rPr>
            </w:pPr>
          </w:p>
        </w:tc>
        <w:tc>
          <w:tcPr>
            <w:tcW w:w="664" w:type="pct"/>
            <w:vAlign w:val="bottom"/>
          </w:tcPr>
          <w:p w14:paraId="1A8F286A" w14:textId="77777777" w:rsidR="00A50CD2" w:rsidRPr="009C6556" w:rsidRDefault="00A50CD2" w:rsidP="00814732">
            <w:pPr>
              <w:tabs>
                <w:tab w:val="decimal" w:pos="743"/>
              </w:tabs>
              <w:rPr>
                <w:color w:val="auto"/>
                <w:sz w:val="20"/>
                <w:szCs w:val="20"/>
              </w:rPr>
            </w:pPr>
          </w:p>
        </w:tc>
        <w:tc>
          <w:tcPr>
            <w:tcW w:w="531" w:type="pct"/>
            <w:vAlign w:val="bottom"/>
          </w:tcPr>
          <w:p w14:paraId="010E37C3" w14:textId="77777777" w:rsidR="00A50CD2" w:rsidRPr="009C6556" w:rsidRDefault="00A50CD2" w:rsidP="00814732">
            <w:pPr>
              <w:tabs>
                <w:tab w:val="decimal" w:pos="600"/>
              </w:tabs>
              <w:rPr>
                <w:color w:val="auto"/>
                <w:sz w:val="20"/>
                <w:szCs w:val="20"/>
              </w:rPr>
            </w:pPr>
          </w:p>
        </w:tc>
        <w:tc>
          <w:tcPr>
            <w:tcW w:w="725" w:type="pct"/>
            <w:shd w:val="clear" w:color="auto" w:fill="auto"/>
            <w:vAlign w:val="bottom"/>
          </w:tcPr>
          <w:p w14:paraId="197DF1BC" w14:textId="77777777" w:rsidR="00A50CD2" w:rsidRPr="009C6556" w:rsidRDefault="00A50CD2" w:rsidP="00814732">
            <w:pPr>
              <w:tabs>
                <w:tab w:val="decimal" w:pos="742"/>
              </w:tabs>
              <w:rPr>
                <w:color w:val="auto"/>
                <w:sz w:val="20"/>
                <w:szCs w:val="20"/>
              </w:rPr>
            </w:pPr>
          </w:p>
        </w:tc>
        <w:tc>
          <w:tcPr>
            <w:tcW w:w="573" w:type="pct"/>
            <w:shd w:val="clear" w:color="auto" w:fill="auto"/>
            <w:vAlign w:val="bottom"/>
          </w:tcPr>
          <w:p w14:paraId="0FAF6E20" w14:textId="77777777" w:rsidR="00A50CD2" w:rsidRPr="009C6556" w:rsidRDefault="00A50CD2" w:rsidP="00814732">
            <w:pPr>
              <w:tabs>
                <w:tab w:val="decimal" w:pos="612"/>
              </w:tabs>
              <w:rPr>
                <w:color w:val="auto"/>
                <w:sz w:val="20"/>
                <w:szCs w:val="20"/>
              </w:rPr>
            </w:pPr>
          </w:p>
        </w:tc>
      </w:tr>
      <w:tr w:rsidR="00A50CD2" w:rsidRPr="003C0F16" w14:paraId="39E906A9" w14:textId="77777777" w:rsidTr="00814732">
        <w:trPr>
          <w:trHeight w:val="369"/>
        </w:trPr>
        <w:tc>
          <w:tcPr>
            <w:tcW w:w="1843" w:type="pct"/>
            <w:shd w:val="clear" w:color="auto" w:fill="auto"/>
            <w:vAlign w:val="bottom"/>
          </w:tcPr>
          <w:p w14:paraId="7245D083" w14:textId="77777777" w:rsidR="00A50CD2" w:rsidRPr="00224A51" w:rsidRDefault="00A50CD2" w:rsidP="00814732">
            <w:pPr>
              <w:jc w:val="left"/>
              <w:rPr>
                <w:color w:val="auto"/>
                <w:sz w:val="20"/>
                <w:szCs w:val="20"/>
              </w:rPr>
            </w:pPr>
            <w:r w:rsidRPr="00224A51">
              <w:rPr>
                <w:color w:val="auto"/>
                <w:sz w:val="20"/>
                <w:szCs w:val="20"/>
              </w:rPr>
              <w:t>Gains on revaluation</w:t>
            </w:r>
          </w:p>
        </w:tc>
        <w:tc>
          <w:tcPr>
            <w:tcW w:w="664" w:type="pct"/>
            <w:shd w:val="clear" w:color="auto" w:fill="auto"/>
            <w:vAlign w:val="bottom"/>
          </w:tcPr>
          <w:p w14:paraId="7B5D2D5E" w14:textId="77777777" w:rsidR="00A50CD2" w:rsidRPr="009C6556" w:rsidRDefault="00A50CD2" w:rsidP="00814732">
            <w:pPr>
              <w:tabs>
                <w:tab w:val="decimal" w:pos="744"/>
              </w:tabs>
              <w:rPr>
                <w:color w:val="auto"/>
                <w:sz w:val="20"/>
                <w:szCs w:val="20"/>
              </w:rPr>
            </w:pPr>
            <w:r w:rsidRPr="009C6556">
              <w:rPr>
                <w:color w:val="auto"/>
                <w:sz w:val="20"/>
                <w:szCs w:val="20"/>
              </w:rPr>
              <w:t>-</w:t>
            </w:r>
          </w:p>
        </w:tc>
        <w:tc>
          <w:tcPr>
            <w:tcW w:w="664" w:type="pct"/>
            <w:vAlign w:val="bottom"/>
          </w:tcPr>
          <w:p w14:paraId="40A2720C" w14:textId="77777777" w:rsidR="00A50CD2" w:rsidRPr="009C6556" w:rsidRDefault="00A50CD2" w:rsidP="00814732">
            <w:pPr>
              <w:tabs>
                <w:tab w:val="decimal" w:pos="743"/>
              </w:tabs>
              <w:rPr>
                <w:color w:val="auto"/>
                <w:sz w:val="20"/>
                <w:szCs w:val="20"/>
              </w:rPr>
            </w:pPr>
            <w:r w:rsidRPr="009C6556">
              <w:rPr>
                <w:color w:val="auto"/>
                <w:sz w:val="20"/>
                <w:szCs w:val="20"/>
              </w:rPr>
              <w:t>-</w:t>
            </w:r>
          </w:p>
        </w:tc>
        <w:tc>
          <w:tcPr>
            <w:tcW w:w="531" w:type="pct"/>
            <w:vAlign w:val="bottom"/>
          </w:tcPr>
          <w:p w14:paraId="32FE1CCA" w14:textId="77777777" w:rsidR="00A50CD2" w:rsidRPr="009C6556" w:rsidRDefault="00A50CD2" w:rsidP="00814732">
            <w:pPr>
              <w:tabs>
                <w:tab w:val="decimal" w:pos="600"/>
              </w:tabs>
              <w:rPr>
                <w:color w:val="auto"/>
                <w:sz w:val="20"/>
                <w:szCs w:val="20"/>
              </w:rPr>
            </w:pPr>
            <w:r w:rsidRPr="009C6556">
              <w:rPr>
                <w:color w:val="auto"/>
                <w:sz w:val="20"/>
                <w:szCs w:val="20"/>
              </w:rPr>
              <w:t>(20.8)</w:t>
            </w:r>
          </w:p>
        </w:tc>
        <w:tc>
          <w:tcPr>
            <w:tcW w:w="725" w:type="pct"/>
            <w:shd w:val="clear" w:color="auto" w:fill="auto"/>
            <w:vAlign w:val="bottom"/>
          </w:tcPr>
          <w:p w14:paraId="59A33079" w14:textId="77777777" w:rsidR="00A50CD2" w:rsidRPr="009C6556" w:rsidRDefault="00A50CD2" w:rsidP="00814732">
            <w:pPr>
              <w:tabs>
                <w:tab w:val="decimal" w:pos="742"/>
              </w:tabs>
              <w:rPr>
                <w:color w:val="auto"/>
                <w:sz w:val="20"/>
                <w:szCs w:val="20"/>
              </w:rPr>
            </w:pPr>
            <w:r w:rsidRPr="009C6556">
              <w:rPr>
                <w:color w:val="auto"/>
                <w:sz w:val="20"/>
                <w:szCs w:val="20"/>
              </w:rPr>
              <w:t>-</w:t>
            </w:r>
          </w:p>
        </w:tc>
        <w:tc>
          <w:tcPr>
            <w:tcW w:w="573" w:type="pct"/>
            <w:shd w:val="clear" w:color="auto" w:fill="auto"/>
            <w:vAlign w:val="bottom"/>
          </w:tcPr>
          <w:p w14:paraId="6487698C" w14:textId="77777777" w:rsidR="00A50CD2" w:rsidRPr="009C6556" w:rsidRDefault="00A50CD2" w:rsidP="00814732">
            <w:pPr>
              <w:tabs>
                <w:tab w:val="decimal" w:pos="612"/>
              </w:tabs>
              <w:rPr>
                <w:color w:val="auto"/>
                <w:sz w:val="20"/>
                <w:szCs w:val="20"/>
              </w:rPr>
            </w:pPr>
            <w:r w:rsidRPr="009C6556">
              <w:rPr>
                <w:color w:val="auto"/>
                <w:sz w:val="20"/>
                <w:szCs w:val="20"/>
              </w:rPr>
              <w:t>(20.8)</w:t>
            </w:r>
          </w:p>
        </w:tc>
      </w:tr>
      <w:tr w:rsidR="00A50CD2" w:rsidRPr="003C0F16" w14:paraId="1E3A7B53" w14:textId="77777777" w:rsidTr="00814732">
        <w:trPr>
          <w:trHeight w:val="369"/>
        </w:trPr>
        <w:tc>
          <w:tcPr>
            <w:tcW w:w="1843" w:type="pct"/>
            <w:shd w:val="clear" w:color="auto" w:fill="auto"/>
            <w:vAlign w:val="center"/>
          </w:tcPr>
          <w:p w14:paraId="4D878AEA" w14:textId="77777777" w:rsidR="00A50CD2" w:rsidRPr="00224A51" w:rsidRDefault="00A50CD2" w:rsidP="00814732">
            <w:pPr>
              <w:jc w:val="left"/>
              <w:rPr>
                <w:b/>
                <w:color w:val="auto"/>
                <w:sz w:val="20"/>
                <w:szCs w:val="20"/>
              </w:rPr>
            </w:pPr>
            <w:r w:rsidRPr="00A06955">
              <w:rPr>
                <w:b/>
                <w:color w:val="auto"/>
                <w:sz w:val="20"/>
                <w:szCs w:val="20"/>
              </w:rPr>
              <w:t>(</w:t>
            </w:r>
            <w:r w:rsidRPr="00CA0B06">
              <w:rPr>
                <w:b/>
                <w:color w:val="auto"/>
                <w:sz w:val="20"/>
                <w:szCs w:val="20"/>
              </w:rPr>
              <w:t>Surplus</w:t>
            </w:r>
            <w:r w:rsidRPr="00A06955">
              <w:rPr>
                <w:b/>
                <w:color w:val="auto"/>
                <w:sz w:val="20"/>
                <w:szCs w:val="20"/>
              </w:rPr>
              <w:t>)</w:t>
            </w:r>
            <w:r w:rsidRPr="00CA0B06">
              <w:rPr>
                <w:b/>
                <w:color w:val="auto"/>
                <w:sz w:val="20"/>
                <w:szCs w:val="20"/>
              </w:rPr>
              <w:t>/Deficit arising</w:t>
            </w:r>
            <w:r w:rsidRPr="00224A51">
              <w:rPr>
                <w:b/>
                <w:color w:val="auto"/>
                <w:sz w:val="20"/>
                <w:szCs w:val="20"/>
              </w:rPr>
              <w:t xml:space="preserve"> on revaluation of financial assets in Other Comprehensive Income &amp; Expenditure</w:t>
            </w:r>
          </w:p>
        </w:tc>
        <w:tc>
          <w:tcPr>
            <w:tcW w:w="664" w:type="pct"/>
            <w:tcBorders>
              <w:top w:val="single" w:sz="4" w:space="0" w:color="auto"/>
              <w:bottom w:val="single" w:sz="4" w:space="0" w:color="auto"/>
            </w:tcBorders>
            <w:shd w:val="clear" w:color="auto" w:fill="auto"/>
            <w:vAlign w:val="center"/>
          </w:tcPr>
          <w:p w14:paraId="63E90786" w14:textId="77777777" w:rsidR="00A50CD2" w:rsidRPr="009C6556" w:rsidRDefault="00A50CD2" w:rsidP="00814732">
            <w:pPr>
              <w:tabs>
                <w:tab w:val="decimal" w:pos="744"/>
              </w:tabs>
              <w:rPr>
                <w:b/>
                <w:color w:val="auto"/>
                <w:sz w:val="20"/>
                <w:szCs w:val="20"/>
              </w:rPr>
            </w:pPr>
            <w:r w:rsidRPr="009C6556">
              <w:rPr>
                <w:b/>
                <w:color w:val="auto"/>
                <w:sz w:val="20"/>
                <w:szCs w:val="20"/>
              </w:rPr>
              <w:t>-</w:t>
            </w:r>
          </w:p>
        </w:tc>
        <w:tc>
          <w:tcPr>
            <w:tcW w:w="664" w:type="pct"/>
            <w:tcBorders>
              <w:top w:val="single" w:sz="4" w:space="0" w:color="auto"/>
              <w:bottom w:val="single" w:sz="4" w:space="0" w:color="auto"/>
            </w:tcBorders>
            <w:vAlign w:val="center"/>
          </w:tcPr>
          <w:p w14:paraId="7DD29BAF" w14:textId="77777777" w:rsidR="00A50CD2" w:rsidRPr="009C6556" w:rsidRDefault="00A50CD2" w:rsidP="00814732">
            <w:pPr>
              <w:tabs>
                <w:tab w:val="decimal" w:pos="743"/>
              </w:tabs>
              <w:rPr>
                <w:b/>
                <w:color w:val="auto"/>
                <w:sz w:val="20"/>
                <w:szCs w:val="20"/>
              </w:rPr>
            </w:pPr>
            <w:r w:rsidRPr="009C6556">
              <w:rPr>
                <w:b/>
                <w:color w:val="auto"/>
                <w:sz w:val="20"/>
                <w:szCs w:val="20"/>
              </w:rPr>
              <w:t>-</w:t>
            </w:r>
          </w:p>
        </w:tc>
        <w:tc>
          <w:tcPr>
            <w:tcW w:w="531" w:type="pct"/>
            <w:tcBorders>
              <w:top w:val="single" w:sz="4" w:space="0" w:color="auto"/>
              <w:bottom w:val="single" w:sz="4" w:space="0" w:color="auto"/>
            </w:tcBorders>
            <w:vAlign w:val="center"/>
          </w:tcPr>
          <w:p w14:paraId="13AB7A05" w14:textId="77777777" w:rsidR="00A50CD2" w:rsidRPr="009C6556" w:rsidRDefault="00A50CD2" w:rsidP="00814732">
            <w:pPr>
              <w:tabs>
                <w:tab w:val="decimal" w:pos="600"/>
              </w:tabs>
              <w:rPr>
                <w:b/>
                <w:color w:val="auto"/>
                <w:sz w:val="20"/>
                <w:szCs w:val="20"/>
              </w:rPr>
            </w:pPr>
            <w:r w:rsidRPr="009C6556">
              <w:rPr>
                <w:b/>
                <w:color w:val="auto"/>
                <w:sz w:val="20"/>
                <w:szCs w:val="20"/>
              </w:rPr>
              <w:t>(20.8)</w:t>
            </w:r>
          </w:p>
        </w:tc>
        <w:tc>
          <w:tcPr>
            <w:tcW w:w="725" w:type="pct"/>
            <w:tcBorders>
              <w:top w:val="single" w:sz="4" w:space="0" w:color="auto"/>
              <w:bottom w:val="single" w:sz="4" w:space="0" w:color="auto"/>
            </w:tcBorders>
            <w:shd w:val="clear" w:color="auto" w:fill="auto"/>
            <w:vAlign w:val="center"/>
          </w:tcPr>
          <w:p w14:paraId="3474C598" w14:textId="77777777" w:rsidR="00A50CD2" w:rsidRPr="009C6556" w:rsidRDefault="00A50CD2" w:rsidP="00814732">
            <w:pPr>
              <w:tabs>
                <w:tab w:val="decimal" w:pos="742"/>
              </w:tabs>
              <w:rPr>
                <w:b/>
                <w:color w:val="auto"/>
                <w:sz w:val="20"/>
                <w:szCs w:val="20"/>
              </w:rPr>
            </w:pPr>
            <w:r w:rsidRPr="009C6556">
              <w:rPr>
                <w:b/>
                <w:color w:val="auto"/>
                <w:sz w:val="20"/>
                <w:szCs w:val="20"/>
              </w:rPr>
              <w:t>-</w:t>
            </w:r>
          </w:p>
        </w:tc>
        <w:tc>
          <w:tcPr>
            <w:tcW w:w="573" w:type="pct"/>
            <w:tcBorders>
              <w:top w:val="single" w:sz="4" w:space="0" w:color="auto"/>
              <w:bottom w:val="single" w:sz="4" w:space="0" w:color="auto"/>
            </w:tcBorders>
            <w:shd w:val="clear" w:color="auto" w:fill="auto"/>
            <w:vAlign w:val="center"/>
          </w:tcPr>
          <w:p w14:paraId="7ECD1F66" w14:textId="77777777" w:rsidR="00A50CD2" w:rsidRPr="009C6556" w:rsidRDefault="00A50CD2" w:rsidP="00814732">
            <w:pPr>
              <w:tabs>
                <w:tab w:val="decimal" w:pos="612"/>
              </w:tabs>
              <w:rPr>
                <w:b/>
                <w:color w:val="auto"/>
                <w:sz w:val="20"/>
                <w:szCs w:val="20"/>
              </w:rPr>
            </w:pPr>
            <w:r w:rsidRPr="009C6556">
              <w:rPr>
                <w:b/>
                <w:color w:val="auto"/>
                <w:sz w:val="20"/>
                <w:szCs w:val="20"/>
              </w:rPr>
              <w:t>(20.8)</w:t>
            </w:r>
          </w:p>
        </w:tc>
      </w:tr>
      <w:tr w:rsidR="00A50CD2" w:rsidRPr="00A50E81" w14:paraId="5044245A" w14:textId="77777777" w:rsidTr="00814732">
        <w:trPr>
          <w:trHeight w:val="369"/>
        </w:trPr>
        <w:tc>
          <w:tcPr>
            <w:tcW w:w="1843" w:type="pct"/>
            <w:shd w:val="clear" w:color="auto" w:fill="auto"/>
            <w:vAlign w:val="bottom"/>
          </w:tcPr>
          <w:p w14:paraId="4499EEF3" w14:textId="77777777" w:rsidR="00A50CD2" w:rsidRPr="009C6556" w:rsidRDefault="00A50CD2" w:rsidP="00814732">
            <w:pPr>
              <w:jc w:val="left"/>
              <w:rPr>
                <w:b/>
                <w:color w:val="auto"/>
                <w:sz w:val="20"/>
                <w:szCs w:val="20"/>
              </w:rPr>
            </w:pPr>
            <w:r>
              <w:rPr>
                <w:b/>
                <w:color w:val="auto"/>
                <w:sz w:val="20"/>
                <w:szCs w:val="20"/>
              </w:rPr>
              <w:t xml:space="preserve">Total </w:t>
            </w:r>
            <w:r w:rsidRPr="009C6556">
              <w:rPr>
                <w:b/>
                <w:color w:val="auto"/>
                <w:sz w:val="20"/>
                <w:szCs w:val="20"/>
              </w:rPr>
              <w:t>Net (Gain)/Loss for the Year</w:t>
            </w:r>
          </w:p>
        </w:tc>
        <w:tc>
          <w:tcPr>
            <w:tcW w:w="664" w:type="pct"/>
            <w:tcBorders>
              <w:top w:val="single" w:sz="4" w:space="0" w:color="auto"/>
              <w:bottom w:val="single" w:sz="4" w:space="0" w:color="auto"/>
            </w:tcBorders>
            <w:shd w:val="clear" w:color="auto" w:fill="auto"/>
            <w:vAlign w:val="bottom"/>
          </w:tcPr>
          <w:p w14:paraId="6070CB46" w14:textId="382D3B28" w:rsidR="00A50CD2" w:rsidRPr="009C6556" w:rsidRDefault="008F3BD1" w:rsidP="00814732">
            <w:pPr>
              <w:tabs>
                <w:tab w:val="decimal" w:pos="744"/>
              </w:tabs>
              <w:rPr>
                <w:b/>
                <w:color w:val="auto"/>
                <w:sz w:val="20"/>
                <w:szCs w:val="20"/>
              </w:rPr>
            </w:pPr>
            <w:r>
              <w:rPr>
                <w:b/>
                <w:color w:val="auto"/>
                <w:sz w:val="20"/>
                <w:szCs w:val="20"/>
              </w:rPr>
              <w:t>68.4</w:t>
            </w:r>
          </w:p>
        </w:tc>
        <w:tc>
          <w:tcPr>
            <w:tcW w:w="664" w:type="pct"/>
            <w:tcBorders>
              <w:top w:val="single" w:sz="4" w:space="0" w:color="auto"/>
              <w:bottom w:val="single" w:sz="4" w:space="0" w:color="auto"/>
            </w:tcBorders>
            <w:vAlign w:val="bottom"/>
          </w:tcPr>
          <w:p w14:paraId="623324F4" w14:textId="7FDFB33D" w:rsidR="00A50CD2" w:rsidRPr="009C6556" w:rsidRDefault="008F3BD1" w:rsidP="00975458">
            <w:pPr>
              <w:tabs>
                <w:tab w:val="decimal" w:pos="743"/>
              </w:tabs>
              <w:rPr>
                <w:b/>
                <w:color w:val="auto"/>
                <w:sz w:val="20"/>
                <w:szCs w:val="20"/>
              </w:rPr>
            </w:pPr>
            <w:r>
              <w:rPr>
                <w:b/>
                <w:color w:val="auto"/>
                <w:sz w:val="20"/>
                <w:szCs w:val="20"/>
              </w:rPr>
              <w:t>(4.</w:t>
            </w:r>
            <w:r w:rsidR="00975458">
              <w:rPr>
                <w:b/>
                <w:color w:val="auto"/>
                <w:sz w:val="20"/>
                <w:szCs w:val="20"/>
              </w:rPr>
              <w:t>4</w:t>
            </w:r>
            <w:r w:rsidR="00A50CD2" w:rsidRPr="009C6556">
              <w:rPr>
                <w:b/>
                <w:color w:val="auto"/>
                <w:sz w:val="20"/>
                <w:szCs w:val="20"/>
              </w:rPr>
              <w:t>)</w:t>
            </w:r>
          </w:p>
        </w:tc>
        <w:tc>
          <w:tcPr>
            <w:tcW w:w="531" w:type="pct"/>
            <w:tcBorders>
              <w:top w:val="single" w:sz="4" w:space="0" w:color="auto"/>
              <w:bottom w:val="single" w:sz="4" w:space="0" w:color="auto"/>
            </w:tcBorders>
            <w:vAlign w:val="bottom"/>
          </w:tcPr>
          <w:p w14:paraId="5F1D8D64" w14:textId="7A9D63D6" w:rsidR="00A50CD2" w:rsidRPr="009C6556" w:rsidRDefault="00371403" w:rsidP="00975458">
            <w:pPr>
              <w:tabs>
                <w:tab w:val="decimal" w:pos="600"/>
              </w:tabs>
              <w:rPr>
                <w:b/>
                <w:color w:val="auto"/>
                <w:sz w:val="20"/>
                <w:szCs w:val="20"/>
              </w:rPr>
            </w:pPr>
            <w:r>
              <w:rPr>
                <w:b/>
                <w:color w:val="auto"/>
                <w:sz w:val="20"/>
                <w:szCs w:val="20"/>
              </w:rPr>
              <w:t>(39.</w:t>
            </w:r>
            <w:r w:rsidR="00975458">
              <w:rPr>
                <w:b/>
                <w:color w:val="auto"/>
                <w:sz w:val="20"/>
                <w:szCs w:val="20"/>
              </w:rPr>
              <w:t>4</w:t>
            </w:r>
            <w:r w:rsidR="00A50CD2" w:rsidRPr="009C6556">
              <w:rPr>
                <w:b/>
                <w:color w:val="auto"/>
                <w:sz w:val="20"/>
                <w:szCs w:val="20"/>
              </w:rPr>
              <w:t>)</w:t>
            </w:r>
          </w:p>
        </w:tc>
        <w:tc>
          <w:tcPr>
            <w:tcW w:w="725" w:type="pct"/>
            <w:tcBorders>
              <w:top w:val="single" w:sz="4" w:space="0" w:color="auto"/>
              <w:bottom w:val="single" w:sz="4" w:space="0" w:color="auto"/>
            </w:tcBorders>
            <w:shd w:val="clear" w:color="auto" w:fill="auto"/>
            <w:vAlign w:val="bottom"/>
          </w:tcPr>
          <w:p w14:paraId="0BC60CA0" w14:textId="058E2B55" w:rsidR="00A50CD2" w:rsidRPr="009C6556" w:rsidRDefault="00A50CD2" w:rsidP="00814732">
            <w:pPr>
              <w:tabs>
                <w:tab w:val="decimal" w:pos="742"/>
              </w:tabs>
              <w:rPr>
                <w:b/>
                <w:color w:val="auto"/>
                <w:sz w:val="20"/>
                <w:szCs w:val="20"/>
              </w:rPr>
            </w:pPr>
            <w:r w:rsidRPr="009C6556">
              <w:rPr>
                <w:b/>
                <w:color w:val="auto"/>
                <w:sz w:val="20"/>
                <w:szCs w:val="20"/>
              </w:rPr>
              <w:t>(59.</w:t>
            </w:r>
            <w:r w:rsidR="008F3BD1">
              <w:rPr>
                <w:b/>
                <w:color w:val="auto"/>
                <w:sz w:val="20"/>
                <w:szCs w:val="20"/>
              </w:rPr>
              <w:t>4</w:t>
            </w:r>
            <w:r w:rsidRPr="009C6556">
              <w:rPr>
                <w:b/>
                <w:color w:val="auto"/>
                <w:sz w:val="20"/>
                <w:szCs w:val="20"/>
              </w:rPr>
              <w:t>)</w:t>
            </w:r>
          </w:p>
        </w:tc>
        <w:tc>
          <w:tcPr>
            <w:tcW w:w="573" w:type="pct"/>
            <w:tcBorders>
              <w:top w:val="single" w:sz="4" w:space="0" w:color="auto"/>
              <w:bottom w:val="single" w:sz="4" w:space="0" w:color="auto"/>
            </w:tcBorders>
            <w:shd w:val="clear" w:color="auto" w:fill="auto"/>
            <w:vAlign w:val="bottom"/>
          </w:tcPr>
          <w:p w14:paraId="47DEFAB1" w14:textId="08AAFFF9" w:rsidR="00A50CD2" w:rsidRPr="009C6556" w:rsidRDefault="00A50CD2" w:rsidP="00814732">
            <w:pPr>
              <w:tabs>
                <w:tab w:val="decimal" w:pos="612"/>
              </w:tabs>
              <w:rPr>
                <w:b/>
                <w:color w:val="auto"/>
                <w:sz w:val="20"/>
                <w:szCs w:val="20"/>
              </w:rPr>
            </w:pPr>
            <w:r w:rsidRPr="009C6556">
              <w:rPr>
                <w:b/>
                <w:color w:val="auto"/>
                <w:sz w:val="20"/>
                <w:szCs w:val="20"/>
              </w:rPr>
              <w:t>(</w:t>
            </w:r>
            <w:r w:rsidR="008F3BD1">
              <w:rPr>
                <w:b/>
                <w:color w:val="auto"/>
                <w:sz w:val="20"/>
                <w:szCs w:val="20"/>
              </w:rPr>
              <w:t>34.8</w:t>
            </w:r>
            <w:r w:rsidRPr="009C6556">
              <w:rPr>
                <w:b/>
                <w:color w:val="auto"/>
                <w:sz w:val="20"/>
                <w:szCs w:val="20"/>
              </w:rPr>
              <w:t>)</w:t>
            </w:r>
          </w:p>
        </w:tc>
      </w:tr>
    </w:tbl>
    <w:p w14:paraId="6133788B" w14:textId="16E5FC06" w:rsidR="00A50CD2" w:rsidRDefault="00BA7E5C" w:rsidP="00BE7EE5">
      <w:pPr>
        <w:rPr>
          <w:rFonts w:cs="Arial"/>
          <w:color w:val="auto"/>
          <w:sz w:val="20"/>
          <w:szCs w:val="20"/>
        </w:rPr>
      </w:pPr>
      <w:r>
        <w:rPr>
          <w:sz w:val="20"/>
          <w:szCs w:val="20"/>
          <w:vertAlign w:val="superscript"/>
          <w:lang w:eastAsia="en-GB"/>
        </w:rPr>
        <w:t>1</w:t>
      </w:r>
      <w:r w:rsidR="00BE7EE5" w:rsidRPr="00BE7EE5">
        <w:rPr>
          <w:sz w:val="20"/>
          <w:szCs w:val="20"/>
          <w:lang w:eastAsia="en-GB"/>
        </w:rPr>
        <w:t xml:space="preserve"> </w:t>
      </w:r>
      <w:r w:rsidR="00BE7EE5" w:rsidRPr="008C77A2">
        <w:rPr>
          <w:sz w:val="20"/>
          <w:szCs w:val="20"/>
          <w:lang w:eastAsia="en-GB"/>
        </w:rPr>
        <w:t xml:space="preserve">This </w:t>
      </w:r>
      <w:r w:rsidR="00BE7EE5">
        <w:rPr>
          <w:sz w:val="20"/>
          <w:szCs w:val="20"/>
          <w:lang w:eastAsia="en-GB"/>
        </w:rPr>
        <w:t>includes</w:t>
      </w:r>
      <w:r w:rsidR="00F902DE">
        <w:rPr>
          <w:sz w:val="20"/>
          <w:szCs w:val="20"/>
          <w:lang w:eastAsia="en-GB"/>
        </w:rPr>
        <w:t xml:space="preserve"> a </w:t>
      </w:r>
      <w:r w:rsidR="00BE7EE5">
        <w:rPr>
          <w:sz w:val="20"/>
          <w:szCs w:val="20"/>
          <w:lang w:eastAsia="en-GB"/>
        </w:rPr>
        <w:t xml:space="preserve">premium </w:t>
      </w:r>
      <w:r w:rsidR="00F902DE">
        <w:rPr>
          <w:sz w:val="20"/>
          <w:szCs w:val="20"/>
          <w:lang w:eastAsia="en-GB"/>
        </w:rPr>
        <w:t xml:space="preserve">of £24.3m </w:t>
      </w:r>
      <w:r w:rsidR="00BE7EE5">
        <w:rPr>
          <w:sz w:val="20"/>
          <w:szCs w:val="20"/>
          <w:lang w:eastAsia="en-GB"/>
        </w:rPr>
        <w:t xml:space="preserve">in relation to the </w:t>
      </w:r>
      <w:r w:rsidR="00BE7EE5" w:rsidRPr="008C77A2">
        <w:rPr>
          <w:sz w:val="20"/>
          <w:szCs w:val="20"/>
          <w:lang w:eastAsia="en-GB"/>
        </w:rPr>
        <w:t xml:space="preserve">refinancing </w:t>
      </w:r>
      <w:r w:rsidR="00BE7EE5" w:rsidRPr="0089112D">
        <w:rPr>
          <w:sz w:val="20"/>
          <w:szCs w:val="20"/>
          <w:lang w:eastAsia="en-GB"/>
        </w:rPr>
        <w:t xml:space="preserve">of </w:t>
      </w:r>
      <w:r w:rsidR="0089112D" w:rsidRPr="0089112D">
        <w:rPr>
          <w:rFonts w:cs="Arial"/>
          <w:color w:val="auto"/>
          <w:sz w:val="20"/>
          <w:szCs w:val="20"/>
        </w:rPr>
        <w:t>Waste Treatment Facilities</w:t>
      </w:r>
    </w:p>
    <w:p w14:paraId="0BFD1CCD" w14:textId="77777777" w:rsidR="003931E0" w:rsidRDefault="003931E0" w:rsidP="00BE7EE5">
      <w:pPr>
        <w:rPr>
          <w:rFonts w:cs="Arial"/>
          <w:color w:val="auto"/>
          <w:sz w:val="20"/>
          <w:szCs w:val="20"/>
        </w:rPr>
      </w:pPr>
    </w:p>
    <w:p w14:paraId="0846AAD6" w14:textId="77777777" w:rsidR="003931E0" w:rsidRDefault="003931E0" w:rsidP="00BE7EE5">
      <w:pPr>
        <w:rPr>
          <w:rFonts w:cs="Arial"/>
          <w:color w:val="auto"/>
          <w:sz w:val="20"/>
          <w:szCs w:val="20"/>
        </w:rPr>
      </w:pPr>
    </w:p>
    <w:p w14:paraId="1A14765D" w14:textId="77777777" w:rsidR="003931E0" w:rsidRDefault="003931E0" w:rsidP="00BE7EE5">
      <w:pPr>
        <w:rPr>
          <w:rFonts w:cs="Arial"/>
          <w:color w:val="auto"/>
          <w:sz w:val="20"/>
          <w:szCs w:val="20"/>
        </w:rPr>
      </w:pPr>
    </w:p>
    <w:p w14:paraId="1E0D7E1E" w14:textId="77777777" w:rsidR="003931E0" w:rsidRDefault="003931E0" w:rsidP="00BE7EE5">
      <w:pPr>
        <w:rPr>
          <w:rFonts w:cs="Arial"/>
          <w:color w:val="auto"/>
          <w:sz w:val="20"/>
          <w:szCs w:val="20"/>
        </w:rPr>
      </w:pPr>
    </w:p>
    <w:p w14:paraId="06ABFE72" w14:textId="77777777" w:rsidR="003931E0" w:rsidRDefault="003931E0" w:rsidP="00BE7EE5">
      <w:pPr>
        <w:rPr>
          <w:rFonts w:cs="Arial"/>
          <w:color w:val="auto"/>
          <w:sz w:val="20"/>
          <w:szCs w:val="20"/>
        </w:rPr>
      </w:pPr>
    </w:p>
    <w:p w14:paraId="0F4D2213" w14:textId="77777777" w:rsidR="003931E0" w:rsidRDefault="003931E0" w:rsidP="00BE7EE5">
      <w:pPr>
        <w:rPr>
          <w:rFonts w:cs="Arial"/>
          <w:color w:val="auto"/>
          <w:sz w:val="20"/>
          <w:szCs w:val="20"/>
        </w:rPr>
      </w:pPr>
    </w:p>
    <w:p w14:paraId="1D20F165" w14:textId="77777777" w:rsidR="003931E0" w:rsidRDefault="003931E0" w:rsidP="00BE7EE5">
      <w:pPr>
        <w:rPr>
          <w:rFonts w:cs="Arial"/>
          <w:color w:val="auto"/>
          <w:sz w:val="20"/>
          <w:szCs w:val="20"/>
        </w:rPr>
      </w:pPr>
    </w:p>
    <w:p w14:paraId="13D975E7" w14:textId="77777777" w:rsidR="003931E0" w:rsidRDefault="003931E0" w:rsidP="00BE7EE5">
      <w:pPr>
        <w:rPr>
          <w:rFonts w:cs="Arial"/>
          <w:color w:val="auto"/>
          <w:sz w:val="20"/>
          <w:szCs w:val="20"/>
        </w:rPr>
      </w:pPr>
    </w:p>
    <w:p w14:paraId="188CD9F7" w14:textId="77777777" w:rsidR="003931E0" w:rsidRDefault="003931E0" w:rsidP="00BE7EE5">
      <w:pPr>
        <w:rPr>
          <w:rFonts w:cs="Arial"/>
          <w:color w:val="auto"/>
          <w:sz w:val="20"/>
          <w:szCs w:val="20"/>
        </w:rPr>
      </w:pPr>
    </w:p>
    <w:p w14:paraId="6E92914C" w14:textId="77777777" w:rsidR="003931E0" w:rsidRDefault="003931E0" w:rsidP="00BE7EE5">
      <w:pPr>
        <w:rPr>
          <w:rFonts w:cs="Arial"/>
          <w:color w:val="auto"/>
          <w:sz w:val="20"/>
          <w:szCs w:val="20"/>
        </w:rPr>
      </w:pPr>
    </w:p>
    <w:p w14:paraId="07DD1623" w14:textId="77777777" w:rsidR="003931E0" w:rsidRDefault="003931E0" w:rsidP="00BE7EE5">
      <w:pPr>
        <w:rPr>
          <w:rFonts w:cs="Arial"/>
          <w:color w:val="auto"/>
          <w:sz w:val="20"/>
          <w:szCs w:val="20"/>
        </w:rPr>
      </w:pPr>
    </w:p>
    <w:p w14:paraId="47A6E434" w14:textId="77777777" w:rsidR="003931E0" w:rsidRDefault="003931E0" w:rsidP="00BE7EE5">
      <w:pPr>
        <w:rPr>
          <w:rFonts w:cs="Arial"/>
          <w:color w:val="auto"/>
          <w:sz w:val="20"/>
          <w:szCs w:val="20"/>
        </w:rPr>
      </w:pPr>
    </w:p>
    <w:p w14:paraId="0EAA8B97" w14:textId="77777777" w:rsidR="003931E0" w:rsidRDefault="003931E0" w:rsidP="00BE7EE5">
      <w:pPr>
        <w:rPr>
          <w:rFonts w:cs="Arial"/>
          <w:color w:val="auto"/>
          <w:sz w:val="20"/>
          <w:szCs w:val="20"/>
        </w:rPr>
      </w:pPr>
    </w:p>
    <w:p w14:paraId="688D6E2A" w14:textId="77777777" w:rsidR="003931E0" w:rsidRDefault="003931E0" w:rsidP="00BE7EE5">
      <w:pPr>
        <w:rPr>
          <w:rFonts w:cs="Arial"/>
          <w:color w:val="auto"/>
          <w:sz w:val="20"/>
          <w:szCs w:val="20"/>
        </w:rPr>
      </w:pPr>
    </w:p>
    <w:p w14:paraId="14C821D8" w14:textId="77777777" w:rsidR="003931E0" w:rsidRDefault="003931E0" w:rsidP="00BE7EE5">
      <w:pPr>
        <w:rPr>
          <w:rFonts w:cs="Arial"/>
          <w:color w:val="auto"/>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51"/>
        <w:gridCol w:w="1388"/>
        <w:gridCol w:w="1388"/>
        <w:gridCol w:w="1110"/>
        <w:gridCol w:w="1515"/>
        <w:gridCol w:w="1198"/>
      </w:tblGrid>
      <w:tr w:rsidR="00A50CD2" w:rsidRPr="003361F6" w14:paraId="5945E2CA" w14:textId="77777777" w:rsidTr="00814732">
        <w:trPr>
          <w:trHeight w:val="369"/>
          <w:tblHeader/>
        </w:trPr>
        <w:tc>
          <w:tcPr>
            <w:tcW w:w="1843" w:type="pct"/>
            <w:shd w:val="clear" w:color="auto" w:fill="D0CECE"/>
            <w:vAlign w:val="bottom"/>
          </w:tcPr>
          <w:p w14:paraId="6254E38B" w14:textId="77777777" w:rsidR="00A50CD2" w:rsidRPr="00A70636" w:rsidRDefault="00A50CD2" w:rsidP="00814732">
            <w:pPr>
              <w:jc w:val="center"/>
              <w:rPr>
                <w:b/>
                <w:color w:val="auto"/>
                <w:u w:val="single"/>
              </w:rPr>
            </w:pPr>
            <w:r w:rsidRPr="00A70636">
              <w:rPr>
                <w:b/>
                <w:color w:val="auto"/>
                <w:u w:val="single"/>
              </w:rPr>
              <w:t>201</w:t>
            </w:r>
            <w:r>
              <w:rPr>
                <w:b/>
                <w:color w:val="auto"/>
                <w:u w:val="single"/>
              </w:rPr>
              <w:t>3/14</w:t>
            </w:r>
          </w:p>
        </w:tc>
        <w:tc>
          <w:tcPr>
            <w:tcW w:w="664" w:type="pct"/>
            <w:shd w:val="clear" w:color="auto" w:fill="D0CECE"/>
            <w:vAlign w:val="bottom"/>
          </w:tcPr>
          <w:p w14:paraId="6DAA3D62" w14:textId="77777777" w:rsidR="00A50CD2" w:rsidRPr="003361F6" w:rsidRDefault="00A50CD2" w:rsidP="00814732">
            <w:pPr>
              <w:jc w:val="center"/>
              <w:rPr>
                <w:b/>
                <w:color w:val="auto"/>
                <w:sz w:val="20"/>
                <w:szCs w:val="20"/>
              </w:rPr>
            </w:pPr>
            <w:r w:rsidRPr="00F31D75">
              <w:rPr>
                <w:b/>
                <w:color w:val="auto"/>
                <w:sz w:val="20"/>
                <w:szCs w:val="20"/>
              </w:rPr>
              <w:t>Financial Liabilities at Amortised Cost</w:t>
            </w:r>
          </w:p>
        </w:tc>
        <w:tc>
          <w:tcPr>
            <w:tcW w:w="664" w:type="pct"/>
            <w:shd w:val="clear" w:color="auto" w:fill="D0CECE"/>
            <w:vAlign w:val="bottom"/>
          </w:tcPr>
          <w:p w14:paraId="3701DC67" w14:textId="77777777" w:rsidR="00A50CD2" w:rsidRPr="003361F6" w:rsidRDefault="00A50CD2" w:rsidP="00814732">
            <w:pPr>
              <w:jc w:val="center"/>
              <w:rPr>
                <w:b/>
                <w:color w:val="auto"/>
                <w:sz w:val="20"/>
                <w:szCs w:val="20"/>
                <w:vertAlign w:val="superscript"/>
              </w:rPr>
            </w:pPr>
            <w:r w:rsidRPr="00F31D75">
              <w:rPr>
                <w:b/>
                <w:color w:val="auto"/>
                <w:sz w:val="20"/>
                <w:szCs w:val="20"/>
              </w:rPr>
              <w:t>Financial Assets: Loans &amp; Receivables</w:t>
            </w:r>
          </w:p>
        </w:tc>
        <w:tc>
          <w:tcPr>
            <w:tcW w:w="531" w:type="pct"/>
            <w:shd w:val="clear" w:color="auto" w:fill="D0CECE"/>
            <w:vAlign w:val="bottom"/>
          </w:tcPr>
          <w:p w14:paraId="5D712260" w14:textId="77777777" w:rsidR="00A50CD2" w:rsidRPr="003361F6" w:rsidRDefault="00A50CD2" w:rsidP="00814732">
            <w:pPr>
              <w:jc w:val="center"/>
              <w:rPr>
                <w:b/>
                <w:color w:val="auto"/>
                <w:sz w:val="20"/>
                <w:szCs w:val="20"/>
              </w:rPr>
            </w:pPr>
            <w:r w:rsidRPr="00F31D75">
              <w:rPr>
                <w:b/>
                <w:color w:val="auto"/>
                <w:sz w:val="20"/>
                <w:szCs w:val="20"/>
              </w:rPr>
              <w:t>Financial Assets: Available for Sale</w:t>
            </w:r>
          </w:p>
        </w:tc>
        <w:tc>
          <w:tcPr>
            <w:tcW w:w="725" w:type="pct"/>
            <w:shd w:val="clear" w:color="auto" w:fill="D0CECE"/>
            <w:vAlign w:val="bottom"/>
          </w:tcPr>
          <w:p w14:paraId="5840973D" w14:textId="77777777" w:rsidR="00A50CD2" w:rsidRPr="003361F6" w:rsidRDefault="00A50CD2" w:rsidP="00814732">
            <w:pPr>
              <w:jc w:val="center"/>
              <w:rPr>
                <w:b/>
                <w:color w:val="auto"/>
                <w:sz w:val="20"/>
                <w:szCs w:val="20"/>
              </w:rPr>
            </w:pPr>
            <w:r w:rsidRPr="00F31D75">
              <w:rPr>
                <w:b/>
                <w:color w:val="auto"/>
                <w:sz w:val="20"/>
                <w:szCs w:val="20"/>
              </w:rPr>
              <w:t>Assets and Liabilities at Fair Value through Profit &amp; Loss</w:t>
            </w:r>
          </w:p>
        </w:tc>
        <w:tc>
          <w:tcPr>
            <w:tcW w:w="573" w:type="pct"/>
            <w:shd w:val="clear" w:color="auto" w:fill="D0CECE"/>
            <w:vAlign w:val="bottom"/>
          </w:tcPr>
          <w:p w14:paraId="40F6DB3F" w14:textId="77777777" w:rsidR="00A50CD2" w:rsidRPr="003361F6" w:rsidRDefault="00A50CD2" w:rsidP="00814732">
            <w:pPr>
              <w:jc w:val="center"/>
              <w:rPr>
                <w:b/>
                <w:color w:val="auto"/>
                <w:sz w:val="20"/>
                <w:szCs w:val="20"/>
              </w:rPr>
            </w:pPr>
            <w:r>
              <w:rPr>
                <w:b/>
                <w:color w:val="auto"/>
                <w:sz w:val="20"/>
                <w:szCs w:val="20"/>
              </w:rPr>
              <w:t>Total</w:t>
            </w:r>
          </w:p>
        </w:tc>
      </w:tr>
      <w:tr w:rsidR="00A50CD2" w:rsidRPr="003361F6" w14:paraId="5C442B5C" w14:textId="77777777" w:rsidTr="00814732">
        <w:trPr>
          <w:trHeight w:val="369"/>
          <w:tblHeader/>
        </w:trPr>
        <w:tc>
          <w:tcPr>
            <w:tcW w:w="1843" w:type="pct"/>
            <w:shd w:val="clear" w:color="auto" w:fill="D0CECE"/>
            <w:vAlign w:val="bottom"/>
          </w:tcPr>
          <w:p w14:paraId="691A5697" w14:textId="77777777" w:rsidR="00A50CD2" w:rsidRPr="003361F6" w:rsidRDefault="00A50CD2" w:rsidP="00814732">
            <w:pPr>
              <w:jc w:val="left"/>
              <w:rPr>
                <w:color w:val="auto"/>
                <w:sz w:val="20"/>
                <w:szCs w:val="20"/>
              </w:rPr>
            </w:pPr>
          </w:p>
        </w:tc>
        <w:tc>
          <w:tcPr>
            <w:tcW w:w="664" w:type="pct"/>
            <w:shd w:val="clear" w:color="auto" w:fill="D0CECE"/>
            <w:vAlign w:val="bottom"/>
          </w:tcPr>
          <w:p w14:paraId="3278DEAF" w14:textId="77777777" w:rsidR="00A50CD2" w:rsidRPr="003361F6" w:rsidRDefault="00A50CD2" w:rsidP="00814732">
            <w:pPr>
              <w:jc w:val="center"/>
              <w:rPr>
                <w:b/>
                <w:color w:val="auto"/>
                <w:sz w:val="20"/>
                <w:szCs w:val="20"/>
              </w:rPr>
            </w:pPr>
            <w:r>
              <w:rPr>
                <w:b/>
                <w:color w:val="auto"/>
                <w:sz w:val="20"/>
                <w:szCs w:val="20"/>
              </w:rPr>
              <w:t>£m</w:t>
            </w:r>
          </w:p>
        </w:tc>
        <w:tc>
          <w:tcPr>
            <w:tcW w:w="664" w:type="pct"/>
            <w:shd w:val="clear" w:color="auto" w:fill="D0CECE"/>
            <w:vAlign w:val="bottom"/>
          </w:tcPr>
          <w:p w14:paraId="6203B4C4" w14:textId="77777777" w:rsidR="00A50CD2" w:rsidRPr="003361F6" w:rsidRDefault="00A50CD2" w:rsidP="00814732">
            <w:pPr>
              <w:jc w:val="center"/>
              <w:rPr>
                <w:b/>
                <w:color w:val="auto"/>
                <w:sz w:val="20"/>
                <w:szCs w:val="20"/>
              </w:rPr>
            </w:pPr>
            <w:r>
              <w:rPr>
                <w:b/>
                <w:color w:val="auto"/>
                <w:sz w:val="20"/>
                <w:szCs w:val="20"/>
              </w:rPr>
              <w:t>£m</w:t>
            </w:r>
          </w:p>
        </w:tc>
        <w:tc>
          <w:tcPr>
            <w:tcW w:w="531" w:type="pct"/>
            <w:shd w:val="clear" w:color="auto" w:fill="D0CECE"/>
            <w:vAlign w:val="bottom"/>
          </w:tcPr>
          <w:p w14:paraId="433AB133" w14:textId="77777777" w:rsidR="00A50CD2" w:rsidRPr="003361F6" w:rsidRDefault="00A50CD2" w:rsidP="00814732">
            <w:pPr>
              <w:jc w:val="center"/>
              <w:rPr>
                <w:b/>
                <w:color w:val="auto"/>
                <w:sz w:val="20"/>
                <w:szCs w:val="20"/>
              </w:rPr>
            </w:pPr>
            <w:r>
              <w:rPr>
                <w:b/>
                <w:color w:val="auto"/>
                <w:sz w:val="20"/>
                <w:szCs w:val="20"/>
              </w:rPr>
              <w:t>£m</w:t>
            </w:r>
          </w:p>
        </w:tc>
        <w:tc>
          <w:tcPr>
            <w:tcW w:w="725" w:type="pct"/>
            <w:shd w:val="clear" w:color="auto" w:fill="D0CECE"/>
            <w:vAlign w:val="bottom"/>
          </w:tcPr>
          <w:p w14:paraId="3DACBDE1" w14:textId="77777777" w:rsidR="00A50CD2" w:rsidRPr="003361F6" w:rsidRDefault="00A50CD2" w:rsidP="00814732">
            <w:pPr>
              <w:jc w:val="center"/>
              <w:rPr>
                <w:b/>
                <w:color w:val="auto"/>
                <w:sz w:val="20"/>
                <w:szCs w:val="20"/>
              </w:rPr>
            </w:pPr>
            <w:r>
              <w:rPr>
                <w:b/>
                <w:color w:val="auto"/>
                <w:sz w:val="20"/>
                <w:szCs w:val="20"/>
              </w:rPr>
              <w:t>£m</w:t>
            </w:r>
          </w:p>
        </w:tc>
        <w:tc>
          <w:tcPr>
            <w:tcW w:w="573" w:type="pct"/>
            <w:shd w:val="clear" w:color="auto" w:fill="D0CECE"/>
            <w:vAlign w:val="bottom"/>
          </w:tcPr>
          <w:p w14:paraId="26FD3E1A" w14:textId="77777777" w:rsidR="00A50CD2" w:rsidRPr="003361F6" w:rsidRDefault="00A50CD2" w:rsidP="00814732">
            <w:pPr>
              <w:jc w:val="center"/>
              <w:rPr>
                <w:b/>
                <w:color w:val="auto"/>
                <w:sz w:val="20"/>
                <w:szCs w:val="20"/>
              </w:rPr>
            </w:pPr>
            <w:r>
              <w:rPr>
                <w:b/>
                <w:color w:val="auto"/>
                <w:sz w:val="20"/>
                <w:szCs w:val="20"/>
              </w:rPr>
              <w:t>£m</w:t>
            </w:r>
          </w:p>
        </w:tc>
      </w:tr>
      <w:tr w:rsidR="00A50CD2" w:rsidRPr="003361F6" w14:paraId="5F3BAC00" w14:textId="77777777" w:rsidTr="00814732">
        <w:trPr>
          <w:trHeight w:val="369"/>
        </w:trPr>
        <w:tc>
          <w:tcPr>
            <w:tcW w:w="1843" w:type="pct"/>
            <w:shd w:val="clear" w:color="auto" w:fill="auto"/>
            <w:vAlign w:val="bottom"/>
          </w:tcPr>
          <w:p w14:paraId="3E403FF0" w14:textId="77777777" w:rsidR="00A50CD2" w:rsidRPr="003361F6" w:rsidRDefault="00A50CD2" w:rsidP="00814732">
            <w:pPr>
              <w:jc w:val="left"/>
              <w:rPr>
                <w:color w:val="auto"/>
                <w:sz w:val="20"/>
                <w:szCs w:val="20"/>
              </w:rPr>
            </w:pPr>
            <w:r>
              <w:rPr>
                <w:color w:val="auto"/>
                <w:sz w:val="20"/>
                <w:szCs w:val="20"/>
              </w:rPr>
              <w:t>Interest Expense</w:t>
            </w:r>
          </w:p>
        </w:tc>
        <w:tc>
          <w:tcPr>
            <w:tcW w:w="664" w:type="pct"/>
            <w:tcBorders>
              <w:bottom w:val="nil"/>
            </w:tcBorders>
            <w:shd w:val="clear" w:color="auto" w:fill="auto"/>
            <w:vAlign w:val="bottom"/>
          </w:tcPr>
          <w:p w14:paraId="41E1BA05" w14:textId="77777777" w:rsidR="00A50CD2" w:rsidRDefault="00A50CD2" w:rsidP="00814732">
            <w:pPr>
              <w:tabs>
                <w:tab w:val="decimal" w:pos="743"/>
              </w:tabs>
              <w:rPr>
                <w:color w:val="auto"/>
                <w:sz w:val="20"/>
                <w:szCs w:val="20"/>
              </w:rPr>
            </w:pPr>
            <w:r>
              <w:rPr>
                <w:color w:val="auto"/>
                <w:sz w:val="20"/>
                <w:szCs w:val="20"/>
              </w:rPr>
              <w:t>63.3</w:t>
            </w:r>
          </w:p>
        </w:tc>
        <w:tc>
          <w:tcPr>
            <w:tcW w:w="664" w:type="pct"/>
            <w:tcBorders>
              <w:bottom w:val="nil"/>
            </w:tcBorders>
            <w:vAlign w:val="bottom"/>
          </w:tcPr>
          <w:p w14:paraId="0BAA37DF" w14:textId="77777777" w:rsidR="00A50CD2" w:rsidRDefault="00A50CD2" w:rsidP="00814732">
            <w:pPr>
              <w:tabs>
                <w:tab w:val="decimal" w:pos="601"/>
              </w:tabs>
              <w:rPr>
                <w:color w:val="auto"/>
                <w:sz w:val="20"/>
                <w:szCs w:val="20"/>
              </w:rPr>
            </w:pPr>
            <w:r>
              <w:rPr>
                <w:color w:val="auto"/>
                <w:sz w:val="20"/>
                <w:szCs w:val="20"/>
              </w:rPr>
              <w:t>-</w:t>
            </w:r>
          </w:p>
        </w:tc>
        <w:tc>
          <w:tcPr>
            <w:tcW w:w="531" w:type="pct"/>
            <w:tcBorders>
              <w:bottom w:val="nil"/>
            </w:tcBorders>
            <w:vAlign w:val="bottom"/>
          </w:tcPr>
          <w:p w14:paraId="1C2E28A0" w14:textId="77777777" w:rsidR="00A50CD2" w:rsidRDefault="00A50CD2" w:rsidP="00814732">
            <w:pPr>
              <w:tabs>
                <w:tab w:val="decimal" w:pos="495"/>
              </w:tabs>
              <w:rPr>
                <w:color w:val="auto"/>
                <w:sz w:val="20"/>
                <w:szCs w:val="20"/>
              </w:rPr>
            </w:pPr>
            <w:r>
              <w:rPr>
                <w:color w:val="auto"/>
                <w:sz w:val="20"/>
                <w:szCs w:val="20"/>
              </w:rPr>
              <w:t>-</w:t>
            </w:r>
          </w:p>
        </w:tc>
        <w:tc>
          <w:tcPr>
            <w:tcW w:w="725" w:type="pct"/>
            <w:tcBorders>
              <w:bottom w:val="nil"/>
            </w:tcBorders>
            <w:shd w:val="clear" w:color="auto" w:fill="auto"/>
            <w:vAlign w:val="bottom"/>
          </w:tcPr>
          <w:p w14:paraId="31D947F6" w14:textId="77777777" w:rsidR="00A50CD2" w:rsidRDefault="00A50CD2" w:rsidP="00814732">
            <w:pPr>
              <w:tabs>
                <w:tab w:val="decimal" w:pos="742"/>
              </w:tabs>
              <w:rPr>
                <w:color w:val="auto"/>
                <w:sz w:val="20"/>
                <w:szCs w:val="20"/>
              </w:rPr>
            </w:pPr>
            <w:r>
              <w:rPr>
                <w:color w:val="auto"/>
                <w:sz w:val="20"/>
                <w:szCs w:val="20"/>
              </w:rPr>
              <w:t>-</w:t>
            </w:r>
          </w:p>
        </w:tc>
        <w:tc>
          <w:tcPr>
            <w:tcW w:w="573" w:type="pct"/>
            <w:tcBorders>
              <w:bottom w:val="nil"/>
            </w:tcBorders>
            <w:shd w:val="clear" w:color="auto" w:fill="auto"/>
            <w:vAlign w:val="bottom"/>
          </w:tcPr>
          <w:p w14:paraId="77AA66EE" w14:textId="77777777" w:rsidR="00A50CD2" w:rsidRDefault="00A50CD2" w:rsidP="00814732">
            <w:pPr>
              <w:tabs>
                <w:tab w:val="decimal" w:pos="612"/>
              </w:tabs>
              <w:rPr>
                <w:color w:val="auto"/>
                <w:sz w:val="20"/>
                <w:szCs w:val="20"/>
              </w:rPr>
            </w:pPr>
            <w:r>
              <w:rPr>
                <w:color w:val="auto"/>
                <w:sz w:val="20"/>
                <w:szCs w:val="20"/>
              </w:rPr>
              <w:t>63.3</w:t>
            </w:r>
          </w:p>
        </w:tc>
      </w:tr>
      <w:tr w:rsidR="00A50CD2" w:rsidRPr="003361F6" w14:paraId="12EF71DD" w14:textId="77777777" w:rsidTr="00814732">
        <w:trPr>
          <w:trHeight w:val="369"/>
        </w:trPr>
        <w:tc>
          <w:tcPr>
            <w:tcW w:w="1843" w:type="pct"/>
            <w:shd w:val="clear" w:color="auto" w:fill="auto"/>
            <w:vAlign w:val="bottom"/>
          </w:tcPr>
          <w:p w14:paraId="0F425970" w14:textId="77777777" w:rsidR="00A50CD2" w:rsidRPr="003361F6" w:rsidRDefault="00A50CD2" w:rsidP="00814732">
            <w:pPr>
              <w:jc w:val="left"/>
              <w:rPr>
                <w:color w:val="auto"/>
                <w:sz w:val="20"/>
                <w:szCs w:val="20"/>
              </w:rPr>
            </w:pPr>
            <w:r>
              <w:rPr>
                <w:color w:val="auto"/>
                <w:sz w:val="20"/>
                <w:szCs w:val="20"/>
              </w:rPr>
              <w:t>Fee Expense</w:t>
            </w:r>
          </w:p>
        </w:tc>
        <w:tc>
          <w:tcPr>
            <w:tcW w:w="664" w:type="pct"/>
            <w:tcBorders>
              <w:top w:val="nil"/>
              <w:bottom w:val="single" w:sz="4" w:space="0" w:color="auto"/>
            </w:tcBorders>
            <w:shd w:val="clear" w:color="auto" w:fill="auto"/>
            <w:vAlign w:val="bottom"/>
          </w:tcPr>
          <w:p w14:paraId="7F6DE491" w14:textId="77777777" w:rsidR="00A50CD2" w:rsidRDefault="00A50CD2" w:rsidP="00814732">
            <w:pPr>
              <w:tabs>
                <w:tab w:val="decimal" w:pos="743"/>
              </w:tabs>
              <w:rPr>
                <w:color w:val="auto"/>
                <w:sz w:val="20"/>
                <w:szCs w:val="20"/>
              </w:rPr>
            </w:pPr>
            <w:r>
              <w:rPr>
                <w:color w:val="auto"/>
                <w:sz w:val="20"/>
                <w:szCs w:val="20"/>
              </w:rPr>
              <w:t>0.4</w:t>
            </w:r>
          </w:p>
        </w:tc>
        <w:tc>
          <w:tcPr>
            <w:tcW w:w="664" w:type="pct"/>
            <w:tcBorders>
              <w:top w:val="nil"/>
              <w:bottom w:val="single" w:sz="4" w:space="0" w:color="auto"/>
            </w:tcBorders>
            <w:vAlign w:val="bottom"/>
          </w:tcPr>
          <w:p w14:paraId="35E6886F" w14:textId="77777777" w:rsidR="00A50CD2" w:rsidRDefault="00A50CD2" w:rsidP="00814732">
            <w:pPr>
              <w:tabs>
                <w:tab w:val="decimal" w:pos="601"/>
              </w:tabs>
              <w:rPr>
                <w:color w:val="auto"/>
                <w:sz w:val="20"/>
                <w:szCs w:val="20"/>
              </w:rPr>
            </w:pPr>
            <w:r>
              <w:rPr>
                <w:color w:val="auto"/>
                <w:sz w:val="20"/>
                <w:szCs w:val="20"/>
              </w:rPr>
              <w:t>-</w:t>
            </w:r>
          </w:p>
        </w:tc>
        <w:tc>
          <w:tcPr>
            <w:tcW w:w="531" w:type="pct"/>
            <w:tcBorders>
              <w:top w:val="nil"/>
              <w:bottom w:val="single" w:sz="4" w:space="0" w:color="auto"/>
            </w:tcBorders>
            <w:vAlign w:val="bottom"/>
          </w:tcPr>
          <w:p w14:paraId="680CEA9B" w14:textId="77777777" w:rsidR="00A50CD2" w:rsidRDefault="00A50CD2" w:rsidP="00814732">
            <w:pPr>
              <w:tabs>
                <w:tab w:val="decimal" w:pos="495"/>
              </w:tabs>
              <w:rPr>
                <w:color w:val="auto"/>
                <w:sz w:val="20"/>
                <w:szCs w:val="20"/>
              </w:rPr>
            </w:pPr>
            <w:r>
              <w:rPr>
                <w:color w:val="auto"/>
                <w:sz w:val="20"/>
                <w:szCs w:val="20"/>
              </w:rPr>
              <w:t>-</w:t>
            </w:r>
          </w:p>
        </w:tc>
        <w:tc>
          <w:tcPr>
            <w:tcW w:w="725" w:type="pct"/>
            <w:tcBorders>
              <w:top w:val="nil"/>
              <w:bottom w:val="single" w:sz="4" w:space="0" w:color="auto"/>
            </w:tcBorders>
            <w:shd w:val="clear" w:color="auto" w:fill="auto"/>
            <w:vAlign w:val="bottom"/>
          </w:tcPr>
          <w:p w14:paraId="529125CF" w14:textId="77777777" w:rsidR="00A50CD2" w:rsidRDefault="00A50CD2" w:rsidP="00814732">
            <w:pPr>
              <w:tabs>
                <w:tab w:val="decimal" w:pos="742"/>
              </w:tabs>
              <w:rPr>
                <w:color w:val="auto"/>
                <w:sz w:val="20"/>
                <w:szCs w:val="20"/>
              </w:rPr>
            </w:pPr>
            <w:r>
              <w:rPr>
                <w:color w:val="auto"/>
                <w:sz w:val="20"/>
                <w:szCs w:val="20"/>
              </w:rPr>
              <w:t>-</w:t>
            </w:r>
          </w:p>
        </w:tc>
        <w:tc>
          <w:tcPr>
            <w:tcW w:w="573" w:type="pct"/>
            <w:tcBorders>
              <w:top w:val="nil"/>
              <w:bottom w:val="single" w:sz="4" w:space="0" w:color="auto"/>
            </w:tcBorders>
            <w:shd w:val="clear" w:color="auto" w:fill="auto"/>
            <w:vAlign w:val="bottom"/>
          </w:tcPr>
          <w:p w14:paraId="25644673" w14:textId="77777777" w:rsidR="00A50CD2" w:rsidRDefault="00A50CD2" w:rsidP="00814732">
            <w:pPr>
              <w:tabs>
                <w:tab w:val="decimal" w:pos="612"/>
              </w:tabs>
              <w:rPr>
                <w:color w:val="auto"/>
                <w:sz w:val="20"/>
                <w:szCs w:val="20"/>
              </w:rPr>
            </w:pPr>
            <w:r>
              <w:rPr>
                <w:color w:val="auto"/>
                <w:sz w:val="20"/>
                <w:szCs w:val="20"/>
              </w:rPr>
              <w:t>0.4</w:t>
            </w:r>
          </w:p>
        </w:tc>
      </w:tr>
      <w:tr w:rsidR="00A50CD2" w:rsidRPr="00F31D75" w14:paraId="70B0A497" w14:textId="77777777" w:rsidTr="00814732">
        <w:trPr>
          <w:trHeight w:val="369"/>
        </w:trPr>
        <w:tc>
          <w:tcPr>
            <w:tcW w:w="1843" w:type="pct"/>
            <w:shd w:val="clear" w:color="auto" w:fill="auto"/>
            <w:vAlign w:val="bottom"/>
          </w:tcPr>
          <w:p w14:paraId="06EFD4B9" w14:textId="77777777" w:rsidR="00A50CD2" w:rsidRPr="00F31D75" w:rsidRDefault="00A50CD2" w:rsidP="00814732">
            <w:pPr>
              <w:jc w:val="left"/>
              <w:rPr>
                <w:b/>
                <w:color w:val="auto"/>
                <w:sz w:val="20"/>
                <w:szCs w:val="20"/>
              </w:rPr>
            </w:pPr>
            <w:r w:rsidRPr="00F31D75">
              <w:rPr>
                <w:b/>
                <w:color w:val="auto"/>
                <w:sz w:val="20"/>
                <w:szCs w:val="20"/>
              </w:rPr>
              <w:t xml:space="preserve">Total Expense </w:t>
            </w:r>
            <w:r w:rsidRPr="004620AE">
              <w:rPr>
                <w:b/>
                <w:color w:val="auto"/>
                <w:sz w:val="20"/>
                <w:szCs w:val="20"/>
              </w:rPr>
              <w:t>in Deficit on</w:t>
            </w:r>
            <w:r w:rsidRPr="00F31D75">
              <w:rPr>
                <w:b/>
                <w:color w:val="auto"/>
                <w:sz w:val="20"/>
                <w:szCs w:val="20"/>
              </w:rPr>
              <w:t xml:space="preserve"> the Provision of Services</w:t>
            </w:r>
          </w:p>
        </w:tc>
        <w:tc>
          <w:tcPr>
            <w:tcW w:w="664" w:type="pct"/>
            <w:tcBorders>
              <w:top w:val="single" w:sz="4" w:space="0" w:color="auto"/>
              <w:bottom w:val="nil"/>
            </w:tcBorders>
            <w:shd w:val="clear" w:color="auto" w:fill="auto"/>
            <w:vAlign w:val="bottom"/>
          </w:tcPr>
          <w:p w14:paraId="39C081D8" w14:textId="77777777" w:rsidR="00A50CD2" w:rsidRPr="00F31D75" w:rsidRDefault="00A50CD2" w:rsidP="00814732">
            <w:pPr>
              <w:tabs>
                <w:tab w:val="decimal" w:pos="743"/>
              </w:tabs>
              <w:rPr>
                <w:b/>
                <w:color w:val="auto"/>
                <w:sz w:val="20"/>
                <w:szCs w:val="20"/>
              </w:rPr>
            </w:pPr>
            <w:r>
              <w:rPr>
                <w:b/>
                <w:color w:val="auto"/>
                <w:sz w:val="20"/>
                <w:szCs w:val="20"/>
              </w:rPr>
              <w:t>63.7</w:t>
            </w:r>
          </w:p>
        </w:tc>
        <w:tc>
          <w:tcPr>
            <w:tcW w:w="664" w:type="pct"/>
            <w:tcBorders>
              <w:top w:val="single" w:sz="4" w:space="0" w:color="auto"/>
              <w:bottom w:val="nil"/>
            </w:tcBorders>
            <w:vAlign w:val="bottom"/>
          </w:tcPr>
          <w:p w14:paraId="2941FDA2" w14:textId="77777777" w:rsidR="00A50CD2" w:rsidRPr="00F31D75" w:rsidRDefault="00A50CD2" w:rsidP="00814732">
            <w:pPr>
              <w:tabs>
                <w:tab w:val="decimal" w:pos="601"/>
              </w:tabs>
              <w:rPr>
                <w:b/>
                <w:color w:val="auto"/>
                <w:sz w:val="20"/>
                <w:szCs w:val="20"/>
              </w:rPr>
            </w:pPr>
            <w:r>
              <w:rPr>
                <w:b/>
                <w:color w:val="auto"/>
                <w:sz w:val="20"/>
                <w:szCs w:val="20"/>
              </w:rPr>
              <w:t>-</w:t>
            </w:r>
          </w:p>
        </w:tc>
        <w:tc>
          <w:tcPr>
            <w:tcW w:w="531" w:type="pct"/>
            <w:tcBorders>
              <w:top w:val="single" w:sz="4" w:space="0" w:color="auto"/>
              <w:bottom w:val="nil"/>
            </w:tcBorders>
            <w:vAlign w:val="bottom"/>
          </w:tcPr>
          <w:p w14:paraId="63ABF23C" w14:textId="77777777" w:rsidR="00A50CD2" w:rsidRPr="00F31D75" w:rsidRDefault="00A50CD2" w:rsidP="00814732">
            <w:pPr>
              <w:tabs>
                <w:tab w:val="decimal" w:pos="495"/>
              </w:tabs>
              <w:rPr>
                <w:b/>
                <w:color w:val="auto"/>
                <w:sz w:val="20"/>
                <w:szCs w:val="20"/>
              </w:rPr>
            </w:pPr>
            <w:r w:rsidRPr="00F31D75">
              <w:rPr>
                <w:b/>
                <w:color w:val="auto"/>
                <w:sz w:val="20"/>
                <w:szCs w:val="20"/>
              </w:rPr>
              <w:t>-</w:t>
            </w:r>
          </w:p>
        </w:tc>
        <w:tc>
          <w:tcPr>
            <w:tcW w:w="725" w:type="pct"/>
            <w:tcBorders>
              <w:top w:val="single" w:sz="4" w:space="0" w:color="auto"/>
              <w:bottom w:val="nil"/>
            </w:tcBorders>
            <w:shd w:val="clear" w:color="auto" w:fill="auto"/>
            <w:vAlign w:val="bottom"/>
          </w:tcPr>
          <w:p w14:paraId="5678E573" w14:textId="77777777" w:rsidR="00A50CD2" w:rsidRPr="00F31D75" w:rsidRDefault="00A50CD2" w:rsidP="00814732">
            <w:pPr>
              <w:tabs>
                <w:tab w:val="decimal" w:pos="742"/>
              </w:tabs>
              <w:rPr>
                <w:b/>
                <w:color w:val="auto"/>
                <w:sz w:val="20"/>
                <w:szCs w:val="20"/>
              </w:rPr>
            </w:pPr>
            <w:r w:rsidRPr="00F31D75">
              <w:rPr>
                <w:b/>
                <w:color w:val="auto"/>
                <w:sz w:val="20"/>
                <w:szCs w:val="20"/>
              </w:rPr>
              <w:t>-</w:t>
            </w:r>
          </w:p>
        </w:tc>
        <w:tc>
          <w:tcPr>
            <w:tcW w:w="573" w:type="pct"/>
            <w:tcBorders>
              <w:top w:val="single" w:sz="4" w:space="0" w:color="auto"/>
              <w:bottom w:val="nil"/>
            </w:tcBorders>
            <w:shd w:val="clear" w:color="auto" w:fill="auto"/>
            <w:vAlign w:val="bottom"/>
          </w:tcPr>
          <w:p w14:paraId="77075E11" w14:textId="77777777" w:rsidR="00A50CD2" w:rsidRPr="00F31D75" w:rsidRDefault="00A50CD2" w:rsidP="00814732">
            <w:pPr>
              <w:tabs>
                <w:tab w:val="decimal" w:pos="612"/>
              </w:tabs>
              <w:rPr>
                <w:b/>
                <w:color w:val="auto"/>
                <w:sz w:val="20"/>
                <w:szCs w:val="20"/>
              </w:rPr>
            </w:pPr>
            <w:r>
              <w:rPr>
                <w:b/>
                <w:color w:val="auto"/>
                <w:sz w:val="20"/>
                <w:szCs w:val="20"/>
              </w:rPr>
              <w:t>63.7</w:t>
            </w:r>
          </w:p>
        </w:tc>
      </w:tr>
      <w:tr w:rsidR="00A50CD2" w:rsidRPr="00F31D75" w14:paraId="2FCFD7B9" w14:textId="77777777" w:rsidTr="00814732">
        <w:trPr>
          <w:trHeight w:val="369"/>
        </w:trPr>
        <w:tc>
          <w:tcPr>
            <w:tcW w:w="1843" w:type="pct"/>
            <w:shd w:val="clear" w:color="auto" w:fill="auto"/>
            <w:vAlign w:val="bottom"/>
          </w:tcPr>
          <w:p w14:paraId="43A71CC8" w14:textId="77777777" w:rsidR="00A50CD2" w:rsidRPr="00F31D75" w:rsidRDefault="00A50CD2" w:rsidP="00814732">
            <w:pPr>
              <w:jc w:val="left"/>
              <w:rPr>
                <w:b/>
                <w:color w:val="auto"/>
                <w:sz w:val="20"/>
                <w:szCs w:val="20"/>
              </w:rPr>
            </w:pPr>
          </w:p>
        </w:tc>
        <w:tc>
          <w:tcPr>
            <w:tcW w:w="664" w:type="pct"/>
            <w:tcBorders>
              <w:top w:val="nil"/>
              <w:bottom w:val="nil"/>
            </w:tcBorders>
            <w:shd w:val="clear" w:color="auto" w:fill="auto"/>
            <w:vAlign w:val="bottom"/>
          </w:tcPr>
          <w:p w14:paraId="7D07FC18" w14:textId="77777777" w:rsidR="00A50CD2" w:rsidRDefault="00A50CD2" w:rsidP="00814732">
            <w:pPr>
              <w:tabs>
                <w:tab w:val="decimal" w:pos="743"/>
              </w:tabs>
              <w:rPr>
                <w:b/>
                <w:color w:val="auto"/>
                <w:sz w:val="20"/>
                <w:szCs w:val="20"/>
              </w:rPr>
            </w:pPr>
          </w:p>
        </w:tc>
        <w:tc>
          <w:tcPr>
            <w:tcW w:w="664" w:type="pct"/>
            <w:tcBorders>
              <w:top w:val="nil"/>
              <w:bottom w:val="nil"/>
            </w:tcBorders>
            <w:vAlign w:val="bottom"/>
          </w:tcPr>
          <w:p w14:paraId="365F23F3" w14:textId="77777777" w:rsidR="00A50CD2" w:rsidRDefault="00A50CD2" w:rsidP="00814732">
            <w:pPr>
              <w:tabs>
                <w:tab w:val="decimal" w:pos="601"/>
              </w:tabs>
              <w:rPr>
                <w:b/>
                <w:color w:val="auto"/>
                <w:sz w:val="20"/>
                <w:szCs w:val="20"/>
              </w:rPr>
            </w:pPr>
          </w:p>
        </w:tc>
        <w:tc>
          <w:tcPr>
            <w:tcW w:w="531" w:type="pct"/>
            <w:tcBorders>
              <w:top w:val="nil"/>
              <w:bottom w:val="nil"/>
            </w:tcBorders>
            <w:vAlign w:val="bottom"/>
          </w:tcPr>
          <w:p w14:paraId="7AF2E53C" w14:textId="77777777" w:rsidR="00A50CD2" w:rsidRPr="00F31D75" w:rsidRDefault="00A50CD2" w:rsidP="00814732">
            <w:pPr>
              <w:tabs>
                <w:tab w:val="decimal" w:pos="495"/>
              </w:tabs>
              <w:rPr>
                <w:b/>
                <w:color w:val="auto"/>
                <w:sz w:val="20"/>
                <w:szCs w:val="20"/>
              </w:rPr>
            </w:pPr>
          </w:p>
        </w:tc>
        <w:tc>
          <w:tcPr>
            <w:tcW w:w="725" w:type="pct"/>
            <w:tcBorders>
              <w:top w:val="nil"/>
              <w:bottom w:val="nil"/>
            </w:tcBorders>
            <w:shd w:val="clear" w:color="auto" w:fill="auto"/>
            <w:vAlign w:val="bottom"/>
          </w:tcPr>
          <w:p w14:paraId="53512555" w14:textId="77777777" w:rsidR="00A50CD2" w:rsidRPr="00F31D75" w:rsidRDefault="00A50CD2" w:rsidP="00814732">
            <w:pPr>
              <w:tabs>
                <w:tab w:val="decimal" w:pos="742"/>
              </w:tabs>
              <w:rPr>
                <w:b/>
                <w:color w:val="auto"/>
                <w:sz w:val="20"/>
                <w:szCs w:val="20"/>
              </w:rPr>
            </w:pPr>
          </w:p>
        </w:tc>
        <w:tc>
          <w:tcPr>
            <w:tcW w:w="573" w:type="pct"/>
            <w:tcBorders>
              <w:top w:val="nil"/>
              <w:bottom w:val="nil"/>
            </w:tcBorders>
            <w:shd w:val="clear" w:color="auto" w:fill="auto"/>
            <w:vAlign w:val="bottom"/>
          </w:tcPr>
          <w:p w14:paraId="6B121581" w14:textId="77777777" w:rsidR="00A50CD2" w:rsidRDefault="00A50CD2" w:rsidP="00814732">
            <w:pPr>
              <w:tabs>
                <w:tab w:val="decimal" w:pos="612"/>
              </w:tabs>
              <w:rPr>
                <w:b/>
                <w:color w:val="auto"/>
                <w:sz w:val="20"/>
                <w:szCs w:val="20"/>
              </w:rPr>
            </w:pPr>
          </w:p>
        </w:tc>
      </w:tr>
      <w:tr w:rsidR="00A50CD2" w:rsidRPr="003361F6" w14:paraId="6ACB8A66" w14:textId="77777777" w:rsidTr="00814732">
        <w:trPr>
          <w:trHeight w:val="369"/>
        </w:trPr>
        <w:tc>
          <w:tcPr>
            <w:tcW w:w="1843" w:type="pct"/>
            <w:shd w:val="clear" w:color="auto" w:fill="auto"/>
            <w:vAlign w:val="bottom"/>
          </w:tcPr>
          <w:p w14:paraId="53939060" w14:textId="77777777" w:rsidR="00A50CD2" w:rsidRPr="003361F6" w:rsidRDefault="00A50CD2" w:rsidP="00814732">
            <w:pPr>
              <w:jc w:val="left"/>
              <w:rPr>
                <w:color w:val="auto"/>
                <w:sz w:val="20"/>
                <w:szCs w:val="20"/>
              </w:rPr>
            </w:pPr>
            <w:r w:rsidRPr="00F31D75">
              <w:rPr>
                <w:color w:val="auto"/>
                <w:sz w:val="20"/>
                <w:szCs w:val="20"/>
              </w:rPr>
              <w:t>Interest Income</w:t>
            </w:r>
          </w:p>
        </w:tc>
        <w:tc>
          <w:tcPr>
            <w:tcW w:w="664" w:type="pct"/>
            <w:tcBorders>
              <w:top w:val="nil"/>
            </w:tcBorders>
            <w:shd w:val="clear" w:color="auto" w:fill="auto"/>
            <w:vAlign w:val="bottom"/>
          </w:tcPr>
          <w:p w14:paraId="5F16873E" w14:textId="77777777" w:rsidR="00A50CD2" w:rsidRDefault="00A50CD2" w:rsidP="00814732">
            <w:pPr>
              <w:tabs>
                <w:tab w:val="decimal" w:pos="743"/>
              </w:tabs>
              <w:rPr>
                <w:color w:val="auto"/>
                <w:sz w:val="20"/>
                <w:szCs w:val="20"/>
              </w:rPr>
            </w:pPr>
            <w:r>
              <w:rPr>
                <w:color w:val="auto"/>
                <w:sz w:val="20"/>
                <w:szCs w:val="20"/>
              </w:rPr>
              <w:t>-</w:t>
            </w:r>
          </w:p>
        </w:tc>
        <w:tc>
          <w:tcPr>
            <w:tcW w:w="664" w:type="pct"/>
            <w:tcBorders>
              <w:top w:val="nil"/>
            </w:tcBorders>
            <w:vAlign w:val="bottom"/>
          </w:tcPr>
          <w:p w14:paraId="7E4F4397" w14:textId="77777777" w:rsidR="00A50CD2" w:rsidRDefault="00A50CD2" w:rsidP="00814732">
            <w:pPr>
              <w:tabs>
                <w:tab w:val="decimal" w:pos="601"/>
              </w:tabs>
              <w:rPr>
                <w:color w:val="auto"/>
                <w:sz w:val="20"/>
                <w:szCs w:val="20"/>
              </w:rPr>
            </w:pPr>
            <w:r>
              <w:rPr>
                <w:color w:val="auto"/>
                <w:sz w:val="20"/>
                <w:szCs w:val="20"/>
              </w:rPr>
              <w:t>(5.7)</w:t>
            </w:r>
          </w:p>
        </w:tc>
        <w:tc>
          <w:tcPr>
            <w:tcW w:w="531" w:type="pct"/>
            <w:tcBorders>
              <w:top w:val="nil"/>
            </w:tcBorders>
            <w:vAlign w:val="bottom"/>
          </w:tcPr>
          <w:p w14:paraId="41E0F18A" w14:textId="77777777" w:rsidR="00A50CD2" w:rsidRDefault="00A50CD2" w:rsidP="00814732">
            <w:pPr>
              <w:tabs>
                <w:tab w:val="decimal" w:pos="495"/>
              </w:tabs>
              <w:rPr>
                <w:color w:val="auto"/>
                <w:sz w:val="20"/>
                <w:szCs w:val="20"/>
              </w:rPr>
            </w:pPr>
            <w:r>
              <w:rPr>
                <w:color w:val="auto"/>
                <w:sz w:val="20"/>
                <w:szCs w:val="20"/>
              </w:rPr>
              <w:t>(11.2)</w:t>
            </w:r>
          </w:p>
        </w:tc>
        <w:tc>
          <w:tcPr>
            <w:tcW w:w="725" w:type="pct"/>
            <w:tcBorders>
              <w:top w:val="nil"/>
            </w:tcBorders>
            <w:shd w:val="clear" w:color="auto" w:fill="auto"/>
            <w:vAlign w:val="bottom"/>
          </w:tcPr>
          <w:p w14:paraId="6D9F145F" w14:textId="77777777" w:rsidR="00A50CD2" w:rsidRDefault="00A50CD2" w:rsidP="00814732">
            <w:pPr>
              <w:tabs>
                <w:tab w:val="decimal" w:pos="742"/>
              </w:tabs>
              <w:rPr>
                <w:color w:val="auto"/>
                <w:sz w:val="20"/>
                <w:szCs w:val="20"/>
              </w:rPr>
            </w:pPr>
            <w:r>
              <w:rPr>
                <w:color w:val="auto"/>
                <w:sz w:val="20"/>
                <w:szCs w:val="20"/>
              </w:rPr>
              <w:t>(1.8)</w:t>
            </w:r>
          </w:p>
        </w:tc>
        <w:tc>
          <w:tcPr>
            <w:tcW w:w="573" w:type="pct"/>
            <w:tcBorders>
              <w:top w:val="nil"/>
            </w:tcBorders>
            <w:shd w:val="clear" w:color="auto" w:fill="auto"/>
            <w:vAlign w:val="bottom"/>
          </w:tcPr>
          <w:p w14:paraId="0ADD672B" w14:textId="77777777" w:rsidR="00A50CD2" w:rsidRDefault="00A50CD2" w:rsidP="00814732">
            <w:pPr>
              <w:tabs>
                <w:tab w:val="decimal" w:pos="612"/>
              </w:tabs>
              <w:rPr>
                <w:color w:val="auto"/>
                <w:sz w:val="20"/>
                <w:szCs w:val="20"/>
              </w:rPr>
            </w:pPr>
            <w:r>
              <w:rPr>
                <w:color w:val="auto"/>
                <w:sz w:val="20"/>
                <w:szCs w:val="20"/>
              </w:rPr>
              <w:t>(18.7)</w:t>
            </w:r>
          </w:p>
        </w:tc>
      </w:tr>
      <w:tr w:rsidR="00A50CD2" w:rsidRPr="00F31D75" w14:paraId="1F03DF52" w14:textId="77777777" w:rsidTr="00814732">
        <w:trPr>
          <w:trHeight w:val="369"/>
        </w:trPr>
        <w:tc>
          <w:tcPr>
            <w:tcW w:w="1843" w:type="pct"/>
            <w:shd w:val="clear" w:color="auto" w:fill="auto"/>
            <w:vAlign w:val="bottom"/>
          </w:tcPr>
          <w:p w14:paraId="70167F1C" w14:textId="77777777" w:rsidR="00A50CD2" w:rsidRPr="00F31D75" w:rsidRDefault="00A50CD2" w:rsidP="00814732">
            <w:pPr>
              <w:jc w:val="left"/>
              <w:rPr>
                <w:color w:val="auto"/>
                <w:sz w:val="20"/>
                <w:szCs w:val="20"/>
              </w:rPr>
            </w:pPr>
            <w:r w:rsidRPr="00F31D75">
              <w:rPr>
                <w:color w:val="auto"/>
                <w:sz w:val="20"/>
                <w:szCs w:val="20"/>
              </w:rPr>
              <w:t>Gains on de</w:t>
            </w:r>
            <w:r>
              <w:rPr>
                <w:color w:val="auto"/>
                <w:sz w:val="20"/>
                <w:szCs w:val="20"/>
              </w:rPr>
              <w:t>-</w:t>
            </w:r>
            <w:r w:rsidRPr="00F31D75">
              <w:rPr>
                <w:color w:val="auto"/>
                <w:sz w:val="20"/>
                <w:szCs w:val="20"/>
              </w:rPr>
              <w:t>recognition</w:t>
            </w:r>
          </w:p>
        </w:tc>
        <w:tc>
          <w:tcPr>
            <w:tcW w:w="664" w:type="pct"/>
            <w:tcBorders>
              <w:top w:val="nil"/>
              <w:bottom w:val="nil"/>
            </w:tcBorders>
            <w:shd w:val="clear" w:color="auto" w:fill="auto"/>
            <w:vAlign w:val="bottom"/>
          </w:tcPr>
          <w:p w14:paraId="2A174E68" w14:textId="77777777" w:rsidR="00A50CD2" w:rsidRPr="00F31D75" w:rsidRDefault="00A50CD2" w:rsidP="00814732">
            <w:pPr>
              <w:tabs>
                <w:tab w:val="decimal" w:pos="743"/>
              </w:tabs>
              <w:rPr>
                <w:color w:val="auto"/>
                <w:sz w:val="20"/>
                <w:szCs w:val="20"/>
              </w:rPr>
            </w:pPr>
            <w:r>
              <w:rPr>
                <w:color w:val="auto"/>
                <w:sz w:val="20"/>
                <w:szCs w:val="20"/>
              </w:rPr>
              <w:t>-</w:t>
            </w:r>
          </w:p>
        </w:tc>
        <w:tc>
          <w:tcPr>
            <w:tcW w:w="664" w:type="pct"/>
            <w:tcBorders>
              <w:top w:val="nil"/>
              <w:bottom w:val="nil"/>
            </w:tcBorders>
            <w:vAlign w:val="bottom"/>
          </w:tcPr>
          <w:p w14:paraId="5B27C1B9" w14:textId="77777777" w:rsidR="00A50CD2" w:rsidRPr="00F31D75" w:rsidRDefault="00A50CD2" w:rsidP="00814732">
            <w:pPr>
              <w:tabs>
                <w:tab w:val="decimal" w:pos="601"/>
              </w:tabs>
              <w:rPr>
                <w:color w:val="auto"/>
                <w:sz w:val="20"/>
                <w:szCs w:val="20"/>
              </w:rPr>
            </w:pPr>
            <w:r>
              <w:rPr>
                <w:color w:val="auto"/>
                <w:sz w:val="20"/>
                <w:szCs w:val="20"/>
              </w:rPr>
              <w:t>-</w:t>
            </w:r>
          </w:p>
        </w:tc>
        <w:tc>
          <w:tcPr>
            <w:tcW w:w="531" w:type="pct"/>
            <w:tcBorders>
              <w:top w:val="nil"/>
              <w:bottom w:val="nil"/>
            </w:tcBorders>
            <w:vAlign w:val="bottom"/>
          </w:tcPr>
          <w:p w14:paraId="1F3FBD29" w14:textId="77777777" w:rsidR="00A50CD2" w:rsidRPr="00F31D75" w:rsidRDefault="00A50CD2" w:rsidP="00814732">
            <w:pPr>
              <w:tabs>
                <w:tab w:val="decimal" w:pos="495"/>
              </w:tabs>
              <w:rPr>
                <w:color w:val="auto"/>
                <w:sz w:val="20"/>
                <w:szCs w:val="20"/>
              </w:rPr>
            </w:pPr>
            <w:r>
              <w:rPr>
                <w:color w:val="auto"/>
                <w:sz w:val="20"/>
                <w:szCs w:val="20"/>
              </w:rPr>
              <w:t>(2.2)</w:t>
            </w:r>
          </w:p>
        </w:tc>
        <w:tc>
          <w:tcPr>
            <w:tcW w:w="725" w:type="pct"/>
            <w:tcBorders>
              <w:top w:val="nil"/>
              <w:bottom w:val="nil"/>
            </w:tcBorders>
            <w:shd w:val="clear" w:color="auto" w:fill="auto"/>
            <w:vAlign w:val="bottom"/>
          </w:tcPr>
          <w:p w14:paraId="6B489766" w14:textId="77777777" w:rsidR="00A50CD2" w:rsidRPr="00F31D75" w:rsidRDefault="00A50CD2" w:rsidP="00814732">
            <w:pPr>
              <w:tabs>
                <w:tab w:val="decimal" w:pos="742"/>
              </w:tabs>
              <w:rPr>
                <w:color w:val="auto"/>
                <w:sz w:val="20"/>
                <w:szCs w:val="20"/>
              </w:rPr>
            </w:pPr>
            <w:r>
              <w:rPr>
                <w:color w:val="auto"/>
                <w:sz w:val="20"/>
                <w:szCs w:val="20"/>
              </w:rPr>
              <w:t>(2.7)</w:t>
            </w:r>
          </w:p>
        </w:tc>
        <w:tc>
          <w:tcPr>
            <w:tcW w:w="573" w:type="pct"/>
            <w:tcBorders>
              <w:top w:val="nil"/>
              <w:bottom w:val="nil"/>
            </w:tcBorders>
            <w:shd w:val="clear" w:color="auto" w:fill="auto"/>
            <w:vAlign w:val="bottom"/>
          </w:tcPr>
          <w:p w14:paraId="5AE50529" w14:textId="77777777" w:rsidR="00A50CD2" w:rsidRPr="00F31D75" w:rsidRDefault="00A50CD2" w:rsidP="00814732">
            <w:pPr>
              <w:tabs>
                <w:tab w:val="decimal" w:pos="612"/>
              </w:tabs>
              <w:rPr>
                <w:color w:val="auto"/>
                <w:sz w:val="20"/>
                <w:szCs w:val="20"/>
              </w:rPr>
            </w:pPr>
            <w:r>
              <w:rPr>
                <w:color w:val="auto"/>
                <w:sz w:val="20"/>
                <w:szCs w:val="20"/>
              </w:rPr>
              <w:t>(4.9)</w:t>
            </w:r>
          </w:p>
        </w:tc>
      </w:tr>
      <w:tr w:rsidR="00A50CD2" w:rsidRPr="00A50E81" w14:paraId="0FB89335" w14:textId="77777777" w:rsidTr="00814732">
        <w:trPr>
          <w:trHeight w:val="369"/>
        </w:trPr>
        <w:tc>
          <w:tcPr>
            <w:tcW w:w="1843" w:type="pct"/>
            <w:shd w:val="clear" w:color="auto" w:fill="auto"/>
            <w:vAlign w:val="bottom"/>
          </w:tcPr>
          <w:p w14:paraId="729B1611" w14:textId="77777777" w:rsidR="00A50CD2" w:rsidRPr="00F31D75" w:rsidRDefault="00A50CD2" w:rsidP="00814732">
            <w:pPr>
              <w:jc w:val="left"/>
              <w:rPr>
                <w:color w:val="auto"/>
                <w:sz w:val="20"/>
                <w:szCs w:val="20"/>
              </w:rPr>
            </w:pPr>
            <w:r w:rsidRPr="00F31D75">
              <w:rPr>
                <w:color w:val="auto"/>
                <w:sz w:val="20"/>
                <w:szCs w:val="20"/>
              </w:rPr>
              <w:t>Loss on de</w:t>
            </w:r>
            <w:r>
              <w:rPr>
                <w:color w:val="auto"/>
                <w:sz w:val="20"/>
                <w:szCs w:val="20"/>
              </w:rPr>
              <w:t>-</w:t>
            </w:r>
            <w:r w:rsidRPr="00F31D75">
              <w:rPr>
                <w:color w:val="auto"/>
                <w:sz w:val="20"/>
                <w:szCs w:val="20"/>
              </w:rPr>
              <w:t>recognition</w:t>
            </w:r>
          </w:p>
        </w:tc>
        <w:tc>
          <w:tcPr>
            <w:tcW w:w="664" w:type="pct"/>
            <w:tcBorders>
              <w:top w:val="nil"/>
              <w:bottom w:val="single" w:sz="4" w:space="0" w:color="auto"/>
            </w:tcBorders>
            <w:shd w:val="clear" w:color="auto" w:fill="auto"/>
            <w:vAlign w:val="bottom"/>
          </w:tcPr>
          <w:p w14:paraId="42AA7CBE" w14:textId="77777777" w:rsidR="00A50CD2" w:rsidRPr="00730385" w:rsidRDefault="00A50CD2" w:rsidP="00814732">
            <w:pPr>
              <w:tabs>
                <w:tab w:val="decimal" w:pos="743"/>
              </w:tabs>
              <w:rPr>
                <w:color w:val="auto"/>
                <w:sz w:val="20"/>
                <w:szCs w:val="20"/>
              </w:rPr>
            </w:pPr>
            <w:r>
              <w:rPr>
                <w:color w:val="auto"/>
                <w:sz w:val="20"/>
                <w:szCs w:val="20"/>
              </w:rPr>
              <w:t>-</w:t>
            </w:r>
          </w:p>
        </w:tc>
        <w:tc>
          <w:tcPr>
            <w:tcW w:w="664" w:type="pct"/>
            <w:tcBorders>
              <w:top w:val="nil"/>
              <w:bottom w:val="single" w:sz="4" w:space="0" w:color="auto"/>
            </w:tcBorders>
            <w:vAlign w:val="bottom"/>
          </w:tcPr>
          <w:p w14:paraId="21805486" w14:textId="77777777" w:rsidR="00A50CD2" w:rsidRPr="00730385" w:rsidRDefault="00A50CD2" w:rsidP="00814732">
            <w:pPr>
              <w:tabs>
                <w:tab w:val="decimal" w:pos="601"/>
              </w:tabs>
              <w:rPr>
                <w:color w:val="auto"/>
                <w:sz w:val="20"/>
                <w:szCs w:val="20"/>
              </w:rPr>
            </w:pPr>
            <w:r>
              <w:rPr>
                <w:color w:val="auto"/>
                <w:sz w:val="20"/>
                <w:szCs w:val="20"/>
              </w:rPr>
              <w:t>-</w:t>
            </w:r>
          </w:p>
        </w:tc>
        <w:tc>
          <w:tcPr>
            <w:tcW w:w="531" w:type="pct"/>
            <w:tcBorders>
              <w:top w:val="nil"/>
              <w:bottom w:val="single" w:sz="4" w:space="0" w:color="auto"/>
            </w:tcBorders>
            <w:vAlign w:val="bottom"/>
          </w:tcPr>
          <w:p w14:paraId="533767CE" w14:textId="77777777" w:rsidR="00A50CD2" w:rsidRPr="00730385" w:rsidRDefault="00A50CD2" w:rsidP="00814732">
            <w:pPr>
              <w:tabs>
                <w:tab w:val="decimal" w:pos="495"/>
              </w:tabs>
              <w:rPr>
                <w:color w:val="auto"/>
                <w:sz w:val="20"/>
                <w:szCs w:val="20"/>
              </w:rPr>
            </w:pPr>
            <w:r>
              <w:rPr>
                <w:color w:val="auto"/>
                <w:sz w:val="20"/>
                <w:szCs w:val="20"/>
              </w:rPr>
              <w:t>0.5</w:t>
            </w:r>
          </w:p>
        </w:tc>
        <w:tc>
          <w:tcPr>
            <w:tcW w:w="725" w:type="pct"/>
            <w:tcBorders>
              <w:top w:val="nil"/>
              <w:bottom w:val="single" w:sz="4" w:space="0" w:color="auto"/>
            </w:tcBorders>
            <w:shd w:val="clear" w:color="auto" w:fill="auto"/>
            <w:vAlign w:val="bottom"/>
          </w:tcPr>
          <w:p w14:paraId="0F961C7C" w14:textId="77777777" w:rsidR="00A50CD2" w:rsidRPr="00730385" w:rsidRDefault="00A50CD2" w:rsidP="00814732">
            <w:pPr>
              <w:tabs>
                <w:tab w:val="decimal" w:pos="742"/>
              </w:tabs>
              <w:rPr>
                <w:color w:val="auto"/>
                <w:sz w:val="20"/>
                <w:szCs w:val="20"/>
              </w:rPr>
            </w:pPr>
            <w:r>
              <w:rPr>
                <w:color w:val="auto"/>
                <w:sz w:val="20"/>
                <w:szCs w:val="20"/>
              </w:rPr>
              <w:t>3.6</w:t>
            </w:r>
          </w:p>
        </w:tc>
        <w:tc>
          <w:tcPr>
            <w:tcW w:w="573" w:type="pct"/>
            <w:tcBorders>
              <w:top w:val="nil"/>
              <w:bottom w:val="single" w:sz="4" w:space="0" w:color="auto"/>
            </w:tcBorders>
            <w:shd w:val="clear" w:color="auto" w:fill="auto"/>
            <w:vAlign w:val="bottom"/>
          </w:tcPr>
          <w:p w14:paraId="0CCF81F0" w14:textId="77777777" w:rsidR="00A50CD2" w:rsidRPr="00730385" w:rsidRDefault="00A50CD2" w:rsidP="00814732">
            <w:pPr>
              <w:tabs>
                <w:tab w:val="decimal" w:pos="612"/>
              </w:tabs>
              <w:rPr>
                <w:color w:val="auto"/>
                <w:sz w:val="20"/>
                <w:szCs w:val="20"/>
              </w:rPr>
            </w:pPr>
            <w:r>
              <w:rPr>
                <w:color w:val="auto"/>
                <w:sz w:val="20"/>
                <w:szCs w:val="20"/>
              </w:rPr>
              <w:t>4.1</w:t>
            </w:r>
          </w:p>
        </w:tc>
      </w:tr>
      <w:tr w:rsidR="00A50CD2" w:rsidRPr="00F31D75" w14:paraId="4C5ECA82" w14:textId="77777777" w:rsidTr="00814732">
        <w:trPr>
          <w:trHeight w:val="369"/>
        </w:trPr>
        <w:tc>
          <w:tcPr>
            <w:tcW w:w="1843" w:type="pct"/>
            <w:shd w:val="clear" w:color="auto" w:fill="auto"/>
            <w:vAlign w:val="bottom"/>
          </w:tcPr>
          <w:p w14:paraId="36F40284" w14:textId="77777777" w:rsidR="00A50CD2" w:rsidRPr="00F31D75" w:rsidRDefault="00A50CD2" w:rsidP="00814732">
            <w:pPr>
              <w:jc w:val="left"/>
              <w:rPr>
                <w:b/>
                <w:color w:val="auto"/>
                <w:sz w:val="20"/>
                <w:szCs w:val="20"/>
              </w:rPr>
            </w:pPr>
            <w:r w:rsidRPr="00F31D75">
              <w:rPr>
                <w:b/>
                <w:color w:val="auto"/>
                <w:sz w:val="20"/>
                <w:szCs w:val="20"/>
              </w:rPr>
              <w:t xml:space="preserve">Total income in </w:t>
            </w:r>
            <w:r w:rsidRPr="004620AE">
              <w:rPr>
                <w:b/>
                <w:color w:val="auto"/>
                <w:sz w:val="20"/>
                <w:szCs w:val="20"/>
              </w:rPr>
              <w:t>Deficit</w:t>
            </w:r>
            <w:r w:rsidRPr="00F31D75">
              <w:rPr>
                <w:b/>
                <w:color w:val="auto"/>
                <w:sz w:val="20"/>
                <w:szCs w:val="20"/>
              </w:rPr>
              <w:t xml:space="preserve"> on the Provision of Services</w:t>
            </w:r>
          </w:p>
        </w:tc>
        <w:tc>
          <w:tcPr>
            <w:tcW w:w="664" w:type="pct"/>
            <w:tcBorders>
              <w:top w:val="single" w:sz="4" w:space="0" w:color="auto"/>
              <w:bottom w:val="nil"/>
            </w:tcBorders>
            <w:shd w:val="clear" w:color="auto" w:fill="auto"/>
            <w:vAlign w:val="bottom"/>
          </w:tcPr>
          <w:p w14:paraId="4A114683" w14:textId="77777777" w:rsidR="00A50CD2" w:rsidRPr="00F31D75" w:rsidRDefault="00A50CD2" w:rsidP="00814732">
            <w:pPr>
              <w:tabs>
                <w:tab w:val="decimal" w:pos="743"/>
              </w:tabs>
              <w:rPr>
                <w:b/>
                <w:color w:val="auto"/>
                <w:sz w:val="20"/>
                <w:szCs w:val="20"/>
              </w:rPr>
            </w:pPr>
            <w:r>
              <w:rPr>
                <w:b/>
                <w:color w:val="auto"/>
                <w:sz w:val="20"/>
                <w:szCs w:val="20"/>
              </w:rPr>
              <w:t>-</w:t>
            </w:r>
          </w:p>
        </w:tc>
        <w:tc>
          <w:tcPr>
            <w:tcW w:w="664" w:type="pct"/>
            <w:tcBorders>
              <w:top w:val="single" w:sz="4" w:space="0" w:color="auto"/>
              <w:bottom w:val="nil"/>
            </w:tcBorders>
            <w:vAlign w:val="bottom"/>
          </w:tcPr>
          <w:p w14:paraId="13CAF126" w14:textId="77777777" w:rsidR="00A50CD2" w:rsidRPr="00F31D75" w:rsidRDefault="00A50CD2" w:rsidP="00814732">
            <w:pPr>
              <w:tabs>
                <w:tab w:val="decimal" w:pos="601"/>
              </w:tabs>
              <w:rPr>
                <w:b/>
                <w:color w:val="auto"/>
                <w:sz w:val="20"/>
                <w:szCs w:val="20"/>
              </w:rPr>
            </w:pPr>
            <w:r>
              <w:rPr>
                <w:b/>
                <w:color w:val="auto"/>
                <w:sz w:val="20"/>
                <w:szCs w:val="20"/>
              </w:rPr>
              <w:t>(5.7)</w:t>
            </w:r>
          </w:p>
        </w:tc>
        <w:tc>
          <w:tcPr>
            <w:tcW w:w="531" w:type="pct"/>
            <w:tcBorders>
              <w:top w:val="single" w:sz="4" w:space="0" w:color="auto"/>
              <w:bottom w:val="nil"/>
            </w:tcBorders>
            <w:vAlign w:val="bottom"/>
          </w:tcPr>
          <w:p w14:paraId="6B92054F" w14:textId="77777777" w:rsidR="00A50CD2" w:rsidRPr="00F31D75" w:rsidRDefault="00A50CD2" w:rsidP="00814732">
            <w:pPr>
              <w:tabs>
                <w:tab w:val="decimal" w:pos="495"/>
              </w:tabs>
              <w:rPr>
                <w:b/>
                <w:color w:val="auto"/>
                <w:sz w:val="20"/>
                <w:szCs w:val="20"/>
              </w:rPr>
            </w:pPr>
            <w:r>
              <w:rPr>
                <w:b/>
                <w:color w:val="auto"/>
                <w:sz w:val="20"/>
                <w:szCs w:val="20"/>
              </w:rPr>
              <w:t>(12.9)</w:t>
            </w:r>
          </w:p>
        </w:tc>
        <w:tc>
          <w:tcPr>
            <w:tcW w:w="725" w:type="pct"/>
            <w:tcBorders>
              <w:top w:val="single" w:sz="4" w:space="0" w:color="auto"/>
              <w:bottom w:val="nil"/>
            </w:tcBorders>
            <w:shd w:val="clear" w:color="auto" w:fill="auto"/>
            <w:vAlign w:val="bottom"/>
          </w:tcPr>
          <w:p w14:paraId="5BE2A4FA" w14:textId="77777777" w:rsidR="00A50CD2" w:rsidRPr="00F31D75" w:rsidRDefault="00A50CD2" w:rsidP="00814732">
            <w:pPr>
              <w:tabs>
                <w:tab w:val="decimal" w:pos="742"/>
              </w:tabs>
              <w:rPr>
                <w:b/>
                <w:color w:val="auto"/>
                <w:sz w:val="20"/>
                <w:szCs w:val="20"/>
              </w:rPr>
            </w:pPr>
            <w:r>
              <w:rPr>
                <w:b/>
                <w:color w:val="auto"/>
                <w:sz w:val="20"/>
                <w:szCs w:val="20"/>
              </w:rPr>
              <w:t>(0.9)</w:t>
            </w:r>
          </w:p>
        </w:tc>
        <w:tc>
          <w:tcPr>
            <w:tcW w:w="573" w:type="pct"/>
            <w:tcBorders>
              <w:top w:val="single" w:sz="4" w:space="0" w:color="auto"/>
              <w:bottom w:val="nil"/>
            </w:tcBorders>
            <w:shd w:val="clear" w:color="auto" w:fill="auto"/>
            <w:vAlign w:val="bottom"/>
          </w:tcPr>
          <w:p w14:paraId="20DFFFA3" w14:textId="77777777" w:rsidR="00A50CD2" w:rsidRPr="00F31D75" w:rsidRDefault="00A50CD2" w:rsidP="00814732">
            <w:pPr>
              <w:tabs>
                <w:tab w:val="decimal" w:pos="612"/>
              </w:tabs>
              <w:rPr>
                <w:b/>
                <w:color w:val="auto"/>
                <w:sz w:val="20"/>
                <w:szCs w:val="20"/>
              </w:rPr>
            </w:pPr>
            <w:r>
              <w:rPr>
                <w:b/>
                <w:color w:val="auto"/>
                <w:sz w:val="20"/>
                <w:szCs w:val="20"/>
              </w:rPr>
              <w:t>(19.5)</w:t>
            </w:r>
          </w:p>
        </w:tc>
      </w:tr>
      <w:tr w:rsidR="00A50CD2" w:rsidRPr="00F31D75" w14:paraId="3F78A222" w14:textId="77777777" w:rsidTr="00814732">
        <w:trPr>
          <w:trHeight w:val="369"/>
        </w:trPr>
        <w:tc>
          <w:tcPr>
            <w:tcW w:w="1843" w:type="pct"/>
            <w:shd w:val="clear" w:color="auto" w:fill="auto"/>
            <w:vAlign w:val="bottom"/>
          </w:tcPr>
          <w:p w14:paraId="6B8BC334" w14:textId="77777777" w:rsidR="00A50CD2" w:rsidRPr="00F31D75" w:rsidRDefault="00A50CD2" w:rsidP="00814732">
            <w:pPr>
              <w:jc w:val="left"/>
              <w:rPr>
                <w:b/>
                <w:color w:val="auto"/>
                <w:sz w:val="20"/>
                <w:szCs w:val="20"/>
              </w:rPr>
            </w:pPr>
          </w:p>
        </w:tc>
        <w:tc>
          <w:tcPr>
            <w:tcW w:w="664" w:type="pct"/>
            <w:tcBorders>
              <w:top w:val="nil"/>
              <w:bottom w:val="nil"/>
            </w:tcBorders>
            <w:shd w:val="clear" w:color="auto" w:fill="auto"/>
            <w:vAlign w:val="bottom"/>
          </w:tcPr>
          <w:p w14:paraId="6BCC83E5" w14:textId="77777777" w:rsidR="00A50CD2" w:rsidRDefault="00A50CD2" w:rsidP="00814732">
            <w:pPr>
              <w:tabs>
                <w:tab w:val="decimal" w:pos="743"/>
              </w:tabs>
              <w:rPr>
                <w:b/>
                <w:color w:val="auto"/>
                <w:sz w:val="20"/>
                <w:szCs w:val="20"/>
              </w:rPr>
            </w:pPr>
          </w:p>
        </w:tc>
        <w:tc>
          <w:tcPr>
            <w:tcW w:w="664" w:type="pct"/>
            <w:tcBorders>
              <w:top w:val="nil"/>
              <w:bottom w:val="nil"/>
            </w:tcBorders>
            <w:vAlign w:val="bottom"/>
          </w:tcPr>
          <w:p w14:paraId="1FECD883" w14:textId="77777777" w:rsidR="00A50CD2" w:rsidRDefault="00A50CD2" w:rsidP="00814732">
            <w:pPr>
              <w:tabs>
                <w:tab w:val="decimal" w:pos="601"/>
              </w:tabs>
              <w:rPr>
                <w:b/>
                <w:color w:val="auto"/>
                <w:sz w:val="20"/>
                <w:szCs w:val="20"/>
              </w:rPr>
            </w:pPr>
          </w:p>
        </w:tc>
        <w:tc>
          <w:tcPr>
            <w:tcW w:w="531" w:type="pct"/>
            <w:tcBorders>
              <w:top w:val="nil"/>
              <w:bottom w:val="nil"/>
            </w:tcBorders>
            <w:vAlign w:val="bottom"/>
          </w:tcPr>
          <w:p w14:paraId="5C3AD7DB" w14:textId="77777777" w:rsidR="00A50CD2" w:rsidRDefault="00A50CD2" w:rsidP="00814732">
            <w:pPr>
              <w:tabs>
                <w:tab w:val="decimal" w:pos="495"/>
              </w:tabs>
              <w:rPr>
                <w:b/>
                <w:color w:val="auto"/>
                <w:sz w:val="20"/>
                <w:szCs w:val="20"/>
              </w:rPr>
            </w:pPr>
          </w:p>
        </w:tc>
        <w:tc>
          <w:tcPr>
            <w:tcW w:w="725" w:type="pct"/>
            <w:tcBorders>
              <w:top w:val="nil"/>
              <w:bottom w:val="nil"/>
            </w:tcBorders>
            <w:shd w:val="clear" w:color="auto" w:fill="auto"/>
            <w:vAlign w:val="bottom"/>
          </w:tcPr>
          <w:p w14:paraId="5877C439" w14:textId="77777777" w:rsidR="00A50CD2" w:rsidRDefault="00A50CD2" w:rsidP="00814732">
            <w:pPr>
              <w:tabs>
                <w:tab w:val="decimal" w:pos="742"/>
              </w:tabs>
              <w:rPr>
                <w:b/>
                <w:color w:val="auto"/>
                <w:sz w:val="20"/>
                <w:szCs w:val="20"/>
              </w:rPr>
            </w:pPr>
          </w:p>
        </w:tc>
        <w:tc>
          <w:tcPr>
            <w:tcW w:w="573" w:type="pct"/>
            <w:tcBorders>
              <w:top w:val="nil"/>
              <w:bottom w:val="nil"/>
            </w:tcBorders>
            <w:shd w:val="clear" w:color="auto" w:fill="auto"/>
            <w:vAlign w:val="bottom"/>
          </w:tcPr>
          <w:p w14:paraId="05AFAC7B" w14:textId="77777777" w:rsidR="00A50CD2" w:rsidRDefault="00A50CD2" w:rsidP="00814732">
            <w:pPr>
              <w:tabs>
                <w:tab w:val="decimal" w:pos="612"/>
              </w:tabs>
              <w:rPr>
                <w:b/>
                <w:color w:val="auto"/>
                <w:sz w:val="20"/>
                <w:szCs w:val="20"/>
              </w:rPr>
            </w:pPr>
          </w:p>
        </w:tc>
      </w:tr>
      <w:tr w:rsidR="00A50CD2" w:rsidRPr="003361F6" w14:paraId="323339C8" w14:textId="77777777" w:rsidTr="00814732">
        <w:trPr>
          <w:trHeight w:val="369"/>
        </w:trPr>
        <w:tc>
          <w:tcPr>
            <w:tcW w:w="1843" w:type="pct"/>
            <w:shd w:val="clear" w:color="auto" w:fill="auto"/>
            <w:vAlign w:val="bottom"/>
          </w:tcPr>
          <w:p w14:paraId="1CD5677F" w14:textId="77777777" w:rsidR="00A50CD2" w:rsidRPr="00A50E81" w:rsidRDefault="00A50CD2" w:rsidP="00814732">
            <w:pPr>
              <w:jc w:val="left"/>
              <w:rPr>
                <w:color w:val="auto"/>
                <w:sz w:val="20"/>
                <w:szCs w:val="20"/>
              </w:rPr>
            </w:pPr>
            <w:r w:rsidRPr="00F31D75">
              <w:rPr>
                <w:color w:val="auto"/>
                <w:sz w:val="20"/>
                <w:szCs w:val="20"/>
              </w:rPr>
              <w:t>Losses on revaluation</w:t>
            </w:r>
          </w:p>
        </w:tc>
        <w:tc>
          <w:tcPr>
            <w:tcW w:w="664" w:type="pct"/>
            <w:tcBorders>
              <w:bottom w:val="single" w:sz="4" w:space="0" w:color="auto"/>
            </w:tcBorders>
            <w:shd w:val="clear" w:color="auto" w:fill="auto"/>
            <w:vAlign w:val="bottom"/>
          </w:tcPr>
          <w:p w14:paraId="41F03BE4" w14:textId="77777777" w:rsidR="00A50CD2" w:rsidRDefault="00A50CD2" w:rsidP="00814732">
            <w:pPr>
              <w:tabs>
                <w:tab w:val="decimal" w:pos="743"/>
              </w:tabs>
              <w:rPr>
                <w:color w:val="auto"/>
                <w:sz w:val="20"/>
                <w:szCs w:val="20"/>
              </w:rPr>
            </w:pPr>
            <w:r>
              <w:rPr>
                <w:color w:val="auto"/>
                <w:sz w:val="20"/>
                <w:szCs w:val="20"/>
              </w:rPr>
              <w:t>-</w:t>
            </w:r>
          </w:p>
        </w:tc>
        <w:tc>
          <w:tcPr>
            <w:tcW w:w="664" w:type="pct"/>
            <w:tcBorders>
              <w:bottom w:val="single" w:sz="4" w:space="0" w:color="auto"/>
            </w:tcBorders>
            <w:vAlign w:val="bottom"/>
          </w:tcPr>
          <w:p w14:paraId="383681FB" w14:textId="77777777" w:rsidR="00A50CD2" w:rsidRDefault="00A50CD2" w:rsidP="00814732">
            <w:pPr>
              <w:tabs>
                <w:tab w:val="decimal" w:pos="601"/>
              </w:tabs>
              <w:rPr>
                <w:color w:val="auto"/>
                <w:sz w:val="20"/>
                <w:szCs w:val="20"/>
              </w:rPr>
            </w:pPr>
            <w:r>
              <w:rPr>
                <w:color w:val="auto"/>
                <w:sz w:val="20"/>
                <w:szCs w:val="20"/>
              </w:rPr>
              <w:t>-</w:t>
            </w:r>
          </w:p>
        </w:tc>
        <w:tc>
          <w:tcPr>
            <w:tcW w:w="531" w:type="pct"/>
            <w:tcBorders>
              <w:bottom w:val="single" w:sz="4" w:space="0" w:color="auto"/>
            </w:tcBorders>
            <w:vAlign w:val="bottom"/>
          </w:tcPr>
          <w:p w14:paraId="1E254018" w14:textId="77777777" w:rsidR="00A50CD2" w:rsidRDefault="00A50CD2" w:rsidP="00814732">
            <w:pPr>
              <w:tabs>
                <w:tab w:val="decimal" w:pos="495"/>
              </w:tabs>
              <w:rPr>
                <w:color w:val="auto"/>
                <w:sz w:val="20"/>
                <w:szCs w:val="20"/>
              </w:rPr>
            </w:pPr>
            <w:r>
              <w:rPr>
                <w:color w:val="auto"/>
                <w:sz w:val="20"/>
                <w:szCs w:val="20"/>
              </w:rPr>
              <w:t>26.3</w:t>
            </w:r>
          </w:p>
        </w:tc>
        <w:tc>
          <w:tcPr>
            <w:tcW w:w="725" w:type="pct"/>
            <w:tcBorders>
              <w:bottom w:val="single" w:sz="4" w:space="0" w:color="auto"/>
            </w:tcBorders>
            <w:shd w:val="clear" w:color="auto" w:fill="auto"/>
            <w:vAlign w:val="bottom"/>
          </w:tcPr>
          <w:p w14:paraId="16189E41" w14:textId="77777777" w:rsidR="00A50CD2" w:rsidRDefault="00A50CD2" w:rsidP="00814732">
            <w:pPr>
              <w:tabs>
                <w:tab w:val="decimal" w:pos="742"/>
              </w:tabs>
              <w:rPr>
                <w:color w:val="auto"/>
                <w:sz w:val="20"/>
                <w:szCs w:val="20"/>
              </w:rPr>
            </w:pPr>
            <w:r>
              <w:rPr>
                <w:color w:val="auto"/>
                <w:sz w:val="20"/>
                <w:szCs w:val="20"/>
              </w:rPr>
              <w:t>-</w:t>
            </w:r>
          </w:p>
        </w:tc>
        <w:tc>
          <w:tcPr>
            <w:tcW w:w="573" w:type="pct"/>
            <w:tcBorders>
              <w:bottom w:val="single" w:sz="4" w:space="0" w:color="auto"/>
            </w:tcBorders>
            <w:shd w:val="clear" w:color="auto" w:fill="auto"/>
            <w:vAlign w:val="bottom"/>
          </w:tcPr>
          <w:p w14:paraId="497BECAB" w14:textId="77777777" w:rsidR="00A50CD2" w:rsidRDefault="00A50CD2" w:rsidP="00814732">
            <w:pPr>
              <w:tabs>
                <w:tab w:val="decimal" w:pos="612"/>
              </w:tabs>
              <w:rPr>
                <w:color w:val="auto"/>
                <w:sz w:val="20"/>
                <w:szCs w:val="20"/>
              </w:rPr>
            </w:pPr>
            <w:r>
              <w:rPr>
                <w:color w:val="auto"/>
                <w:sz w:val="20"/>
                <w:szCs w:val="20"/>
              </w:rPr>
              <w:t>26.3</w:t>
            </w:r>
          </w:p>
        </w:tc>
      </w:tr>
      <w:tr w:rsidR="00A50CD2" w:rsidRPr="00A50E81" w14:paraId="7776CB72" w14:textId="77777777" w:rsidTr="00814732">
        <w:trPr>
          <w:trHeight w:val="369"/>
        </w:trPr>
        <w:tc>
          <w:tcPr>
            <w:tcW w:w="1843" w:type="pct"/>
            <w:shd w:val="clear" w:color="auto" w:fill="auto"/>
            <w:vAlign w:val="bottom"/>
          </w:tcPr>
          <w:p w14:paraId="723C8971" w14:textId="77777777" w:rsidR="00A50CD2" w:rsidRPr="00A50E81" w:rsidRDefault="00A50CD2" w:rsidP="00814732">
            <w:pPr>
              <w:jc w:val="left"/>
              <w:rPr>
                <w:b/>
                <w:color w:val="auto"/>
                <w:sz w:val="20"/>
                <w:szCs w:val="20"/>
              </w:rPr>
            </w:pPr>
            <w:r w:rsidRPr="004620AE">
              <w:rPr>
                <w:b/>
                <w:color w:val="auto"/>
                <w:sz w:val="20"/>
                <w:szCs w:val="20"/>
              </w:rPr>
              <w:lastRenderedPageBreak/>
              <w:t>Deficit</w:t>
            </w:r>
            <w:r w:rsidRPr="00F31D75">
              <w:rPr>
                <w:b/>
                <w:color w:val="auto"/>
                <w:sz w:val="20"/>
                <w:szCs w:val="20"/>
              </w:rPr>
              <w:t xml:space="preserve"> arising on revaluation of financial assets in Other Comprehensive Income &amp; Expenditure</w:t>
            </w:r>
          </w:p>
        </w:tc>
        <w:tc>
          <w:tcPr>
            <w:tcW w:w="664" w:type="pct"/>
            <w:tcBorders>
              <w:top w:val="single" w:sz="4" w:space="0" w:color="auto"/>
              <w:bottom w:val="single" w:sz="4" w:space="0" w:color="auto"/>
            </w:tcBorders>
            <w:shd w:val="clear" w:color="auto" w:fill="auto"/>
            <w:vAlign w:val="center"/>
          </w:tcPr>
          <w:p w14:paraId="1771A173" w14:textId="77777777" w:rsidR="00A50CD2" w:rsidRPr="00A50E81" w:rsidRDefault="00A50CD2" w:rsidP="00814732">
            <w:pPr>
              <w:tabs>
                <w:tab w:val="decimal" w:pos="743"/>
              </w:tabs>
              <w:rPr>
                <w:b/>
                <w:color w:val="auto"/>
                <w:sz w:val="20"/>
                <w:szCs w:val="20"/>
              </w:rPr>
            </w:pPr>
            <w:r>
              <w:rPr>
                <w:b/>
                <w:color w:val="auto"/>
                <w:sz w:val="20"/>
                <w:szCs w:val="20"/>
              </w:rPr>
              <w:t>-</w:t>
            </w:r>
          </w:p>
        </w:tc>
        <w:tc>
          <w:tcPr>
            <w:tcW w:w="664" w:type="pct"/>
            <w:tcBorders>
              <w:top w:val="single" w:sz="4" w:space="0" w:color="auto"/>
              <w:bottom w:val="single" w:sz="4" w:space="0" w:color="auto"/>
            </w:tcBorders>
            <w:vAlign w:val="center"/>
          </w:tcPr>
          <w:p w14:paraId="7D4B73BE" w14:textId="77777777" w:rsidR="00A50CD2" w:rsidRPr="00A50E81" w:rsidRDefault="00A50CD2" w:rsidP="00814732">
            <w:pPr>
              <w:tabs>
                <w:tab w:val="decimal" w:pos="601"/>
              </w:tabs>
              <w:rPr>
                <w:b/>
                <w:color w:val="auto"/>
                <w:sz w:val="20"/>
                <w:szCs w:val="20"/>
              </w:rPr>
            </w:pPr>
            <w:r>
              <w:rPr>
                <w:b/>
                <w:color w:val="auto"/>
                <w:sz w:val="20"/>
                <w:szCs w:val="20"/>
              </w:rPr>
              <w:t>-</w:t>
            </w:r>
          </w:p>
        </w:tc>
        <w:tc>
          <w:tcPr>
            <w:tcW w:w="531" w:type="pct"/>
            <w:tcBorders>
              <w:top w:val="single" w:sz="4" w:space="0" w:color="auto"/>
              <w:bottom w:val="single" w:sz="4" w:space="0" w:color="auto"/>
            </w:tcBorders>
            <w:vAlign w:val="center"/>
          </w:tcPr>
          <w:p w14:paraId="52A43E5A" w14:textId="77777777" w:rsidR="00A50CD2" w:rsidRPr="00A50E81" w:rsidRDefault="00A50CD2" w:rsidP="00814732">
            <w:pPr>
              <w:tabs>
                <w:tab w:val="decimal" w:pos="495"/>
              </w:tabs>
              <w:rPr>
                <w:b/>
                <w:color w:val="auto"/>
                <w:sz w:val="20"/>
                <w:szCs w:val="20"/>
              </w:rPr>
            </w:pPr>
            <w:r>
              <w:rPr>
                <w:b/>
                <w:color w:val="auto"/>
                <w:sz w:val="20"/>
                <w:szCs w:val="20"/>
              </w:rPr>
              <w:t>26.3</w:t>
            </w:r>
          </w:p>
        </w:tc>
        <w:tc>
          <w:tcPr>
            <w:tcW w:w="725" w:type="pct"/>
            <w:tcBorders>
              <w:top w:val="single" w:sz="4" w:space="0" w:color="auto"/>
              <w:bottom w:val="single" w:sz="4" w:space="0" w:color="auto"/>
            </w:tcBorders>
            <w:shd w:val="clear" w:color="auto" w:fill="auto"/>
            <w:vAlign w:val="center"/>
          </w:tcPr>
          <w:p w14:paraId="01F8E621" w14:textId="77777777" w:rsidR="00A50CD2" w:rsidRPr="00A50E81" w:rsidRDefault="00A50CD2" w:rsidP="00814732">
            <w:pPr>
              <w:tabs>
                <w:tab w:val="decimal" w:pos="742"/>
              </w:tabs>
              <w:rPr>
                <w:b/>
                <w:color w:val="auto"/>
                <w:sz w:val="20"/>
                <w:szCs w:val="20"/>
              </w:rPr>
            </w:pPr>
            <w:r>
              <w:rPr>
                <w:b/>
                <w:color w:val="auto"/>
                <w:sz w:val="20"/>
                <w:szCs w:val="20"/>
              </w:rPr>
              <w:t>-</w:t>
            </w:r>
          </w:p>
        </w:tc>
        <w:tc>
          <w:tcPr>
            <w:tcW w:w="573" w:type="pct"/>
            <w:tcBorders>
              <w:top w:val="single" w:sz="4" w:space="0" w:color="auto"/>
              <w:bottom w:val="single" w:sz="4" w:space="0" w:color="auto"/>
            </w:tcBorders>
            <w:shd w:val="clear" w:color="auto" w:fill="auto"/>
            <w:vAlign w:val="center"/>
          </w:tcPr>
          <w:p w14:paraId="44A134E3" w14:textId="77777777" w:rsidR="00A50CD2" w:rsidRPr="00A50E81" w:rsidRDefault="00A50CD2" w:rsidP="00814732">
            <w:pPr>
              <w:tabs>
                <w:tab w:val="decimal" w:pos="612"/>
              </w:tabs>
              <w:rPr>
                <w:b/>
                <w:color w:val="auto"/>
                <w:sz w:val="20"/>
                <w:szCs w:val="20"/>
              </w:rPr>
            </w:pPr>
            <w:r>
              <w:rPr>
                <w:b/>
                <w:color w:val="auto"/>
                <w:sz w:val="20"/>
                <w:szCs w:val="20"/>
              </w:rPr>
              <w:t>26.3</w:t>
            </w:r>
          </w:p>
        </w:tc>
      </w:tr>
      <w:tr w:rsidR="00A50CD2" w:rsidRPr="00A50E81" w14:paraId="19654AC1" w14:textId="77777777" w:rsidTr="00814732">
        <w:trPr>
          <w:trHeight w:val="369"/>
        </w:trPr>
        <w:tc>
          <w:tcPr>
            <w:tcW w:w="1843" w:type="pct"/>
            <w:shd w:val="clear" w:color="auto" w:fill="auto"/>
            <w:vAlign w:val="bottom"/>
          </w:tcPr>
          <w:p w14:paraId="2367C33C" w14:textId="77777777" w:rsidR="00A50CD2" w:rsidRPr="00F31D75" w:rsidRDefault="00A50CD2" w:rsidP="00814732">
            <w:pPr>
              <w:jc w:val="left"/>
              <w:rPr>
                <w:b/>
                <w:color w:val="auto"/>
                <w:sz w:val="20"/>
                <w:szCs w:val="20"/>
              </w:rPr>
            </w:pPr>
            <w:r>
              <w:rPr>
                <w:b/>
                <w:color w:val="auto"/>
                <w:sz w:val="20"/>
                <w:szCs w:val="20"/>
              </w:rPr>
              <w:t xml:space="preserve">Total </w:t>
            </w:r>
            <w:r w:rsidRPr="00F31D75">
              <w:rPr>
                <w:b/>
                <w:color w:val="auto"/>
                <w:sz w:val="20"/>
                <w:szCs w:val="20"/>
              </w:rPr>
              <w:t>Net (Gain)/Loss for the Year</w:t>
            </w:r>
          </w:p>
        </w:tc>
        <w:tc>
          <w:tcPr>
            <w:tcW w:w="664" w:type="pct"/>
            <w:tcBorders>
              <w:top w:val="single" w:sz="4" w:space="0" w:color="auto"/>
              <w:bottom w:val="single" w:sz="4" w:space="0" w:color="auto"/>
            </w:tcBorders>
            <w:shd w:val="clear" w:color="auto" w:fill="auto"/>
            <w:vAlign w:val="bottom"/>
          </w:tcPr>
          <w:p w14:paraId="5EB9A126" w14:textId="77777777" w:rsidR="00A50CD2" w:rsidRPr="00A50E81" w:rsidRDefault="00A50CD2" w:rsidP="00814732">
            <w:pPr>
              <w:tabs>
                <w:tab w:val="decimal" w:pos="743"/>
              </w:tabs>
              <w:rPr>
                <w:b/>
                <w:color w:val="auto"/>
                <w:sz w:val="20"/>
                <w:szCs w:val="20"/>
              </w:rPr>
            </w:pPr>
            <w:r>
              <w:rPr>
                <w:b/>
                <w:color w:val="auto"/>
                <w:sz w:val="20"/>
                <w:szCs w:val="20"/>
              </w:rPr>
              <w:t>63.7</w:t>
            </w:r>
          </w:p>
        </w:tc>
        <w:tc>
          <w:tcPr>
            <w:tcW w:w="664" w:type="pct"/>
            <w:tcBorders>
              <w:top w:val="single" w:sz="4" w:space="0" w:color="auto"/>
              <w:bottom w:val="single" w:sz="4" w:space="0" w:color="auto"/>
            </w:tcBorders>
            <w:vAlign w:val="bottom"/>
          </w:tcPr>
          <w:p w14:paraId="12680C2B" w14:textId="77777777" w:rsidR="00A50CD2" w:rsidRPr="00A50E81" w:rsidRDefault="00A50CD2" w:rsidP="00814732">
            <w:pPr>
              <w:tabs>
                <w:tab w:val="decimal" w:pos="601"/>
              </w:tabs>
              <w:rPr>
                <w:b/>
                <w:color w:val="auto"/>
                <w:sz w:val="20"/>
                <w:szCs w:val="20"/>
              </w:rPr>
            </w:pPr>
            <w:r>
              <w:rPr>
                <w:b/>
                <w:color w:val="auto"/>
                <w:sz w:val="20"/>
                <w:szCs w:val="20"/>
              </w:rPr>
              <w:t>(5.7)</w:t>
            </w:r>
          </w:p>
        </w:tc>
        <w:tc>
          <w:tcPr>
            <w:tcW w:w="531" w:type="pct"/>
            <w:tcBorders>
              <w:top w:val="single" w:sz="4" w:space="0" w:color="auto"/>
              <w:bottom w:val="single" w:sz="4" w:space="0" w:color="auto"/>
            </w:tcBorders>
            <w:vAlign w:val="bottom"/>
          </w:tcPr>
          <w:p w14:paraId="3CA78D89" w14:textId="77777777" w:rsidR="00A50CD2" w:rsidRPr="00A50E81" w:rsidRDefault="00A50CD2" w:rsidP="00814732">
            <w:pPr>
              <w:tabs>
                <w:tab w:val="decimal" w:pos="495"/>
              </w:tabs>
              <w:rPr>
                <w:b/>
                <w:color w:val="auto"/>
                <w:sz w:val="20"/>
                <w:szCs w:val="20"/>
              </w:rPr>
            </w:pPr>
            <w:r>
              <w:rPr>
                <w:b/>
                <w:color w:val="auto"/>
                <w:sz w:val="20"/>
                <w:szCs w:val="20"/>
              </w:rPr>
              <w:t>13.4</w:t>
            </w:r>
          </w:p>
        </w:tc>
        <w:tc>
          <w:tcPr>
            <w:tcW w:w="725" w:type="pct"/>
            <w:tcBorders>
              <w:top w:val="single" w:sz="4" w:space="0" w:color="auto"/>
              <w:bottom w:val="single" w:sz="4" w:space="0" w:color="auto"/>
            </w:tcBorders>
            <w:shd w:val="clear" w:color="auto" w:fill="auto"/>
            <w:vAlign w:val="bottom"/>
          </w:tcPr>
          <w:p w14:paraId="02ED984A" w14:textId="77777777" w:rsidR="00A50CD2" w:rsidRPr="00A50E81" w:rsidRDefault="00A50CD2" w:rsidP="00814732">
            <w:pPr>
              <w:tabs>
                <w:tab w:val="decimal" w:pos="742"/>
              </w:tabs>
              <w:rPr>
                <w:b/>
                <w:color w:val="auto"/>
                <w:sz w:val="20"/>
                <w:szCs w:val="20"/>
              </w:rPr>
            </w:pPr>
            <w:r>
              <w:rPr>
                <w:b/>
                <w:color w:val="auto"/>
                <w:sz w:val="20"/>
                <w:szCs w:val="20"/>
              </w:rPr>
              <w:t>(0.9)</w:t>
            </w:r>
          </w:p>
        </w:tc>
        <w:tc>
          <w:tcPr>
            <w:tcW w:w="573" w:type="pct"/>
            <w:tcBorders>
              <w:top w:val="single" w:sz="4" w:space="0" w:color="auto"/>
              <w:bottom w:val="single" w:sz="4" w:space="0" w:color="auto"/>
            </w:tcBorders>
            <w:shd w:val="clear" w:color="auto" w:fill="auto"/>
            <w:vAlign w:val="bottom"/>
          </w:tcPr>
          <w:p w14:paraId="6FF8085A" w14:textId="77777777" w:rsidR="00A50CD2" w:rsidRPr="00A50E81" w:rsidRDefault="00A50CD2" w:rsidP="00814732">
            <w:pPr>
              <w:tabs>
                <w:tab w:val="decimal" w:pos="612"/>
              </w:tabs>
              <w:rPr>
                <w:b/>
                <w:color w:val="auto"/>
                <w:sz w:val="20"/>
                <w:szCs w:val="20"/>
              </w:rPr>
            </w:pPr>
            <w:r>
              <w:rPr>
                <w:b/>
                <w:color w:val="auto"/>
                <w:sz w:val="20"/>
                <w:szCs w:val="20"/>
              </w:rPr>
              <w:t>70.5</w:t>
            </w:r>
          </w:p>
        </w:tc>
      </w:tr>
    </w:tbl>
    <w:p w14:paraId="5DF18170" w14:textId="77777777" w:rsidR="00A50CD2" w:rsidRDefault="00A50CD2" w:rsidP="00A50CD2">
      <w:pPr>
        <w:rPr>
          <w:lang w:eastAsia="en-GB"/>
        </w:rPr>
      </w:pPr>
    </w:p>
    <w:p w14:paraId="14FF8FCA" w14:textId="77777777" w:rsidR="00A50CD2" w:rsidRDefault="00A50CD2" w:rsidP="00A50CD2">
      <w:pPr>
        <w:rPr>
          <w:lang w:eastAsia="en-GB"/>
        </w:rPr>
      </w:pPr>
    </w:p>
    <w:p w14:paraId="2B3BF3A7" w14:textId="09CA8C20" w:rsidR="00A50CD2" w:rsidRPr="005B4833" w:rsidRDefault="00A50CD2" w:rsidP="00717919">
      <w:pPr>
        <w:pStyle w:val="Heading2"/>
        <w:numPr>
          <w:ilvl w:val="0"/>
          <w:numId w:val="69"/>
        </w:numPr>
        <w:ind w:left="0" w:firstLine="0"/>
        <w:rPr>
          <w:szCs w:val="32"/>
        </w:rPr>
      </w:pPr>
      <w:r w:rsidRPr="005B4833">
        <w:rPr>
          <w:szCs w:val="32"/>
        </w:rPr>
        <w:t xml:space="preserve">Fair </w:t>
      </w:r>
      <w:r w:rsidR="00311222">
        <w:rPr>
          <w:szCs w:val="32"/>
        </w:rPr>
        <w:t>v</w:t>
      </w:r>
      <w:r w:rsidRPr="005B4833">
        <w:rPr>
          <w:szCs w:val="32"/>
        </w:rPr>
        <w:t xml:space="preserve">alue of </w:t>
      </w:r>
      <w:r w:rsidR="00311222">
        <w:rPr>
          <w:szCs w:val="32"/>
        </w:rPr>
        <w:t>f</w:t>
      </w:r>
      <w:r w:rsidRPr="005B4833">
        <w:rPr>
          <w:szCs w:val="32"/>
        </w:rPr>
        <w:t xml:space="preserve">inancial </w:t>
      </w:r>
      <w:r w:rsidR="00311222">
        <w:rPr>
          <w:szCs w:val="32"/>
        </w:rPr>
        <w:t>a</w:t>
      </w:r>
      <w:r w:rsidRPr="005B4833">
        <w:rPr>
          <w:szCs w:val="32"/>
        </w:rPr>
        <w:t xml:space="preserve">ssets and </w:t>
      </w:r>
      <w:r w:rsidR="00311222">
        <w:rPr>
          <w:szCs w:val="32"/>
        </w:rPr>
        <w:t>l</w:t>
      </w:r>
      <w:r w:rsidRPr="005B4833">
        <w:rPr>
          <w:szCs w:val="32"/>
        </w:rPr>
        <w:t>iabilities</w:t>
      </w:r>
    </w:p>
    <w:p w14:paraId="35FF1B25" w14:textId="77777777" w:rsidR="00A50CD2" w:rsidRPr="009C1D66" w:rsidRDefault="00A50CD2" w:rsidP="00A50CD2">
      <w:r w:rsidRPr="009C1D66">
        <w:t>Financial liabilities, financial assets represented by loans and receivables and long-term debtors and creditors are carried in the balance sheet at amortised cost. Their fair value can be assessed by calculating the present value of the cash flows that will take place over the remaining term of the instruments, using the following assumptions;</w:t>
      </w:r>
    </w:p>
    <w:p w14:paraId="16C12D3D" w14:textId="77777777" w:rsidR="00A50CD2" w:rsidRPr="009C1D66" w:rsidRDefault="00A50CD2" w:rsidP="00EC401F">
      <w:pPr>
        <w:pStyle w:val="ListParagraph"/>
        <w:numPr>
          <w:ilvl w:val="0"/>
          <w:numId w:val="45"/>
        </w:numPr>
        <w:spacing w:line="276" w:lineRule="auto"/>
      </w:pPr>
      <w:r w:rsidRPr="009C1D66">
        <w:t>Estimated ranges of interest rates at 31 March 2015 of 0.6% to 4.625% for loans from the PWLB and 0.45% to 3.8% for other loans receivable and payable based on new lending rates for equivalent loans at that date.</w:t>
      </w:r>
    </w:p>
    <w:p w14:paraId="0BF14BFD" w14:textId="77777777" w:rsidR="00A50CD2" w:rsidRPr="009C1D66" w:rsidRDefault="00A50CD2" w:rsidP="00EC401F">
      <w:pPr>
        <w:pStyle w:val="ListParagraph"/>
        <w:numPr>
          <w:ilvl w:val="0"/>
          <w:numId w:val="45"/>
        </w:numPr>
        <w:spacing w:line="276" w:lineRule="auto"/>
      </w:pPr>
      <w:r w:rsidRPr="009C1D66">
        <w:t>No early repayment or impairment is recognised.</w:t>
      </w:r>
    </w:p>
    <w:p w14:paraId="42FCDFAF" w14:textId="77777777" w:rsidR="00A50CD2" w:rsidRPr="009C1D66" w:rsidRDefault="00A50CD2" w:rsidP="00EC401F">
      <w:pPr>
        <w:pStyle w:val="ListParagraph"/>
        <w:numPr>
          <w:ilvl w:val="0"/>
          <w:numId w:val="45"/>
        </w:numPr>
        <w:spacing w:line="276" w:lineRule="auto"/>
      </w:pPr>
      <w:r w:rsidRPr="009C1D66">
        <w:lastRenderedPageBreak/>
        <w:t>Where an instrument will mature in the next 12 months, carrying amount is assumed to approximate to fair value.</w:t>
      </w:r>
    </w:p>
    <w:p w14:paraId="7A1E0DF1" w14:textId="77777777" w:rsidR="00A50CD2" w:rsidRPr="009C1D66" w:rsidRDefault="00A50CD2" w:rsidP="00EC401F">
      <w:pPr>
        <w:pStyle w:val="ListParagraph"/>
        <w:numPr>
          <w:ilvl w:val="0"/>
          <w:numId w:val="45"/>
        </w:numPr>
        <w:spacing w:line="276" w:lineRule="auto"/>
      </w:pPr>
      <w:r w:rsidRPr="009C1D66">
        <w:t>The fair value of trade and other receivables is taken to be the invoiced or billed amount.</w:t>
      </w:r>
    </w:p>
    <w:p w14:paraId="6E09E0CA" w14:textId="77777777" w:rsidR="00A50CD2" w:rsidRPr="009C1D66" w:rsidRDefault="00A50CD2" w:rsidP="00EC401F">
      <w:pPr>
        <w:pStyle w:val="ListParagraph"/>
        <w:numPr>
          <w:ilvl w:val="0"/>
          <w:numId w:val="45"/>
        </w:numPr>
        <w:spacing w:line="276" w:lineRule="auto"/>
      </w:pPr>
      <w:r w:rsidRPr="009C1D66">
        <w:t>The fair value of PFI – using rates determined by the treasury based on a gilt zero coupon curve.</w:t>
      </w:r>
    </w:p>
    <w:p w14:paraId="0C01AA89" w14:textId="44B8D851" w:rsidR="00A50CD2" w:rsidRPr="00A06955" w:rsidRDefault="00A50CD2" w:rsidP="00A50CD2">
      <w:r w:rsidRPr="00A06955">
        <w:t xml:space="preserve">The carrying values of the financial instruments can be seen in </w:t>
      </w:r>
      <w:r w:rsidRPr="00E54CC0">
        <w:t>Note 2</w:t>
      </w:r>
      <w:r w:rsidR="00F213DE">
        <w:t>3</w:t>
      </w:r>
      <w:r w:rsidRPr="00E54CC0">
        <w:t>.</w:t>
      </w:r>
      <w:r w:rsidRPr="00A06955">
        <w:t xml:space="preserve"> The tables below disclose the fair value of the financial instruments, except for the following:</w:t>
      </w:r>
    </w:p>
    <w:p w14:paraId="36F7F4B4" w14:textId="77777777" w:rsidR="00A50CD2" w:rsidRPr="00A06955" w:rsidRDefault="00A50CD2" w:rsidP="00EC401F">
      <w:pPr>
        <w:pStyle w:val="ListParagraph"/>
        <w:numPr>
          <w:ilvl w:val="0"/>
          <w:numId w:val="46"/>
        </w:numPr>
        <w:spacing w:line="276" w:lineRule="auto"/>
      </w:pPr>
      <w:r w:rsidRPr="00A06955">
        <w:t>Short term debtors and creditors, as carrying value is reasonable approximation of fair value.</w:t>
      </w:r>
    </w:p>
    <w:p w14:paraId="61737A4D" w14:textId="77777777" w:rsidR="00A50CD2" w:rsidRPr="00A06955" w:rsidRDefault="00A50CD2" w:rsidP="00EC401F">
      <w:pPr>
        <w:pStyle w:val="ListParagraph"/>
        <w:numPr>
          <w:ilvl w:val="0"/>
          <w:numId w:val="46"/>
        </w:numPr>
        <w:spacing w:line="276" w:lineRule="auto"/>
      </w:pPr>
      <w:r w:rsidRPr="00A06955">
        <w:t>Available for sale assets and assets and liabilities at fair value through profit or loss because these are carried in the balance sheet at their fair value. These fair values are based on public price quotations where there is an active market for the instrument.</w:t>
      </w:r>
    </w:p>
    <w:p w14:paraId="7DD8E41E" w14:textId="77777777" w:rsidR="008A1A4C" w:rsidRDefault="008A1A4C" w:rsidP="00A50CD2">
      <w:pPr>
        <w:rPr>
          <w:b/>
          <w:u w:val="single"/>
        </w:rPr>
      </w:pPr>
    </w:p>
    <w:p w14:paraId="2627BECE" w14:textId="77777777" w:rsidR="00A50CD2" w:rsidRPr="00A06955" w:rsidRDefault="00A50CD2" w:rsidP="00A50CD2">
      <w:pPr>
        <w:rPr>
          <w:b/>
          <w:u w:val="single"/>
        </w:rPr>
      </w:pPr>
      <w:r>
        <w:rPr>
          <w:b/>
          <w:u w:val="single"/>
        </w:rPr>
        <w:t>Table 1</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04"/>
        <w:gridCol w:w="2075"/>
        <w:gridCol w:w="1810"/>
        <w:gridCol w:w="2080"/>
        <w:gridCol w:w="1881"/>
      </w:tblGrid>
      <w:tr w:rsidR="00A50CD2" w:rsidRPr="00C24F75" w14:paraId="7E4B61C9" w14:textId="77777777" w:rsidTr="00814732">
        <w:trPr>
          <w:trHeight w:val="369"/>
          <w:tblHeader/>
        </w:trPr>
        <w:tc>
          <w:tcPr>
            <w:tcW w:w="1246" w:type="pct"/>
            <w:shd w:val="clear" w:color="auto" w:fill="D0CECE"/>
            <w:vAlign w:val="bottom"/>
          </w:tcPr>
          <w:p w14:paraId="5DCFAEB7" w14:textId="77777777" w:rsidR="00A50CD2" w:rsidRPr="00C24F75" w:rsidRDefault="00A50CD2" w:rsidP="00814732">
            <w:pPr>
              <w:jc w:val="center"/>
              <w:rPr>
                <w:b/>
                <w:color w:val="auto"/>
                <w:u w:val="single"/>
              </w:rPr>
            </w:pPr>
          </w:p>
        </w:tc>
        <w:tc>
          <w:tcPr>
            <w:tcW w:w="1859" w:type="pct"/>
            <w:gridSpan w:val="2"/>
            <w:shd w:val="clear" w:color="auto" w:fill="D0CECE"/>
            <w:vAlign w:val="bottom"/>
          </w:tcPr>
          <w:p w14:paraId="036E8012" w14:textId="77777777" w:rsidR="00A50CD2" w:rsidRPr="00C24F75" w:rsidRDefault="00A50CD2" w:rsidP="00814732">
            <w:pPr>
              <w:jc w:val="center"/>
              <w:rPr>
                <w:b/>
                <w:color w:val="auto"/>
              </w:rPr>
            </w:pPr>
            <w:r w:rsidRPr="00C24F75">
              <w:rPr>
                <w:b/>
                <w:color w:val="auto"/>
              </w:rPr>
              <w:t>31/03/2015</w:t>
            </w:r>
          </w:p>
        </w:tc>
        <w:tc>
          <w:tcPr>
            <w:tcW w:w="1895" w:type="pct"/>
            <w:gridSpan w:val="2"/>
            <w:shd w:val="clear" w:color="auto" w:fill="D0CECE"/>
            <w:vAlign w:val="bottom"/>
          </w:tcPr>
          <w:p w14:paraId="4133E0FF" w14:textId="77777777" w:rsidR="00A50CD2" w:rsidRPr="00C24F75" w:rsidRDefault="00A50CD2" w:rsidP="00814732">
            <w:pPr>
              <w:jc w:val="center"/>
              <w:rPr>
                <w:b/>
                <w:color w:val="auto"/>
              </w:rPr>
            </w:pPr>
            <w:r w:rsidRPr="00C24F75">
              <w:rPr>
                <w:b/>
                <w:color w:val="auto"/>
              </w:rPr>
              <w:t>31/03/2014</w:t>
            </w:r>
          </w:p>
        </w:tc>
      </w:tr>
      <w:tr w:rsidR="00A50CD2" w:rsidRPr="00C24F75" w14:paraId="4554B4A0" w14:textId="77777777" w:rsidTr="00814732">
        <w:trPr>
          <w:trHeight w:val="369"/>
          <w:tblHeader/>
        </w:trPr>
        <w:tc>
          <w:tcPr>
            <w:tcW w:w="1246" w:type="pct"/>
            <w:shd w:val="clear" w:color="auto" w:fill="D0CECE"/>
            <w:vAlign w:val="bottom"/>
          </w:tcPr>
          <w:p w14:paraId="2CF36357" w14:textId="77777777" w:rsidR="00A50CD2" w:rsidRPr="00C24F75" w:rsidRDefault="00A50CD2" w:rsidP="00814732">
            <w:pPr>
              <w:jc w:val="center"/>
              <w:rPr>
                <w:b/>
                <w:color w:val="auto"/>
                <w:u w:val="single"/>
              </w:rPr>
            </w:pPr>
          </w:p>
        </w:tc>
        <w:tc>
          <w:tcPr>
            <w:tcW w:w="993" w:type="pct"/>
            <w:shd w:val="clear" w:color="auto" w:fill="D0CECE"/>
            <w:vAlign w:val="bottom"/>
          </w:tcPr>
          <w:p w14:paraId="1036DC3F" w14:textId="77777777" w:rsidR="00A50CD2" w:rsidRPr="00C24F75" w:rsidRDefault="00A50CD2" w:rsidP="00814732">
            <w:pPr>
              <w:jc w:val="center"/>
              <w:rPr>
                <w:b/>
                <w:color w:val="auto"/>
              </w:rPr>
            </w:pPr>
            <w:r w:rsidRPr="00C24F75">
              <w:rPr>
                <w:b/>
                <w:color w:val="auto"/>
              </w:rPr>
              <w:t>Amortised Cost</w:t>
            </w:r>
          </w:p>
        </w:tc>
        <w:tc>
          <w:tcPr>
            <w:tcW w:w="866" w:type="pct"/>
            <w:shd w:val="clear" w:color="auto" w:fill="D0CECE"/>
            <w:vAlign w:val="bottom"/>
          </w:tcPr>
          <w:p w14:paraId="23AC15FC" w14:textId="77777777" w:rsidR="00A50CD2" w:rsidRPr="00C24F75" w:rsidRDefault="00A50CD2" w:rsidP="00814732">
            <w:pPr>
              <w:jc w:val="center"/>
              <w:rPr>
                <w:b/>
                <w:color w:val="auto"/>
              </w:rPr>
            </w:pPr>
            <w:r w:rsidRPr="00C24F75">
              <w:rPr>
                <w:b/>
                <w:color w:val="auto"/>
              </w:rPr>
              <w:t>Fair Value</w:t>
            </w:r>
          </w:p>
        </w:tc>
        <w:tc>
          <w:tcPr>
            <w:tcW w:w="995" w:type="pct"/>
            <w:shd w:val="clear" w:color="auto" w:fill="D0CECE"/>
            <w:vAlign w:val="bottom"/>
          </w:tcPr>
          <w:p w14:paraId="1BD427C3" w14:textId="77777777" w:rsidR="00A50CD2" w:rsidRPr="00C24F75" w:rsidRDefault="00A50CD2" w:rsidP="00814732">
            <w:pPr>
              <w:jc w:val="center"/>
              <w:rPr>
                <w:b/>
                <w:color w:val="auto"/>
              </w:rPr>
            </w:pPr>
            <w:r w:rsidRPr="00C24F75">
              <w:rPr>
                <w:b/>
                <w:color w:val="auto"/>
              </w:rPr>
              <w:t>Amortised Cost</w:t>
            </w:r>
          </w:p>
        </w:tc>
        <w:tc>
          <w:tcPr>
            <w:tcW w:w="900" w:type="pct"/>
            <w:shd w:val="clear" w:color="auto" w:fill="D0CECE"/>
            <w:vAlign w:val="bottom"/>
          </w:tcPr>
          <w:p w14:paraId="350614B2" w14:textId="77777777" w:rsidR="00A50CD2" w:rsidRPr="00C24F75" w:rsidRDefault="00A50CD2" w:rsidP="00814732">
            <w:pPr>
              <w:jc w:val="center"/>
              <w:rPr>
                <w:b/>
                <w:color w:val="auto"/>
              </w:rPr>
            </w:pPr>
            <w:r w:rsidRPr="00C24F75">
              <w:rPr>
                <w:b/>
                <w:color w:val="auto"/>
              </w:rPr>
              <w:t>Fair Value</w:t>
            </w:r>
          </w:p>
        </w:tc>
      </w:tr>
      <w:tr w:rsidR="00A50CD2" w:rsidRPr="00C24F75" w14:paraId="72FD71E4" w14:textId="77777777" w:rsidTr="00814732">
        <w:trPr>
          <w:trHeight w:val="369"/>
          <w:tblHeader/>
        </w:trPr>
        <w:tc>
          <w:tcPr>
            <w:tcW w:w="1246" w:type="pct"/>
            <w:shd w:val="clear" w:color="auto" w:fill="D0CECE"/>
            <w:vAlign w:val="bottom"/>
          </w:tcPr>
          <w:p w14:paraId="5DA22E4C" w14:textId="77777777" w:rsidR="00A50CD2" w:rsidRPr="00C24F75" w:rsidRDefault="00A50CD2" w:rsidP="00814732">
            <w:pPr>
              <w:jc w:val="left"/>
              <w:rPr>
                <w:color w:val="auto"/>
              </w:rPr>
            </w:pPr>
          </w:p>
        </w:tc>
        <w:tc>
          <w:tcPr>
            <w:tcW w:w="993" w:type="pct"/>
            <w:shd w:val="clear" w:color="auto" w:fill="D0CECE"/>
            <w:vAlign w:val="bottom"/>
          </w:tcPr>
          <w:p w14:paraId="31D70116" w14:textId="77777777" w:rsidR="00A50CD2" w:rsidRPr="00C24F75" w:rsidRDefault="00A50CD2" w:rsidP="00814732">
            <w:pPr>
              <w:jc w:val="center"/>
              <w:rPr>
                <w:b/>
                <w:color w:val="auto"/>
              </w:rPr>
            </w:pPr>
            <w:r w:rsidRPr="00C24F75">
              <w:rPr>
                <w:b/>
                <w:color w:val="auto"/>
              </w:rPr>
              <w:t>£m</w:t>
            </w:r>
          </w:p>
        </w:tc>
        <w:tc>
          <w:tcPr>
            <w:tcW w:w="866" w:type="pct"/>
            <w:shd w:val="clear" w:color="auto" w:fill="D0CECE"/>
            <w:vAlign w:val="bottom"/>
          </w:tcPr>
          <w:p w14:paraId="20517CEA" w14:textId="77777777" w:rsidR="00A50CD2" w:rsidRPr="00C24F75" w:rsidRDefault="00A50CD2" w:rsidP="00814732">
            <w:pPr>
              <w:jc w:val="center"/>
              <w:rPr>
                <w:b/>
                <w:color w:val="auto"/>
              </w:rPr>
            </w:pPr>
            <w:r w:rsidRPr="00C24F75">
              <w:rPr>
                <w:b/>
                <w:color w:val="auto"/>
              </w:rPr>
              <w:t>£m</w:t>
            </w:r>
          </w:p>
        </w:tc>
        <w:tc>
          <w:tcPr>
            <w:tcW w:w="995" w:type="pct"/>
            <w:shd w:val="clear" w:color="auto" w:fill="D0CECE"/>
            <w:vAlign w:val="bottom"/>
          </w:tcPr>
          <w:p w14:paraId="7131E144" w14:textId="77777777" w:rsidR="00A50CD2" w:rsidRPr="00C24F75" w:rsidRDefault="00A50CD2" w:rsidP="00814732">
            <w:pPr>
              <w:jc w:val="center"/>
              <w:rPr>
                <w:b/>
                <w:color w:val="auto"/>
              </w:rPr>
            </w:pPr>
            <w:r w:rsidRPr="00C24F75">
              <w:rPr>
                <w:b/>
                <w:color w:val="auto"/>
              </w:rPr>
              <w:t>£m</w:t>
            </w:r>
          </w:p>
        </w:tc>
        <w:tc>
          <w:tcPr>
            <w:tcW w:w="900" w:type="pct"/>
            <w:shd w:val="clear" w:color="auto" w:fill="D0CECE"/>
            <w:vAlign w:val="bottom"/>
          </w:tcPr>
          <w:p w14:paraId="219BD9C0" w14:textId="77777777" w:rsidR="00A50CD2" w:rsidRPr="00C24F75" w:rsidRDefault="00A50CD2" w:rsidP="00814732">
            <w:pPr>
              <w:jc w:val="center"/>
              <w:rPr>
                <w:b/>
                <w:color w:val="auto"/>
              </w:rPr>
            </w:pPr>
            <w:r w:rsidRPr="00C24F75">
              <w:rPr>
                <w:b/>
                <w:color w:val="auto"/>
              </w:rPr>
              <w:t>£m</w:t>
            </w:r>
          </w:p>
        </w:tc>
      </w:tr>
      <w:tr w:rsidR="00A50CD2" w:rsidRPr="00250CDF" w14:paraId="60270C6B" w14:textId="77777777" w:rsidTr="00814732">
        <w:trPr>
          <w:trHeight w:val="369"/>
        </w:trPr>
        <w:tc>
          <w:tcPr>
            <w:tcW w:w="1246" w:type="pct"/>
            <w:shd w:val="clear" w:color="auto" w:fill="auto"/>
            <w:vAlign w:val="bottom"/>
          </w:tcPr>
          <w:p w14:paraId="00071B30" w14:textId="77777777" w:rsidR="00A50CD2" w:rsidRPr="00C24F75" w:rsidRDefault="00A50CD2" w:rsidP="00814732">
            <w:pPr>
              <w:jc w:val="left"/>
              <w:rPr>
                <w:color w:val="auto"/>
              </w:rPr>
            </w:pPr>
            <w:r w:rsidRPr="00C24F75">
              <w:rPr>
                <w:color w:val="auto"/>
              </w:rPr>
              <w:t>Financial liabilities</w:t>
            </w:r>
          </w:p>
        </w:tc>
        <w:tc>
          <w:tcPr>
            <w:tcW w:w="993" w:type="pct"/>
            <w:vAlign w:val="bottom"/>
          </w:tcPr>
          <w:p w14:paraId="2BAAAE85" w14:textId="2A80FF27" w:rsidR="00A50CD2" w:rsidRPr="00C24F75" w:rsidRDefault="00877090" w:rsidP="00814732">
            <w:pPr>
              <w:tabs>
                <w:tab w:val="decimal" w:pos="1026"/>
              </w:tabs>
              <w:rPr>
                <w:color w:val="auto"/>
              </w:rPr>
            </w:pPr>
            <w:r>
              <w:rPr>
                <w:color w:val="auto"/>
              </w:rPr>
              <w:t>(</w:t>
            </w:r>
            <w:r w:rsidR="00A50CD2" w:rsidRPr="00C24F75">
              <w:rPr>
                <w:color w:val="auto"/>
              </w:rPr>
              <w:t>1,214.</w:t>
            </w:r>
            <w:r w:rsidR="00A50CD2">
              <w:rPr>
                <w:color w:val="auto"/>
              </w:rPr>
              <w:t>2</w:t>
            </w:r>
            <w:r>
              <w:rPr>
                <w:color w:val="auto"/>
              </w:rPr>
              <w:t>)</w:t>
            </w:r>
          </w:p>
        </w:tc>
        <w:tc>
          <w:tcPr>
            <w:tcW w:w="866" w:type="pct"/>
            <w:vAlign w:val="bottom"/>
          </w:tcPr>
          <w:p w14:paraId="4DF5F2FE" w14:textId="10022B81" w:rsidR="00A50CD2" w:rsidRPr="00C24F75" w:rsidRDefault="00877090" w:rsidP="001F2704">
            <w:pPr>
              <w:tabs>
                <w:tab w:val="decimal" w:pos="890"/>
              </w:tabs>
              <w:rPr>
                <w:color w:val="auto"/>
              </w:rPr>
            </w:pPr>
            <w:r>
              <w:rPr>
                <w:color w:val="auto"/>
              </w:rPr>
              <w:t>(</w:t>
            </w:r>
            <w:r w:rsidR="00A50CD2" w:rsidRPr="00C24F75">
              <w:rPr>
                <w:color w:val="auto"/>
              </w:rPr>
              <w:t>1,</w:t>
            </w:r>
            <w:r w:rsidR="001F2704">
              <w:rPr>
                <w:color w:val="auto"/>
              </w:rPr>
              <w:t>426.6</w:t>
            </w:r>
            <w:r>
              <w:rPr>
                <w:color w:val="auto"/>
              </w:rPr>
              <w:t>)</w:t>
            </w:r>
          </w:p>
        </w:tc>
        <w:tc>
          <w:tcPr>
            <w:tcW w:w="995" w:type="pct"/>
            <w:shd w:val="clear" w:color="auto" w:fill="auto"/>
            <w:vAlign w:val="bottom"/>
          </w:tcPr>
          <w:p w14:paraId="6F77D71B" w14:textId="4E1C45A2" w:rsidR="00A50CD2" w:rsidRPr="00C24F75" w:rsidRDefault="00877090" w:rsidP="00814732">
            <w:pPr>
              <w:tabs>
                <w:tab w:val="decimal" w:pos="1168"/>
              </w:tabs>
              <w:rPr>
                <w:color w:val="auto"/>
              </w:rPr>
            </w:pPr>
            <w:r>
              <w:rPr>
                <w:color w:val="auto"/>
              </w:rPr>
              <w:t>(</w:t>
            </w:r>
            <w:r w:rsidR="00A50CD2" w:rsidRPr="00C24F75">
              <w:rPr>
                <w:color w:val="auto"/>
              </w:rPr>
              <w:t>1,223.0</w:t>
            </w:r>
            <w:r>
              <w:rPr>
                <w:color w:val="auto"/>
              </w:rPr>
              <w:t>)</w:t>
            </w:r>
          </w:p>
        </w:tc>
        <w:tc>
          <w:tcPr>
            <w:tcW w:w="900" w:type="pct"/>
            <w:shd w:val="clear" w:color="auto" w:fill="auto"/>
            <w:vAlign w:val="bottom"/>
          </w:tcPr>
          <w:p w14:paraId="63842908" w14:textId="2AF9C8C8" w:rsidR="00A50CD2" w:rsidRPr="00250CDF" w:rsidRDefault="00877090" w:rsidP="00814732">
            <w:pPr>
              <w:tabs>
                <w:tab w:val="decimal" w:pos="1026"/>
              </w:tabs>
              <w:rPr>
                <w:color w:val="auto"/>
              </w:rPr>
            </w:pPr>
            <w:r>
              <w:rPr>
                <w:color w:val="auto"/>
              </w:rPr>
              <w:t>(</w:t>
            </w:r>
            <w:r w:rsidR="00A50CD2" w:rsidRPr="00C24F75">
              <w:rPr>
                <w:color w:val="auto"/>
              </w:rPr>
              <w:t>1,552.6</w:t>
            </w:r>
            <w:r>
              <w:rPr>
                <w:color w:val="auto"/>
              </w:rPr>
              <w:t>)</w:t>
            </w:r>
          </w:p>
        </w:tc>
      </w:tr>
    </w:tbl>
    <w:p w14:paraId="55145005" w14:textId="77777777" w:rsidR="00A50CD2" w:rsidRDefault="00A50CD2" w:rsidP="00A50CD2">
      <w:pPr>
        <w:rPr>
          <w:lang w:eastAsia="en-GB"/>
        </w:rPr>
      </w:pPr>
    </w:p>
    <w:p w14:paraId="074E9FEB" w14:textId="77777777" w:rsidR="00A50CD2" w:rsidRPr="00ED2793" w:rsidRDefault="00A50CD2" w:rsidP="00A50CD2">
      <w:pPr>
        <w:rPr>
          <w:lang w:eastAsia="en-GB"/>
        </w:rPr>
      </w:pPr>
      <w:r w:rsidRPr="00ED2793">
        <w:rPr>
          <w:lang w:eastAsia="en-GB"/>
        </w:rPr>
        <w:t>The fair value of the liabilities is higher than the carrying amount because the council’s portfolio of loans includes a number of fixed rate loans where the interest rate payable is higher than the prevailing rates at the balance sheet date.  This shows a notional future loss (based on economic conditions at 31 March 2015) arising from a commitment to pay interest to lenders above current market rates.</w:t>
      </w:r>
    </w:p>
    <w:p w14:paraId="6E59B483" w14:textId="77777777" w:rsidR="00A50CD2" w:rsidRPr="006B57B8" w:rsidRDefault="00A50CD2" w:rsidP="00A50CD2">
      <w:pPr>
        <w:rPr>
          <w:b/>
          <w:u w:val="single"/>
          <w:lang w:eastAsia="en-GB"/>
        </w:rPr>
      </w:pPr>
      <w:r>
        <w:rPr>
          <w:b/>
          <w:u w:val="single"/>
          <w:lang w:eastAsia="en-GB"/>
        </w:rPr>
        <w:t>Table 2</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04"/>
        <w:gridCol w:w="2075"/>
        <w:gridCol w:w="1810"/>
        <w:gridCol w:w="2080"/>
        <w:gridCol w:w="1881"/>
      </w:tblGrid>
      <w:tr w:rsidR="00A50CD2" w:rsidRPr="006B57B8" w14:paraId="084EECAC" w14:textId="77777777" w:rsidTr="00814732">
        <w:trPr>
          <w:trHeight w:val="369"/>
          <w:tblHeader/>
        </w:trPr>
        <w:tc>
          <w:tcPr>
            <w:tcW w:w="1246" w:type="pct"/>
            <w:shd w:val="clear" w:color="auto" w:fill="D0CECE"/>
            <w:vAlign w:val="bottom"/>
          </w:tcPr>
          <w:p w14:paraId="026F03FF" w14:textId="77777777" w:rsidR="00A50CD2" w:rsidRPr="006B57B8" w:rsidRDefault="00A50CD2" w:rsidP="00814732">
            <w:pPr>
              <w:jc w:val="center"/>
              <w:rPr>
                <w:b/>
                <w:color w:val="auto"/>
                <w:u w:val="single"/>
              </w:rPr>
            </w:pPr>
          </w:p>
        </w:tc>
        <w:tc>
          <w:tcPr>
            <w:tcW w:w="1859" w:type="pct"/>
            <w:gridSpan w:val="2"/>
            <w:shd w:val="clear" w:color="auto" w:fill="D0CECE"/>
            <w:vAlign w:val="bottom"/>
          </w:tcPr>
          <w:p w14:paraId="77F91198" w14:textId="77777777" w:rsidR="00A50CD2" w:rsidRPr="006B57B8" w:rsidRDefault="00A50CD2" w:rsidP="00814732">
            <w:pPr>
              <w:jc w:val="center"/>
              <w:rPr>
                <w:b/>
                <w:color w:val="auto"/>
              </w:rPr>
            </w:pPr>
            <w:r w:rsidRPr="006B57B8">
              <w:rPr>
                <w:b/>
                <w:color w:val="auto"/>
              </w:rPr>
              <w:t>31/03/2015</w:t>
            </w:r>
          </w:p>
        </w:tc>
        <w:tc>
          <w:tcPr>
            <w:tcW w:w="1895" w:type="pct"/>
            <w:gridSpan w:val="2"/>
            <w:shd w:val="clear" w:color="auto" w:fill="D0CECE"/>
            <w:vAlign w:val="bottom"/>
          </w:tcPr>
          <w:p w14:paraId="2924EAC2" w14:textId="77777777" w:rsidR="00A50CD2" w:rsidRPr="006B57B8" w:rsidRDefault="00A50CD2" w:rsidP="00814732">
            <w:pPr>
              <w:jc w:val="center"/>
              <w:rPr>
                <w:b/>
                <w:color w:val="auto"/>
              </w:rPr>
            </w:pPr>
            <w:r w:rsidRPr="006B57B8">
              <w:rPr>
                <w:b/>
                <w:color w:val="auto"/>
              </w:rPr>
              <w:t>31/03/2014</w:t>
            </w:r>
          </w:p>
        </w:tc>
      </w:tr>
      <w:tr w:rsidR="00A50CD2" w:rsidRPr="006B57B8" w14:paraId="65769AC1" w14:textId="77777777" w:rsidTr="00814732">
        <w:trPr>
          <w:trHeight w:val="369"/>
          <w:tblHeader/>
        </w:trPr>
        <w:tc>
          <w:tcPr>
            <w:tcW w:w="1246" w:type="pct"/>
            <w:shd w:val="clear" w:color="auto" w:fill="D0CECE"/>
            <w:vAlign w:val="bottom"/>
          </w:tcPr>
          <w:p w14:paraId="56DA2DF1" w14:textId="77777777" w:rsidR="00A50CD2" w:rsidRPr="006B57B8" w:rsidRDefault="00A50CD2" w:rsidP="00814732">
            <w:pPr>
              <w:jc w:val="center"/>
              <w:rPr>
                <w:b/>
                <w:color w:val="auto"/>
                <w:u w:val="single"/>
              </w:rPr>
            </w:pPr>
          </w:p>
        </w:tc>
        <w:tc>
          <w:tcPr>
            <w:tcW w:w="993" w:type="pct"/>
            <w:shd w:val="clear" w:color="auto" w:fill="D0CECE"/>
            <w:vAlign w:val="bottom"/>
          </w:tcPr>
          <w:p w14:paraId="0B215DE1" w14:textId="77777777" w:rsidR="00A50CD2" w:rsidRPr="006B57B8" w:rsidRDefault="00A50CD2" w:rsidP="00814732">
            <w:pPr>
              <w:jc w:val="center"/>
              <w:rPr>
                <w:b/>
                <w:color w:val="auto"/>
              </w:rPr>
            </w:pPr>
            <w:r w:rsidRPr="006B57B8">
              <w:rPr>
                <w:b/>
                <w:color w:val="auto"/>
              </w:rPr>
              <w:t>Amortised Cost</w:t>
            </w:r>
          </w:p>
        </w:tc>
        <w:tc>
          <w:tcPr>
            <w:tcW w:w="866" w:type="pct"/>
            <w:shd w:val="clear" w:color="auto" w:fill="D0CECE"/>
            <w:vAlign w:val="bottom"/>
          </w:tcPr>
          <w:p w14:paraId="1A1B46B9" w14:textId="77777777" w:rsidR="00A50CD2" w:rsidRPr="006B57B8" w:rsidRDefault="00A50CD2" w:rsidP="00814732">
            <w:pPr>
              <w:jc w:val="center"/>
              <w:rPr>
                <w:b/>
                <w:color w:val="auto"/>
              </w:rPr>
            </w:pPr>
            <w:r w:rsidRPr="006B57B8">
              <w:rPr>
                <w:b/>
                <w:color w:val="auto"/>
              </w:rPr>
              <w:t>Fair Value</w:t>
            </w:r>
          </w:p>
        </w:tc>
        <w:tc>
          <w:tcPr>
            <w:tcW w:w="995" w:type="pct"/>
            <w:shd w:val="clear" w:color="auto" w:fill="D0CECE"/>
            <w:vAlign w:val="bottom"/>
          </w:tcPr>
          <w:p w14:paraId="2374F3B6" w14:textId="77777777" w:rsidR="00A50CD2" w:rsidRPr="006B57B8" w:rsidRDefault="00A50CD2" w:rsidP="00814732">
            <w:pPr>
              <w:jc w:val="center"/>
              <w:rPr>
                <w:b/>
                <w:color w:val="auto"/>
              </w:rPr>
            </w:pPr>
            <w:r w:rsidRPr="006B57B8">
              <w:rPr>
                <w:b/>
                <w:color w:val="auto"/>
              </w:rPr>
              <w:t>Amortised Cost</w:t>
            </w:r>
          </w:p>
        </w:tc>
        <w:tc>
          <w:tcPr>
            <w:tcW w:w="900" w:type="pct"/>
            <w:shd w:val="clear" w:color="auto" w:fill="D0CECE"/>
            <w:vAlign w:val="bottom"/>
          </w:tcPr>
          <w:p w14:paraId="58B6520D" w14:textId="77777777" w:rsidR="00A50CD2" w:rsidRPr="006B57B8" w:rsidRDefault="00A50CD2" w:rsidP="00814732">
            <w:pPr>
              <w:jc w:val="center"/>
              <w:rPr>
                <w:b/>
                <w:color w:val="auto"/>
              </w:rPr>
            </w:pPr>
            <w:r w:rsidRPr="006B57B8">
              <w:rPr>
                <w:b/>
                <w:color w:val="auto"/>
              </w:rPr>
              <w:t>Fair Value</w:t>
            </w:r>
          </w:p>
        </w:tc>
      </w:tr>
      <w:tr w:rsidR="00A50CD2" w:rsidRPr="006B57B8" w14:paraId="5416C4F5" w14:textId="77777777" w:rsidTr="00814732">
        <w:trPr>
          <w:trHeight w:val="369"/>
          <w:tblHeader/>
        </w:trPr>
        <w:tc>
          <w:tcPr>
            <w:tcW w:w="1246" w:type="pct"/>
            <w:shd w:val="clear" w:color="auto" w:fill="D0CECE"/>
            <w:vAlign w:val="bottom"/>
          </w:tcPr>
          <w:p w14:paraId="121BDCBF" w14:textId="77777777" w:rsidR="00A50CD2" w:rsidRPr="006B57B8" w:rsidRDefault="00A50CD2" w:rsidP="00814732">
            <w:pPr>
              <w:jc w:val="left"/>
              <w:rPr>
                <w:color w:val="auto"/>
              </w:rPr>
            </w:pPr>
          </w:p>
        </w:tc>
        <w:tc>
          <w:tcPr>
            <w:tcW w:w="993" w:type="pct"/>
            <w:shd w:val="clear" w:color="auto" w:fill="D0CECE"/>
            <w:vAlign w:val="bottom"/>
          </w:tcPr>
          <w:p w14:paraId="51F03DD0" w14:textId="77777777" w:rsidR="00A50CD2" w:rsidRPr="006B57B8" w:rsidRDefault="00A50CD2" w:rsidP="00814732">
            <w:pPr>
              <w:jc w:val="center"/>
              <w:rPr>
                <w:b/>
                <w:color w:val="auto"/>
              </w:rPr>
            </w:pPr>
            <w:r w:rsidRPr="006B57B8">
              <w:rPr>
                <w:b/>
                <w:color w:val="auto"/>
              </w:rPr>
              <w:t>£m</w:t>
            </w:r>
          </w:p>
        </w:tc>
        <w:tc>
          <w:tcPr>
            <w:tcW w:w="866" w:type="pct"/>
            <w:shd w:val="clear" w:color="auto" w:fill="D0CECE"/>
            <w:vAlign w:val="bottom"/>
          </w:tcPr>
          <w:p w14:paraId="088037C5" w14:textId="77777777" w:rsidR="00A50CD2" w:rsidRPr="006B57B8" w:rsidRDefault="00A50CD2" w:rsidP="00814732">
            <w:pPr>
              <w:jc w:val="center"/>
              <w:rPr>
                <w:b/>
                <w:color w:val="auto"/>
              </w:rPr>
            </w:pPr>
            <w:r w:rsidRPr="006B57B8">
              <w:rPr>
                <w:b/>
                <w:color w:val="auto"/>
              </w:rPr>
              <w:t>£m</w:t>
            </w:r>
          </w:p>
        </w:tc>
        <w:tc>
          <w:tcPr>
            <w:tcW w:w="995" w:type="pct"/>
            <w:shd w:val="clear" w:color="auto" w:fill="D0CECE"/>
            <w:vAlign w:val="bottom"/>
          </w:tcPr>
          <w:p w14:paraId="39E846ED" w14:textId="77777777" w:rsidR="00A50CD2" w:rsidRPr="006B57B8" w:rsidRDefault="00A50CD2" w:rsidP="00814732">
            <w:pPr>
              <w:jc w:val="center"/>
              <w:rPr>
                <w:b/>
                <w:color w:val="auto"/>
              </w:rPr>
            </w:pPr>
            <w:r w:rsidRPr="006B57B8">
              <w:rPr>
                <w:b/>
                <w:color w:val="auto"/>
              </w:rPr>
              <w:t>£m</w:t>
            </w:r>
          </w:p>
        </w:tc>
        <w:tc>
          <w:tcPr>
            <w:tcW w:w="900" w:type="pct"/>
            <w:shd w:val="clear" w:color="auto" w:fill="D0CECE"/>
            <w:vAlign w:val="bottom"/>
          </w:tcPr>
          <w:p w14:paraId="1EF5BB15" w14:textId="77777777" w:rsidR="00A50CD2" w:rsidRPr="006B57B8" w:rsidRDefault="00A50CD2" w:rsidP="00814732">
            <w:pPr>
              <w:jc w:val="center"/>
              <w:rPr>
                <w:b/>
                <w:color w:val="auto"/>
              </w:rPr>
            </w:pPr>
            <w:r w:rsidRPr="006B57B8">
              <w:rPr>
                <w:b/>
                <w:color w:val="auto"/>
              </w:rPr>
              <w:t>£m</w:t>
            </w:r>
          </w:p>
        </w:tc>
      </w:tr>
      <w:tr w:rsidR="00A50CD2" w:rsidRPr="00250CDF" w14:paraId="2D44DC58" w14:textId="77777777" w:rsidTr="00814732">
        <w:trPr>
          <w:trHeight w:val="369"/>
        </w:trPr>
        <w:tc>
          <w:tcPr>
            <w:tcW w:w="1246" w:type="pct"/>
            <w:shd w:val="clear" w:color="auto" w:fill="auto"/>
            <w:vAlign w:val="bottom"/>
          </w:tcPr>
          <w:p w14:paraId="088ECAEA" w14:textId="77777777" w:rsidR="00A50CD2" w:rsidRPr="006B57B8" w:rsidRDefault="00A50CD2" w:rsidP="00814732">
            <w:pPr>
              <w:jc w:val="left"/>
              <w:rPr>
                <w:color w:val="auto"/>
              </w:rPr>
            </w:pPr>
            <w:r w:rsidRPr="006B57B8">
              <w:rPr>
                <w:color w:val="auto"/>
              </w:rPr>
              <w:t>Loans &amp; Receivables</w:t>
            </w:r>
          </w:p>
        </w:tc>
        <w:tc>
          <w:tcPr>
            <w:tcW w:w="993" w:type="pct"/>
            <w:vAlign w:val="bottom"/>
          </w:tcPr>
          <w:p w14:paraId="690B39AA" w14:textId="77777777" w:rsidR="00A50CD2" w:rsidRPr="006B57B8" w:rsidRDefault="00A50CD2" w:rsidP="00814732">
            <w:pPr>
              <w:tabs>
                <w:tab w:val="decimal" w:pos="1026"/>
              </w:tabs>
              <w:rPr>
                <w:color w:val="auto"/>
              </w:rPr>
            </w:pPr>
            <w:r w:rsidRPr="006B57B8">
              <w:rPr>
                <w:color w:val="auto"/>
              </w:rPr>
              <w:t>303.</w:t>
            </w:r>
            <w:r>
              <w:rPr>
                <w:color w:val="auto"/>
              </w:rPr>
              <w:t>8</w:t>
            </w:r>
          </w:p>
        </w:tc>
        <w:tc>
          <w:tcPr>
            <w:tcW w:w="866" w:type="pct"/>
            <w:vAlign w:val="bottom"/>
          </w:tcPr>
          <w:p w14:paraId="6EB0139C" w14:textId="77777777" w:rsidR="00A50CD2" w:rsidRPr="006B57B8" w:rsidRDefault="00A50CD2" w:rsidP="00814732">
            <w:pPr>
              <w:tabs>
                <w:tab w:val="decimal" w:pos="890"/>
              </w:tabs>
              <w:rPr>
                <w:color w:val="auto"/>
              </w:rPr>
            </w:pPr>
            <w:r w:rsidRPr="006B57B8">
              <w:rPr>
                <w:color w:val="auto"/>
              </w:rPr>
              <w:t>315.3</w:t>
            </w:r>
          </w:p>
        </w:tc>
        <w:tc>
          <w:tcPr>
            <w:tcW w:w="995" w:type="pct"/>
            <w:shd w:val="clear" w:color="auto" w:fill="auto"/>
            <w:vAlign w:val="bottom"/>
          </w:tcPr>
          <w:p w14:paraId="73ED343D" w14:textId="77777777" w:rsidR="00A50CD2" w:rsidRPr="006B57B8" w:rsidRDefault="00A50CD2" w:rsidP="00814732">
            <w:pPr>
              <w:tabs>
                <w:tab w:val="decimal" w:pos="1168"/>
              </w:tabs>
              <w:rPr>
                <w:color w:val="auto"/>
              </w:rPr>
            </w:pPr>
            <w:r w:rsidRPr="006B57B8">
              <w:rPr>
                <w:color w:val="auto"/>
              </w:rPr>
              <w:t>242.2</w:t>
            </w:r>
          </w:p>
        </w:tc>
        <w:tc>
          <w:tcPr>
            <w:tcW w:w="900" w:type="pct"/>
            <w:shd w:val="clear" w:color="auto" w:fill="auto"/>
            <w:vAlign w:val="bottom"/>
          </w:tcPr>
          <w:p w14:paraId="6DFA1001" w14:textId="77777777" w:rsidR="00A50CD2" w:rsidRDefault="00A50CD2" w:rsidP="00814732">
            <w:pPr>
              <w:tabs>
                <w:tab w:val="decimal" w:pos="1026"/>
              </w:tabs>
              <w:rPr>
                <w:color w:val="auto"/>
              </w:rPr>
            </w:pPr>
            <w:r w:rsidRPr="006B57B8">
              <w:rPr>
                <w:color w:val="auto"/>
              </w:rPr>
              <w:t>244.3</w:t>
            </w:r>
          </w:p>
        </w:tc>
      </w:tr>
    </w:tbl>
    <w:p w14:paraId="45C5D7B0" w14:textId="77777777" w:rsidR="00A50CD2" w:rsidRDefault="00A50CD2" w:rsidP="00A50CD2">
      <w:pPr>
        <w:rPr>
          <w:lang w:eastAsia="en-GB"/>
        </w:rPr>
      </w:pPr>
    </w:p>
    <w:p w14:paraId="51F04BDC" w14:textId="77777777" w:rsidR="00A50CD2" w:rsidRDefault="00A50CD2" w:rsidP="00A50CD2">
      <w:pPr>
        <w:rPr>
          <w:lang w:eastAsia="en-GB"/>
        </w:rPr>
      </w:pPr>
      <w:r w:rsidRPr="00ED2793">
        <w:rPr>
          <w:lang w:eastAsia="en-GB"/>
        </w:rPr>
        <w:t>The fair value of the assets is higher than the carrying amount because the council’s portfolio of investments includes a number of fixed rate loans where the interest rate receivable is higher than the rates available for similar loans at the balance sheet date.  This shows a notional future profit (based on economic conditions at 31 March 2015) attributable to the commitment to receive interest above current market rates.</w:t>
      </w:r>
    </w:p>
    <w:p w14:paraId="0EC79F39" w14:textId="77777777" w:rsidR="005A08A9" w:rsidRDefault="005A08A9" w:rsidP="00A50CD2">
      <w:pPr>
        <w:rPr>
          <w:lang w:eastAsia="en-GB"/>
        </w:rPr>
      </w:pPr>
    </w:p>
    <w:p w14:paraId="1219FB95" w14:textId="7337C08A" w:rsidR="005A08A9" w:rsidRPr="00ED2793" w:rsidRDefault="005A08A9" w:rsidP="005A08A9">
      <w:pPr>
        <w:pStyle w:val="Heading2"/>
      </w:pPr>
      <w:r w:rsidRPr="00ED2793">
        <w:lastRenderedPageBreak/>
        <w:t>2</w:t>
      </w:r>
      <w:r w:rsidR="005B4833">
        <w:t>6</w:t>
      </w:r>
      <w:r w:rsidRPr="00ED2793">
        <w:t xml:space="preserve">. Nature and </w:t>
      </w:r>
      <w:r w:rsidR="00311222">
        <w:t>e</w:t>
      </w:r>
      <w:r w:rsidRPr="00ED2793">
        <w:t xml:space="preserve">xtent of </w:t>
      </w:r>
      <w:r w:rsidR="00311222">
        <w:t>r</w:t>
      </w:r>
      <w:r w:rsidRPr="00ED2793">
        <w:t xml:space="preserve">isks </w:t>
      </w:r>
      <w:r w:rsidR="00311222">
        <w:t>a</w:t>
      </w:r>
      <w:r w:rsidRPr="00ED2793">
        <w:t xml:space="preserve">rising </w:t>
      </w:r>
      <w:r w:rsidR="00311222">
        <w:t>f</w:t>
      </w:r>
      <w:r w:rsidRPr="00ED2793">
        <w:t xml:space="preserve">rom </w:t>
      </w:r>
      <w:r w:rsidR="00311222">
        <w:t>f</w:t>
      </w:r>
      <w:r w:rsidRPr="00ED2793">
        <w:t xml:space="preserve">inancial </w:t>
      </w:r>
      <w:r w:rsidR="00311222">
        <w:t>i</w:t>
      </w:r>
      <w:r w:rsidRPr="00ED2793">
        <w:t>nstruments</w:t>
      </w:r>
    </w:p>
    <w:p w14:paraId="09D54D29" w14:textId="77777777" w:rsidR="005A08A9" w:rsidRPr="00ED2793" w:rsidRDefault="005A08A9" w:rsidP="005A08A9">
      <w:pPr>
        <w:rPr>
          <w:lang w:eastAsia="en-GB"/>
        </w:rPr>
      </w:pPr>
      <w:r w:rsidRPr="00ED2793">
        <w:rPr>
          <w:lang w:eastAsia="en-GB"/>
        </w:rPr>
        <w:t>The council's activities expose it to a variety of financial risks:</w:t>
      </w:r>
    </w:p>
    <w:p w14:paraId="56FDE30D" w14:textId="77777777" w:rsidR="005A08A9" w:rsidRPr="00ED2793" w:rsidRDefault="005A08A9" w:rsidP="00EC401F">
      <w:pPr>
        <w:numPr>
          <w:ilvl w:val="0"/>
          <w:numId w:val="37"/>
        </w:numPr>
        <w:rPr>
          <w:lang w:eastAsia="en-GB"/>
        </w:rPr>
      </w:pPr>
      <w:r w:rsidRPr="00ED2793">
        <w:rPr>
          <w:b/>
          <w:lang w:eastAsia="en-GB"/>
        </w:rPr>
        <w:t>Credit risk</w:t>
      </w:r>
      <w:r w:rsidRPr="00ED2793">
        <w:rPr>
          <w:lang w:eastAsia="en-GB"/>
        </w:rPr>
        <w:t xml:space="preserve"> – the possibility that other parties might fail to pay amounts due to the council.</w:t>
      </w:r>
    </w:p>
    <w:p w14:paraId="64FC5CA9" w14:textId="77777777" w:rsidR="005A08A9" w:rsidRPr="00ED2793" w:rsidRDefault="005A08A9" w:rsidP="00EC401F">
      <w:pPr>
        <w:numPr>
          <w:ilvl w:val="0"/>
          <w:numId w:val="37"/>
        </w:numPr>
        <w:rPr>
          <w:lang w:eastAsia="en-GB"/>
        </w:rPr>
      </w:pPr>
      <w:r w:rsidRPr="00ED2793">
        <w:rPr>
          <w:b/>
          <w:lang w:eastAsia="en-GB"/>
        </w:rPr>
        <w:t>Liquidity risk</w:t>
      </w:r>
      <w:r w:rsidRPr="00ED2793">
        <w:rPr>
          <w:lang w:eastAsia="en-GB"/>
        </w:rPr>
        <w:t xml:space="preserve"> – the possibility that the council might not have funds available to meet its commitments to make payments.</w:t>
      </w:r>
    </w:p>
    <w:p w14:paraId="407BB1A9" w14:textId="77777777" w:rsidR="005A08A9" w:rsidRPr="00ED2793" w:rsidRDefault="005A08A9" w:rsidP="00EC401F">
      <w:pPr>
        <w:numPr>
          <w:ilvl w:val="0"/>
          <w:numId w:val="37"/>
        </w:numPr>
        <w:rPr>
          <w:lang w:eastAsia="en-GB"/>
        </w:rPr>
      </w:pPr>
      <w:r w:rsidRPr="00ED2793">
        <w:rPr>
          <w:b/>
          <w:lang w:eastAsia="en-GB"/>
        </w:rPr>
        <w:t>Market risk</w:t>
      </w:r>
      <w:r w:rsidRPr="00ED2793">
        <w:rPr>
          <w:lang w:eastAsia="en-GB"/>
        </w:rPr>
        <w:t xml:space="preserve"> – the possibility that financial loss might arise for the council as a result of changes in such measures as interest rates and stock movements.</w:t>
      </w:r>
    </w:p>
    <w:p w14:paraId="645B7A4E" w14:textId="77777777" w:rsidR="005A08A9" w:rsidRPr="00ED2793" w:rsidRDefault="005A08A9" w:rsidP="005A08A9">
      <w:pPr>
        <w:rPr>
          <w:lang w:eastAsia="en-GB"/>
        </w:rPr>
      </w:pPr>
      <w:r w:rsidRPr="00ED2793">
        <w:rPr>
          <w:lang w:eastAsia="en-GB"/>
        </w:rPr>
        <w:t>The council's overall risk management programme focuses on the unpredictability of financial markets and seeks to minimise potential adverse effects on the resources available to fund services. Risk management is carried out by a central treasury team, under policies approved by the county council in the annual treasury management strategy.</w:t>
      </w:r>
    </w:p>
    <w:p w14:paraId="24700157" w14:textId="52291399" w:rsidR="005A08A9" w:rsidRPr="00CD1FC1" w:rsidRDefault="005A08A9" w:rsidP="005A08A9">
      <w:pPr>
        <w:rPr>
          <w:b/>
          <w:lang w:eastAsia="en-GB"/>
        </w:rPr>
      </w:pPr>
      <w:r w:rsidRPr="00CD1FC1">
        <w:rPr>
          <w:b/>
          <w:lang w:eastAsia="en-GB"/>
        </w:rPr>
        <w:t xml:space="preserve">Credit </w:t>
      </w:r>
      <w:r w:rsidR="00311222">
        <w:rPr>
          <w:b/>
          <w:lang w:eastAsia="en-GB"/>
        </w:rPr>
        <w:t>r</w:t>
      </w:r>
      <w:r w:rsidRPr="00CD1FC1">
        <w:rPr>
          <w:b/>
          <w:lang w:eastAsia="en-GB"/>
        </w:rPr>
        <w:t>isk</w:t>
      </w:r>
    </w:p>
    <w:p w14:paraId="77F03BDF" w14:textId="77777777" w:rsidR="005A08A9" w:rsidRPr="00CD1FC1" w:rsidRDefault="005A08A9" w:rsidP="005A08A9">
      <w:pPr>
        <w:rPr>
          <w:lang w:eastAsia="en-GB"/>
        </w:rPr>
      </w:pPr>
      <w:r w:rsidRPr="00CD1FC1">
        <w:rPr>
          <w:lang w:eastAsia="en-GB"/>
        </w:rPr>
        <w:t>Credit risk arises from deposits with banks and financial institutions, as well as credit exposures to the county council's customers.</w:t>
      </w:r>
    </w:p>
    <w:p w14:paraId="5635CEF9" w14:textId="77777777" w:rsidR="005A08A9" w:rsidRPr="00CD1FC1" w:rsidRDefault="005A08A9" w:rsidP="005A08A9">
      <w:pPr>
        <w:rPr>
          <w:lang w:eastAsia="en-GB"/>
        </w:rPr>
      </w:pPr>
      <w:r w:rsidRPr="00CD1FC1">
        <w:rPr>
          <w:lang w:eastAsia="en-GB"/>
        </w:rPr>
        <w:t xml:space="preserve">With regard to financial institutions the risk is minimised through the Annual Investment Strategy, which requires that deposits are </w:t>
      </w:r>
      <w:r w:rsidRPr="00CD1FC1">
        <w:rPr>
          <w:lang w:eastAsia="en-GB"/>
        </w:rPr>
        <w:lastRenderedPageBreak/>
        <w:t>not made with an institution unless it meets identified minimum credit criteria, as laid down by the three main credit rating agencies. The strategy also imposes a maximum sum and duration which the county council can be invested in an institution depending upon the quality of credit rating and over the 2014/15 financial year, despite the downgrading of the UK Government, the investment portfolio has maintained a very high AA credit rating. However, in the past credit ratings have been proved to be fallible, and so in addition the treasury team constantly monitor other market information such as credit default swap spreads and equity prices.</w:t>
      </w:r>
    </w:p>
    <w:p w14:paraId="69521520" w14:textId="77777777" w:rsidR="005A08A9" w:rsidRPr="00CD1FC1" w:rsidRDefault="005A08A9" w:rsidP="005A08A9">
      <w:pPr>
        <w:rPr>
          <w:lang w:eastAsia="en-GB"/>
        </w:rPr>
      </w:pPr>
      <w:r w:rsidRPr="00CD1FC1">
        <w:rPr>
          <w:lang w:eastAsia="en-GB"/>
        </w:rPr>
        <w:t>A main principle of the 2014/15 credit risk strategy was to invest mainly in UK government credit through nationalised' banks and government guaranteed bonds. In addition, one of the bank loans is collateralised (backed by UK government securities), providing further access to government credit quality.</w:t>
      </w:r>
    </w:p>
    <w:p w14:paraId="0D015155" w14:textId="77777777" w:rsidR="005A08A9" w:rsidRDefault="005A08A9" w:rsidP="005A08A9">
      <w:pPr>
        <w:rPr>
          <w:lang w:eastAsia="en-GB"/>
        </w:rPr>
      </w:pPr>
      <w:r w:rsidRPr="00CD1FC1">
        <w:rPr>
          <w:lang w:eastAsia="en-GB"/>
        </w:rPr>
        <w:t>The table below analyses the portfolio by the credit rating of the counterparties at 31 March 201</w:t>
      </w:r>
      <w:r>
        <w:rPr>
          <w:lang w:eastAsia="en-GB"/>
        </w:rPr>
        <w:t>5</w:t>
      </w:r>
      <w:r w:rsidRPr="00CD1FC1">
        <w:rPr>
          <w:lang w:eastAsia="en-GB"/>
        </w:rPr>
        <w:t xml:space="preserve"> and summarises the county council's investments as at 31 March 2015 (values exclude impairments and accrued interest), in term of credit ratings. The historic default rate for the individual investment category is applied to each group to give an overall measure of the value at risk. The chance of a default is currently calculated as £1.8m in £586.2m or 0.31% which is considered to be very low, especially considering the current turbulent financial environment.</w:t>
      </w:r>
    </w:p>
    <w:p w14:paraId="0699E227" w14:textId="77777777" w:rsidR="005A08A9" w:rsidRPr="00CD1FC1" w:rsidRDefault="005A08A9" w:rsidP="005A08A9">
      <w:pPr>
        <w:rPr>
          <w:lang w:eastAsia="en-GB"/>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40"/>
        <w:gridCol w:w="978"/>
        <w:gridCol w:w="980"/>
        <w:gridCol w:w="980"/>
        <w:gridCol w:w="980"/>
        <w:gridCol w:w="978"/>
        <w:gridCol w:w="980"/>
        <w:gridCol w:w="980"/>
        <w:gridCol w:w="980"/>
        <w:gridCol w:w="974"/>
      </w:tblGrid>
      <w:tr w:rsidR="005A08A9" w:rsidRPr="003C0F16" w14:paraId="34C6BC9F" w14:textId="77777777" w:rsidTr="0046185C">
        <w:trPr>
          <w:trHeight w:val="369"/>
          <w:tblHeader/>
        </w:trPr>
        <w:tc>
          <w:tcPr>
            <w:tcW w:w="784" w:type="pct"/>
            <w:shd w:val="clear" w:color="auto" w:fill="D0CECE"/>
            <w:vAlign w:val="bottom"/>
          </w:tcPr>
          <w:p w14:paraId="5885B574" w14:textId="77777777" w:rsidR="005A08A9" w:rsidRPr="00A06955" w:rsidRDefault="005A08A9" w:rsidP="0046185C">
            <w:pPr>
              <w:jc w:val="center"/>
              <w:rPr>
                <w:b/>
                <w:color w:val="auto"/>
                <w:sz w:val="20"/>
                <w:szCs w:val="20"/>
              </w:rPr>
            </w:pPr>
            <w:r w:rsidRPr="00A06955">
              <w:rPr>
                <w:b/>
                <w:color w:val="auto"/>
                <w:sz w:val="20"/>
                <w:szCs w:val="20"/>
              </w:rPr>
              <w:t>Credit Risk</w:t>
            </w:r>
          </w:p>
        </w:tc>
        <w:tc>
          <w:tcPr>
            <w:tcW w:w="468" w:type="pct"/>
            <w:shd w:val="clear" w:color="auto" w:fill="D0CECE"/>
            <w:vAlign w:val="bottom"/>
          </w:tcPr>
          <w:p w14:paraId="1C8F0154" w14:textId="77777777" w:rsidR="005A08A9" w:rsidRPr="00A06955" w:rsidRDefault="005A08A9" w:rsidP="0046185C">
            <w:pPr>
              <w:jc w:val="center"/>
              <w:rPr>
                <w:b/>
                <w:color w:val="auto"/>
                <w:sz w:val="20"/>
                <w:szCs w:val="20"/>
              </w:rPr>
            </w:pPr>
            <w:r w:rsidRPr="00A06955">
              <w:rPr>
                <w:b/>
                <w:color w:val="auto"/>
                <w:sz w:val="20"/>
                <w:szCs w:val="20"/>
              </w:rPr>
              <w:t>&lt;1mth</w:t>
            </w:r>
          </w:p>
        </w:tc>
        <w:tc>
          <w:tcPr>
            <w:tcW w:w="469" w:type="pct"/>
            <w:shd w:val="clear" w:color="auto" w:fill="D0CECE"/>
            <w:vAlign w:val="bottom"/>
          </w:tcPr>
          <w:p w14:paraId="3532B35B" w14:textId="77777777" w:rsidR="005A08A9" w:rsidRPr="00A06955" w:rsidRDefault="005A08A9" w:rsidP="0046185C">
            <w:pPr>
              <w:jc w:val="center"/>
              <w:rPr>
                <w:b/>
                <w:color w:val="auto"/>
                <w:sz w:val="20"/>
                <w:szCs w:val="20"/>
              </w:rPr>
            </w:pPr>
            <w:r w:rsidRPr="00A06955">
              <w:rPr>
                <w:b/>
                <w:color w:val="auto"/>
                <w:sz w:val="20"/>
                <w:szCs w:val="20"/>
              </w:rPr>
              <w:t>&lt;3mth</w:t>
            </w:r>
          </w:p>
        </w:tc>
        <w:tc>
          <w:tcPr>
            <w:tcW w:w="469" w:type="pct"/>
            <w:shd w:val="clear" w:color="auto" w:fill="D0CECE"/>
            <w:vAlign w:val="bottom"/>
          </w:tcPr>
          <w:p w14:paraId="75177A9B" w14:textId="77777777" w:rsidR="005A08A9" w:rsidRPr="00A06955" w:rsidRDefault="005A08A9" w:rsidP="0046185C">
            <w:pPr>
              <w:jc w:val="center"/>
              <w:rPr>
                <w:b/>
                <w:color w:val="auto"/>
                <w:sz w:val="20"/>
                <w:szCs w:val="20"/>
              </w:rPr>
            </w:pPr>
            <w:r w:rsidRPr="00A06955">
              <w:rPr>
                <w:b/>
                <w:color w:val="auto"/>
                <w:sz w:val="20"/>
                <w:szCs w:val="20"/>
              </w:rPr>
              <w:t>&lt;6mth</w:t>
            </w:r>
          </w:p>
        </w:tc>
        <w:tc>
          <w:tcPr>
            <w:tcW w:w="469" w:type="pct"/>
            <w:shd w:val="clear" w:color="auto" w:fill="D0CECE"/>
            <w:vAlign w:val="bottom"/>
          </w:tcPr>
          <w:p w14:paraId="20C77044" w14:textId="77777777" w:rsidR="005A08A9" w:rsidRPr="00A06955" w:rsidRDefault="005A08A9" w:rsidP="0046185C">
            <w:pPr>
              <w:jc w:val="center"/>
              <w:rPr>
                <w:b/>
                <w:color w:val="auto"/>
                <w:sz w:val="20"/>
                <w:szCs w:val="20"/>
              </w:rPr>
            </w:pPr>
            <w:r w:rsidRPr="00A06955">
              <w:rPr>
                <w:b/>
                <w:color w:val="auto"/>
                <w:sz w:val="20"/>
                <w:szCs w:val="20"/>
              </w:rPr>
              <w:t>&lt;1yr</w:t>
            </w:r>
          </w:p>
        </w:tc>
        <w:tc>
          <w:tcPr>
            <w:tcW w:w="468" w:type="pct"/>
            <w:shd w:val="clear" w:color="auto" w:fill="D0CECE"/>
            <w:vAlign w:val="bottom"/>
          </w:tcPr>
          <w:p w14:paraId="1E2AA02B" w14:textId="77777777" w:rsidR="005A08A9" w:rsidRPr="00A06955" w:rsidRDefault="005A08A9" w:rsidP="0046185C">
            <w:pPr>
              <w:jc w:val="center"/>
              <w:rPr>
                <w:b/>
                <w:color w:val="auto"/>
                <w:sz w:val="20"/>
                <w:szCs w:val="20"/>
              </w:rPr>
            </w:pPr>
            <w:r w:rsidRPr="00A06955">
              <w:rPr>
                <w:b/>
                <w:color w:val="auto"/>
                <w:sz w:val="20"/>
                <w:szCs w:val="20"/>
              </w:rPr>
              <w:t>&lt;2yr</w:t>
            </w:r>
          </w:p>
        </w:tc>
        <w:tc>
          <w:tcPr>
            <w:tcW w:w="469" w:type="pct"/>
            <w:shd w:val="clear" w:color="auto" w:fill="D0CECE"/>
            <w:vAlign w:val="bottom"/>
          </w:tcPr>
          <w:p w14:paraId="644F65B0" w14:textId="77777777" w:rsidR="005A08A9" w:rsidRPr="00A06955" w:rsidRDefault="005A08A9" w:rsidP="0046185C">
            <w:pPr>
              <w:jc w:val="center"/>
              <w:rPr>
                <w:b/>
                <w:color w:val="auto"/>
                <w:sz w:val="20"/>
                <w:szCs w:val="20"/>
              </w:rPr>
            </w:pPr>
            <w:r w:rsidRPr="00A06955">
              <w:rPr>
                <w:b/>
                <w:color w:val="auto"/>
                <w:sz w:val="20"/>
                <w:szCs w:val="20"/>
              </w:rPr>
              <w:t>&lt;5yr</w:t>
            </w:r>
          </w:p>
        </w:tc>
        <w:tc>
          <w:tcPr>
            <w:tcW w:w="469" w:type="pct"/>
            <w:shd w:val="clear" w:color="auto" w:fill="D0CECE"/>
            <w:vAlign w:val="bottom"/>
          </w:tcPr>
          <w:p w14:paraId="54FD097F" w14:textId="77777777" w:rsidR="005A08A9" w:rsidRPr="00A06955" w:rsidRDefault="005A08A9" w:rsidP="0046185C">
            <w:pPr>
              <w:jc w:val="center"/>
              <w:rPr>
                <w:b/>
                <w:color w:val="auto"/>
                <w:sz w:val="20"/>
                <w:szCs w:val="20"/>
              </w:rPr>
            </w:pPr>
            <w:r w:rsidRPr="00A06955">
              <w:rPr>
                <w:b/>
                <w:color w:val="auto"/>
                <w:sz w:val="20"/>
                <w:szCs w:val="20"/>
              </w:rPr>
              <w:t>&lt;10yr</w:t>
            </w:r>
          </w:p>
        </w:tc>
        <w:tc>
          <w:tcPr>
            <w:tcW w:w="469" w:type="pct"/>
            <w:shd w:val="clear" w:color="auto" w:fill="D0CECE"/>
            <w:vAlign w:val="bottom"/>
          </w:tcPr>
          <w:p w14:paraId="0A6230F2" w14:textId="77777777" w:rsidR="005A08A9" w:rsidRPr="00A06955" w:rsidRDefault="005A08A9" w:rsidP="0046185C">
            <w:pPr>
              <w:jc w:val="center"/>
              <w:rPr>
                <w:b/>
                <w:color w:val="auto"/>
                <w:sz w:val="20"/>
                <w:szCs w:val="20"/>
              </w:rPr>
            </w:pPr>
            <w:r w:rsidRPr="00A06955">
              <w:rPr>
                <w:b/>
                <w:color w:val="auto"/>
                <w:sz w:val="20"/>
                <w:szCs w:val="20"/>
              </w:rPr>
              <w:t>&gt;10yr</w:t>
            </w:r>
          </w:p>
        </w:tc>
        <w:tc>
          <w:tcPr>
            <w:tcW w:w="466" w:type="pct"/>
            <w:shd w:val="clear" w:color="auto" w:fill="D0CECE"/>
            <w:vAlign w:val="bottom"/>
          </w:tcPr>
          <w:p w14:paraId="73FC654A" w14:textId="77777777" w:rsidR="005A08A9" w:rsidRPr="00A06955" w:rsidRDefault="005A08A9" w:rsidP="0046185C">
            <w:pPr>
              <w:jc w:val="center"/>
              <w:rPr>
                <w:b/>
                <w:color w:val="auto"/>
                <w:sz w:val="20"/>
                <w:szCs w:val="20"/>
              </w:rPr>
            </w:pPr>
            <w:r w:rsidRPr="00A06955">
              <w:rPr>
                <w:b/>
                <w:color w:val="auto"/>
                <w:sz w:val="20"/>
                <w:szCs w:val="20"/>
              </w:rPr>
              <w:t>Total</w:t>
            </w:r>
          </w:p>
        </w:tc>
      </w:tr>
      <w:tr w:rsidR="005A08A9" w:rsidRPr="003C0F16" w14:paraId="6AF2E412" w14:textId="77777777" w:rsidTr="0046185C">
        <w:trPr>
          <w:trHeight w:val="369"/>
        </w:trPr>
        <w:tc>
          <w:tcPr>
            <w:tcW w:w="784" w:type="pct"/>
            <w:shd w:val="clear" w:color="auto" w:fill="auto"/>
            <w:vAlign w:val="bottom"/>
          </w:tcPr>
          <w:p w14:paraId="473EF99A" w14:textId="77777777" w:rsidR="005A08A9" w:rsidRPr="00A06955" w:rsidRDefault="005A08A9" w:rsidP="0046185C">
            <w:pPr>
              <w:jc w:val="left"/>
              <w:rPr>
                <w:b/>
                <w:color w:val="auto"/>
                <w:sz w:val="20"/>
                <w:szCs w:val="20"/>
                <w:vertAlign w:val="superscript"/>
              </w:rPr>
            </w:pPr>
            <w:r w:rsidRPr="00A06955">
              <w:rPr>
                <w:b/>
                <w:color w:val="auto"/>
                <w:sz w:val="20"/>
                <w:szCs w:val="20"/>
              </w:rPr>
              <w:t>Total Investments (£m)</w:t>
            </w:r>
          </w:p>
        </w:tc>
        <w:tc>
          <w:tcPr>
            <w:tcW w:w="468" w:type="pct"/>
            <w:shd w:val="clear" w:color="auto" w:fill="auto"/>
            <w:vAlign w:val="bottom"/>
          </w:tcPr>
          <w:p w14:paraId="55FA5A9E" w14:textId="77777777" w:rsidR="005A08A9" w:rsidRPr="00A06955" w:rsidRDefault="005A08A9" w:rsidP="0046185C">
            <w:pPr>
              <w:tabs>
                <w:tab w:val="decimal" w:pos="388"/>
              </w:tabs>
              <w:rPr>
                <w:b/>
                <w:color w:val="auto"/>
                <w:sz w:val="20"/>
                <w:szCs w:val="20"/>
              </w:rPr>
            </w:pPr>
            <w:r>
              <w:rPr>
                <w:b/>
                <w:color w:val="auto"/>
                <w:sz w:val="20"/>
                <w:szCs w:val="20"/>
              </w:rPr>
              <w:t>107.2</w:t>
            </w:r>
          </w:p>
        </w:tc>
        <w:tc>
          <w:tcPr>
            <w:tcW w:w="469" w:type="pct"/>
            <w:shd w:val="clear" w:color="auto" w:fill="auto"/>
            <w:vAlign w:val="bottom"/>
          </w:tcPr>
          <w:p w14:paraId="007338CB" w14:textId="77777777" w:rsidR="005A08A9" w:rsidRPr="00A06955" w:rsidRDefault="005A08A9" w:rsidP="0046185C">
            <w:pPr>
              <w:tabs>
                <w:tab w:val="decimal" w:pos="388"/>
              </w:tabs>
              <w:rPr>
                <w:b/>
                <w:color w:val="auto"/>
                <w:sz w:val="20"/>
                <w:szCs w:val="20"/>
              </w:rPr>
            </w:pPr>
            <w:r w:rsidRPr="00A06955">
              <w:rPr>
                <w:b/>
                <w:color w:val="auto"/>
                <w:sz w:val="20"/>
                <w:szCs w:val="20"/>
              </w:rPr>
              <w:t>35.0</w:t>
            </w:r>
          </w:p>
        </w:tc>
        <w:tc>
          <w:tcPr>
            <w:tcW w:w="469" w:type="pct"/>
            <w:shd w:val="clear" w:color="auto" w:fill="auto"/>
            <w:vAlign w:val="bottom"/>
          </w:tcPr>
          <w:p w14:paraId="5F566B9B" w14:textId="77777777" w:rsidR="005A08A9" w:rsidRPr="00A06955" w:rsidRDefault="005A08A9" w:rsidP="0046185C">
            <w:pPr>
              <w:tabs>
                <w:tab w:val="decimal" w:pos="388"/>
              </w:tabs>
              <w:rPr>
                <w:b/>
                <w:color w:val="auto"/>
                <w:sz w:val="20"/>
                <w:szCs w:val="20"/>
              </w:rPr>
            </w:pPr>
            <w:r w:rsidRPr="00A06955">
              <w:rPr>
                <w:b/>
                <w:color w:val="auto"/>
                <w:sz w:val="20"/>
                <w:szCs w:val="20"/>
              </w:rPr>
              <w:t>-</w:t>
            </w:r>
          </w:p>
        </w:tc>
        <w:tc>
          <w:tcPr>
            <w:tcW w:w="469" w:type="pct"/>
            <w:shd w:val="clear" w:color="auto" w:fill="auto"/>
            <w:vAlign w:val="bottom"/>
          </w:tcPr>
          <w:p w14:paraId="116B0B6E" w14:textId="77777777" w:rsidR="005A08A9" w:rsidRPr="00A06955" w:rsidRDefault="005A08A9" w:rsidP="0046185C">
            <w:pPr>
              <w:tabs>
                <w:tab w:val="decimal" w:pos="388"/>
              </w:tabs>
              <w:rPr>
                <w:b/>
                <w:color w:val="auto"/>
                <w:sz w:val="20"/>
                <w:szCs w:val="20"/>
              </w:rPr>
            </w:pPr>
            <w:r w:rsidRPr="00A06955">
              <w:rPr>
                <w:b/>
                <w:color w:val="auto"/>
                <w:sz w:val="20"/>
                <w:szCs w:val="20"/>
              </w:rPr>
              <w:t>55.0</w:t>
            </w:r>
          </w:p>
        </w:tc>
        <w:tc>
          <w:tcPr>
            <w:tcW w:w="468" w:type="pct"/>
            <w:shd w:val="clear" w:color="auto" w:fill="auto"/>
            <w:vAlign w:val="bottom"/>
          </w:tcPr>
          <w:p w14:paraId="52A22C0A" w14:textId="77777777" w:rsidR="005A08A9" w:rsidRPr="00A06955" w:rsidRDefault="005A08A9" w:rsidP="0046185C">
            <w:pPr>
              <w:tabs>
                <w:tab w:val="decimal" w:pos="388"/>
              </w:tabs>
              <w:rPr>
                <w:b/>
                <w:color w:val="auto"/>
                <w:sz w:val="20"/>
                <w:szCs w:val="20"/>
              </w:rPr>
            </w:pPr>
            <w:r w:rsidRPr="00A06955">
              <w:rPr>
                <w:b/>
                <w:color w:val="auto"/>
                <w:sz w:val="20"/>
                <w:szCs w:val="20"/>
              </w:rPr>
              <w:t>55.3</w:t>
            </w:r>
          </w:p>
        </w:tc>
        <w:tc>
          <w:tcPr>
            <w:tcW w:w="469" w:type="pct"/>
            <w:shd w:val="clear" w:color="auto" w:fill="auto"/>
            <w:vAlign w:val="bottom"/>
          </w:tcPr>
          <w:p w14:paraId="32805480" w14:textId="77777777" w:rsidR="005A08A9" w:rsidRPr="00A06955" w:rsidRDefault="005A08A9" w:rsidP="0046185C">
            <w:pPr>
              <w:tabs>
                <w:tab w:val="decimal" w:pos="388"/>
              </w:tabs>
              <w:rPr>
                <w:b/>
                <w:color w:val="auto"/>
                <w:sz w:val="20"/>
                <w:szCs w:val="20"/>
              </w:rPr>
            </w:pPr>
            <w:r w:rsidRPr="00A06955">
              <w:rPr>
                <w:b/>
                <w:color w:val="auto"/>
                <w:sz w:val="20"/>
                <w:szCs w:val="20"/>
              </w:rPr>
              <w:t>171.5</w:t>
            </w:r>
          </w:p>
        </w:tc>
        <w:tc>
          <w:tcPr>
            <w:tcW w:w="469" w:type="pct"/>
            <w:shd w:val="clear" w:color="auto" w:fill="auto"/>
            <w:vAlign w:val="bottom"/>
          </w:tcPr>
          <w:p w14:paraId="00367650" w14:textId="77777777" w:rsidR="005A08A9" w:rsidRPr="00A06955" w:rsidRDefault="005A08A9" w:rsidP="0046185C">
            <w:pPr>
              <w:tabs>
                <w:tab w:val="decimal" w:pos="388"/>
              </w:tabs>
              <w:rPr>
                <w:b/>
                <w:color w:val="auto"/>
                <w:sz w:val="20"/>
                <w:szCs w:val="20"/>
              </w:rPr>
            </w:pPr>
            <w:r w:rsidRPr="00A06955">
              <w:rPr>
                <w:b/>
                <w:color w:val="auto"/>
                <w:sz w:val="20"/>
                <w:szCs w:val="20"/>
              </w:rPr>
              <w:t>33.4</w:t>
            </w:r>
          </w:p>
        </w:tc>
        <w:tc>
          <w:tcPr>
            <w:tcW w:w="469" w:type="pct"/>
            <w:shd w:val="clear" w:color="auto" w:fill="auto"/>
            <w:vAlign w:val="bottom"/>
          </w:tcPr>
          <w:p w14:paraId="44659D4D" w14:textId="77777777" w:rsidR="005A08A9" w:rsidRPr="00A06955" w:rsidRDefault="005A08A9" w:rsidP="0046185C">
            <w:pPr>
              <w:tabs>
                <w:tab w:val="decimal" w:pos="388"/>
              </w:tabs>
              <w:rPr>
                <w:b/>
                <w:color w:val="auto"/>
                <w:sz w:val="20"/>
                <w:szCs w:val="20"/>
              </w:rPr>
            </w:pPr>
            <w:r w:rsidRPr="00A06955">
              <w:rPr>
                <w:b/>
                <w:color w:val="auto"/>
                <w:sz w:val="20"/>
                <w:szCs w:val="20"/>
              </w:rPr>
              <w:t>128.8</w:t>
            </w:r>
          </w:p>
        </w:tc>
        <w:tc>
          <w:tcPr>
            <w:tcW w:w="466" w:type="pct"/>
            <w:shd w:val="clear" w:color="auto" w:fill="auto"/>
            <w:vAlign w:val="bottom"/>
          </w:tcPr>
          <w:p w14:paraId="09505C55" w14:textId="77777777" w:rsidR="005A08A9" w:rsidRPr="00A06955" w:rsidRDefault="005A08A9" w:rsidP="0046185C">
            <w:pPr>
              <w:tabs>
                <w:tab w:val="decimal" w:pos="388"/>
              </w:tabs>
              <w:rPr>
                <w:b/>
                <w:color w:val="auto"/>
                <w:sz w:val="20"/>
                <w:szCs w:val="20"/>
              </w:rPr>
            </w:pPr>
            <w:r w:rsidRPr="00A06955">
              <w:rPr>
                <w:b/>
                <w:color w:val="auto"/>
                <w:sz w:val="20"/>
                <w:szCs w:val="20"/>
              </w:rPr>
              <w:t>586.</w:t>
            </w:r>
            <w:r>
              <w:rPr>
                <w:b/>
                <w:color w:val="auto"/>
                <w:sz w:val="20"/>
                <w:szCs w:val="20"/>
              </w:rPr>
              <w:t>2</w:t>
            </w:r>
          </w:p>
        </w:tc>
      </w:tr>
      <w:tr w:rsidR="005A08A9" w:rsidRPr="003C0F16" w14:paraId="4163D83F" w14:textId="77777777" w:rsidTr="0046185C">
        <w:trPr>
          <w:trHeight w:val="369"/>
        </w:trPr>
        <w:tc>
          <w:tcPr>
            <w:tcW w:w="784" w:type="pct"/>
            <w:shd w:val="clear" w:color="auto" w:fill="auto"/>
            <w:vAlign w:val="bottom"/>
          </w:tcPr>
          <w:p w14:paraId="0324736A" w14:textId="77777777" w:rsidR="005A08A9" w:rsidRPr="00A06955" w:rsidRDefault="005A08A9" w:rsidP="0046185C">
            <w:pPr>
              <w:jc w:val="left"/>
              <w:rPr>
                <w:color w:val="auto"/>
                <w:sz w:val="20"/>
                <w:szCs w:val="20"/>
              </w:rPr>
            </w:pPr>
            <w:r w:rsidRPr="00A06955">
              <w:rPr>
                <w:color w:val="auto"/>
                <w:sz w:val="20"/>
                <w:szCs w:val="20"/>
              </w:rPr>
              <w:t>Historic default rate (AA-, %)</w:t>
            </w:r>
          </w:p>
        </w:tc>
        <w:tc>
          <w:tcPr>
            <w:tcW w:w="468" w:type="pct"/>
            <w:shd w:val="clear" w:color="auto" w:fill="auto"/>
            <w:vAlign w:val="bottom"/>
          </w:tcPr>
          <w:p w14:paraId="286C5A23" w14:textId="77777777" w:rsidR="005A08A9" w:rsidRPr="00A06955" w:rsidRDefault="005A08A9" w:rsidP="0046185C">
            <w:pPr>
              <w:tabs>
                <w:tab w:val="decimal" w:pos="388"/>
              </w:tabs>
              <w:rPr>
                <w:color w:val="auto"/>
                <w:sz w:val="20"/>
                <w:szCs w:val="20"/>
              </w:rPr>
            </w:pPr>
            <w:r w:rsidRPr="00A06955">
              <w:rPr>
                <w:color w:val="auto"/>
                <w:sz w:val="20"/>
                <w:szCs w:val="20"/>
              </w:rPr>
              <w:t>-</w:t>
            </w:r>
          </w:p>
        </w:tc>
        <w:tc>
          <w:tcPr>
            <w:tcW w:w="469" w:type="pct"/>
            <w:shd w:val="clear" w:color="auto" w:fill="auto"/>
            <w:vAlign w:val="bottom"/>
          </w:tcPr>
          <w:p w14:paraId="5FCAC622" w14:textId="77777777" w:rsidR="005A08A9" w:rsidRPr="00A06955" w:rsidRDefault="005A08A9" w:rsidP="0046185C">
            <w:pPr>
              <w:tabs>
                <w:tab w:val="decimal" w:pos="388"/>
              </w:tabs>
              <w:rPr>
                <w:color w:val="auto"/>
                <w:sz w:val="20"/>
                <w:szCs w:val="20"/>
              </w:rPr>
            </w:pPr>
            <w:r w:rsidRPr="00A06955">
              <w:rPr>
                <w:color w:val="auto"/>
                <w:sz w:val="20"/>
                <w:szCs w:val="20"/>
              </w:rPr>
              <w:t>0.01</w:t>
            </w:r>
          </w:p>
        </w:tc>
        <w:tc>
          <w:tcPr>
            <w:tcW w:w="469" w:type="pct"/>
            <w:shd w:val="clear" w:color="auto" w:fill="auto"/>
            <w:vAlign w:val="bottom"/>
          </w:tcPr>
          <w:p w14:paraId="011FF9E5" w14:textId="77777777" w:rsidR="005A08A9" w:rsidRPr="00A06955" w:rsidRDefault="005A08A9" w:rsidP="0046185C">
            <w:pPr>
              <w:tabs>
                <w:tab w:val="decimal" w:pos="388"/>
              </w:tabs>
              <w:rPr>
                <w:color w:val="auto"/>
                <w:sz w:val="20"/>
                <w:szCs w:val="20"/>
              </w:rPr>
            </w:pPr>
            <w:r w:rsidRPr="00A06955">
              <w:rPr>
                <w:color w:val="auto"/>
                <w:sz w:val="20"/>
                <w:szCs w:val="20"/>
              </w:rPr>
              <w:t>0.02</w:t>
            </w:r>
          </w:p>
        </w:tc>
        <w:tc>
          <w:tcPr>
            <w:tcW w:w="469" w:type="pct"/>
            <w:shd w:val="clear" w:color="auto" w:fill="auto"/>
            <w:vAlign w:val="bottom"/>
          </w:tcPr>
          <w:p w14:paraId="42C27D1D" w14:textId="77777777" w:rsidR="005A08A9" w:rsidRPr="00A06955" w:rsidRDefault="005A08A9" w:rsidP="0046185C">
            <w:pPr>
              <w:tabs>
                <w:tab w:val="decimal" w:pos="388"/>
              </w:tabs>
              <w:rPr>
                <w:color w:val="auto"/>
                <w:sz w:val="20"/>
                <w:szCs w:val="20"/>
              </w:rPr>
            </w:pPr>
            <w:r w:rsidRPr="00A06955">
              <w:rPr>
                <w:color w:val="auto"/>
                <w:sz w:val="20"/>
                <w:szCs w:val="20"/>
              </w:rPr>
              <w:t>0.04</w:t>
            </w:r>
          </w:p>
        </w:tc>
        <w:tc>
          <w:tcPr>
            <w:tcW w:w="468" w:type="pct"/>
            <w:shd w:val="clear" w:color="auto" w:fill="auto"/>
            <w:vAlign w:val="bottom"/>
          </w:tcPr>
          <w:p w14:paraId="3A46A0D9" w14:textId="77777777" w:rsidR="005A08A9" w:rsidRPr="00A06955" w:rsidRDefault="005A08A9" w:rsidP="0046185C">
            <w:pPr>
              <w:tabs>
                <w:tab w:val="decimal" w:pos="388"/>
              </w:tabs>
              <w:rPr>
                <w:color w:val="auto"/>
                <w:sz w:val="20"/>
                <w:szCs w:val="20"/>
              </w:rPr>
            </w:pPr>
            <w:r w:rsidRPr="00A06955">
              <w:rPr>
                <w:color w:val="auto"/>
                <w:sz w:val="20"/>
                <w:szCs w:val="20"/>
              </w:rPr>
              <w:t>0.09</w:t>
            </w:r>
          </w:p>
        </w:tc>
        <w:tc>
          <w:tcPr>
            <w:tcW w:w="469" w:type="pct"/>
            <w:shd w:val="clear" w:color="auto" w:fill="auto"/>
            <w:vAlign w:val="bottom"/>
          </w:tcPr>
          <w:p w14:paraId="42956592" w14:textId="77777777" w:rsidR="005A08A9" w:rsidRPr="00A06955" w:rsidRDefault="005A08A9" w:rsidP="0046185C">
            <w:pPr>
              <w:tabs>
                <w:tab w:val="decimal" w:pos="388"/>
              </w:tabs>
              <w:rPr>
                <w:color w:val="auto"/>
                <w:sz w:val="20"/>
                <w:szCs w:val="20"/>
              </w:rPr>
            </w:pPr>
            <w:r w:rsidRPr="00A06955">
              <w:rPr>
                <w:color w:val="auto"/>
                <w:sz w:val="20"/>
                <w:szCs w:val="20"/>
              </w:rPr>
              <w:t>0.34</w:t>
            </w:r>
          </w:p>
        </w:tc>
        <w:tc>
          <w:tcPr>
            <w:tcW w:w="469" w:type="pct"/>
            <w:shd w:val="clear" w:color="auto" w:fill="auto"/>
            <w:vAlign w:val="bottom"/>
          </w:tcPr>
          <w:p w14:paraId="7866697A" w14:textId="77777777" w:rsidR="005A08A9" w:rsidRPr="00A06955" w:rsidRDefault="005A08A9" w:rsidP="0046185C">
            <w:pPr>
              <w:tabs>
                <w:tab w:val="decimal" w:pos="388"/>
              </w:tabs>
              <w:rPr>
                <w:color w:val="auto"/>
                <w:sz w:val="20"/>
                <w:szCs w:val="20"/>
              </w:rPr>
            </w:pPr>
            <w:r w:rsidRPr="00A06955">
              <w:rPr>
                <w:color w:val="auto"/>
                <w:sz w:val="20"/>
                <w:szCs w:val="20"/>
              </w:rPr>
              <w:t>0.63</w:t>
            </w:r>
          </w:p>
        </w:tc>
        <w:tc>
          <w:tcPr>
            <w:tcW w:w="469" w:type="pct"/>
            <w:shd w:val="clear" w:color="auto" w:fill="auto"/>
            <w:vAlign w:val="bottom"/>
          </w:tcPr>
          <w:p w14:paraId="0BE96C8D" w14:textId="77777777" w:rsidR="005A08A9" w:rsidRPr="00A06955" w:rsidRDefault="005A08A9" w:rsidP="0046185C">
            <w:pPr>
              <w:tabs>
                <w:tab w:val="decimal" w:pos="388"/>
              </w:tabs>
              <w:rPr>
                <w:color w:val="auto"/>
                <w:sz w:val="20"/>
                <w:szCs w:val="20"/>
              </w:rPr>
            </w:pPr>
            <w:r w:rsidRPr="00A06955">
              <w:rPr>
                <w:color w:val="auto"/>
                <w:sz w:val="20"/>
                <w:szCs w:val="20"/>
              </w:rPr>
              <w:t>0.63</w:t>
            </w:r>
          </w:p>
        </w:tc>
        <w:tc>
          <w:tcPr>
            <w:tcW w:w="466" w:type="pct"/>
            <w:shd w:val="clear" w:color="auto" w:fill="auto"/>
            <w:vAlign w:val="bottom"/>
          </w:tcPr>
          <w:p w14:paraId="14F62130" w14:textId="77777777" w:rsidR="005A08A9" w:rsidRPr="00A06955" w:rsidRDefault="005A08A9" w:rsidP="0046185C">
            <w:pPr>
              <w:tabs>
                <w:tab w:val="decimal" w:pos="388"/>
              </w:tabs>
              <w:rPr>
                <w:color w:val="auto"/>
                <w:sz w:val="20"/>
                <w:szCs w:val="20"/>
              </w:rPr>
            </w:pPr>
          </w:p>
        </w:tc>
      </w:tr>
      <w:tr w:rsidR="005A08A9" w:rsidRPr="003C0F16" w14:paraId="0612D164" w14:textId="77777777" w:rsidTr="0046185C">
        <w:trPr>
          <w:trHeight w:val="369"/>
        </w:trPr>
        <w:tc>
          <w:tcPr>
            <w:tcW w:w="784" w:type="pct"/>
            <w:shd w:val="clear" w:color="auto" w:fill="auto"/>
            <w:vAlign w:val="bottom"/>
          </w:tcPr>
          <w:p w14:paraId="2E6BD05D" w14:textId="77777777" w:rsidR="005A08A9" w:rsidRPr="00A06955" w:rsidRDefault="005A08A9" w:rsidP="0046185C">
            <w:pPr>
              <w:jc w:val="left"/>
              <w:rPr>
                <w:color w:val="auto"/>
                <w:sz w:val="20"/>
                <w:szCs w:val="20"/>
              </w:rPr>
            </w:pPr>
            <w:r w:rsidRPr="00A06955">
              <w:rPr>
                <w:color w:val="auto"/>
                <w:sz w:val="20"/>
                <w:szCs w:val="20"/>
              </w:rPr>
              <w:t>Historic default rate (A+, %)</w:t>
            </w:r>
          </w:p>
        </w:tc>
        <w:tc>
          <w:tcPr>
            <w:tcW w:w="468" w:type="pct"/>
            <w:tcBorders>
              <w:bottom w:val="nil"/>
            </w:tcBorders>
            <w:shd w:val="clear" w:color="auto" w:fill="auto"/>
            <w:vAlign w:val="bottom"/>
          </w:tcPr>
          <w:p w14:paraId="792553B4" w14:textId="77777777" w:rsidR="005A08A9" w:rsidRPr="00A06955" w:rsidRDefault="005A08A9" w:rsidP="0046185C">
            <w:pPr>
              <w:tabs>
                <w:tab w:val="decimal" w:pos="388"/>
              </w:tabs>
              <w:rPr>
                <w:color w:val="auto"/>
                <w:sz w:val="20"/>
                <w:szCs w:val="20"/>
              </w:rPr>
            </w:pPr>
            <w:r w:rsidRPr="00A06955">
              <w:rPr>
                <w:color w:val="auto"/>
                <w:sz w:val="20"/>
                <w:szCs w:val="20"/>
              </w:rPr>
              <w:t>-</w:t>
            </w:r>
          </w:p>
        </w:tc>
        <w:tc>
          <w:tcPr>
            <w:tcW w:w="469" w:type="pct"/>
            <w:tcBorders>
              <w:bottom w:val="nil"/>
            </w:tcBorders>
            <w:shd w:val="clear" w:color="auto" w:fill="auto"/>
            <w:vAlign w:val="bottom"/>
          </w:tcPr>
          <w:p w14:paraId="28090B04" w14:textId="77777777" w:rsidR="005A08A9" w:rsidRPr="00A06955" w:rsidRDefault="005A08A9" w:rsidP="0046185C">
            <w:pPr>
              <w:tabs>
                <w:tab w:val="decimal" w:pos="388"/>
              </w:tabs>
              <w:rPr>
                <w:color w:val="auto"/>
                <w:sz w:val="20"/>
                <w:szCs w:val="20"/>
              </w:rPr>
            </w:pPr>
            <w:r w:rsidRPr="00A06955">
              <w:rPr>
                <w:color w:val="auto"/>
                <w:sz w:val="20"/>
                <w:szCs w:val="20"/>
              </w:rPr>
              <w:t>0.01</w:t>
            </w:r>
          </w:p>
        </w:tc>
        <w:tc>
          <w:tcPr>
            <w:tcW w:w="469" w:type="pct"/>
            <w:tcBorders>
              <w:bottom w:val="nil"/>
            </w:tcBorders>
            <w:shd w:val="clear" w:color="auto" w:fill="auto"/>
            <w:vAlign w:val="bottom"/>
          </w:tcPr>
          <w:p w14:paraId="7DF85E35" w14:textId="77777777" w:rsidR="005A08A9" w:rsidRPr="00A06955" w:rsidRDefault="005A08A9" w:rsidP="0046185C">
            <w:pPr>
              <w:tabs>
                <w:tab w:val="decimal" w:pos="388"/>
              </w:tabs>
              <w:rPr>
                <w:color w:val="auto"/>
                <w:sz w:val="20"/>
                <w:szCs w:val="20"/>
              </w:rPr>
            </w:pPr>
            <w:r w:rsidRPr="00A06955">
              <w:rPr>
                <w:color w:val="auto"/>
                <w:sz w:val="20"/>
                <w:szCs w:val="20"/>
              </w:rPr>
              <w:t>0.02</w:t>
            </w:r>
          </w:p>
        </w:tc>
        <w:tc>
          <w:tcPr>
            <w:tcW w:w="469" w:type="pct"/>
            <w:tcBorders>
              <w:bottom w:val="nil"/>
            </w:tcBorders>
            <w:shd w:val="clear" w:color="auto" w:fill="auto"/>
            <w:vAlign w:val="bottom"/>
          </w:tcPr>
          <w:p w14:paraId="3C431B94" w14:textId="77777777" w:rsidR="005A08A9" w:rsidRPr="00A06955" w:rsidRDefault="005A08A9" w:rsidP="0046185C">
            <w:pPr>
              <w:tabs>
                <w:tab w:val="decimal" w:pos="388"/>
              </w:tabs>
              <w:rPr>
                <w:color w:val="auto"/>
                <w:sz w:val="20"/>
                <w:szCs w:val="20"/>
              </w:rPr>
            </w:pPr>
            <w:r w:rsidRPr="00A06955">
              <w:rPr>
                <w:color w:val="auto"/>
                <w:sz w:val="20"/>
                <w:szCs w:val="20"/>
              </w:rPr>
              <w:t>0.03</w:t>
            </w:r>
          </w:p>
        </w:tc>
        <w:tc>
          <w:tcPr>
            <w:tcW w:w="468" w:type="pct"/>
            <w:tcBorders>
              <w:bottom w:val="nil"/>
            </w:tcBorders>
            <w:shd w:val="clear" w:color="auto" w:fill="auto"/>
            <w:vAlign w:val="bottom"/>
          </w:tcPr>
          <w:p w14:paraId="7585CE36" w14:textId="77777777" w:rsidR="005A08A9" w:rsidRPr="00A06955" w:rsidRDefault="005A08A9" w:rsidP="0046185C">
            <w:pPr>
              <w:tabs>
                <w:tab w:val="decimal" w:pos="388"/>
              </w:tabs>
              <w:rPr>
                <w:color w:val="auto"/>
                <w:sz w:val="20"/>
                <w:szCs w:val="20"/>
              </w:rPr>
            </w:pPr>
            <w:r w:rsidRPr="00A06955">
              <w:rPr>
                <w:color w:val="auto"/>
                <w:sz w:val="20"/>
                <w:szCs w:val="20"/>
              </w:rPr>
              <w:t>0.06</w:t>
            </w:r>
          </w:p>
        </w:tc>
        <w:tc>
          <w:tcPr>
            <w:tcW w:w="469" w:type="pct"/>
            <w:tcBorders>
              <w:bottom w:val="nil"/>
            </w:tcBorders>
            <w:shd w:val="clear" w:color="auto" w:fill="auto"/>
            <w:vAlign w:val="bottom"/>
          </w:tcPr>
          <w:p w14:paraId="2944D877" w14:textId="77777777" w:rsidR="005A08A9" w:rsidRPr="00A06955" w:rsidRDefault="005A08A9" w:rsidP="0046185C">
            <w:pPr>
              <w:tabs>
                <w:tab w:val="decimal" w:pos="388"/>
              </w:tabs>
              <w:rPr>
                <w:color w:val="auto"/>
                <w:sz w:val="20"/>
                <w:szCs w:val="20"/>
              </w:rPr>
            </w:pPr>
            <w:r w:rsidRPr="00A06955">
              <w:rPr>
                <w:color w:val="auto"/>
                <w:sz w:val="20"/>
                <w:szCs w:val="20"/>
              </w:rPr>
              <w:t>0.33</w:t>
            </w:r>
          </w:p>
        </w:tc>
        <w:tc>
          <w:tcPr>
            <w:tcW w:w="469" w:type="pct"/>
            <w:tcBorders>
              <w:bottom w:val="nil"/>
            </w:tcBorders>
            <w:shd w:val="clear" w:color="auto" w:fill="auto"/>
            <w:vAlign w:val="bottom"/>
          </w:tcPr>
          <w:p w14:paraId="513127F8" w14:textId="77777777" w:rsidR="005A08A9" w:rsidRPr="00A06955" w:rsidRDefault="005A08A9" w:rsidP="0046185C">
            <w:pPr>
              <w:tabs>
                <w:tab w:val="decimal" w:pos="388"/>
              </w:tabs>
              <w:rPr>
                <w:color w:val="auto"/>
                <w:sz w:val="20"/>
                <w:szCs w:val="20"/>
              </w:rPr>
            </w:pPr>
            <w:r w:rsidRPr="00A06955">
              <w:rPr>
                <w:color w:val="auto"/>
                <w:sz w:val="20"/>
                <w:szCs w:val="20"/>
              </w:rPr>
              <w:t>0.70</w:t>
            </w:r>
          </w:p>
        </w:tc>
        <w:tc>
          <w:tcPr>
            <w:tcW w:w="469" w:type="pct"/>
            <w:tcBorders>
              <w:bottom w:val="nil"/>
            </w:tcBorders>
            <w:shd w:val="clear" w:color="auto" w:fill="auto"/>
            <w:vAlign w:val="bottom"/>
          </w:tcPr>
          <w:p w14:paraId="65D72DA8" w14:textId="77777777" w:rsidR="005A08A9" w:rsidRPr="00A06955" w:rsidRDefault="005A08A9" w:rsidP="0046185C">
            <w:pPr>
              <w:tabs>
                <w:tab w:val="decimal" w:pos="388"/>
              </w:tabs>
              <w:rPr>
                <w:color w:val="auto"/>
                <w:sz w:val="20"/>
                <w:szCs w:val="20"/>
              </w:rPr>
            </w:pPr>
            <w:r w:rsidRPr="00A06955">
              <w:rPr>
                <w:color w:val="auto"/>
                <w:sz w:val="20"/>
                <w:szCs w:val="20"/>
              </w:rPr>
              <w:t>0.70</w:t>
            </w:r>
          </w:p>
        </w:tc>
        <w:tc>
          <w:tcPr>
            <w:tcW w:w="466" w:type="pct"/>
            <w:tcBorders>
              <w:bottom w:val="nil"/>
            </w:tcBorders>
            <w:shd w:val="clear" w:color="auto" w:fill="auto"/>
            <w:vAlign w:val="bottom"/>
          </w:tcPr>
          <w:p w14:paraId="0AFF7AB3" w14:textId="77777777" w:rsidR="005A08A9" w:rsidRPr="00A06955" w:rsidRDefault="005A08A9" w:rsidP="0046185C">
            <w:pPr>
              <w:tabs>
                <w:tab w:val="decimal" w:pos="388"/>
              </w:tabs>
              <w:rPr>
                <w:color w:val="auto"/>
                <w:sz w:val="20"/>
                <w:szCs w:val="20"/>
              </w:rPr>
            </w:pPr>
          </w:p>
        </w:tc>
      </w:tr>
      <w:tr w:rsidR="005A08A9" w:rsidRPr="003C0F16" w14:paraId="123993CE" w14:textId="77777777" w:rsidTr="0046185C">
        <w:trPr>
          <w:trHeight w:val="369"/>
        </w:trPr>
        <w:tc>
          <w:tcPr>
            <w:tcW w:w="784" w:type="pct"/>
            <w:shd w:val="clear" w:color="auto" w:fill="auto"/>
            <w:vAlign w:val="bottom"/>
          </w:tcPr>
          <w:p w14:paraId="1AF78AD3" w14:textId="77777777" w:rsidR="005A08A9" w:rsidRPr="00A06955" w:rsidRDefault="005A08A9" w:rsidP="0046185C">
            <w:pPr>
              <w:jc w:val="left"/>
              <w:rPr>
                <w:color w:val="auto"/>
                <w:sz w:val="20"/>
                <w:szCs w:val="20"/>
              </w:rPr>
            </w:pPr>
            <w:r w:rsidRPr="00A06955">
              <w:rPr>
                <w:color w:val="auto"/>
                <w:sz w:val="20"/>
                <w:szCs w:val="20"/>
              </w:rPr>
              <w:t>Historic default rate (A, %)</w:t>
            </w:r>
          </w:p>
        </w:tc>
        <w:tc>
          <w:tcPr>
            <w:tcW w:w="468" w:type="pct"/>
            <w:tcBorders>
              <w:top w:val="nil"/>
              <w:bottom w:val="nil"/>
            </w:tcBorders>
            <w:shd w:val="clear" w:color="auto" w:fill="auto"/>
            <w:vAlign w:val="bottom"/>
          </w:tcPr>
          <w:p w14:paraId="25957B8C" w14:textId="77777777" w:rsidR="005A08A9" w:rsidRPr="00A06955" w:rsidRDefault="005A08A9" w:rsidP="0046185C">
            <w:pPr>
              <w:tabs>
                <w:tab w:val="decimal" w:pos="388"/>
              </w:tabs>
              <w:rPr>
                <w:color w:val="auto"/>
                <w:sz w:val="20"/>
                <w:szCs w:val="20"/>
              </w:rPr>
            </w:pPr>
            <w:r w:rsidRPr="00A06955">
              <w:rPr>
                <w:color w:val="auto"/>
                <w:sz w:val="20"/>
                <w:szCs w:val="20"/>
              </w:rPr>
              <w:t>0.01</w:t>
            </w:r>
          </w:p>
        </w:tc>
        <w:tc>
          <w:tcPr>
            <w:tcW w:w="469" w:type="pct"/>
            <w:tcBorders>
              <w:top w:val="nil"/>
              <w:bottom w:val="nil"/>
            </w:tcBorders>
            <w:shd w:val="clear" w:color="auto" w:fill="auto"/>
            <w:vAlign w:val="bottom"/>
          </w:tcPr>
          <w:p w14:paraId="72B17ADB" w14:textId="77777777" w:rsidR="005A08A9" w:rsidRPr="00A06955" w:rsidRDefault="005A08A9" w:rsidP="0046185C">
            <w:pPr>
              <w:tabs>
                <w:tab w:val="decimal" w:pos="388"/>
              </w:tabs>
              <w:rPr>
                <w:color w:val="auto"/>
                <w:sz w:val="20"/>
                <w:szCs w:val="20"/>
              </w:rPr>
            </w:pPr>
            <w:r w:rsidRPr="00A06955">
              <w:rPr>
                <w:color w:val="auto"/>
                <w:sz w:val="20"/>
                <w:szCs w:val="20"/>
              </w:rPr>
              <w:t>0.02</w:t>
            </w:r>
          </w:p>
        </w:tc>
        <w:tc>
          <w:tcPr>
            <w:tcW w:w="469" w:type="pct"/>
            <w:tcBorders>
              <w:top w:val="nil"/>
              <w:bottom w:val="nil"/>
            </w:tcBorders>
            <w:shd w:val="clear" w:color="auto" w:fill="auto"/>
            <w:vAlign w:val="bottom"/>
          </w:tcPr>
          <w:p w14:paraId="1DC30AF6" w14:textId="77777777" w:rsidR="005A08A9" w:rsidRPr="00A06955" w:rsidRDefault="005A08A9" w:rsidP="0046185C">
            <w:pPr>
              <w:tabs>
                <w:tab w:val="decimal" w:pos="388"/>
              </w:tabs>
              <w:rPr>
                <w:color w:val="auto"/>
                <w:sz w:val="20"/>
                <w:szCs w:val="20"/>
              </w:rPr>
            </w:pPr>
            <w:r w:rsidRPr="00A06955">
              <w:rPr>
                <w:color w:val="auto"/>
                <w:sz w:val="20"/>
                <w:szCs w:val="20"/>
              </w:rPr>
              <w:t>0.04</w:t>
            </w:r>
          </w:p>
        </w:tc>
        <w:tc>
          <w:tcPr>
            <w:tcW w:w="469" w:type="pct"/>
            <w:tcBorders>
              <w:top w:val="nil"/>
              <w:bottom w:val="nil"/>
            </w:tcBorders>
            <w:shd w:val="clear" w:color="auto" w:fill="auto"/>
            <w:vAlign w:val="bottom"/>
          </w:tcPr>
          <w:p w14:paraId="5E884C51" w14:textId="77777777" w:rsidR="005A08A9" w:rsidRPr="00A06955" w:rsidRDefault="005A08A9" w:rsidP="0046185C">
            <w:pPr>
              <w:tabs>
                <w:tab w:val="decimal" w:pos="388"/>
              </w:tabs>
              <w:rPr>
                <w:color w:val="auto"/>
                <w:sz w:val="20"/>
                <w:szCs w:val="20"/>
              </w:rPr>
            </w:pPr>
            <w:r w:rsidRPr="00A06955">
              <w:rPr>
                <w:color w:val="auto"/>
                <w:sz w:val="20"/>
                <w:szCs w:val="20"/>
              </w:rPr>
              <w:t>0.07</w:t>
            </w:r>
          </w:p>
        </w:tc>
        <w:tc>
          <w:tcPr>
            <w:tcW w:w="468" w:type="pct"/>
            <w:tcBorders>
              <w:top w:val="nil"/>
              <w:bottom w:val="nil"/>
            </w:tcBorders>
            <w:shd w:val="clear" w:color="auto" w:fill="auto"/>
            <w:vAlign w:val="bottom"/>
          </w:tcPr>
          <w:p w14:paraId="2DE4AE2C" w14:textId="77777777" w:rsidR="005A08A9" w:rsidRPr="00A06955" w:rsidRDefault="005A08A9" w:rsidP="0046185C">
            <w:pPr>
              <w:tabs>
                <w:tab w:val="decimal" w:pos="388"/>
              </w:tabs>
              <w:rPr>
                <w:color w:val="auto"/>
                <w:sz w:val="20"/>
                <w:szCs w:val="20"/>
              </w:rPr>
            </w:pPr>
            <w:r w:rsidRPr="00A06955">
              <w:rPr>
                <w:color w:val="auto"/>
                <w:sz w:val="20"/>
                <w:szCs w:val="20"/>
              </w:rPr>
              <w:t>0.20</w:t>
            </w:r>
          </w:p>
        </w:tc>
        <w:tc>
          <w:tcPr>
            <w:tcW w:w="469" w:type="pct"/>
            <w:tcBorders>
              <w:top w:val="nil"/>
              <w:bottom w:val="nil"/>
            </w:tcBorders>
            <w:shd w:val="clear" w:color="auto" w:fill="auto"/>
            <w:vAlign w:val="bottom"/>
          </w:tcPr>
          <w:p w14:paraId="38FA934B" w14:textId="77777777" w:rsidR="005A08A9" w:rsidRPr="00A06955" w:rsidRDefault="005A08A9" w:rsidP="0046185C">
            <w:pPr>
              <w:tabs>
                <w:tab w:val="decimal" w:pos="388"/>
              </w:tabs>
              <w:rPr>
                <w:color w:val="auto"/>
                <w:sz w:val="20"/>
                <w:szCs w:val="20"/>
              </w:rPr>
            </w:pPr>
            <w:r w:rsidRPr="00A06955">
              <w:rPr>
                <w:color w:val="auto"/>
                <w:sz w:val="20"/>
                <w:szCs w:val="20"/>
              </w:rPr>
              <w:t>0.79</w:t>
            </w:r>
          </w:p>
        </w:tc>
        <w:tc>
          <w:tcPr>
            <w:tcW w:w="469" w:type="pct"/>
            <w:tcBorders>
              <w:top w:val="nil"/>
              <w:bottom w:val="nil"/>
            </w:tcBorders>
            <w:shd w:val="clear" w:color="auto" w:fill="auto"/>
            <w:vAlign w:val="bottom"/>
          </w:tcPr>
          <w:p w14:paraId="7FF17EC2" w14:textId="77777777" w:rsidR="005A08A9" w:rsidRPr="00A06955" w:rsidRDefault="005A08A9" w:rsidP="0046185C">
            <w:pPr>
              <w:tabs>
                <w:tab w:val="decimal" w:pos="388"/>
              </w:tabs>
              <w:rPr>
                <w:color w:val="auto"/>
                <w:sz w:val="20"/>
                <w:szCs w:val="20"/>
              </w:rPr>
            </w:pPr>
            <w:r w:rsidRPr="00A06955">
              <w:rPr>
                <w:color w:val="auto"/>
                <w:sz w:val="20"/>
                <w:szCs w:val="20"/>
              </w:rPr>
              <w:t>2.09</w:t>
            </w:r>
          </w:p>
        </w:tc>
        <w:tc>
          <w:tcPr>
            <w:tcW w:w="469" w:type="pct"/>
            <w:tcBorders>
              <w:top w:val="nil"/>
              <w:bottom w:val="nil"/>
            </w:tcBorders>
            <w:shd w:val="clear" w:color="auto" w:fill="auto"/>
            <w:vAlign w:val="bottom"/>
          </w:tcPr>
          <w:p w14:paraId="6E98C27F" w14:textId="77777777" w:rsidR="005A08A9" w:rsidRPr="00A06955" w:rsidRDefault="005A08A9" w:rsidP="0046185C">
            <w:pPr>
              <w:tabs>
                <w:tab w:val="decimal" w:pos="388"/>
              </w:tabs>
              <w:rPr>
                <w:color w:val="auto"/>
                <w:sz w:val="20"/>
                <w:szCs w:val="20"/>
              </w:rPr>
            </w:pPr>
            <w:r w:rsidRPr="00A06955">
              <w:rPr>
                <w:color w:val="auto"/>
                <w:sz w:val="20"/>
                <w:szCs w:val="20"/>
              </w:rPr>
              <w:t>2.09</w:t>
            </w:r>
          </w:p>
        </w:tc>
        <w:tc>
          <w:tcPr>
            <w:tcW w:w="466" w:type="pct"/>
            <w:tcBorders>
              <w:top w:val="nil"/>
              <w:bottom w:val="nil"/>
            </w:tcBorders>
            <w:shd w:val="clear" w:color="auto" w:fill="auto"/>
            <w:vAlign w:val="bottom"/>
          </w:tcPr>
          <w:p w14:paraId="756A833C" w14:textId="77777777" w:rsidR="005A08A9" w:rsidRPr="00A06955" w:rsidRDefault="005A08A9" w:rsidP="0046185C">
            <w:pPr>
              <w:tabs>
                <w:tab w:val="decimal" w:pos="388"/>
              </w:tabs>
              <w:rPr>
                <w:color w:val="auto"/>
                <w:sz w:val="20"/>
                <w:szCs w:val="20"/>
              </w:rPr>
            </w:pPr>
          </w:p>
        </w:tc>
      </w:tr>
      <w:tr w:rsidR="005A08A9" w:rsidRPr="003C0F16" w14:paraId="7B3CB717" w14:textId="77777777" w:rsidTr="0046185C">
        <w:trPr>
          <w:trHeight w:val="369"/>
        </w:trPr>
        <w:tc>
          <w:tcPr>
            <w:tcW w:w="784" w:type="pct"/>
            <w:shd w:val="clear" w:color="auto" w:fill="auto"/>
            <w:vAlign w:val="bottom"/>
          </w:tcPr>
          <w:p w14:paraId="45E7F4D1" w14:textId="77777777" w:rsidR="005A08A9" w:rsidRPr="00A06955" w:rsidRDefault="005A08A9" w:rsidP="0046185C">
            <w:pPr>
              <w:jc w:val="left"/>
              <w:rPr>
                <w:color w:val="auto"/>
                <w:sz w:val="20"/>
                <w:szCs w:val="20"/>
              </w:rPr>
            </w:pPr>
            <w:r w:rsidRPr="00A06955">
              <w:rPr>
                <w:color w:val="auto"/>
                <w:sz w:val="20"/>
                <w:szCs w:val="20"/>
              </w:rPr>
              <w:t>Historic default rate (BBB %)</w:t>
            </w:r>
          </w:p>
        </w:tc>
        <w:tc>
          <w:tcPr>
            <w:tcW w:w="468" w:type="pct"/>
            <w:tcBorders>
              <w:top w:val="nil"/>
              <w:bottom w:val="nil"/>
            </w:tcBorders>
            <w:shd w:val="clear" w:color="auto" w:fill="auto"/>
            <w:vAlign w:val="bottom"/>
          </w:tcPr>
          <w:p w14:paraId="6EA7CB7E" w14:textId="77777777" w:rsidR="005A08A9" w:rsidRPr="00A06955" w:rsidRDefault="005A08A9" w:rsidP="0046185C">
            <w:pPr>
              <w:tabs>
                <w:tab w:val="decimal" w:pos="388"/>
              </w:tabs>
              <w:rPr>
                <w:color w:val="auto"/>
                <w:sz w:val="20"/>
                <w:szCs w:val="20"/>
              </w:rPr>
            </w:pPr>
            <w:r w:rsidRPr="00A06955">
              <w:rPr>
                <w:color w:val="auto"/>
                <w:sz w:val="20"/>
                <w:szCs w:val="20"/>
              </w:rPr>
              <w:t>0.02</w:t>
            </w:r>
          </w:p>
        </w:tc>
        <w:tc>
          <w:tcPr>
            <w:tcW w:w="469" w:type="pct"/>
            <w:tcBorders>
              <w:top w:val="nil"/>
              <w:bottom w:val="nil"/>
            </w:tcBorders>
            <w:shd w:val="clear" w:color="auto" w:fill="auto"/>
            <w:vAlign w:val="bottom"/>
          </w:tcPr>
          <w:p w14:paraId="36368B3F" w14:textId="77777777" w:rsidR="005A08A9" w:rsidRPr="00A06955" w:rsidRDefault="005A08A9" w:rsidP="0046185C">
            <w:pPr>
              <w:tabs>
                <w:tab w:val="decimal" w:pos="388"/>
              </w:tabs>
              <w:rPr>
                <w:color w:val="auto"/>
                <w:sz w:val="20"/>
                <w:szCs w:val="20"/>
              </w:rPr>
            </w:pPr>
            <w:r w:rsidRPr="00A06955">
              <w:rPr>
                <w:color w:val="auto"/>
                <w:sz w:val="20"/>
                <w:szCs w:val="20"/>
              </w:rPr>
              <w:t>0.05</w:t>
            </w:r>
          </w:p>
        </w:tc>
        <w:tc>
          <w:tcPr>
            <w:tcW w:w="469" w:type="pct"/>
            <w:tcBorders>
              <w:top w:val="nil"/>
              <w:bottom w:val="nil"/>
            </w:tcBorders>
            <w:shd w:val="clear" w:color="auto" w:fill="auto"/>
            <w:vAlign w:val="bottom"/>
          </w:tcPr>
          <w:p w14:paraId="6588CE12" w14:textId="77777777" w:rsidR="005A08A9" w:rsidRPr="00A06955" w:rsidRDefault="005A08A9" w:rsidP="0046185C">
            <w:pPr>
              <w:tabs>
                <w:tab w:val="decimal" w:pos="388"/>
              </w:tabs>
              <w:rPr>
                <w:color w:val="auto"/>
                <w:sz w:val="20"/>
                <w:szCs w:val="20"/>
              </w:rPr>
            </w:pPr>
            <w:r w:rsidRPr="00A06955">
              <w:rPr>
                <w:color w:val="auto"/>
                <w:sz w:val="20"/>
                <w:szCs w:val="20"/>
              </w:rPr>
              <w:t>0.10</w:t>
            </w:r>
          </w:p>
        </w:tc>
        <w:tc>
          <w:tcPr>
            <w:tcW w:w="469" w:type="pct"/>
            <w:tcBorders>
              <w:top w:val="nil"/>
              <w:bottom w:val="nil"/>
            </w:tcBorders>
            <w:shd w:val="clear" w:color="auto" w:fill="auto"/>
            <w:vAlign w:val="bottom"/>
          </w:tcPr>
          <w:p w14:paraId="4C566EBE" w14:textId="77777777" w:rsidR="005A08A9" w:rsidRPr="00A06955" w:rsidRDefault="005A08A9" w:rsidP="0046185C">
            <w:pPr>
              <w:tabs>
                <w:tab w:val="decimal" w:pos="388"/>
              </w:tabs>
              <w:rPr>
                <w:color w:val="auto"/>
                <w:sz w:val="20"/>
                <w:szCs w:val="20"/>
              </w:rPr>
            </w:pPr>
            <w:r w:rsidRPr="00A06955">
              <w:rPr>
                <w:color w:val="auto"/>
                <w:sz w:val="20"/>
                <w:szCs w:val="20"/>
              </w:rPr>
              <w:t>0.19</w:t>
            </w:r>
          </w:p>
        </w:tc>
        <w:tc>
          <w:tcPr>
            <w:tcW w:w="468" w:type="pct"/>
            <w:tcBorders>
              <w:top w:val="nil"/>
              <w:bottom w:val="nil"/>
            </w:tcBorders>
            <w:shd w:val="clear" w:color="auto" w:fill="auto"/>
            <w:vAlign w:val="bottom"/>
          </w:tcPr>
          <w:p w14:paraId="2AE33F93" w14:textId="77777777" w:rsidR="005A08A9" w:rsidRPr="00A06955" w:rsidRDefault="005A08A9" w:rsidP="0046185C">
            <w:pPr>
              <w:tabs>
                <w:tab w:val="decimal" w:pos="388"/>
              </w:tabs>
              <w:rPr>
                <w:color w:val="auto"/>
                <w:sz w:val="20"/>
                <w:szCs w:val="20"/>
              </w:rPr>
            </w:pPr>
            <w:r w:rsidRPr="00A06955">
              <w:rPr>
                <w:color w:val="auto"/>
                <w:sz w:val="20"/>
                <w:szCs w:val="20"/>
              </w:rPr>
              <w:t>0.55</w:t>
            </w:r>
          </w:p>
        </w:tc>
        <w:tc>
          <w:tcPr>
            <w:tcW w:w="469" w:type="pct"/>
            <w:tcBorders>
              <w:top w:val="nil"/>
              <w:bottom w:val="nil"/>
            </w:tcBorders>
            <w:shd w:val="clear" w:color="auto" w:fill="auto"/>
            <w:vAlign w:val="bottom"/>
          </w:tcPr>
          <w:p w14:paraId="6B0AA7FE" w14:textId="77777777" w:rsidR="005A08A9" w:rsidRPr="00A06955" w:rsidRDefault="005A08A9" w:rsidP="0046185C">
            <w:pPr>
              <w:tabs>
                <w:tab w:val="decimal" w:pos="388"/>
              </w:tabs>
              <w:rPr>
                <w:color w:val="auto"/>
                <w:sz w:val="20"/>
                <w:szCs w:val="20"/>
              </w:rPr>
            </w:pPr>
            <w:r w:rsidRPr="00A06955">
              <w:rPr>
                <w:color w:val="auto"/>
                <w:sz w:val="20"/>
                <w:szCs w:val="20"/>
              </w:rPr>
              <w:t>1.97</w:t>
            </w:r>
          </w:p>
        </w:tc>
        <w:tc>
          <w:tcPr>
            <w:tcW w:w="469" w:type="pct"/>
            <w:tcBorders>
              <w:top w:val="nil"/>
              <w:bottom w:val="nil"/>
            </w:tcBorders>
            <w:shd w:val="clear" w:color="auto" w:fill="auto"/>
            <w:vAlign w:val="bottom"/>
          </w:tcPr>
          <w:p w14:paraId="12DBA0F4" w14:textId="77777777" w:rsidR="005A08A9" w:rsidRPr="00A06955" w:rsidRDefault="005A08A9" w:rsidP="0046185C">
            <w:pPr>
              <w:tabs>
                <w:tab w:val="decimal" w:pos="388"/>
              </w:tabs>
              <w:rPr>
                <w:color w:val="auto"/>
                <w:sz w:val="20"/>
                <w:szCs w:val="20"/>
              </w:rPr>
            </w:pPr>
            <w:r w:rsidRPr="00A06955">
              <w:rPr>
                <w:color w:val="auto"/>
                <w:sz w:val="20"/>
                <w:szCs w:val="20"/>
              </w:rPr>
              <w:t>4.25</w:t>
            </w:r>
          </w:p>
        </w:tc>
        <w:tc>
          <w:tcPr>
            <w:tcW w:w="469" w:type="pct"/>
            <w:tcBorders>
              <w:top w:val="nil"/>
              <w:bottom w:val="nil"/>
            </w:tcBorders>
            <w:shd w:val="clear" w:color="auto" w:fill="auto"/>
            <w:vAlign w:val="bottom"/>
          </w:tcPr>
          <w:p w14:paraId="0EBA76DA" w14:textId="77777777" w:rsidR="005A08A9" w:rsidRPr="00A06955" w:rsidRDefault="005A08A9" w:rsidP="0046185C">
            <w:pPr>
              <w:tabs>
                <w:tab w:val="decimal" w:pos="388"/>
              </w:tabs>
              <w:rPr>
                <w:color w:val="auto"/>
                <w:sz w:val="20"/>
                <w:szCs w:val="20"/>
              </w:rPr>
            </w:pPr>
            <w:r w:rsidRPr="00A06955">
              <w:rPr>
                <w:color w:val="auto"/>
                <w:sz w:val="20"/>
                <w:szCs w:val="20"/>
              </w:rPr>
              <w:t>4.25</w:t>
            </w:r>
          </w:p>
        </w:tc>
        <w:tc>
          <w:tcPr>
            <w:tcW w:w="466" w:type="pct"/>
            <w:tcBorders>
              <w:top w:val="nil"/>
              <w:bottom w:val="nil"/>
            </w:tcBorders>
            <w:shd w:val="clear" w:color="auto" w:fill="auto"/>
            <w:vAlign w:val="bottom"/>
          </w:tcPr>
          <w:p w14:paraId="226E443E" w14:textId="77777777" w:rsidR="005A08A9" w:rsidRPr="00A06955" w:rsidRDefault="005A08A9" w:rsidP="0046185C">
            <w:pPr>
              <w:tabs>
                <w:tab w:val="decimal" w:pos="388"/>
              </w:tabs>
              <w:rPr>
                <w:color w:val="auto"/>
                <w:sz w:val="20"/>
                <w:szCs w:val="20"/>
              </w:rPr>
            </w:pPr>
          </w:p>
        </w:tc>
      </w:tr>
      <w:tr w:rsidR="005A08A9" w:rsidRPr="00F649E6" w14:paraId="4B527761" w14:textId="77777777" w:rsidTr="0046185C">
        <w:trPr>
          <w:trHeight w:val="369"/>
        </w:trPr>
        <w:tc>
          <w:tcPr>
            <w:tcW w:w="784" w:type="pct"/>
            <w:shd w:val="clear" w:color="auto" w:fill="auto"/>
            <w:vAlign w:val="bottom"/>
          </w:tcPr>
          <w:p w14:paraId="6348F2E0" w14:textId="77777777" w:rsidR="005A08A9" w:rsidRPr="00A06955" w:rsidRDefault="005A08A9" w:rsidP="0046185C">
            <w:pPr>
              <w:jc w:val="left"/>
              <w:rPr>
                <w:b/>
                <w:color w:val="auto"/>
                <w:sz w:val="20"/>
                <w:szCs w:val="20"/>
                <w:vertAlign w:val="superscript"/>
              </w:rPr>
            </w:pPr>
            <w:r w:rsidRPr="00A06955">
              <w:rPr>
                <w:b/>
                <w:color w:val="auto"/>
                <w:sz w:val="20"/>
                <w:szCs w:val="20"/>
              </w:rPr>
              <w:t>Exposure to default (£m)</w:t>
            </w:r>
          </w:p>
        </w:tc>
        <w:tc>
          <w:tcPr>
            <w:tcW w:w="468" w:type="pct"/>
            <w:tcBorders>
              <w:top w:val="nil"/>
            </w:tcBorders>
            <w:shd w:val="clear" w:color="auto" w:fill="auto"/>
            <w:vAlign w:val="bottom"/>
          </w:tcPr>
          <w:p w14:paraId="009A6F98" w14:textId="77777777" w:rsidR="005A08A9" w:rsidRPr="00A06955" w:rsidRDefault="005A08A9" w:rsidP="0046185C">
            <w:pPr>
              <w:tabs>
                <w:tab w:val="decimal" w:pos="388"/>
              </w:tabs>
              <w:rPr>
                <w:b/>
                <w:color w:val="auto"/>
                <w:sz w:val="20"/>
                <w:szCs w:val="20"/>
              </w:rPr>
            </w:pPr>
            <w:r w:rsidRPr="00A06955">
              <w:rPr>
                <w:b/>
                <w:color w:val="auto"/>
                <w:sz w:val="20"/>
                <w:szCs w:val="20"/>
              </w:rPr>
              <w:t>-</w:t>
            </w:r>
          </w:p>
        </w:tc>
        <w:tc>
          <w:tcPr>
            <w:tcW w:w="469" w:type="pct"/>
            <w:tcBorders>
              <w:top w:val="nil"/>
            </w:tcBorders>
            <w:shd w:val="clear" w:color="auto" w:fill="auto"/>
            <w:vAlign w:val="bottom"/>
          </w:tcPr>
          <w:p w14:paraId="3FB7C321" w14:textId="77777777" w:rsidR="005A08A9" w:rsidRPr="00A06955" w:rsidRDefault="005A08A9" w:rsidP="0046185C">
            <w:pPr>
              <w:tabs>
                <w:tab w:val="decimal" w:pos="388"/>
              </w:tabs>
              <w:rPr>
                <w:b/>
                <w:color w:val="auto"/>
                <w:sz w:val="20"/>
                <w:szCs w:val="20"/>
              </w:rPr>
            </w:pPr>
            <w:r w:rsidRPr="00A06955">
              <w:rPr>
                <w:b/>
                <w:color w:val="auto"/>
                <w:sz w:val="20"/>
                <w:szCs w:val="20"/>
              </w:rPr>
              <w:t>0.01</w:t>
            </w:r>
          </w:p>
        </w:tc>
        <w:tc>
          <w:tcPr>
            <w:tcW w:w="469" w:type="pct"/>
            <w:tcBorders>
              <w:top w:val="nil"/>
            </w:tcBorders>
            <w:shd w:val="clear" w:color="auto" w:fill="auto"/>
            <w:vAlign w:val="bottom"/>
          </w:tcPr>
          <w:p w14:paraId="07C5A993" w14:textId="77777777" w:rsidR="005A08A9" w:rsidRPr="00A06955" w:rsidRDefault="005A08A9" w:rsidP="0046185C">
            <w:pPr>
              <w:tabs>
                <w:tab w:val="decimal" w:pos="388"/>
              </w:tabs>
              <w:rPr>
                <w:b/>
                <w:color w:val="auto"/>
                <w:sz w:val="20"/>
                <w:szCs w:val="20"/>
              </w:rPr>
            </w:pPr>
            <w:r w:rsidRPr="00A06955">
              <w:rPr>
                <w:b/>
                <w:color w:val="auto"/>
                <w:sz w:val="20"/>
                <w:szCs w:val="20"/>
              </w:rPr>
              <w:t>-</w:t>
            </w:r>
          </w:p>
        </w:tc>
        <w:tc>
          <w:tcPr>
            <w:tcW w:w="469" w:type="pct"/>
            <w:tcBorders>
              <w:top w:val="nil"/>
            </w:tcBorders>
            <w:shd w:val="clear" w:color="auto" w:fill="auto"/>
            <w:vAlign w:val="bottom"/>
          </w:tcPr>
          <w:p w14:paraId="45073083" w14:textId="77777777" w:rsidR="005A08A9" w:rsidRPr="00A06955" w:rsidRDefault="005A08A9" w:rsidP="0046185C">
            <w:pPr>
              <w:tabs>
                <w:tab w:val="decimal" w:pos="388"/>
              </w:tabs>
              <w:rPr>
                <w:b/>
                <w:color w:val="auto"/>
                <w:sz w:val="20"/>
                <w:szCs w:val="20"/>
              </w:rPr>
            </w:pPr>
            <w:r w:rsidRPr="00A06955">
              <w:rPr>
                <w:b/>
                <w:color w:val="auto"/>
                <w:sz w:val="20"/>
                <w:szCs w:val="20"/>
              </w:rPr>
              <w:t>0.08</w:t>
            </w:r>
          </w:p>
        </w:tc>
        <w:tc>
          <w:tcPr>
            <w:tcW w:w="468" w:type="pct"/>
            <w:tcBorders>
              <w:top w:val="nil"/>
            </w:tcBorders>
            <w:shd w:val="clear" w:color="auto" w:fill="auto"/>
            <w:vAlign w:val="bottom"/>
          </w:tcPr>
          <w:p w14:paraId="3FDCEFB3" w14:textId="77777777" w:rsidR="005A08A9" w:rsidRPr="00A06955" w:rsidRDefault="005A08A9" w:rsidP="0046185C">
            <w:pPr>
              <w:tabs>
                <w:tab w:val="decimal" w:pos="388"/>
              </w:tabs>
              <w:rPr>
                <w:b/>
                <w:color w:val="auto"/>
                <w:sz w:val="20"/>
                <w:szCs w:val="20"/>
              </w:rPr>
            </w:pPr>
            <w:r w:rsidRPr="00A06955">
              <w:rPr>
                <w:b/>
                <w:color w:val="auto"/>
                <w:sz w:val="20"/>
                <w:szCs w:val="20"/>
              </w:rPr>
              <w:t>0.05</w:t>
            </w:r>
          </w:p>
        </w:tc>
        <w:tc>
          <w:tcPr>
            <w:tcW w:w="469" w:type="pct"/>
            <w:tcBorders>
              <w:top w:val="nil"/>
            </w:tcBorders>
            <w:shd w:val="clear" w:color="auto" w:fill="auto"/>
            <w:vAlign w:val="bottom"/>
          </w:tcPr>
          <w:p w14:paraId="19E48544" w14:textId="77777777" w:rsidR="005A08A9" w:rsidRPr="00A06955" w:rsidRDefault="005A08A9" w:rsidP="0046185C">
            <w:pPr>
              <w:tabs>
                <w:tab w:val="decimal" w:pos="388"/>
              </w:tabs>
              <w:rPr>
                <w:b/>
                <w:color w:val="auto"/>
                <w:sz w:val="20"/>
                <w:szCs w:val="20"/>
              </w:rPr>
            </w:pPr>
            <w:r w:rsidRPr="00A06955">
              <w:rPr>
                <w:b/>
                <w:color w:val="auto"/>
                <w:sz w:val="20"/>
                <w:szCs w:val="20"/>
              </w:rPr>
              <w:t>0.58</w:t>
            </w:r>
          </w:p>
        </w:tc>
        <w:tc>
          <w:tcPr>
            <w:tcW w:w="469" w:type="pct"/>
            <w:tcBorders>
              <w:top w:val="nil"/>
            </w:tcBorders>
            <w:shd w:val="clear" w:color="auto" w:fill="auto"/>
            <w:vAlign w:val="bottom"/>
          </w:tcPr>
          <w:p w14:paraId="6ED93002" w14:textId="77777777" w:rsidR="005A08A9" w:rsidRPr="00A06955" w:rsidRDefault="005A08A9" w:rsidP="0046185C">
            <w:pPr>
              <w:tabs>
                <w:tab w:val="decimal" w:pos="388"/>
              </w:tabs>
              <w:rPr>
                <w:b/>
                <w:color w:val="auto"/>
                <w:sz w:val="20"/>
                <w:szCs w:val="20"/>
              </w:rPr>
            </w:pPr>
            <w:r w:rsidRPr="00A06955">
              <w:rPr>
                <w:b/>
                <w:color w:val="auto"/>
                <w:sz w:val="20"/>
                <w:szCs w:val="20"/>
              </w:rPr>
              <w:t>0.23</w:t>
            </w:r>
          </w:p>
        </w:tc>
        <w:tc>
          <w:tcPr>
            <w:tcW w:w="469" w:type="pct"/>
            <w:tcBorders>
              <w:top w:val="nil"/>
            </w:tcBorders>
            <w:shd w:val="clear" w:color="auto" w:fill="auto"/>
            <w:vAlign w:val="bottom"/>
          </w:tcPr>
          <w:p w14:paraId="1D13A04F" w14:textId="77777777" w:rsidR="005A08A9" w:rsidRPr="00A06955" w:rsidRDefault="005A08A9" w:rsidP="0046185C">
            <w:pPr>
              <w:tabs>
                <w:tab w:val="decimal" w:pos="388"/>
              </w:tabs>
              <w:rPr>
                <w:b/>
                <w:color w:val="auto"/>
                <w:sz w:val="20"/>
                <w:szCs w:val="20"/>
              </w:rPr>
            </w:pPr>
            <w:r w:rsidRPr="00A06955">
              <w:rPr>
                <w:b/>
                <w:color w:val="auto"/>
                <w:sz w:val="20"/>
                <w:szCs w:val="20"/>
              </w:rPr>
              <w:t>0.85</w:t>
            </w:r>
          </w:p>
        </w:tc>
        <w:tc>
          <w:tcPr>
            <w:tcW w:w="466" w:type="pct"/>
            <w:tcBorders>
              <w:top w:val="nil"/>
            </w:tcBorders>
            <w:shd w:val="clear" w:color="auto" w:fill="auto"/>
            <w:vAlign w:val="bottom"/>
          </w:tcPr>
          <w:p w14:paraId="14F9B99D" w14:textId="77777777" w:rsidR="005A08A9" w:rsidRPr="005B2413" w:rsidRDefault="005A08A9" w:rsidP="0046185C">
            <w:pPr>
              <w:tabs>
                <w:tab w:val="decimal" w:pos="388"/>
              </w:tabs>
              <w:rPr>
                <w:b/>
                <w:color w:val="auto"/>
                <w:sz w:val="20"/>
                <w:szCs w:val="20"/>
              </w:rPr>
            </w:pPr>
            <w:r w:rsidRPr="00A06955">
              <w:rPr>
                <w:b/>
                <w:color w:val="auto"/>
                <w:sz w:val="20"/>
                <w:szCs w:val="20"/>
              </w:rPr>
              <w:t>1</w:t>
            </w:r>
            <w:r w:rsidRPr="005B2413">
              <w:rPr>
                <w:b/>
                <w:color w:val="auto"/>
                <w:sz w:val="20"/>
                <w:szCs w:val="20"/>
              </w:rPr>
              <w:t>.8</w:t>
            </w:r>
          </w:p>
        </w:tc>
      </w:tr>
    </w:tbl>
    <w:p w14:paraId="35BA98AF" w14:textId="77777777" w:rsidR="005A08A9" w:rsidRDefault="005A08A9" w:rsidP="005A08A9">
      <w:pPr>
        <w:rPr>
          <w:lang w:eastAsia="en-GB"/>
        </w:rPr>
      </w:pPr>
    </w:p>
    <w:p w14:paraId="52804040" w14:textId="77777777" w:rsidR="005A08A9" w:rsidRDefault="005A08A9" w:rsidP="005A08A9">
      <w:pPr>
        <w:rPr>
          <w:lang w:eastAsia="en-GB"/>
        </w:rPr>
      </w:pPr>
      <w:r>
        <w:rPr>
          <w:lang w:eastAsia="en-GB"/>
        </w:rPr>
        <w:t>Comparative data for 2013/14 can be seen below:</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40"/>
        <w:gridCol w:w="978"/>
        <w:gridCol w:w="980"/>
        <w:gridCol w:w="980"/>
        <w:gridCol w:w="980"/>
        <w:gridCol w:w="978"/>
        <w:gridCol w:w="980"/>
        <w:gridCol w:w="980"/>
        <w:gridCol w:w="980"/>
        <w:gridCol w:w="974"/>
      </w:tblGrid>
      <w:tr w:rsidR="005A08A9" w:rsidRPr="003361F6" w14:paraId="5D59C78F" w14:textId="77777777" w:rsidTr="0046185C">
        <w:trPr>
          <w:trHeight w:val="369"/>
          <w:tblHeader/>
        </w:trPr>
        <w:tc>
          <w:tcPr>
            <w:tcW w:w="784" w:type="pct"/>
            <w:shd w:val="clear" w:color="auto" w:fill="D0CECE"/>
            <w:vAlign w:val="bottom"/>
          </w:tcPr>
          <w:p w14:paraId="1D2DA674" w14:textId="77777777" w:rsidR="005A08A9" w:rsidRPr="003361F6" w:rsidRDefault="005A08A9" w:rsidP="0046185C">
            <w:pPr>
              <w:jc w:val="center"/>
              <w:rPr>
                <w:b/>
                <w:color w:val="auto"/>
                <w:sz w:val="20"/>
                <w:szCs w:val="20"/>
              </w:rPr>
            </w:pPr>
            <w:r>
              <w:rPr>
                <w:b/>
                <w:color w:val="auto"/>
                <w:sz w:val="20"/>
                <w:szCs w:val="20"/>
              </w:rPr>
              <w:t>Credit Risk</w:t>
            </w:r>
          </w:p>
        </w:tc>
        <w:tc>
          <w:tcPr>
            <w:tcW w:w="468" w:type="pct"/>
            <w:tcBorders>
              <w:bottom w:val="nil"/>
            </w:tcBorders>
            <w:shd w:val="clear" w:color="auto" w:fill="D0CECE"/>
            <w:vAlign w:val="bottom"/>
          </w:tcPr>
          <w:p w14:paraId="7B576363" w14:textId="77777777" w:rsidR="005A08A9" w:rsidRDefault="005A08A9" w:rsidP="0046185C">
            <w:pPr>
              <w:jc w:val="center"/>
              <w:rPr>
                <w:b/>
                <w:color w:val="auto"/>
                <w:sz w:val="20"/>
                <w:szCs w:val="20"/>
              </w:rPr>
            </w:pPr>
            <w:r>
              <w:rPr>
                <w:b/>
                <w:color w:val="auto"/>
                <w:sz w:val="20"/>
                <w:szCs w:val="20"/>
              </w:rPr>
              <w:t>&lt;1mth</w:t>
            </w:r>
          </w:p>
        </w:tc>
        <w:tc>
          <w:tcPr>
            <w:tcW w:w="469" w:type="pct"/>
            <w:tcBorders>
              <w:bottom w:val="nil"/>
            </w:tcBorders>
            <w:shd w:val="clear" w:color="auto" w:fill="D0CECE"/>
            <w:vAlign w:val="bottom"/>
          </w:tcPr>
          <w:p w14:paraId="628CD675" w14:textId="77777777" w:rsidR="005A08A9" w:rsidRDefault="005A08A9" w:rsidP="0046185C">
            <w:pPr>
              <w:jc w:val="center"/>
              <w:rPr>
                <w:b/>
                <w:color w:val="auto"/>
                <w:sz w:val="20"/>
                <w:szCs w:val="20"/>
              </w:rPr>
            </w:pPr>
            <w:r>
              <w:rPr>
                <w:b/>
                <w:color w:val="auto"/>
                <w:sz w:val="20"/>
                <w:szCs w:val="20"/>
              </w:rPr>
              <w:t>&lt;3mth</w:t>
            </w:r>
          </w:p>
        </w:tc>
        <w:tc>
          <w:tcPr>
            <w:tcW w:w="469" w:type="pct"/>
            <w:tcBorders>
              <w:bottom w:val="nil"/>
            </w:tcBorders>
            <w:shd w:val="clear" w:color="auto" w:fill="D0CECE"/>
            <w:vAlign w:val="bottom"/>
          </w:tcPr>
          <w:p w14:paraId="500C2C55" w14:textId="77777777" w:rsidR="005A08A9" w:rsidRDefault="005A08A9" w:rsidP="0046185C">
            <w:pPr>
              <w:jc w:val="center"/>
              <w:rPr>
                <w:b/>
                <w:color w:val="auto"/>
                <w:sz w:val="20"/>
                <w:szCs w:val="20"/>
              </w:rPr>
            </w:pPr>
            <w:r>
              <w:rPr>
                <w:b/>
                <w:color w:val="auto"/>
                <w:sz w:val="20"/>
                <w:szCs w:val="20"/>
              </w:rPr>
              <w:t>&lt;6mth</w:t>
            </w:r>
          </w:p>
        </w:tc>
        <w:tc>
          <w:tcPr>
            <w:tcW w:w="469" w:type="pct"/>
            <w:tcBorders>
              <w:bottom w:val="nil"/>
            </w:tcBorders>
            <w:shd w:val="clear" w:color="auto" w:fill="D0CECE"/>
            <w:vAlign w:val="bottom"/>
          </w:tcPr>
          <w:p w14:paraId="7E0D8CF2" w14:textId="77777777" w:rsidR="005A08A9" w:rsidRPr="003361F6" w:rsidRDefault="005A08A9" w:rsidP="0046185C">
            <w:pPr>
              <w:jc w:val="center"/>
              <w:rPr>
                <w:b/>
                <w:color w:val="auto"/>
                <w:sz w:val="20"/>
                <w:szCs w:val="20"/>
              </w:rPr>
            </w:pPr>
            <w:r>
              <w:rPr>
                <w:b/>
                <w:color w:val="auto"/>
                <w:sz w:val="20"/>
                <w:szCs w:val="20"/>
              </w:rPr>
              <w:t>&lt;1yr</w:t>
            </w:r>
          </w:p>
        </w:tc>
        <w:tc>
          <w:tcPr>
            <w:tcW w:w="468" w:type="pct"/>
            <w:tcBorders>
              <w:bottom w:val="nil"/>
            </w:tcBorders>
            <w:shd w:val="clear" w:color="auto" w:fill="D0CECE"/>
            <w:vAlign w:val="bottom"/>
          </w:tcPr>
          <w:p w14:paraId="68E51879" w14:textId="77777777" w:rsidR="005A08A9" w:rsidRPr="003361F6" w:rsidRDefault="005A08A9" w:rsidP="0046185C">
            <w:pPr>
              <w:jc w:val="center"/>
              <w:rPr>
                <w:b/>
                <w:color w:val="auto"/>
                <w:sz w:val="20"/>
                <w:szCs w:val="20"/>
              </w:rPr>
            </w:pPr>
            <w:r>
              <w:rPr>
                <w:b/>
                <w:color w:val="auto"/>
                <w:sz w:val="20"/>
                <w:szCs w:val="20"/>
              </w:rPr>
              <w:t>&lt;2yr</w:t>
            </w:r>
          </w:p>
        </w:tc>
        <w:tc>
          <w:tcPr>
            <w:tcW w:w="469" w:type="pct"/>
            <w:tcBorders>
              <w:bottom w:val="nil"/>
            </w:tcBorders>
            <w:shd w:val="clear" w:color="auto" w:fill="D0CECE"/>
            <w:vAlign w:val="bottom"/>
          </w:tcPr>
          <w:p w14:paraId="37E8BDD6" w14:textId="77777777" w:rsidR="005A08A9" w:rsidRPr="00875A22" w:rsidRDefault="005A08A9" w:rsidP="0046185C">
            <w:pPr>
              <w:jc w:val="center"/>
              <w:rPr>
                <w:b/>
                <w:color w:val="auto"/>
                <w:sz w:val="20"/>
                <w:szCs w:val="20"/>
              </w:rPr>
            </w:pPr>
            <w:r w:rsidRPr="00875A22">
              <w:rPr>
                <w:b/>
                <w:color w:val="auto"/>
                <w:sz w:val="20"/>
                <w:szCs w:val="20"/>
              </w:rPr>
              <w:t>&lt;5yr</w:t>
            </w:r>
          </w:p>
        </w:tc>
        <w:tc>
          <w:tcPr>
            <w:tcW w:w="469" w:type="pct"/>
            <w:tcBorders>
              <w:bottom w:val="nil"/>
            </w:tcBorders>
            <w:shd w:val="clear" w:color="auto" w:fill="D0CECE"/>
            <w:vAlign w:val="bottom"/>
          </w:tcPr>
          <w:p w14:paraId="76C79973" w14:textId="77777777" w:rsidR="005A08A9" w:rsidRPr="003361F6" w:rsidRDefault="005A08A9" w:rsidP="0046185C">
            <w:pPr>
              <w:jc w:val="center"/>
              <w:rPr>
                <w:b/>
                <w:color w:val="auto"/>
                <w:sz w:val="20"/>
                <w:szCs w:val="20"/>
              </w:rPr>
            </w:pPr>
            <w:r>
              <w:rPr>
                <w:b/>
                <w:color w:val="auto"/>
                <w:sz w:val="20"/>
                <w:szCs w:val="20"/>
              </w:rPr>
              <w:t>&lt;10yr</w:t>
            </w:r>
          </w:p>
        </w:tc>
        <w:tc>
          <w:tcPr>
            <w:tcW w:w="469" w:type="pct"/>
            <w:tcBorders>
              <w:bottom w:val="nil"/>
            </w:tcBorders>
            <w:shd w:val="clear" w:color="auto" w:fill="D0CECE"/>
            <w:vAlign w:val="bottom"/>
          </w:tcPr>
          <w:p w14:paraId="6256C165" w14:textId="77777777" w:rsidR="005A08A9" w:rsidRPr="003361F6" w:rsidRDefault="005A08A9" w:rsidP="0046185C">
            <w:pPr>
              <w:jc w:val="center"/>
              <w:rPr>
                <w:b/>
                <w:color w:val="auto"/>
                <w:sz w:val="20"/>
                <w:szCs w:val="20"/>
              </w:rPr>
            </w:pPr>
            <w:r>
              <w:rPr>
                <w:b/>
                <w:color w:val="auto"/>
                <w:sz w:val="20"/>
                <w:szCs w:val="20"/>
              </w:rPr>
              <w:t>&gt;10yr</w:t>
            </w:r>
          </w:p>
        </w:tc>
        <w:tc>
          <w:tcPr>
            <w:tcW w:w="466" w:type="pct"/>
            <w:tcBorders>
              <w:bottom w:val="nil"/>
            </w:tcBorders>
            <w:shd w:val="clear" w:color="auto" w:fill="D0CECE"/>
            <w:vAlign w:val="bottom"/>
          </w:tcPr>
          <w:p w14:paraId="354619D5" w14:textId="77777777" w:rsidR="005A08A9" w:rsidRPr="003361F6" w:rsidRDefault="005A08A9" w:rsidP="0046185C">
            <w:pPr>
              <w:jc w:val="center"/>
              <w:rPr>
                <w:b/>
                <w:color w:val="auto"/>
                <w:sz w:val="20"/>
                <w:szCs w:val="20"/>
              </w:rPr>
            </w:pPr>
            <w:r>
              <w:rPr>
                <w:b/>
                <w:color w:val="auto"/>
                <w:sz w:val="20"/>
                <w:szCs w:val="20"/>
              </w:rPr>
              <w:t>Total</w:t>
            </w:r>
          </w:p>
        </w:tc>
      </w:tr>
      <w:tr w:rsidR="005A08A9" w:rsidRPr="003911D6" w14:paraId="4273AD72" w14:textId="77777777" w:rsidTr="0046185C">
        <w:trPr>
          <w:trHeight w:val="369"/>
        </w:trPr>
        <w:tc>
          <w:tcPr>
            <w:tcW w:w="784" w:type="pct"/>
            <w:shd w:val="clear" w:color="auto" w:fill="auto"/>
            <w:vAlign w:val="bottom"/>
          </w:tcPr>
          <w:p w14:paraId="5849A837" w14:textId="77777777" w:rsidR="005A08A9" w:rsidRPr="003911D6" w:rsidRDefault="005A08A9" w:rsidP="0046185C">
            <w:pPr>
              <w:jc w:val="left"/>
              <w:rPr>
                <w:color w:val="auto"/>
                <w:sz w:val="20"/>
                <w:szCs w:val="20"/>
                <w:vertAlign w:val="superscript"/>
              </w:rPr>
            </w:pPr>
            <w:r w:rsidRPr="003911D6">
              <w:rPr>
                <w:color w:val="auto"/>
                <w:sz w:val="20"/>
                <w:szCs w:val="20"/>
              </w:rPr>
              <w:t>Total Investments (£m)</w:t>
            </w:r>
          </w:p>
        </w:tc>
        <w:tc>
          <w:tcPr>
            <w:tcW w:w="468" w:type="pct"/>
            <w:tcBorders>
              <w:top w:val="nil"/>
              <w:bottom w:val="nil"/>
            </w:tcBorders>
            <w:shd w:val="clear" w:color="auto" w:fill="auto"/>
            <w:vAlign w:val="bottom"/>
          </w:tcPr>
          <w:p w14:paraId="1CC73C12" w14:textId="77777777" w:rsidR="005A08A9" w:rsidRPr="003911D6" w:rsidRDefault="005A08A9" w:rsidP="0046185C">
            <w:pPr>
              <w:tabs>
                <w:tab w:val="decimal" w:pos="388"/>
              </w:tabs>
              <w:rPr>
                <w:color w:val="auto"/>
                <w:sz w:val="20"/>
                <w:szCs w:val="20"/>
              </w:rPr>
            </w:pPr>
            <w:r w:rsidRPr="003911D6">
              <w:rPr>
                <w:color w:val="auto"/>
                <w:sz w:val="20"/>
                <w:szCs w:val="20"/>
              </w:rPr>
              <w:t>77.7</w:t>
            </w:r>
          </w:p>
        </w:tc>
        <w:tc>
          <w:tcPr>
            <w:tcW w:w="469" w:type="pct"/>
            <w:tcBorders>
              <w:top w:val="nil"/>
              <w:bottom w:val="nil"/>
            </w:tcBorders>
            <w:shd w:val="clear" w:color="auto" w:fill="auto"/>
            <w:vAlign w:val="bottom"/>
          </w:tcPr>
          <w:p w14:paraId="22583C35" w14:textId="77777777" w:rsidR="005A08A9" w:rsidRPr="003911D6" w:rsidRDefault="005A08A9" w:rsidP="0046185C">
            <w:pPr>
              <w:tabs>
                <w:tab w:val="decimal" w:pos="388"/>
              </w:tabs>
              <w:rPr>
                <w:color w:val="auto"/>
                <w:sz w:val="20"/>
                <w:szCs w:val="20"/>
              </w:rPr>
            </w:pPr>
            <w:r w:rsidRPr="003911D6">
              <w:rPr>
                <w:color w:val="auto"/>
                <w:sz w:val="20"/>
                <w:szCs w:val="20"/>
              </w:rPr>
              <w:t>-</w:t>
            </w:r>
          </w:p>
        </w:tc>
        <w:tc>
          <w:tcPr>
            <w:tcW w:w="469" w:type="pct"/>
            <w:tcBorders>
              <w:top w:val="nil"/>
              <w:bottom w:val="nil"/>
            </w:tcBorders>
            <w:shd w:val="clear" w:color="auto" w:fill="auto"/>
            <w:vAlign w:val="bottom"/>
          </w:tcPr>
          <w:p w14:paraId="2E0A838A" w14:textId="77777777" w:rsidR="005A08A9" w:rsidRPr="003911D6" w:rsidRDefault="005A08A9" w:rsidP="0046185C">
            <w:pPr>
              <w:tabs>
                <w:tab w:val="decimal" w:pos="388"/>
              </w:tabs>
              <w:rPr>
                <w:color w:val="auto"/>
                <w:sz w:val="20"/>
                <w:szCs w:val="20"/>
              </w:rPr>
            </w:pPr>
            <w:r>
              <w:rPr>
                <w:color w:val="auto"/>
                <w:sz w:val="20"/>
                <w:szCs w:val="20"/>
              </w:rPr>
              <w:t>0.4</w:t>
            </w:r>
          </w:p>
        </w:tc>
        <w:tc>
          <w:tcPr>
            <w:tcW w:w="469" w:type="pct"/>
            <w:tcBorders>
              <w:top w:val="nil"/>
              <w:bottom w:val="nil"/>
            </w:tcBorders>
            <w:shd w:val="clear" w:color="auto" w:fill="auto"/>
            <w:vAlign w:val="bottom"/>
          </w:tcPr>
          <w:p w14:paraId="64650725" w14:textId="77777777" w:rsidR="005A08A9" w:rsidRPr="003911D6" w:rsidRDefault="005A08A9" w:rsidP="0046185C">
            <w:pPr>
              <w:tabs>
                <w:tab w:val="decimal" w:pos="388"/>
              </w:tabs>
              <w:rPr>
                <w:color w:val="auto"/>
                <w:sz w:val="20"/>
                <w:szCs w:val="20"/>
              </w:rPr>
            </w:pPr>
            <w:r w:rsidRPr="003911D6">
              <w:rPr>
                <w:color w:val="auto"/>
                <w:sz w:val="20"/>
                <w:szCs w:val="20"/>
              </w:rPr>
              <w:t>-</w:t>
            </w:r>
          </w:p>
        </w:tc>
        <w:tc>
          <w:tcPr>
            <w:tcW w:w="468" w:type="pct"/>
            <w:tcBorders>
              <w:top w:val="nil"/>
              <w:bottom w:val="nil"/>
            </w:tcBorders>
            <w:shd w:val="clear" w:color="auto" w:fill="auto"/>
            <w:vAlign w:val="bottom"/>
          </w:tcPr>
          <w:p w14:paraId="12CFF142" w14:textId="77777777" w:rsidR="005A08A9" w:rsidRPr="003911D6" w:rsidRDefault="005A08A9" w:rsidP="0046185C">
            <w:pPr>
              <w:tabs>
                <w:tab w:val="decimal" w:pos="388"/>
              </w:tabs>
              <w:rPr>
                <w:color w:val="auto"/>
                <w:sz w:val="20"/>
                <w:szCs w:val="20"/>
              </w:rPr>
            </w:pPr>
            <w:r>
              <w:rPr>
                <w:color w:val="auto"/>
                <w:sz w:val="20"/>
                <w:szCs w:val="20"/>
              </w:rPr>
              <w:t>75.0</w:t>
            </w:r>
          </w:p>
        </w:tc>
        <w:tc>
          <w:tcPr>
            <w:tcW w:w="469" w:type="pct"/>
            <w:tcBorders>
              <w:top w:val="nil"/>
              <w:bottom w:val="nil"/>
            </w:tcBorders>
            <w:shd w:val="clear" w:color="auto" w:fill="auto"/>
            <w:vAlign w:val="bottom"/>
          </w:tcPr>
          <w:p w14:paraId="4E672A25" w14:textId="77777777" w:rsidR="005A08A9" w:rsidRPr="003911D6" w:rsidRDefault="005A08A9" w:rsidP="0046185C">
            <w:pPr>
              <w:tabs>
                <w:tab w:val="decimal" w:pos="388"/>
              </w:tabs>
              <w:rPr>
                <w:color w:val="auto"/>
                <w:sz w:val="20"/>
                <w:szCs w:val="20"/>
              </w:rPr>
            </w:pPr>
            <w:r>
              <w:rPr>
                <w:color w:val="auto"/>
                <w:sz w:val="20"/>
                <w:szCs w:val="20"/>
              </w:rPr>
              <w:t>80.2</w:t>
            </w:r>
          </w:p>
        </w:tc>
        <w:tc>
          <w:tcPr>
            <w:tcW w:w="469" w:type="pct"/>
            <w:tcBorders>
              <w:top w:val="nil"/>
              <w:bottom w:val="nil"/>
            </w:tcBorders>
            <w:shd w:val="clear" w:color="auto" w:fill="auto"/>
            <w:vAlign w:val="bottom"/>
          </w:tcPr>
          <w:p w14:paraId="66C8BDFB" w14:textId="77777777" w:rsidR="005A08A9" w:rsidRPr="003911D6" w:rsidRDefault="005A08A9" w:rsidP="0046185C">
            <w:pPr>
              <w:tabs>
                <w:tab w:val="decimal" w:pos="388"/>
              </w:tabs>
              <w:rPr>
                <w:color w:val="auto"/>
                <w:sz w:val="20"/>
                <w:szCs w:val="20"/>
              </w:rPr>
            </w:pPr>
            <w:r>
              <w:rPr>
                <w:color w:val="auto"/>
                <w:sz w:val="20"/>
                <w:szCs w:val="20"/>
              </w:rPr>
              <w:t>60.8</w:t>
            </w:r>
          </w:p>
        </w:tc>
        <w:tc>
          <w:tcPr>
            <w:tcW w:w="469" w:type="pct"/>
            <w:tcBorders>
              <w:top w:val="nil"/>
              <w:bottom w:val="nil"/>
            </w:tcBorders>
            <w:shd w:val="clear" w:color="auto" w:fill="auto"/>
            <w:vAlign w:val="bottom"/>
          </w:tcPr>
          <w:p w14:paraId="3E2D3FA5" w14:textId="77777777" w:rsidR="005A08A9" w:rsidRPr="003911D6" w:rsidRDefault="005A08A9" w:rsidP="0046185C">
            <w:pPr>
              <w:tabs>
                <w:tab w:val="decimal" w:pos="388"/>
              </w:tabs>
              <w:rPr>
                <w:color w:val="auto"/>
                <w:sz w:val="20"/>
                <w:szCs w:val="20"/>
              </w:rPr>
            </w:pPr>
            <w:r>
              <w:rPr>
                <w:color w:val="auto"/>
                <w:sz w:val="20"/>
                <w:szCs w:val="20"/>
              </w:rPr>
              <w:t>244.2</w:t>
            </w:r>
          </w:p>
        </w:tc>
        <w:tc>
          <w:tcPr>
            <w:tcW w:w="466" w:type="pct"/>
            <w:tcBorders>
              <w:top w:val="nil"/>
              <w:bottom w:val="nil"/>
            </w:tcBorders>
            <w:shd w:val="clear" w:color="auto" w:fill="auto"/>
            <w:vAlign w:val="bottom"/>
          </w:tcPr>
          <w:p w14:paraId="68EF6146" w14:textId="77777777" w:rsidR="005A08A9" w:rsidRPr="003911D6" w:rsidRDefault="005A08A9" w:rsidP="0046185C">
            <w:pPr>
              <w:tabs>
                <w:tab w:val="decimal" w:pos="388"/>
              </w:tabs>
              <w:rPr>
                <w:color w:val="auto"/>
                <w:sz w:val="20"/>
                <w:szCs w:val="20"/>
              </w:rPr>
            </w:pPr>
            <w:r>
              <w:rPr>
                <w:color w:val="auto"/>
                <w:sz w:val="20"/>
                <w:szCs w:val="20"/>
              </w:rPr>
              <w:t>538.3</w:t>
            </w:r>
          </w:p>
        </w:tc>
      </w:tr>
      <w:tr w:rsidR="005A08A9" w:rsidRPr="003911D6" w14:paraId="0611B0BA" w14:textId="77777777" w:rsidTr="0046185C">
        <w:trPr>
          <w:trHeight w:val="369"/>
        </w:trPr>
        <w:tc>
          <w:tcPr>
            <w:tcW w:w="784" w:type="pct"/>
            <w:shd w:val="clear" w:color="auto" w:fill="auto"/>
            <w:vAlign w:val="bottom"/>
          </w:tcPr>
          <w:p w14:paraId="6AD1C148" w14:textId="77777777" w:rsidR="005A08A9" w:rsidRPr="003911D6" w:rsidRDefault="005A08A9" w:rsidP="0046185C">
            <w:pPr>
              <w:jc w:val="left"/>
              <w:rPr>
                <w:color w:val="auto"/>
                <w:sz w:val="20"/>
                <w:szCs w:val="20"/>
                <w:vertAlign w:val="superscript"/>
              </w:rPr>
            </w:pPr>
            <w:r w:rsidRPr="003911D6">
              <w:rPr>
                <w:color w:val="auto"/>
                <w:sz w:val="20"/>
                <w:szCs w:val="20"/>
              </w:rPr>
              <w:t>Exposure to default (£m)</w:t>
            </w:r>
          </w:p>
        </w:tc>
        <w:tc>
          <w:tcPr>
            <w:tcW w:w="468" w:type="pct"/>
            <w:tcBorders>
              <w:top w:val="nil"/>
            </w:tcBorders>
            <w:shd w:val="clear" w:color="auto" w:fill="auto"/>
            <w:vAlign w:val="bottom"/>
          </w:tcPr>
          <w:p w14:paraId="0BF0E351" w14:textId="77777777" w:rsidR="005A08A9" w:rsidRPr="003911D6" w:rsidRDefault="005A08A9" w:rsidP="0046185C">
            <w:pPr>
              <w:tabs>
                <w:tab w:val="decimal" w:pos="388"/>
              </w:tabs>
              <w:rPr>
                <w:color w:val="auto"/>
                <w:sz w:val="20"/>
                <w:szCs w:val="20"/>
              </w:rPr>
            </w:pPr>
            <w:r w:rsidRPr="003911D6">
              <w:rPr>
                <w:color w:val="auto"/>
                <w:sz w:val="20"/>
                <w:szCs w:val="20"/>
              </w:rPr>
              <w:t>-</w:t>
            </w:r>
          </w:p>
        </w:tc>
        <w:tc>
          <w:tcPr>
            <w:tcW w:w="469" w:type="pct"/>
            <w:tcBorders>
              <w:top w:val="nil"/>
            </w:tcBorders>
            <w:shd w:val="clear" w:color="auto" w:fill="auto"/>
            <w:vAlign w:val="bottom"/>
          </w:tcPr>
          <w:p w14:paraId="334D4D27" w14:textId="77777777" w:rsidR="005A08A9" w:rsidRPr="003911D6" w:rsidRDefault="005A08A9" w:rsidP="0046185C">
            <w:pPr>
              <w:tabs>
                <w:tab w:val="decimal" w:pos="388"/>
              </w:tabs>
              <w:rPr>
                <w:color w:val="auto"/>
                <w:sz w:val="20"/>
                <w:szCs w:val="20"/>
              </w:rPr>
            </w:pPr>
            <w:r w:rsidRPr="003911D6">
              <w:rPr>
                <w:color w:val="auto"/>
                <w:sz w:val="20"/>
                <w:szCs w:val="20"/>
              </w:rPr>
              <w:t>-</w:t>
            </w:r>
          </w:p>
        </w:tc>
        <w:tc>
          <w:tcPr>
            <w:tcW w:w="469" w:type="pct"/>
            <w:tcBorders>
              <w:top w:val="nil"/>
            </w:tcBorders>
            <w:shd w:val="clear" w:color="auto" w:fill="auto"/>
            <w:vAlign w:val="bottom"/>
          </w:tcPr>
          <w:p w14:paraId="3795A9E2" w14:textId="77777777" w:rsidR="005A08A9" w:rsidRPr="003911D6" w:rsidRDefault="005A08A9" w:rsidP="0046185C">
            <w:pPr>
              <w:tabs>
                <w:tab w:val="decimal" w:pos="388"/>
              </w:tabs>
              <w:rPr>
                <w:color w:val="auto"/>
                <w:sz w:val="20"/>
                <w:szCs w:val="20"/>
              </w:rPr>
            </w:pPr>
            <w:r w:rsidRPr="003911D6">
              <w:rPr>
                <w:color w:val="auto"/>
                <w:sz w:val="20"/>
                <w:szCs w:val="20"/>
              </w:rPr>
              <w:t>-</w:t>
            </w:r>
          </w:p>
        </w:tc>
        <w:tc>
          <w:tcPr>
            <w:tcW w:w="469" w:type="pct"/>
            <w:tcBorders>
              <w:top w:val="nil"/>
            </w:tcBorders>
            <w:shd w:val="clear" w:color="auto" w:fill="auto"/>
            <w:vAlign w:val="bottom"/>
          </w:tcPr>
          <w:p w14:paraId="03A31F58" w14:textId="77777777" w:rsidR="005A08A9" w:rsidRPr="003911D6" w:rsidRDefault="005A08A9" w:rsidP="0046185C">
            <w:pPr>
              <w:tabs>
                <w:tab w:val="decimal" w:pos="388"/>
              </w:tabs>
              <w:rPr>
                <w:color w:val="auto"/>
                <w:sz w:val="20"/>
                <w:szCs w:val="20"/>
              </w:rPr>
            </w:pPr>
            <w:r w:rsidRPr="003911D6">
              <w:rPr>
                <w:color w:val="auto"/>
                <w:sz w:val="20"/>
                <w:szCs w:val="20"/>
              </w:rPr>
              <w:t>-</w:t>
            </w:r>
          </w:p>
        </w:tc>
        <w:tc>
          <w:tcPr>
            <w:tcW w:w="468" w:type="pct"/>
            <w:tcBorders>
              <w:top w:val="nil"/>
            </w:tcBorders>
            <w:shd w:val="clear" w:color="auto" w:fill="auto"/>
            <w:vAlign w:val="bottom"/>
          </w:tcPr>
          <w:p w14:paraId="23F61716" w14:textId="77777777" w:rsidR="005A08A9" w:rsidRPr="003911D6" w:rsidRDefault="005A08A9" w:rsidP="0046185C">
            <w:pPr>
              <w:tabs>
                <w:tab w:val="decimal" w:pos="388"/>
              </w:tabs>
              <w:rPr>
                <w:color w:val="auto"/>
                <w:sz w:val="20"/>
                <w:szCs w:val="20"/>
              </w:rPr>
            </w:pPr>
            <w:r>
              <w:rPr>
                <w:color w:val="auto"/>
                <w:sz w:val="20"/>
                <w:szCs w:val="20"/>
              </w:rPr>
              <w:t>0.16</w:t>
            </w:r>
          </w:p>
        </w:tc>
        <w:tc>
          <w:tcPr>
            <w:tcW w:w="469" w:type="pct"/>
            <w:tcBorders>
              <w:top w:val="nil"/>
            </w:tcBorders>
            <w:shd w:val="clear" w:color="auto" w:fill="auto"/>
            <w:vAlign w:val="bottom"/>
          </w:tcPr>
          <w:p w14:paraId="32E06F99" w14:textId="77777777" w:rsidR="005A08A9" w:rsidRPr="003911D6" w:rsidRDefault="005A08A9" w:rsidP="0046185C">
            <w:pPr>
              <w:tabs>
                <w:tab w:val="decimal" w:pos="388"/>
              </w:tabs>
              <w:rPr>
                <w:color w:val="auto"/>
                <w:sz w:val="20"/>
                <w:szCs w:val="20"/>
              </w:rPr>
            </w:pPr>
            <w:r>
              <w:rPr>
                <w:color w:val="auto"/>
                <w:sz w:val="20"/>
                <w:szCs w:val="20"/>
              </w:rPr>
              <w:t>0.07</w:t>
            </w:r>
          </w:p>
        </w:tc>
        <w:tc>
          <w:tcPr>
            <w:tcW w:w="469" w:type="pct"/>
            <w:tcBorders>
              <w:top w:val="nil"/>
            </w:tcBorders>
            <w:shd w:val="clear" w:color="auto" w:fill="auto"/>
            <w:vAlign w:val="bottom"/>
          </w:tcPr>
          <w:p w14:paraId="67261ACB" w14:textId="77777777" w:rsidR="005A08A9" w:rsidRPr="003911D6" w:rsidRDefault="005A08A9" w:rsidP="0046185C">
            <w:pPr>
              <w:tabs>
                <w:tab w:val="decimal" w:pos="388"/>
              </w:tabs>
              <w:rPr>
                <w:color w:val="auto"/>
                <w:sz w:val="20"/>
                <w:szCs w:val="20"/>
              </w:rPr>
            </w:pPr>
            <w:r>
              <w:rPr>
                <w:color w:val="auto"/>
                <w:sz w:val="20"/>
                <w:szCs w:val="20"/>
              </w:rPr>
              <w:t>0.29</w:t>
            </w:r>
          </w:p>
        </w:tc>
        <w:tc>
          <w:tcPr>
            <w:tcW w:w="469" w:type="pct"/>
            <w:tcBorders>
              <w:top w:val="nil"/>
            </w:tcBorders>
            <w:shd w:val="clear" w:color="auto" w:fill="auto"/>
            <w:vAlign w:val="bottom"/>
          </w:tcPr>
          <w:p w14:paraId="3BDED243" w14:textId="77777777" w:rsidR="005A08A9" w:rsidRPr="003911D6" w:rsidRDefault="005A08A9" w:rsidP="0046185C">
            <w:pPr>
              <w:tabs>
                <w:tab w:val="decimal" w:pos="388"/>
              </w:tabs>
              <w:rPr>
                <w:color w:val="auto"/>
                <w:sz w:val="20"/>
                <w:szCs w:val="20"/>
              </w:rPr>
            </w:pPr>
            <w:r>
              <w:rPr>
                <w:color w:val="auto"/>
                <w:sz w:val="20"/>
                <w:szCs w:val="20"/>
              </w:rPr>
              <w:t>1.66</w:t>
            </w:r>
          </w:p>
        </w:tc>
        <w:tc>
          <w:tcPr>
            <w:tcW w:w="466" w:type="pct"/>
            <w:tcBorders>
              <w:top w:val="nil"/>
            </w:tcBorders>
            <w:shd w:val="clear" w:color="auto" w:fill="auto"/>
            <w:vAlign w:val="bottom"/>
          </w:tcPr>
          <w:p w14:paraId="6E35191F" w14:textId="77777777" w:rsidR="005A08A9" w:rsidRPr="003911D6" w:rsidRDefault="005A08A9" w:rsidP="0046185C">
            <w:pPr>
              <w:tabs>
                <w:tab w:val="decimal" w:pos="388"/>
              </w:tabs>
              <w:rPr>
                <w:color w:val="auto"/>
                <w:sz w:val="20"/>
                <w:szCs w:val="20"/>
              </w:rPr>
            </w:pPr>
            <w:r>
              <w:rPr>
                <w:color w:val="auto"/>
                <w:sz w:val="20"/>
                <w:szCs w:val="20"/>
              </w:rPr>
              <w:t>2.18</w:t>
            </w:r>
          </w:p>
        </w:tc>
      </w:tr>
    </w:tbl>
    <w:p w14:paraId="6FB589C9" w14:textId="77777777" w:rsidR="005A08A9" w:rsidRDefault="005A08A9" w:rsidP="005A08A9">
      <w:pPr>
        <w:rPr>
          <w:lang w:eastAsia="en-GB"/>
        </w:rPr>
      </w:pPr>
    </w:p>
    <w:p w14:paraId="2273E965" w14:textId="4B986A03" w:rsidR="005A08A9" w:rsidRPr="00CD1FC1" w:rsidRDefault="005A08A9" w:rsidP="005A08A9">
      <w:pPr>
        <w:rPr>
          <w:lang w:eastAsia="en-GB"/>
        </w:rPr>
      </w:pPr>
      <w:r w:rsidRPr="00CD1FC1">
        <w:rPr>
          <w:lang w:eastAsia="en-GB"/>
        </w:rPr>
        <w:t xml:space="preserve">The maximum single commercial exposure is to </w:t>
      </w:r>
      <w:r>
        <w:rPr>
          <w:lang w:eastAsia="en-GB"/>
        </w:rPr>
        <w:t xml:space="preserve">Svenska </w:t>
      </w:r>
      <w:r w:rsidRPr="00CD1FC1">
        <w:rPr>
          <w:lang w:eastAsia="en-GB"/>
        </w:rPr>
        <w:t xml:space="preserve">Handelsbanken at £87.0m (2013/14 £70.0m to RBS), </w:t>
      </w:r>
      <w:r>
        <w:rPr>
          <w:lang w:eastAsia="en-GB"/>
        </w:rPr>
        <w:t xml:space="preserve">which is lower than the individual counterparty limit of £100m for cash deposits. Overall </w:t>
      </w:r>
      <w:r w:rsidRPr="00CD1FC1">
        <w:rPr>
          <w:lang w:eastAsia="en-GB"/>
        </w:rPr>
        <w:t>the portfolio is diversified by the use of 37 counterparties.</w:t>
      </w:r>
    </w:p>
    <w:p w14:paraId="53CD8774" w14:textId="77777777" w:rsidR="005A08A9" w:rsidRPr="00CD1FC1" w:rsidRDefault="005A08A9" w:rsidP="005A08A9">
      <w:pPr>
        <w:rPr>
          <w:lang w:eastAsia="en-GB"/>
        </w:rPr>
      </w:pPr>
      <w:r w:rsidRPr="00CD1FC1">
        <w:rPr>
          <w:lang w:eastAsia="en-GB"/>
        </w:rPr>
        <w:lastRenderedPageBreak/>
        <w:t>In the context of credit risk, non-statutory debtors are treated as financial instruments. The county council manages aged debt within the agreed policy.</w:t>
      </w:r>
    </w:p>
    <w:p w14:paraId="0ED25D16" w14:textId="485A9D80" w:rsidR="005A08A9" w:rsidRPr="002C00AD" w:rsidRDefault="005A08A9" w:rsidP="005A08A9">
      <w:pPr>
        <w:rPr>
          <w:b/>
          <w:lang w:eastAsia="en-GB"/>
        </w:rPr>
      </w:pPr>
      <w:r w:rsidRPr="002C00AD">
        <w:rPr>
          <w:b/>
          <w:lang w:eastAsia="en-GB"/>
        </w:rPr>
        <w:t xml:space="preserve">Liquidity </w:t>
      </w:r>
      <w:r w:rsidR="00311222">
        <w:rPr>
          <w:b/>
          <w:lang w:eastAsia="en-GB"/>
        </w:rPr>
        <w:t>r</w:t>
      </w:r>
      <w:r w:rsidRPr="002C00AD">
        <w:rPr>
          <w:b/>
          <w:lang w:eastAsia="en-GB"/>
        </w:rPr>
        <w:t>isk</w:t>
      </w:r>
    </w:p>
    <w:p w14:paraId="3749D6B5" w14:textId="77777777" w:rsidR="005A08A9" w:rsidRPr="002C00AD" w:rsidRDefault="005A08A9" w:rsidP="005A08A9">
      <w:pPr>
        <w:rPr>
          <w:lang w:eastAsia="en-GB"/>
        </w:rPr>
      </w:pPr>
      <w:r w:rsidRPr="002C00AD">
        <w:rPr>
          <w:lang w:eastAsia="en-GB"/>
        </w:rPr>
        <w:t>Liquidity risk is the danger that, at any time, we will have insufficient funds in our bank account to make the payments necessary to meet our financial obligations.</w:t>
      </w:r>
    </w:p>
    <w:p w14:paraId="26BE9CB2" w14:textId="2B94C392" w:rsidR="005A08A9" w:rsidRPr="002C00AD" w:rsidRDefault="005A08A9" w:rsidP="005A08A9">
      <w:pPr>
        <w:rPr>
          <w:lang w:eastAsia="en-GB"/>
        </w:rPr>
      </w:pPr>
      <w:r w:rsidRPr="002C00AD">
        <w:rPr>
          <w:lang w:eastAsia="en-GB"/>
        </w:rPr>
        <w:t>Lancashire County Council has a comprehensive cash flow management system which seeks to ensure that cash is available as needed. If unexpected movements happen, the county council has ready access to borrowings from the money markets and the Public Works Loans Board and access to their investment portfolio which is also considered to be liquid. There i</w:t>
      </w:r>
      <w:r w:rsidR="005A628F">
        <w:rPr>
          <w:lang w:eastAsia="en-GB"/>
        </w:rPr>
        <w:t>s no significant risk that the county c</w:t>
      </w:r>
      <w:r w:rsidRPr="002C00AD">
        <w:rPr>
          <w:lang w:eastAsia="en-GB"/>
        </w:rPr>
        <w:t xml:space="preserve">ouncil will be unable to raise finance to meet its commitments under financial instruments. Instead the risk is that the council will be bound to replenish a significant proportion of its borrowing at a time of unfavourable interest rates however this is not considered to be material. The </w:t>
      </w:r>
      <w:r w:rsidR="00094A51">
        <w:rPr>
          <w:lang w:eastAsia="en-GB"/>
        </w:rPr>
        <w:t>Director of Financial Resources</w:t>
      </w:r>
      <w:r w:rsidRPr="002C00AD">
        <w:rPr>
          <w:lang w:eastAsia="en-GB"/>
        </w:rPr>
        <w:t xml:space="preserve"> will continue to closely monitor interest rate forecasts in order to establish when long term interest rates might be expected to rise.</w:t>
      </w:r>
    </w:p>
    <w:p w14:paraId="798E2251" w14:textId="11AA095F" w:rsidR="005A08A9" w:rsidRPr="002C00AD" w:rsidRDefault="005A08A9" w:rsidP="005A08A9">
      <w:pPr>
        <w:rPr>
          <w:b/>
          <w:lang w:eastAsia="en-GB"/>
        </w:rPr>
      </w:pPr>
      <w:r w:rsidRPr="002C00AD">
        <w:rPr>
          <w:b/>
          <w:lang w:eastAsia="en-GB"/>
        </w:rPr>
        <w:t xml:space="preserve">Market </w:t>
      </w:r>
      <w:r w:rsidR="00311222">
        <w:rPr>
          <w:b/>
          <w:lang w:eastAsia="en-GB"/>
        </w:rPr>
        <w:t>r</w:t>
      </w:r>
      <w:r w:rsidRPr="002C00AD">
        <w:rPr>
          <w:b/>
          <w:lang w:eastAsia="en-GB"/>
        </w:rPr>
        <w:t>isk</w:t>
      </w:r>
    </w:p>
    <w:p w14:paraId="5CC76C78" w14:textId="77777777" w:rsidR="005A08A9" w:rsidRPr="002C00AD" w:rsidRDefault="005A08A9" w:rsidP="005A08A9">
      <w:pPr>
        <w:rPr>
          <w:lang w:eastAsia="en-GB"/>
        </w:rPr>
      </w:pPr>
      <w:r w:rsidRPr="002C00AD">
        <w:rPr>
          <w:lang w:eastAsia="en-GB"/>
        </w:rPr>
        <w:t xml:space="preserve">The market risk to which the county council is exposed in our financial instruments arises mainly from interest rate movements </w:t>
      </w:r>
      <w:r w:rsidRPr="002C00AD">
        <w:rPr>
          <w:lang w:eastAsia="en-GB"/>
        </w:rPr>
        <w:lastRenderedPageBreak/>
        <w:t>in financial markets. The different types of financial instruments that we hold are affected in different ways by changes in market interest rates.</w:t>
      </w:r>
    </w:p>
    <w:p w14:paraId="699918EC" w14:textId="77777777" w:rsidR="005A08A9" w:rsidRPr="002C00AD" w:rsidRDefault="005A08A9" w:rsidP="005A08A9">
      <w:pPr>
        <w:rPr>
          <w:lang w:eastAsia="en-GB"/>
        </w:rPr>
      </w:pPr>
      <w:r w:rsidRPr="002C00AD">
        <w:rPr>
          <w:lang w:eastAsia="en-GB"/>
        </w:rPr>
        <w:t>Movement in interest rates have a complex impact on the county council. For instance, a rise in interest rates would have the following effects:</w:t>
      </w:r>
    </w:p>
    <w:p w14:paraId="315E1411" w14:textId="77777777" w:rsidR="005A08A9" w:rsidRPr="002C00AD" w:rsidRDefault="005A08A9" w:rsidP="00EC401F">
      <w:pPr>
        <w:numPr>
          <w:ilvl w:val="0"/>
          <w:numId w:val="38"/>
        </w:numPr>
        <w:rPr>
          <w:lang w:eastAsia="en-GB"/>
        </w:rPr>
      </w:pPr>
      <w:r w:rsidRPr="002C00AD">
        <w:rPr>
          <w:lang w:eastAsia="en-GB"/>
        </w:rPr>
        <w:t>Borrowings at variable rates – the interest expense charged to the surplus or deficit on the provision of services will rise.</w:t>
      </w:r>
    </w:p>
    <w:p w14:paraId="01348D19" w14:textId="77777777" w:rsidR="005A08A9" w:rsidRPr="002C00AD" w:rsidRDefault="005A08A9" w:rsidP="00EC401F">
      <w:pPr>
        <w:numPr>
          <w:ilvl w:val="0"/>
          <w:numId w:val="38"/>
        </w:numPr>
        <w:rPr>
          <w:lang w:eastAsia="en-GB"/>
        </w:rPr>
      </w:pPr>
      <w:r w:rsidRPr="002C00AD">
        <w:rPr>
          <w:lang w:eastAsia="en-GB"/>
        </w:rPr>
        <w:t>Borrowings at fixed rates – the fair value of the liabilities borrowings will fall (this has no effect on the surplus or deficit on the provision of services).</w:t>
      </w:r>
    </w:p>
    <w:p w14:paraId="58159F0B" w14:textId="77777777" w:rsidR="005A08A9" w:rsidRPr="002C00AD" w:rsidRDefault="005A08A9" w:rsidP="00EC401F">
      <w:pPr>
        <w:numPr>
          <w:ilvl w:val="0"/>
          <w:numId w:val="38"/>
        </w:numPr>
        <w:rPr>
          <w:lang w:eastAsia="en-GB"/>
        </w:rPr>
      </w:pPr>
      <w:r w:rsidRPr="002C00AD">
        <w:rPr>
          <w:lang w:eastAsia="en-GB"/>
        </w:rPr>
        <w:t>Investments at variable rates - the interest income credited to surplus or deficit on the provision of services will rise.</w:t>
      </w:r>
    </w:p>
    <w:p w14:paraId="50835438" w14:textId="77777777" w:rsidR="005A08A9" w:rsidRPr="002C00AD" w:rsidRDefault="005A08A9" w:rsidP="00EC401F">
      <w:pPr>
        <w:numPr>
          <w:ilvl w:val="0"/>
          <w:numId w:val="38"/>
        </w:numPr>
        <w:rPr>
          <w:lang w:eastAsia="en-GB"/>
        </w:rPr>
      </w:pPr>
      <w:r w:rsidRPr="002C00AD">
        <w:rPr>
          <w:lang w:eastAsia="en-GB"/>
        </w:rPr>
        <w:t>Investments at fixed rates – the fair value of the investments will fall.</w:t>
      </w:r>
    </w:p>
    <w:p w14:paraId="5942CAE0" w14:textId="77777777" w:rsidR="005A08A9" w:rsidRPr="002C00AD" w:rsidRDefault="005A08A9" w:rsidP="005A08A9">
      <w:pPr>
        <w:rPr>
          <w:b/>
          <w:lang w:eastAsia="en-GB"/>
        </w:rPr>
      </w:pPr>
      <w:r w:rsidRPr="002C00AD">
        <w:rPr>
          <w:b/>
          <w:lang w:eastAsia="en-GB"/>
        </w:rPr>
        <w:t>Market Risk – Borrowings</w:t>
      </w:r>
    </w:p>
    <w:p w14:paraId="726DC7BE" w14:textId="77777777" w:rsidR="005A08A9" w:rsidRPr="002C00AD" w:rsidRDefault="005A08A9" w:rsidP="005A08A9">
      <w:pPr>
        <w:rPr>
          <w:lang w:eastAsia="en-GB"/>
        </w:rPr>
      </w:pPr>
      <w:r w:rsidRPr="002C00AD">
        <w:rPr>
          <w:lang w:eastAsia="en-GB"/>
        </w:rPr>
        <w:t>There is a significant level of short term borrowing which needs to be constantly refinanced as part of the strategy to benefit from low short term interest rates.  This gives rise to some interest rate risk, although this is mitigated by the ability of the council to switch from short term to long term borrowing should the UK enter as period of rising interest rates, as the expectation is that this would be a protracted period rather than a single event.</w:t>
      </w:r>
    </w:p>
    <w:p w14:paraId="7894B217" w14:textId="77777777" w:rsidR="005A08A9" w:rsidRPr="002C00AD" w:rsidRDefault="005A08A9" w:rsidP="005A08A9">
      <w:pPr>
        <w:rPr>
          <w:lang w:eastAsia="en-GB"/>
        </w:rPr>
      </w:pPr>
      <w:r w:rsidRPr="002C00AD">
        <w:rPr>
          <w:lang w:eastAsia="en-GB"/>
        </w:rPr>
        <w:lastRenderedPageBreak/>
        <w:t>As part of a balanced portfolio, the interest rate risk is further mitigated by two factors:</w:t>
      </w:r>
    </w:p>
    <w:p w14:paraId="7B81161C" w14:textId="77777777" w:rsidR="005A08A9" w:rsidRPr="002C00AD" w:rsidRDefault="005A08A9" w:rsidP="00EC401F">
      <w:pPr>
        <w:numPr>
          <w:ilvl w:val="0"/>
          <w:numId w:val="39"/>
        </w:numPr>
        <w:rPr>
          <w:lang w:eastAsia="en-GB"/>
        </w:rPr>
      </w:pPr>
      <w:r w:rsidRPr="002C00AD">
        <w:rPr>
          <w:lang w:eastAsia="en-GB"/>
        </w:rPr>
        <w:t>Maturing and available for sale short term investments which could be used to pay down debt, should it become cost effective to do so.</w:t>
      </w:r>
    </w:p>
    <w:p w14:paraId="223A36D2" w14:textId="7B460C6F" w:rsidR="005A08A9" w:rsidRPr="002C00AD" w:rsidRDefault="005A08A9" w:rsidP="00EC401F">
      <w:pPr>
        <w:numPr>
          <w:ilvl w:val="0"/>
          <w:numId w:val="39"/>
        </w:numPr>
        <w:rPr>
          <w:lang w:eastAsia="en-GB"/>
        </w:rPr>
      </w:pPr>
      <w:r w:rsidRPr="002C00AD">
        <w:rPr>
          <w:lang w:eastAsia="en-GB"/>
        </w:rPr>
        <w:t>A long term £50m loan taken on a Lender Option Borrower Option (LOBO) basis.  The interest rate of this loan is 7.5% less the sterling 10 year swap rate, providing an inverse relationship with interest rates - the interest payable on the loan will fall as interest rates rise.</w:t>
      </w:r>
    </w:p>
    <w:p w14:paraId="2E55D980" w14:textId="25CAA652" w:rsidR="005A08A9" w:rsidRPr="002C00AD" w:rsidRDefault="005A08A9" w:rsidP="005A08A9">
      <w:pPr>
        <w:rPr>
          <w:lang w:eastAsia="en-GB"/>
        </w:rPr>
      </w:pPr>
      <w:r w:rsidRPr="002C00AD">
        <w:rPr>
          <w:lang w:eastAsia="en-GB"/>
        </w:rPr>
        <w:t xml:space="preserve">The </w:t>
      </w:r>
      <w:r w:rsidR="00094A51">
        <w:rPr>
          <w:lang w:eastAsia="en-GB"/>
        </w:rPr>
        <w:t>Director of Financial Resources</w:t>
      </w:r>
      <w:r w:rsidRPr="002C00AD">
        <w:rPr>
          <w:lang w:eastAsia="en-GB"/>
        </w:rPr>
        <w:t xml:space="preserve"> will continue to closely monitor interest rate forecasts in order to establish when long term interest rates might be expected to rise.</w:t>
      </w:r>
    </w:p>
    <w:p w14:paraId="2E85DAB8" w14:textId="77777777" w:rsidR="005A08A9" w:rsidRPr="002C00AD" w:rsidRDefault="005A08A9" w:rsidP="005A08A9">
      <w:pPr>
        <w:rPr>
          <w:b/>
          <w:lang w:eastAsia="en-GB"/>
        </w:rPr>
      </w:pPr>
      <w:r w:rsidRPr="002C00AD">
        <w:rPr>
          <w:b/>
          <w:lang w:eastAsia="en-GB"/>
        </w:rPr>
        <w:t>Market Risk – Investments</w:t>
      </w:r>
    </w:p>
    <w:p w14:paraId="602488CD" w14:textId="77777777" w:rsidR="005A08A9" w:rsidRPr="002C00AD" w:rsidRDefault="005A08A9" w:rsidP="005A08A9">
      <w:pPr>
        <w:rPr>
          <w:lang w:eastAsia="en-GB"/>
        </w:rPr>
      </w:pPr>
      <w:r w:rsidRPr="002C00AD">
        <w:rPr>
          <w:lang w:eastAsia="en-GB"/>
        </w:rPr>
        <w:t>A fall in the fair value of fixed rate investments that are held for trading will result in a charge to the surplus or deficit on the provision of services, reducing the County Fund balance.  A fall in the fair value available-for-sale investments will be reflected in other comprehensive income.  A fall in the fair value of other investments will have no impact on the primary financial statements, but will be disclosed in the notes to the accounts.</w:t>
      </w:r>
    </w:p>
    <w:p w14:paraId="74A11702" w14:textId="77777777" w:rsidR="005A08A9" w:rsidRPr="002C00AD" w:rsidRDefault="005A08A9" w:rsidP="005A08A9">
      <w:pPr>
        <w:rPr>
          <w:lang w:eastAsia="en-GB"/>
        </w:rPr>
      </w:pPr>
      <w:r w:rsidRPr="002C00AD">
        <w:rPr>
          <w:lang w:eastAsia="en-GB"/>
        </w:rPr>
        <w:lastRenderedPageBreak/>
        <w:t>The county council also holds index linked investments the fair value of which rises as inflation rises, and a Lender Option Borrower Option (LOBO) loan for which the expense charged to the surplus or deficit on the provision of services will fall as interest rates rise. All of these instruments are part of a strategy to take advantage of current market conditions whilst managing interest rate risk.</w:t>
      </w:r>
    </w:p>
    <w:p w14:paraId="62FC8F33" w14:textId="77777777" w:rsidR="005A08A9" w:rsidRDefault="005A08A9" w:rsidP="005A08A9">
      <w:pPr>
        <w:rPr>
          <w:lang w:eastAsia="en-GB"/>
        </w:rPr>
      </w:pPr>
      <w:r w:rsidRPr="002C00AD">
        <w:rPr>
          <w:lang w:eastAsia="en-GB"/>
        </w:rPr>
        <w:t>The Treasury Management team is constantly refining the active strategy for assessing interest rate exposure and the results feed into the annual budget cycle allowing any adverse changes to be accommodated.</w:t>
      </w:r>
    </w:p>
    <w:p w14:paraId="0E0E91E3" w14:textId="23308DB0" w:rsidR="005A08A9" w:rsidRDefault="005A08A9" w:rsidP="005A08A9">
      <w:pPr>
        <w:rPr>
          <w:lang w:eastAsia="en-GB"/>
        </w:rPr>
      </w:pPr>
      <w:r w:rsidRPr="002C00AD">
        <w:rPr>
          <w:lang w:eastAsia="en-GB"/>
        </w:rPr>
        <w:t xml:space="preserve">The </w:t>
      </w:r>
      <w:r w:rsidR="00243101">
        <w:rPr>
          <w:lang w:eastAsia="en-GB"/>
        </w:rPr>
        <w:t xml:space="preserve">following </w:t>
      </w:r>
      <w:r w:rsidRPr="002C00AD">
        <w:rPr>
          <w:lang w:eastAsia="en-GB"/>
        </w:rPr>
        <w:t>table attempts to quantify the interest rate risk looking back at the 31 March 2015 position.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3"/>
        <w:gridCol w:w="2157"/>
      </w:tblGrid>
      <w:tr w:rsidR="005A08A9" w:rsidRPr="003C0F16" w14:paraId="54E0DA70" w14:textId="77777777" w:rsidTr="0046185C">
        <w:trPr>
          <w:trHeight w:val="369"/>
          <w:tblHeader/>
        </w:trPr>
        <w:tc>
          <w:tcPr>
            <w:tcW w:w="3968" w:type="pct"/>
            <w:shd w:val="clear" w:color="auto" w:fill="D0CECE"/>
            <w:vAlign w:val="bottom"/>
          </w:tcPr>
          <w:p w14:paraId="5FFF7CB1" w14:textId="77777777" w:rsidR="005A08A9" w:rsidRPr="00112D69" w:rsidRDefault="005A08A9" w:rsidP="0046185C">
            <w:pPr>
              <w:jc w:val="left"/>
              <w:rPr>
                <w:b/>
                <w:color w:val="auto"/>
              </w:rPr>
            </w:pPr>
            <w:r w:rsidRPr="00112D69">
              <w:rPr>
                <w:b/>
                <w:color w:val="auto"/>
              </w:rPr>
              <w:t>The effect if interest rates were 1% higher with all other variables held constant:</w:t>
            </w:r>
          </w:p>
        </w:tc>
        <w:tc>
          <w:tcPr>
            <w:tcW w:w="1032" w:type="pct"/>
            <w:shd w:val="clear" w:color="auto" w:fill="D0CECE"/>
            <w:vAlign w:val="bottom"/>
          </w:tcPr>
          <w:p w14:paraId="675F7A39" w14:textId="77777777" w:rsidR="005A08A9" w:rsidRPr="00112D69" w:rsidRDefault="005A08A9" w:rsidP="0046185C">
            <w:pPr>
              <w:jc w:val="center"/>
              <w:rPr>
                <w:b/>
                <w:color w:val="auto"/>
              </w:rPr>
            </w:pPr>
            <w:r w:rsidRPr="00112D69">
              <w:rPr>
                <w:b/>
                <w:color w:val="auto"/>
              </w:rPr>
              <w:t>£m</w:t>
            </w:r>
          </w:p>
        </w:tc>
      </w:tr>
      <w:tr w:rsidR="005A08A9" w:rsidRPr="003C0F16" w14:paraId="3E5C3D76" w14:textId="77777777" w:rsidTr="0046185C">
        <w:trPr>
          <w:trHeight w:val="369"/>
        </w:trPr>
        <w:tc>
          <w:tcPr>
            <w:tcW w:w="3968" w:type="pct"/>
            <w:shd w:val="clear" w:color="auto" w:fill="auto"/>
            <w:vAlign w:val="bottom"/>
          </w:tcPr>
          <w:p w14:paraId="5128CC95" w14:textId="77777777" w:rsidR="005A08A9" w:rsidRPr="00112D69" w:rsidRDefault="005A08A9" w:rsidP="0046185C">
            <w:pPr>
              <w:jc w:val="left"/>
              <w:rPr>
                <w:color w:val="auto"/>
              </w:rPr>
            </w:pPr>
            <w:r w:rsidRPr="00112D69">
              <w:rPr>
                <w:color w:val="auto"/>
              </w:rPr>
              <w:t>Increase in interest payable on variable rate borrowings</w:t>
            </w:r>
          </w:p>
        </w:tc>
        <w:tc>
          <w:tcPr>
            <w:tcW w:w="1032" w:type="pct"/>
            <w:tcBorders>
              <w:bottom w:val="nil"/>
            </w:tcBorders>
            <w:shd w:val="clear" w:color="auto" w:fill="auto"/>
            <w:vAlign w:val="bottom"/>
          </w:tcPr>
          <w:p w14:paraId="253D5E6D" w14:textId="77777777" w:rsidR="005A08A9" w:rsidRPr="00112D69" w:rsidRDefault="005A08A9" w:rsidP="0046185C">
            <w:pPr>
              <w:tabs>
                <w:tab w:val="decimal" w:pos="1026"/>
              </w:tabs>
              <w:rPr>
                <w:color w:val="auto"/>
              </w:rPr>
            </w:pPr>
            <w:r w:rsidRPr="00112D69">
              <w:rPr>
                <w:color w:val="auto"/>
              </w:rPr>
              <w:t>4.6</w:t>
            </w:r>
          </w:p>
        </w:tc>
      </w:tr>
      <w:tr w:rsidR="005A08A9" w:rsidRPr="003C0F16" w14:paraId="3CA625FA" w14:textId="77777777" w:rsidTr="0046185C">
        <w:trPr>
          <w:trHeight w:val="369"/>
        </w:trPr>
        <w:tc>
          <w:tcPr>
            <w:tcW w:w="3968" w:type="pct"/>
            <w:shd w:val="clear" w:color="auto" w:fill="auto"/>
            <w:vAlign w:val="bottom"/>
          </w:tcPr>
          <w:p w14:paraId="73AEA4BE" w14:textId="77777777" w:rsidR="005A08A9" w:rsidRPr="00112D69" w:rsidRDefault="005A08A9" w:rsidP="0046185C">
            <w:pPr>
              <w:jc w:val="left"/>
              <w:rPr>
                <w:color w:val="auto"/>
              </w:rPr>
            </w:pPr>
            <w:r w:rsidRPr="00112D69">
              <w:rPr>
                <w:color w:val="auto"/>
              </w:rPr>
              <w:t>Increase in interest receivable on variable rate investments</w:t>
            </w:r>
          </w:p>
        </w:tc>
        <w:tc>
          <w:tcPr>
            <w:tcW w:w="1032" w:type="pct"/>
            <w:tcBorders>
              <w:bottom w:val="nil"/>
            </w:tcBorders>
            <w:shd w:val="clear" w:color="auto" w:fill="auto"/>
            <w:vAlign w:val="bottom"/>
          </w:tcPr>
          <w:p w14:paraId="0DF2F4CD" w14:textId="77777777" w:rsidR="005A08A9" w:rsidRPr="00112D69" w:rsidRDefault="005A08A9" w:rsidP="0046185C">
            <w:pPr>
              <w:tabs>
                <w:tab w:val="decimal" w:pos="1026"/>
              </w:tabs>
              <w:rPr>
                <w:color w:val="auto"/>
              </w:rPr>
            </w:pPr>
            <w:r w:rsidRPr="00112D69">
              <w:rPr>
                <w:color w:val="auto"/>
              </w:rPr>
              <w:t>(1.8)</w:t>
            </w:r>
          </w:p>
        </w:tc>
      </w:tr>
      <w:tr w:rsidR="005A08A9" w:rsidRPr="003C0F16" w14:paraId="14CE7EF6" w14:textId="77777777" w:rsidTr="0046185C">
        <w:trPr>
          <w:trHeight w:val="369"/>
        </w:trPr>
        <w:tc>
          <w:tcPr>
            <w:tcW w:w="3968" w:type="pct"/>
            <w:shd w:val="clear" w:color="auto" w:fill="auto"/>
            <w:vAlign w:val="bottom"/>
          </w:tcPr>
          <w:p w14:paraId="4D0BC8ED" w14:textId="77777777" w:rsidR="005A08A9" w:rsidRPr="00112D69" w:rsidRDefault="005A08A9" w:rsidP="0046185C">
            <w:pPr>
              <w:jc w:val="left"/>
              <w:rPr>
                <w:color w:val="auto"/>
              </w:rPr>
            </w:pPr>
            <w:r w:rsidRPr="00112D69">
              <w:rPr>
                <w:color w:val="auto"/>
              </w:rPr>
              <w:t>Decrease in fair value of investments held for trading*</w:t>
            </w:r>
          </w:p>
        </w:tc>
        <w:tc>
          <w:tcPr>
            <w:tcW w:w="1032" w:type="pct"/>
            <w:tcBorders>
              <w:bottom w:val="nil"/>
            </w:tcBorders>
            <w:shd w:val="clear" w:color="auto" w:fill="auto"/>
            <w:vAlign w:val="bottom"/>
          </w:tcPr>
          <w:p w14:paraId="58281585" w14:textId="77777777" w:rsidR="005A08A9" w:rsidRPr="00112D69" w:rsidRDefault="005A08A9" w:rsidP="0046185C">
            <w:pPr>
              <w:tabs>
                <w:tab w:val="decimal" w:pos="1026"/>
              </w:tabs>
              <w:rPr>
                <w:color w:val="auto"/>
              </w:rPr>
            </w:pPr>
            <w:r w:rsidRPr="00112D69">
              <w:rPr>
                <w:color w:val="auto"/>
              </w:rPr>
              <w:t>4.6</w:t>
            </w:r>
          </w:p>
        </w:tc>
      </w:tr>
      <w:tr w:rsidR="005A08A9" w:rsidRPr="003C0F16" w14:paraId="4C13B463" w14:textId="77777777" w:rsidTr="0046185C">
        <w:trPr>
          <w:trHeight w:val="369"/>
        </w:trPr>
        <w:tc>
          <w:tcPr>
            <w:tcW w:w="3968" w:type="pct"/>
            <w:shd w:val="clear" w:color="auto" w:fill="auto"/>
            <w:vAlign w:val="bottom"/>
          </w:tcPr>
          <w:p w14:paraId="50E96F92" w14:textId="77777777" w:rsidR="005A08A9" w:rsidRPr="00112D69" w:rsidRDefault="005A08A9" w:rsidP="0046185C">
            <w:pPr>
              <w:jc w:val="left"/>
              <w:rPr>
                <w:b/>
                <w:color w:val="auto"/>
              </w:rPr>
            </w:pPr>
            <w:r w:rsidRPr="00112D69">
              <w:rPr>
                <w:b/>
                <w:color w:val="auto"/>
              </w:rPr>
              <w:t xml:space="preserve">Impact </w:t>
            </w:r>
            <w:r w:rsidRPr="009C1D66">
              <w:rPr>
                <w:b/>
                <w:color w:val="auto"/>
              </w:rPr>
              <w:t>on surplus on</w:t>
            </w:r>
            <w:r w:rsidRPr="00112D69">
              <w:rPr>
                <w:b/>
                <w:color w:val="auto"/>
              </w:rPr>
              <w:t xml:space="preserve"> the provision of services</w:t>
            </w:r>
          </w:p>
        </w:tc>
        <w:tc>
          <w:tcPr>
            <w:tcW w:w="1032" w:type="pct"/>
            <w:tcBorders>
              <w:bottom w:val="nil"/>
            </w:tcBorders>
            <w:shd w:val="clear" w:color="auto" w:fill="auto"/>
            <w:vAlign w:val="bottom"/>
          </w:tcPr>
          <w:p w14:paraId="266A0377" w14:textId="77777777" w:rsidR="005A08A9" w:rsidRPr="00112D69" w:rsidRDefault="005A08A9" w:rsidP="0046185C">
            <w:pPr>
              <w:tabs>
                <w:tab w:val="decimal" w:pos="1026"/>
              </w:tabs>
              <w:rPr>
                <w:b/>
                <w:color w:val="auto"/>
              </w:rPr>
            </w:pPr>
            <w:r w:rsidRPr="00112D69">
              <w:rPr>
                <w:b/>
                <w:color w:val="auto"/>
              </w:rPr>
              <w:t>7.4</w:t>
            </w:r>
          </w:p>
        </w:tc>
      </w:tr>
      <w:tr w:rsidR="005A08A9" w:rsidRPr="003C0F16" w14:paraId="53CA3A19" w14:textId="77777777" w:rsidTr="0046185C">
        <w:trPr>
          <w:trHeight w:val="369"/>
        </w:trPr>
        <w:tc>
          <w:tcPr>
            <w:tcW w:w="3968" w:type="pct"/>
            <w:shd w:val="clear" w:color="auto" w:fill="auto"/>
            <w:vAlign w:val="bottom"/>
          </w:tcPr>
          <w:p w14:paraId="2AFC10BC" w14:textId="77777777" w:rsidR="005A08A9" w:rsidRPr="00112D69" w:rsidRDefault="005A08A9" w:rsidP="0046185C">
            <w:pPr>
              <w:jc w:val="left"/>
              <w:rPr>
                <w:color w:val="auto"/>
              </w:rPr>
            </w:pPr>
            <w:r w:rsidRPr="00112D69">
              <w:rPr>
                <w:color w:val="auto"/>
              </w:rPr>
              <w:t>Decrease in fair value of fixed rate available for sale  investment assets</w:t>
            </w:r>
          </w:p>
        </w:tc>
        <w:tc>
          <w:tcPr>
            <w:tcW w:w="1032" w:type="pct"/>
            <w:tcBorders>
              <w:top w:val="nil"/>
              <w:bottom w:val="nil"/>
            </w:tcBorders>
            <w:shd w:val="clear" w:color="auto" w:fill="auto"/>
            <w:vAlign w:val="bottom"/>
          </w:tcPr>
          <w:p w14:paraId="231ABCD0" w14:textId="77777777" w:rsidR="005A08A9" w:rsidRPr="00112D69" w:rsidRDefault="005A08A9" w:rsidP="0046185C">
            <w:pPr>
              <w:tabs>
                <w:tab w:val="decimal" w:pos="1026"/>
              </w:tabs>
              <w:rPr>
                <w:color w:val="auto"/>
              </w:rPr>
            </w:pPr>
            <w:r w:rsidRPr="00112D69">
              <w:rPr>
                <w:color w:val="auto"/>
              </w:rPr>
              <w:t>30.4</w:t>
            </w:r>
          </w:p>
        </w:tc>
      </w:tr>
      <w:tr w:rsidR="005A08A9" w:rsidRPr="003C0F16" w14:paraId="72E8DB8C" w14:textId="77777777" w:rsidTr="0046185C">
        <w:trPr>
          <w:trHeight w:val="369"/>
        </w:trPr>
        <w:tc>
          <w:tcPr>
            <w:tcW w:w="3968" w:type="pct"/>
            <w:shd w:val="clear" w:color="auto" w:fill="auto"/>
            <w:vAlign w:val="bottom"/>
          </w:tcPr>
          <w:p w14:paraId="1023B650" w14:textId="77777777" w:rsidR="005A08A9" w:rsidRPr="00112D69" w:rsidRDefault="005A08A9" w:rsidP="0046185C">
            <w:pPr>
              <w:jc w:val="left"/>
              <w:rPr>
                <w:b/>
                <w:color w:val="auto"/>
              </w:rPr>
            </w:pPr>
            <w:r w:rsidRPr="00112D69">
              <w:rPr>
                <w:b/>
                <w:color w:val="auto"/>
              </w:rPr>
              <w:t>Impact on other Comprehensive Income &amp; Expenditure</w:t>
            </w:r>
          </w:p>
        </w:tc>
        <w:tc>
          <w:tcPr>
            <w:tcW w:w="1032" w:type="pct"/>
            <w:tcBorders>
              <w:top w:val="nil"/>
              <w:bottom w:val="nil"/>
            </w:tcBorders>
            <w:shd w:val="clear" w:color="auto" w:fill="auto"/>
            <w:vAlign w:val="bottom"/>
          </w:tcPr>
          <w:p w14:paraId="4515DDC0" w14:textId="77777777" w:rsidR="005A08A9" w:rsidRPr="00112D69" w:rsidRDefault="005A08A9" w:rsidP="0046185C">
            <w:pPr>
              <w:tabs>
                <w:tab w:val="decimal" w:pos="1026"/>
              </w:tabs>
              <w:rPr>
                <w:b/>
                <w:color w:val="auto"/>
              </w:rPr>
            </w:pPr>
            <w:r w:rsidRPr="00112D69">
              <w:rPr>
                <w:b/>
                <w:color w:val="auto"/>
              </w:rPr>
              <w:t>37.8</w:t>
            </w:r>
          </w:p>
        </w:tc>
      </w:tr>
      <w:tr w:rsidR="005A08A9" w:rsidRPr="003C0F16" w14:paraId="15063B45" w14:textId="77777777" w:rsidTr="0046185C">
        <w:trPr>
          <w:trHeight w:val="369"/>
        </w:trPr>
        <w:tc>
          <w:tcPr>
            <w:tcW w:w="3968" w:type="pct"/>
            <w:shd w:val="clear" w:color="auto" w:fill="auto"/>
            <w:vAlign w:val="bottom"/>
          </w:tcPr>
          <w:p w14:paraId="6A3B9107" w14:textId="77777777" w:rsidR="005A08A9" w:rsidRPr="00112D69" w:rsidRDefault="005A08A9" w:rsidP="0046185C">
            <w:pPr>
              <w:jc w:val="left"/>
              <w:rPr>
                <w:color w:val="auto"/>
              </w:rPr>
            </w:pPr>
            <w:r w:rsidRPr="00112D69">
              <w:rPr>
                <w:color w:val="auto"/>
              </w:rPr>
              <w:t xml:space="preserve">Decrease in fair value of fixed rate loans and receivables investments (no impact </w:t>
            </w:r>
            <w:r w:rsidRPr="009C1D66">
              <w:rPr>
                <w:color w:val="auto"/>
              </w:rPr>
              <w:t>on the Surplus on the Provision of Services or Other Comprehensive Income and Expenditure)</w:t>
            </w:r>
          </w:p>
        </w:tc>
        <w:tc>
          <w:tcPr>
            <w:tcW w:w="1032" w:type="pct"/>
            <w:tcBorders>
              <w:top w:val="nil"/>
              <w:bottom w:val="nil"/>
            </w:tcBorders>
            <w:shd w:val="clear" w:color="auto" w:fill="auto"/>
            <w:vAlign w:val="bottom"/>
          </w:tcPr>
          <w:p w14:paraId="0A37AD76" w14:textId="77777777" w:rsidR="005A08A9" w:rsidRPr="00112D69" w:rsidRDefault="005A08A9" w:rsidP="0046185C">
            <w:pPr>
              <w:tabs>
                <w:tab w:val="decimal" w:pos="1026"/>
              </w:tabs>
              <w:rPr>
                <w:color w:val="auto"/>
              </w:rPr>
            </w:pPr>
            <w:r w:rsidRPr="00112D69">
              <w:rPr>
                <w:color w:val="auto"/>
              </w:rPr>
              <w:t>(9.4)</w:t>
            </w:r>
          </w:p>
        </w:tc>
      </w:tr>
      <w:tr w:rsidR="005A08A9" w:rsidRPr="003C0F16" w14:paraId="23E4D41E" w14:textId="77777777" w:rsidTr="0046185C">
        <w:trPr>
          <w:trHeight w:val="369"/>
        </w:trPr>
        <w:tc>
          <w:tcPr>
            <w:tcW w:w="3968" w:type="pct"/>
            <w:shd w:val="clear" w:color="auto" w:fill="auto"/>
            <w:vAlign w:val="bottom"/>
          </w:tcPr>
          <w:p w14:paraId="2B1C90C6" w14:textId="77777777" w:rsidR="005A08A9" w:rsidRPr="00112D69" w:rsidRDefault="005A08A9" w:rsidP="0046185C">
            <w:pPr>
              <w:jc w:val="left"/>
              <w:rPr>
                <w:color w:val="auto"/>
              </w:rPr>
            </w:pPr>
            <w:r w:rsidRPr="009C1D66">
              <w:rPr>
                <w:color w:val="auto"/>
              </w:rPr>
              <w:t>Decrease in fair value of fixed rate borrowings liabilities (no impact on the Surplus on the Provision</w:t>
            </w:r>
            <w:r w:rsidRPr="00112D69">
              <w:rPr>
                <w:color w:val="auto"/>
              </w:rPr>
              <w:t xml:space="preserve"> of Services or Other Comprehensive Income and Expenditure)</w:t>
            </w:r>
          </w:p>
        </w:tc>
        <w:tc>
          <w:tcPr>
            <w:tcW w:w="1032" w:type="pct"/>
            <w:tcBorders>
              <w:top w:val="nil"/>
              <w:bottom w:val="single" w:sz="4" w:space="0" w:color="auto"/>
            </w:tcBorders>
            <w:shd w:val="clear" w:color="auto" w:fill="auto"/>
            <w:vAlign w:val="bottom"/>
          </w:tcPr>
          <w:p w14:paraId="01EAB315" w14:textId="77777777" w:rsidR="005A08A9" w:rsidRPr="00112D69" w:rsidRDefault="005A08A9" w:rsidP="0046185C">
            <w:pPr>
              <w:tabs>
                <w:tab w:val="decimal" w:pos="1026"/>
              </w:tabs>
              <w:rPr>
                <w:color w:val="auto"/>
              </w:rPr>
            </w:pPr>
            <w:r w:rsidRPr="00112D69">
              <w:rPr>
                <w:color w:val="auto"/>
              </w:rPr>
              <w:t>(30.8)</w:t>
            </w:r>
          </w:p>
        </w:tc>
      </w:tr>
    </w:tbl>
    <w:p w14:paraId="1CAA522D" w14:textId="77777777" w:rsidR="005A08A9" w:rsidRPr="006F05AE" w:rsidRDefault="005A08A9" w:rsidP="005A08A9">
      <w:pPr>
        <w:rPr>
          <w:lang w:eastAsia="en-GB"/>
        </w:rPr>
      </w:pPr>
      <w:r w:rsidRPr="006F05AE">
        <w:rPr>
          <w:sz w:val="20"/>
          <w:szCs w:val="20"/>
          <w:lang w:eastAsia="en-GB"/>
        </w:rPr>
        <w:lastRenderedPageBreak/>
        <w:t xml:space="preserve">* Note that a rise in interest rates is also likely to result in a rise in inflation expectations which will cause the fair value of index linked investments to rise and partly offset the charge </w:t>
      </w:r>
      <w:r w:rsidRPr="009C1D66">
        <w:rPr>
          <w:sz w:val="20"/>
          <w:szCs w:val="20"/>
          <w:lang w:eastAsia="en-GB"/>
        </w:rPr>
        <w:t xml:space="preserve">to the Surplus </w:t>
      </w:r>
      <w:r w:rsidRPr="006F05AE">
        <w:rPr>
          <w:sz w:val="20"/>
          <w:szCs w:val="20"/>
          <w:lang w:eastAsia="en-GB"/>
        </w:rPr>
        <w:t>on the Provision of Services</w:t>
      </w:r>
    </w:p>
    <w:p w14:paraId="4D1F5992" w14:textId="77777777" w:rsidR="005A08A9" w:rsidRPr="006F05AE" w:rsidRDefault="005A08A9" w:rsidP="005A08A9">
      <w:pPr>
        <w:rPr>
          <w:lang w:eastAsia="en-GB"/>
        </w:rPr>
      </w:pPr>
      <w:r w:rsidRPr="006F05AE">
        <w:rPr>
          <w:lang w:eastAsia="en-GB"/>
        </w:rPr>
        <w:t>The impact of a 1% fall in interest rates would be as above but with movements reversed.</w:t>
      </w:r>
    </w:p>
    <w:p w14:paraId="46BC0BFB" w14:textId="77777777" w:rsidR="005A08A9" w:rsidRPr="006F05AE" w:rsidRDefault="005A08A9" w:rsidP="005A08A9">
      <w:pPr>
        <w:rPr>
          <w:lang w:eastAsia="en-GB"/>
        </w:rPr>
      </w:pPr>
      <w:r w:rsidRPr="006F05AE">
        <w:rPr>
          <w:lang w:eastAsia="en-GB"/>
        </w:rPr>
        <w:t>The table illustrates the sensitivity inherent in the current portfolio to an interest rate rise. This is the consequence of the current short term borrowing policy which has provided the in</w:t>
      </w:r>
      <w:r>
        <w:rPr>
          <w:lang w:eastAsia="en-GB"/>
        </w:rPr>
        <w:t>-</w:t>
      </w:r>
      <w:r w:rsidRPr="006F05AE">
        <w:rPr>
          <w:lang w:eastAsia="en-GB"/>
        </w:rPr>
        <w:t xml:space="preserve">year reduction in debt interest costs, and which is being carefully managed having regard to the potential for interest rates to rise. </w:t>
      </w:r>
    </w:p>
    <w:p w14:paraId="37248323" w14:textId="77777777" w:rsidR="005A08A9" w:rsidRDefault="005A08A9" w:rsidP="005A08A9">
      <w:pPr>
        <w:rPr>
          <w:lang w:eastAsia="en-GB"/>
        </w:rPr>
      </w:pPr>
      <w:r w:rsidRPr="006F05AE">
        <w:rPr>
          <w:lang w:eastAsia="en-GB"/>
        </w:rPr>
        <w:t>This risk management process has begun with the inverse Lender Options Borrower Option loan outlined above. Regarding the investment portfolio it is anticipated that, in the current environment, any interest rate rises would follow a prolonged period of rising inflation, and therefore the current holding of inflation linked AAA rated bonds would provide some protection against the operating cost inflation risk.</w:t>
      </w:r>
    </w:p>
    <w:p w14:paraId="0A9B175C" w14:textId="77777777" w:rsidR="00A50CD2" w:rsidRPr="00ED2793" w:rsidRDefault="00A50CD2" w:rsidP="00A50CD2">
      <w:pPr>
        <w:rPr>
          <w:lang w:eastAsia="en-GB"/>
        </w:rPr>
      </w:pPr>
    </w:p>
    <w:p w14:paraId="7E4668EE" w14:textId="01E45BC6" w:rsidR="000F09D4" w:rsidRPr="00CC6D50" w:rsidRDefault="0001702E" w:rsidP="0001702E">
      <w:pPr>
        <w:pStyle w:val="Heading2"/>
      </w:pPr>
      <w:r w:rsidRPr="00A06955">
        <w:t>2</w:t>
      </w:r>
      <w:r w:rsidR="005B4833">
        <w:t>7</w:t>
      </w:r>
      <w:r w:rsidRPr="00A06955">
        <w:t>. Debtors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4F1182" w:rsidRPr="00CC6D50" w14:paraId="5CAEB320" w14:textId="77777777" w:rsidTr="00A06955">
        <w:trPr>
          <w:trHeight w:val="369"/>
          <w:tblHeader/>
        </w:trPr>
        <w:tc>
          <w:tcPr>
            <w:tcW w:w="3105" w:type="pct"/>
            <w:shd w:val="clear" w:color="auto" w:fill="D0CECE"/>
            <w:vAlign w:val="bottom"/>
          </w:tcPr>
          <w:p w14:paraId="6E3466F9" w14:textId="77777777" w:rsidR="004F1182" w:rsidRPr="00A06955" w:rsidRDefault="004F1182" w:rsidP="004C338D">
            <w:pPr>
              <w:jc w:val="left"/>
              <w:rPr>
                <w:color w:val="auto"/>
              </w:rPr>
            </w:pPr>
          </w:p>
        </w:tc>
        <w:tc>
          <w:tcPr>
            <w:tcW w:w="929" w:type="pct"/>
            <w:shd w:val="clear" w:color="auto" w:fill="D0CECE"/>
            <w:vAlign w:val="bottom"/>
          </w:tcPr>
          <w:p w14:paraId="6B5F49AD" w14:textId="77777777" w:rsidR="004F1182" w:rsidRPr="00A06955" w:rsidRDefault="004F1182" w:rsidP="004C338D">
            <w:pPr>
              <w:jc w:val="center"/>
              <w:rPr>
                <w:b/>
                <w:color w:val="auto"/>
              </w:rPr>
            </w:pPr>
            <w:r w:rsidRPr="00A06955">
              <w:rPr>
                <w:b/>
                <w:color w:val="auto"/>
              </w:rPr>
              <w:t>31/03/2015</w:t>
            </w:r>
          </w:p>
        </w:tc>
        <w:tc>
          <w:tcPr>
            <w:tcW w:w="966" w:type="pct"/>
            <w:shd w:val="clear" w:color="auto" w:fill="D0CECE"/>
            <w:vAlign w:val="bottom"/>
          </w:tcPr>
          <w:p w14:paraId="419A6F5A" w14:textId="77777777" w:rsidR="004F1182" w:rsidRPr="00CC6D50" w:rsidRDefault="004F1182" w:rsidP="004C338D">
            <w:pPr>
              <w:jc w:val="center"/>
              <w:rPr>
                <w:b/>
                <w:color w:val="auto"/>
              </w:rPr>
            </w:pPr>
            <w:r w:rsidRPr="00CC6D50">
              <w:rPr>
                <w:b/>
                <w:color w:val="auto"/>
              </w:rPr>
              <w:t>31/03/2014</w:t>
            </w:r>
          </w:p>
        </w:tc>
      </w:tr>
      <w:tr w:rsidR="004F1182" w:rsidRPr="00CC6D50" w14:paraId="2F2E85C7" w14:textId="77777777" w:rsidTr="00A06955">
        <w:trPr>
          <w:trHeight w:val="369"/>
          <w:tblHeader/>
        </w:trPr>
        <w:tc>
          <w:tcPr>
            <w:tcW w:w="3105" w:type="pct"/>
            <w:shd w:val="clear" w:color="auto" w:fill="D0CECE"/>
            <w:vAlign w:val="bottom"/>
          </w:tcPr>
          <w:p w14:paraId="351AADE3" w14:textId="77777777" w:rsidR="004F1182" w:rsidRPr="00A06955" w:rsidRDefault="004F1182" w:rsidP="004C338D">
            <w:pPr>
              <w:jc w:val="left"/>
              <w:rPr>
                <w:color w:val="auto"/>
              </w:rPr>
            </w:pPr>
          </w:p>
        </w:tc>
        <w:tc>
          <w:tcPr>
            <w:tcW w:w="929" w:type="pct"/>
            <w:shd w:val="clear" w:color="auto" w:fill="D0CECE"/>
            <w:vAlign w:val="bottom"/>
          </w:tcPr>
          <w:p w14:paraId="5B8DC072" w14:textId="77777777" w:rsidR="004F1182" w:rsidRPr="00A06955" w:rsidRDefault="004F1182" w:rsidP="004C338D">
            <w:pPr>
              <w:jc w:val="center"/>
              <w:rPr>
                <w:b/>
                <w:color w:val="auto"/>
              </w:rPr>
            </w:pPr>
            <w:r w:rsidRPr="00A06955">
              <w:rPr>
                <w:b/>
                <w:color w:val="auto"/>
              </w:rPr>
              <w:t>£m</w:t>
            </w:r>
          </w:p>
        </w:tc>
        <w:tc>
          <w:tcPr>
            <w:tcW w:w="966" w:type="pct"/>
            <w:shd w:val="clear" w:color="auto" w:fill="D0CECE"/>
            <w:vAlign w:val="bottom"/>
          </w:tcPr>
          <w:p w14:paraId="681CAD3A" w14:textId="77777777" w:rsidR="004F1182" w:rsidRPr="00CC6D50" w:rsidRDefault="004F1182" w:rsidP="004C338D">
            <w:pPr>
              <w:jc w:val="center"/>
              <w:rPr>
                <w:b/>
                <w:color w:val="auto"/>
              </w:rPr>
            </w:pPr>
            <w:r w:rsidRPr="00CC6D50">
              <w:rPr>
                <w:b/>
                <w:color w:val="auto"/>
              </w:rPr>
              <w:t>£m</w:t>
            </w:r>
          </w:p>
        </w:tc>
      </w:tr>
      <w:tr w:rsidR="004F1182" w:rsidRPr="00CC6D50" w14:paraId="4D02E1B5" w14:textId="77777777" w:rsidTr="004C338D">
        <w:trPr>
          <w:trHeight w:val="369"/>
        </w:trPr>
        <w:tc>
          <w:tcPr>
            <w:tcW w:w="3105" w:type="pct"/>
            <w:shd w:val="clear" w:color="auto" w:fill="auto"/>
            <w:vAlign w:val="bottom"/>
          </w:tcPr>
          <w:p w14:paraId="26CEF8DD" w14:textId="77777777" w:rsidR="004F1182" w:rsidRPr="00A06955" w:rsidRDefault="004F1182" w:rsidP="004C338D">
            <w:pPr>
              <w:jc w:val="left"/>
              <w:rPr>
                <w:color w:val="auto"/>
              </w:rPr>
            </w:pPr>
            <w:r w:rsidRPr="00A06955">
              <w:rPr>
                <w:color w:val="auto"/>
              </w:rPr>
              <w:t>Central Government Bodies</w:t>
            </w:r>
          </w:p>
        </w:tc>
        <w:tc>
          <w:tcPr>
            <w:tcW w:w="929" w:type="pct"/>
            <w:tcBorders>
              <w:bottom w:val="nil"/>
            </w:tcBorders>
            <w:shd w:val="clear" w:color="auto" w:fill="auto"/>
            <w:vAlign w:val="bottom"/>
          </w:tcPr>
          <w:p w14:paraId="6D2DFA64" w14:textId="67CCB523" w:rsidR="004F1182" w:rsidRPr="00A06955" w:rsidRDefault="00CC6D50" w:rsidP="004C338D">
            <w:pPr>
              <w:tabs>
                <w:tab w:val="decimal" w:pos="884"/>
              </w:tabs>
              <w:rPr>
                <w:color w:val="auto"/>
              </w:rPr>
            </w:pPr>
            <w:r w:rsidRPr="00A06955">
              <w:rPr>
                <w:color w:val="auto"/>
              </w:rPr>
              <w:t>23.0</w:t>
            </w:r>
          </w:p>
        </w:tc>
        <w:tc>
          <w:tcPr>
            <w:tcW w:w="966" w:type="pct"/>
            <w:tcBorders>
              <w:bottom w:val="nil"/>
            </w:tcBorders>
            <w:shd w:val="clear" w:color="auto" w:fill="auto"/>
            <w:vAlign w:val="bottom"/>
          </w:tcPr>
          <w:p w14:paraId="17EBD2CE" w14:textId="77777777" w:rsidR="004F1182" w:rsidRPr="00CC6D50" w:rsidRDefault="004F1182" w:rsidP="004C338D">
            <w:pPr>
              <w:tabs>
                <w:tab w:val="decimal" w:pos="1026"/>
              </w:tabs>
              <w:rPr>
                <w:color w:val="auto"/>
              </w:rPr>
            </w:pPr>
            <w:r w:rsidRPr="00CC6D50">
              <w:rPr>
                <w:color w:val="auto"/>
              </w:rPr>
              <w:t>22.5</w:t>
            </w:r>
          </w:p>
        </w:tc>
      </w:tr>
      <w:tr w:rsidR="004F1182" w:rsidRPr="00CC6D50" w14:paraId="358B0595" w14:textId="77777777" w:rsidTr="00A06955">
        <w:trPr>
          <w:trHeight w:val="369"/>
        </w:trPr>
        <w:tc>
          <w:tcPr>
            <w:tcW w:w="3105" w:type="pct"/>
            <w:shd w:val="clear" w:color="auto" w:fill="auto"/>
            <w:vAlign w:val="bottom"/>
          </w:tcPr>
          <w:p w14:paraId="0299B16D" w14:textId="77777777" w:rsidR="004F1182" w:rsidRPr="00A06955" w:rsidRDefault="004F1182" w:rsidP="004C338D">
            <w:pPr>
              <w:jc w:val="left"/>
              <w:rPr>
                <w:color w:val="auto"/>
              </w:rPr>
            </w:pPr>
            <w:r w:rsidRPr="00A06955">
              <w:rPr>
                <w:color w:val="auto"/>
              </w:rPr>
              <w:t>NHS Bodies</w:t>
            </w:r>
          </w:p>
        </w:tc>
        <w:tc>
          <w:tcPr>
            <w:tcW w:w="929" w:type="pct"/>
            <w:tcBorders>
              <w:bottom w:val="nil"/>
            </w:tcBorders>
            <w:shd w:val="clear" w:color="auto" w:fill="auto"/>
            <w:vAlign w:val="bottom"/>
          </w:tcPr>
          <w:p w14:paraId="5D385FD0" w14:textId="334DEF49" w:rsidR="004F1182" w:rsidRPr="00A06955" w:rsidRDefault="00CC6D50" w:rsidP="004C338D">
            <w:pPr>
              <w:tabs>
                <w:tab w:val="decimal" w:pos="884"/>
              </w:tabs>
              <w:rPr>
                <w:color w:val="auto"/>
              </w:rPr>
            </w:pPr>
            <w:r w:rsidRPr="00A06955">
              <w:rPr>
                <w:color w:val="auto"/>
              </w:rPr>
              <w:t>16.2</w:t>
            </w:r>
          </w:p>
        </w:tc>
        <w:tc>
          <w:tcPr>
            <w:tcW w:w="966" w:type="pct"/>
            <w:tcBorders>
              <w:bottom w:val="nil"/>
            </w:tcBorders>
            <w:shd w:val="clear" w:color="auto" w:fill="auto"/>
            <w:vAlign w:val="bottom"/>
          </w:tcPr>
          <w:p w14:paraId="56C097C3" w14:textId="77777777" w:rsidR="004F1182" w:rsidRPr="00CC6D50" w:rsidRDefault="004F1182" w:rsidP="004C338D">
            <w:pPr>
              <w:tabs>
                <w:tab w:val="decimal" w:pos="1026"/>
              </w:tabs>
              <w:rPr>
                <w:color w:val="auto"/>
              </w:rPr>
            </w:pPr>
            <w:r w:rsidRPr="00CC6D50">
              <w:rPr>
                <w:color w:val="auto"/>
              </w:rPr>
              <w:t>11.3</w:t>
            </w:r>
          </w:p>
        </w:tc>
      </w:tr>
      <w:tr w:rsidR="004F1182" w:rsidRPr="00CC6D50" w14:paraId="5B8DBA76" w14:textId="77777777" w:rsidTr="00A06955">
        <w:trPr>
          <w:trHeight w:val="369"/>
        </w:trPr>
        <w:tc>
          <w:tcPr>
            <w:tcW w:w="3105" w:type="pct"/>
            <w:shd w:val="clear" w:color="auto" w:fill="auto"/>
            <w:vAlign w:val="bottom"/>
          </w:tcPr>
          <w:p w14:paraId="3161F4A1" w14:textId="77777777" w:rsidR="004F1182" w:rsidRPr="00A06955" w:rsidRDefault="004F1182" w:rsidP="004C338D">
            <w:pPr>
              <w:jc w:val="left"/>
              <w:rPr>
                <w:color w:val="auto"/>
              </w:rPr>
            </w:pPr>
            <w:r w:rsidRPr="00A06955">
              <w:rPr>
                <w:color w:val="auto"/>
              </w:rPr>
              <w:t>Other Public Corporations</w:t>
            </w:r>
          </w:p>
        </w:tc>
        <w:tc>
          <w:tcPr>
            <w:tcW w:w="929" w:type="pct"/>
            <w:tcBorders>
              <w:top w:val="nil"/>
              <w:bottom w:val="nil"/>
            </w:tcBorders>
            <w:shd w:val="clear" w:color="auto" w:fill="auto"/>
            <w:vAlign w:val="bottom"/>
          </w:tcPr>
          <w:p w14:paraId="15F2939E" w14:textId="4FE188C1" w:rsidR="004F1182" w:rsidRPr="00A06955" w:rsidRDefault="00CC6D50" w:rsidP="004C338D">
            <w:pPr>
              <w:tabs>
                <w:tab w:val="decimal" w:pos="884"/>
              </w:tabs>
              <w:rPr>
                <w:color w:val="auto"/>
              </w:rPr>
            </w:pPr>
            <w:r w:rsidRPr="00A06955">
              <w:rPr>
                <w:color w:val="auto"/>
              </w:rPr>
              <w:t>0.1</w:t>
            </w:r>
          </w:p>
        </w:tc>
        <w:tc>
          <w:tcPr>
            <w:tcW w:w="966" w:type="pct"/>
            <w:tcBorders>
              <w:top w:val="nil"/>
              <w:bottom w:val="nil"/>
            </w:tcBorders>
            <w:shd w:val="clear" w:color="auto" w:fill="auto"/>
            <w:vAlign w:val="bottom"/>
          </w:tcPr>
          <w:p w14:paraId="1615C0AF" w14:textId="77777777" w:rsidR="004F1182" w:rsidRPr="00CC6D50" w:rsidRDefault="004F1182" w:rsidP="004C338D">
            <w:pPr>
              <w:tabs>
                <w:tab w:val="decimal" w:pos="1026"/>
              </w:tabs>
              <w:rPr>
                <w:color w:val="auto"/>
              </w:rPr>
            </w:pPr>
            <w:r w:rsidRPr="00CC6D50">
              <w:rPr>
                <w:color w:val="auto"/>
              </w:rPr>
              <w:t>-</w:t>
            </w:r>
          </w:p>
        </w:tc>
      </w:tr>
      <w:tr w:rsidR="004F1182" w:rsidRPr="00CC6D50" w14:paraId="6235685C" w14:textId="77777777" w:rsidTr="00A06955">
        <w:trPr>
          <w:trHeight w:val="369"/>
        </w:trPr>
        <w:tc>
          <w:tcPr>
            <w:tcW w:w="3105" w:type="pct"/>
            <w:shd w:val="clear" w:color="auto" w:fill="auto"/>
            <w:vAlign w:val="bottom"/>
          </w:tcPr>
          <w:p w14:paraId="6737263E" w14:textId="77777777" w:rsidR="004F1182" w:rsidRPr="00A06955" w:rsidRDefault="004F1182" w:rsidP="004C338D">
            <w:pPr>
              <w:jc w:val="left"/>
              <w:rPr>
                <w:color w:val="auto"/>
              </w:rPr>
            </w:pPr>
            <w:r w:rsidRPr="00A06955">
              <w:rPr>
                <w:color w:val="auto"/>
              </w:rPr>
              <w:lastRenderedPageBreak/>
              <w:t>Other Local Authorities</w:t>
            </w:r>
          </w:p>
        </w:tc>
        <w:tc>
          <w:tcPr>
            <w:tcW w:w="929" w:type="pct"/>
            <w:tcBorders>
              <w:top w:val="nil"/>
              <w:bottom w:val="nil"/>
            </w:tcBorders>
            <w:shd w:val="clear" w:color="auto" w:fill="auto"/>
            <w:vAlign w:val="bottom"/>
          </w:tcPr>
          <w:p w14:paraId="49C30F82" w14:textId="1A4827A9" w:rsidR="004F1182" w:rsidRPr="00A06955" w:rsidRDefault="00CC6D50" w:rsidP="004C338D">
            <w:pPr>
              <w:tabs>
                <w:tab w:val="decimal" w:pos="884"/>
              </w:tabs>
              <w:rPr>
                <w:color w:val="auto"/>
              </w:rPr>
            </w:pPr>
            <w:r w:rsidRPr="00A06955">
              <w:rPr>
                <w:color w:val="auto"/>
              </w:rPr>
              <w:t>25.0</w:t>
            </w:r>
          </w:p>
        </w:tc>
        <w:tc>
          <w:tcPr>
            <w:tcW w:w="966" w:type="pct"/>
            <w:tcBorders>
              <w:top w:val="nil"/>
              <w:bottom w:val="nil"/>
            </w:tcBorders>
            <w:shd w:val="clear" w:color="auto" w:fill="auto"/>
            <w:vAlign w:val="bottom"/>
          </w:tcPr>
          <w:p w14:paraId="5B36D926" w14:textId="77777777" w:rsidR="004F1182" w:rsidRPr="00CC6D50" w:rsidRDefault="004F1182" w:rsidP="004C338D">
            <w:pPr>
              <w:tabs>
                <w:tab w:val="decimal" w:pos="1026"/>
              </w:tabs>
              <w:rPr>
                <w:color w:val="auto"/>
              </w:rPr>
            </w:pPr>
            <w:r w:rsidRPr="00CC6D50">
              <w:rPr>
                <w:color w:val="auto"/>
              </w:rPr>
              <w:t>19.8</w:t>
            </w:r>
          </w:p>
        </w:tc>
      </w:tr>
      <w:tr w:rsidR="004F1182" w:rsidRPr="00CC6D50" w14:paraId="51A13F69" w14:textId="77777777" w:rsidTr="004F1182">
        <w:trPr>
          <w:trHeight w:val="369"/>
        </w:trPr>
        <w:tc>
          <w:tcPr>
            <w:tcW w:w="3105" w:type="pct"/>
            <w:shd w:val="clear" w:color="auto" w:fill="auto"/>
            <w:vAlign w:val="bottom"/>
          </w:tcPr>
          <w:p w14:paraId="35F17E4B" w14:textId="77777777" w:rsidR="004F1182" w:rsidRPr="00A06955" w:rsidRDefault="004F1182" w:rsidP="004C338D">
            <w:pPr>
              <w:jc w:val="left"/>
              <w:rPr>
                <w:color w:val="auto"/>
              </w:rPr>
            </w:pPr>
            <w:r w:rsidRPr="00A06955">
              <w:rPr>
                <w:color w:val="auto"/>
              </w:rPr>
              <w:t>Other Debtors</w:t>
            </w:r>
          </w:p>
        </w:tc>
        <w:tc>
          <w:tcPr>
            <w:tcW w:w="929" w:type="pct"/>
            <w:tcBorders>
              <w:top w:val="nil"/>
              <w:bottom w:val="single" w:sz="4" w:space="0" w:color="auto"/>
            </w:tcBorders>
            <w:shd w:val="clear" w:color="auto" w:fill="auto"/>
            <w:vAlign w:val="bottom"/>
          </w:tcPr>
          <w:p w14:paraId="0C86DA2B" w14:textId="5D26462D" w:rsidR="004F1182" w:rsidRPr="00A06955" w:rsidRDefault="00CC6D50" w:rsidP="004C338D">
            <w:pPr>
              <w:tabs>
                <w:tab w:val="decimal" w:pos="884"/>
              </w:tabs>
              <w:rPr>
                <w:color w:val="auto"/>
              </w:rPr>
            </w:pPr>
            <w:r w:rsidRPr="00A06955">
              <w:rPr>
                <w:color w:val="auto"/>
              </w:rPr>
              <w:t>71.5</w:t>
            </w:r>
          </w:p>
        </w:tc>
        <w:tc>
          <w:tcPr>
            <w:tcW w:w="966" w:type="pct"/>
            <w:tcBorders>
              <w:top w:val="nil"/>
              <w:bottom w:val="single" w:sz="4" w:space="0" w:color="auto"/>
            </w:tcBorders>
            <w:shd w:val="clear" w:color="auto" w:fill="auto"/>
            <w:vAlign w:val="bottom"/>
          </w:tcPr>
          <w:p w14:paraId="2C6C4BB6" w14:textId="77777777" w:rsidR="004F1182" w:rsidRPr="00CC6D50" w:rsidRDefault="004F1182" w:rsidP="004C338D">
            <w:pPr>
              <w:tabs>
                <w:tab w:val="decimal" w:pos="1026"/>
              </w:tabs>
              <w:rPr>
                <w:color w:val="auto"/>
              </w:rPr>
            </w:pPr>
            <w:r w:rsidRPr="00CC6D50">
              <w:rPr>
                <w:color w:val="auto"/>
              </w:rPr>
              <w:t>56.3</w:t>
            </w:r>
          </w:p>
        </w:tc>
      </w:tr>
      <w:tr w:rsidR="004F1182" w:rsidRPr="004F1182" w14:paraId="1CE5395F" w14:textId="77777777" w:rsidTr="004F1182">
        <w:trPr>
          <w:trHeight w:val="369"/>
        </w:trPr>
        <w:tc>
          <w:tcPr>
            <w:tcW w:w="3105" w:type="pct"/>
            <w:shd w:val="clear" w:color="auto" w:fill="auto"/>
            <w:vAlign w:val="bottom"/>
          </w:tcPr>
          <w:p w14:paraId="320A8520" w14:textId="77777777" w:rsidR="004F1182" w:rsidRPr="00A06955" w:rsidRDefault="004F1182" w:rsidP="004C338D">
            <w:pPr>
              <w:jc w:val="left"/>
              <w:rPr>
                <w:b/>
                <w:color w:val="auto"/>
              </w:rPr>
            </w:pPr>
            <w:r w:rsidRPr="00A06955">
              <w:rPr>
                <w:b/>
                <w:color w:val="auto"/>
              </w:rPr>
              <w:t>Total</w:t>
            </w:r>
          </w:p>
        </w:tc>
        <w:tc>
          <w:tcPr>
            <w:tcW w:w="929" w:type="pct"/>
            <w:tcBorders>
              <w:top w:val="single" w:sz="4" w:space="0" w:color="auto"/>
              <w:bottom w:val="single" w:sz="4" w:space="0" w:color="auto"/>
            </w:tcBorders>
            <w:shd w:val="clear" w:color="auto" w:fill="auto"/>
            <w:vAlign w:val="bottom"/>
          </w:tcPr>
          <w:p w14:paraId="58A1D844" w14:textId="205F06A3" w:rsidR="004F1182" w:rsidRPr="00A06955" w:rsidRDefault="00CC6D50" w:rsidP="004C338D">
            <w:pPr>
              <w:tabs>
                <w:tab w:val="decimal" w:pos="884"/>
              </w:tabs>
              <w:rPr>
                <w:b/>
                <w:color w:val="auto"/>
              </w:rPr>
            </w:pPr>
            <w:r w:rsidRPr="00A06955">
              <w:rPr>
                <w:b/>
                <w:color w:val="auto"/>
              </w:rPr>
              <w:t>135.8</w:t>
            </w:r>
          </w:p>
        </w:tc>
        <w:tc>
          <w:tcPr>
            <w:tcW w:w="966" w:type="pct"/>
            <w:tcBorders>
              <w:top w:val="single" w:sz="4" w:space="0" w:color="auto"/>
              <w:bottom w:val="single" w:sz="4" w:space="0" w:color="auto"/>
            </w:tcBorders>
            <w:shd w:val="clear" w:color="auto" w:fill="auto"/>
            <w:vAlign w:val="bottom"/>
          </w:tcPr>
          <w:p w14:paraId="53F29905" w14:textId="77777777" w:rsidR="004F1182" w:rsidRPr="004F1182" w:rsidRDefault="004F1182" w:rsidP="004C338D">
            <w:pPr>
              <w:tabs>
                <w:tab w:val="decimal" w:pos="1026"/>
              </w:tabs>
              <w:rPr>
                <w:b/>
                <w:color w:val="auto"/>
              </w:rPr>
            </w:pPr>
            <w:r w:rsidRPr="00CC6D50">
              <w:rPr>
                <w:b/>
                <w:color w:val="auto"/>
              </w:rPr>
              <w:t>109.9</w:t>
            </w:r>
          </w:p>
        </w:tc>
      </w:tr>
    </w:tbl>
    <w:p w14:paraId="20D6C236" w14:textId="77777777" w:rsidR="0001702E" w:rsidRDefault="0001702E" w:rsidP="0001702E">
      <w:pPr>
        <w:rPr>
          <w:lang w:eastAsia="en-GB"/>
        </w:rPr>
      </w:pPr>
    </w:p>
    <w:p w14:paraId="69E55D25" w14:textId="652698C7" w:rsidR="0065700D" w:rsidRPr="00A06955" w:rsidRDefault="0065700D" w:rsidP="0065700D">
      <w:pPr>
        <w:rPr>
          <w:lang w:eastAsia="en-GB"/>
        </w:rPr>
      </w:pPr>
      <w:r w:rsidRPr="00A06955">
        <w:rPr>
          <w:lang w:eastAsia="en-GB"/>
        </w:rPr>
        <w:t>Other debtors mainly comprises of low value high volume debtors for supply of goods and services with the exception of council tax owing £1</w:t>
      </w:r>
      <w:r w:rsidR="00CC6D50" w:rsidRPr="00A06955">
        <w:rPr>
          <w:lang w:eastAsia="en-GB"/>
        </w:rPr>
        <w:t>6.7</w:t>
      </w:r>
      <w:r w:rsidRPr="00A06955">
        <w:rPr>
          <w:lang w:eastAsia="en-GB"/>
        </w:rPr>
        <w:t>m (£14.</w:t>
      </w:r>
      <w:r w:rsidR="00CC6D50" w:rsidRPr="00A06955">
        <w:rPr>
          <w:lang w:eastAsia="en-GB"/>
        </w:rPr>
        <w:t>6</w:t>
      </w:r>
      <w:r w:rsidRPr="00A06955">
        <w:rPr>
          <w:lang w:eastAsia="en-GB"/>
        </w:rPr>
        <w:t xml:space="preserve">m </w:t>
      </w:r>
      <w:r w:rsidR="00C37317">
        <w:rPr>
          <w:lang w:eastAsia="en-GB"/>
        </w:rPr>
        <w:t xml:space="preserve">in </w:t>
      </w:r>
      <w:r w:rsidRPr="00A06955">
        <w:rPr>
          <w:lang w:eastAsia="en-GB"/>
        </w:rPr>
        <w:t>201</w:t>
      </w:r>
      <w:r w:rsidR="00CC6D50" w:rsidRPr="00A06955">
        <w:rPr>
          <w:lang w:eastAsia="en-GB"/>
        </w:rPr>
        <w:t>3/14</w:t>
      </w:r>
      <w:r w:rsidRPr="00A06955">
        <w:rPr>
          <w:lang w:eastAsia="en-GB"/>
        </w:rPr>
        <w:t xml:space="preserve">) and </w:t>
      </w:r>
      <w:r w:rsidR="00CC6D50" w:rsidRPr="00A06955">
        <w:rPr>
          <w:lang w:eastAsia="en-GB"/>
        </w:rPr>
        <w:t xml:space="preserve">NNDR owing £1.0m </w:t>
      </w:r>
      <w:r w:rsidR="00C37317">
        <w:rPr>
          <w:lang w:eastAsia="en-GB"/>
        </w:rPr>
        <w:t xml:space="preserve">in </w:t>
      </w:r>
      <w:r w:rsidR="00CC6D50" w:rsidRPr="00A06955">
        <w:rPr>
          <w:lang w:eastAsia="en-GB"/>
        </w:rPr>
        <w:t>2014/15 (£0.7m in 2013/14)</w:t>
      </w:r>
      <w:r w:rsidRPr="00A06955">
        <w:rPr>
          <w:lang w:eastAsia="en-GB"/>
        </w:rPr>
        <w:t>.</w:t>
      </w:r>
    </w:p>
    <w:p w14:paraId="3B1AE628" w14:textId="2B2DD0C5" w:rsidR="00220AA6" w:rsidRDefault="0065700D" w:rsidP="0065700D">
      <w:pPr>
        <w:rPr>
          <w:lang w:eastAsia="en-GB"/>
        </w:rPr>
      </w:pPr>
      <w:r w:rsidRPr="00A06955">
        <w:rPr>
          <w:lang w:eastAsia="en-GB"/>
        </w:rPr>
        <w:t>The figures in the above table represent the net debtor values after deduction for impairment allowances. The total deduction for impairment allowances was £</w:t>
      </w:r>
      <w:r w:rsidR="00CC6D50" w:rsidRPr="00A06955">
        <w:rPr>
          <w:lang w:eastAsia="en-GB"/>
        </w:rPr>
        <w:t>34.8</w:t>
      </w:r>
      <w:r w:rsidR="009E2E9D">
        <w:rPr>
          <w:lang w:eastAsia="en-GB"/>
        </w:rPr>
        <w:t>m</w:t>
      </w:r>
      <w:r w:rsidRPr="00A06955">
        <w:rPr>
          <w:lang w:eastAsia="en-GB"/>
        </w:rPr>
        <w:t xml:space="preserve"> </w:t>
      </w:r>
      <w:r w:rsidR="00C37317">
        <w:rPr>
          <w:lang w:eastAsia="en-GB"/>
        </w:rPr>
        <w:t>in 2014/15</w:t>
      </w:r>
      <w:r w:rsidRPr="00A06955">
        <w:rPr>
          <w:lang w:eastAsia="en-GB"/>
        </w:rPr>
        <w:t xml:space="preserve"> (£</w:t>
      </w:r>
      <w:r w:rsidR="00CC6D50" w:rsidRPr="00A06955">
        <w:rPr>
          <w:lang w:eastAsia="en-GB"/>
        </w:rPr>
        <w:t>30.9</w:t>
      </w:r>
      <w:r w:rsidRPr="00A06955">
        <w:rPr>
          <w:lang w:eastAsia="en-GB"/>
        </w:rPr>
        <w:t xml:space="preserve">m </w:t>
      </w:r>
      <w:r w:rsidR="00C37317">
        <w:rPr>
          <w:lang w:eastAsia="en-GB"/>
        </w:rPr>
        <w:t>in 2013/14</w:t>
      </w:r>
      <w:r w:rsidRPr="00A06955">
        <w:rPr>
          <w:lang w:eastAsia="en-GB"/>
        </w:rPr>
        <w:t>). The impairment allowance covers debts that we do not expect to recover. It is based on the age of the debts outstanding.</w:t>
      </w:r>
    </w:p>
    <w:p w14:paraId="3FB9E889" w14:textId="77777777" w:rsidR="003931E0" w:rsidRDefault="003931E0" w:rsidP="0065700D">
      <w:pPr>
        <w:rPr>
          <w:lang w:eastAsia="en-GB"/>
        </w:rPr>
      </w:pPr>
    </w:p>
    <w:p w14:paraId="11FC6CBE" w14:textId="3AB6AD3C" w:rsidR="0065700D" w:rsidRPr="00CD0DDC" w:rsidRDefault="0065700D" w:rsidP="0065700D">
      <w:pPr>
        <w:pStyle w:val="Heading2"/>
      </w:pPr>
      <w:r w:rsidRPr="00A06955">
        <w:t>2</w:t>
      </w:r>
      <w:r w:rsidR="005B4833">
        <w:t>8</w:t>
      </w:r>
      <w:r w:rsidRPr="00A06955">
        <w:t>. Creditors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65700D" w:rsidRPr="00CD0DDC" w14:paraId="735B9D9E" w14:textId="77777777" w:rsidTr="00A06955">
        <w:trPr>
          <w:trHeight w:val="369"/>
          <w:tblHeader/>
        </w:trPr>
        <w:tc>
          <w:tcPr>
            <w:tcW w:w="3105" w:type="pct"/>
            <w:shd w:val="clear" w:color="auto" w:fill="D0CECE"/>
            <w:vAlign w:val="bottom"/>
          </w:tcPr>
          <w:p w14:paraId="1BE47132" w14:textId="77777777" w:rsidR="0065700D" w:rsidRPr="00A06955" w:rsidRDefault="0065700D" w:rsidP="004C338D">
            <w:pPr>
              <w:jc w:val="left"/>
              <w:rPr>
                <w:color w:val="auto"/>
              </w:rPr>
            </w:pPr>
          </w:p>
        </w:tc>
        <w:tc>
          <w:tcPr>
            <w:tcW w:w="929" w:type="pct"/>
            <w:shd w:val="clear" w:color="auto" w:fill="D0CECE"/>
            <w:vAlign w:val="bottom"/>
          </w:tcPr>
          <w:p w14:paraId="25D7392C" w14:textId="77777777" w:rsidR="0065700D" w:rsidRPr="00A06955" w:rsidRDefault="0065700D" w:rsidP="004C338D">
            <w:pPr>
              <w:jc w:val="center"/>
              <w:rPr>
                <w:b/>
                <w:color w:val="auto"/>
              </w:rPr>
            </w:pPr>
            <w:r w:rsidRPr="00A06955">
              <w:rPr>
                <w:b/>
                <w:color w:val="auto"/>
              </w:rPr>
              <w:t>31/03/2015</w:t>
            </w:r>
          </w:p>
        </w:tc>
        <w:tc>
          <w:tcPr>
            <w:tcW w:w="966" w:type="pct"/>
            <w:shd w:val="clear" w:color="auto" w:fill="D0CECE"/>
            <w:vAlign w:val="bottom"/>
          </w:tcPr>
          <w:p w14:paraId="4CB914B1" w14:textId="77777777" w:rsidR="0065700D" w:rsidRPr="00CD0DDC" w:rsidRDefault="0065700D" w:rsidP="004C338D">
            <w:pPr>
              <w:jc w:val="center"/>
              <w:rPr>
                <w:b/>
                <w:color w:val="auto"/>
              </w:rPr>
            </w:pPr>
            <w:r w:rsidRPr="00CD0DDC">
              <w:rPr>
                <w:b/>
                <w:color w:val="auto"/>
              </w:rPr>
              <w:t>31/03/2014</w:t>
            </w:r>
          </w:p>
        </w:tc>
      </w:tr>
      <w:tr w:rsidR="0065700D" w:rsidRPr="00CD0DDC" w14:paraId="514D04E0" w14:textId="77777777" w:rsidTr="00A06955">
        <w:trPr>
          <w:trHeight w:val="369"/>
          <w:tblHeader/>
        </w:trPr>
        <w:tc>
          <w:tcPr>
            <w:tcW w:w="3105" w:type="pct"/>
            <w:shd w:val="clear" w:color="auto" w:fill="D0CECE"/>
            <w:vAlign w:val="bottom"/>
          </w:tcPr>
          <w:p w14:paraId="1CBAB601" w14:textId="77777777" w:rsidR="0065700D" w:rsidRPr="00A06955" w:rsidRDefault="0065700D" w:rsidP="004C338D">
            <w:pPr>
              <w:jc w:val="left"/>
              <w:rPr>
                <w:color w:val="auto"/>
              </w:rPr>
            </w:pPr>
          </w:p>
        </w:tc>
        <w:tc>
          <w:tcPr>
            <w:tcW w:w="929" w:type="pct"/>
            <w:shd w:val="clear" w:color="auto" w:fill="D0CECE"/>
            <w:vAlign w:val="bottom"/>
          </w:tcPr>
          <w:p w14:paraId="41E504BA" w14:textId="77777777" w:rsidR="0065700D" w:rsidRPr="00A06955" w:rsidRDefault="0065700D" w:rsidP="004C338D">
            <w:pPr>
              <w:jc w:val="center"/>
              <w:rPr>
                <w:b/>
                <w:color w:val="auto"/>
              </w:rPr>
            </w:pPr>
            <w:r w:rsidRPr="00A06955">
              <w:rPr>
                <w:b/>
                <w:color w:val="auto"/>
              </w:rPr>
              <w:t>£m</w:t>
            </w:r>
          </w:p>
        </w:tc>
        <w:tc>
          <w:tcPr>
            <w:tcW w:w="966" w:type="pct"/>
            <w:shd w:val="clear" w:color="auto" w:fill="D0CECE"/>
            <w:vAlign w:val="bottom"/>
          </w:tcPr>
          <w:p w14:paraId="09F32E89" w14:textId="77777777" w:rsidR="0065700D" w:rsidRPr="00CD0DDC" w:rsidRDefault="0065700D" w:rsidP="004C338D">
            <w:pPr>
              <w:jc w:val="center"/>
              <w:rPr>
                <w:b/>
                <w:color w:val="auto"/>
              </w:rPr>
            </w:pPr>
            <w:r w:rsidRPr="00CD0DDC">
              <w:rPr>
                <w:b/>
                <w:color w:val="auto"/>
              </w:rPr>
              <w:t>£m</w:t>
            </w:r>
          </w:p>
        </w:tc>
      </w:tr>
      <w:tr w:rsidR="0065700D" w:rsidRPr="00CD0DDC" w14:paraId="6D3206CE" w14:textId="77777777" w:rsidTr="004C338D">
        <w:trPr>
          <w:trHeight w:val="369"/>
        </w:trPr>
        <w:tc>
          <w:tcPr>
            <w:tcW w:w="3105" w:type="pct"/>
            <w:shd w:val="clear" w:color="auto" w:fill="auto"/>
            <w:vAlign w:val="bottom"/>
          </w:tcPr>
          <w:p w14:paraId="12C0EDAE" w14:textId="77777777" w:rsidR="0065700D" w:rsidRPr="00A06955" w:rsidRDefault="0065700D" w:rsidP="004C338D">
            <w:pPr>
              <w:jc w:val="left"/>
              <w:rPr>
                <w:color w:val="auto"/>
              </w:rPr>
            </w:pPr>
            <w:r w:rsidRPr="00A06955">
              <w:rPr>
                <w:color w:val="auto"/>
              </w:rPr>
              <w:t>Central Government Bodies</w:t>
            </w:r>
          </w:p>
        </w:tc>
        <w:tc>
          <w:tcPr>
            <w:tcW w:w="929" w:type="pct"/>
            <w:tcBorders>
              <w:bottom w:val="nil"/>
            </w:tcBorders>
            <w:shd w:val="clear" w:color="auto" w:fill="auto"/>
            <w:vAlign w:val="bottom"/>
          </w:tcPr>
          <w:p w14:paraId="0E6AD9B2" w14:textId="5E3A7DA4" w:rsidR="0065700D" w:rsidRPr="00A06955" w:rsidRDefault="00877090" w:rsidP="004C338D">
            <w:pPr>
              <w:tabs>
                <w:tab w:val="decimal" w:pos="884"/>
              </w:tabs>
              <w:rPr>
                <w:color w:val="auto"/>
              </w:rPr>
            </w:pPr>
            <w:r>
              <w:rPr>
                <w:color w:val="auto"/>
              </w:rPr>
              <w:t>(</w:t>
            </w:r>
            <w:r w:rsidR="009422EF" w:rsidRPr="00A06955">
              <w:rPr>
                <w:color w:val="auto"/>
              </w:rPr>
              <w:t>19.8</w:t>
            </w:r>
            <w:r>
              <w:rPr>
                <w:color w:val="auto"/>
              </w:rPr>
              <w:t>)</w:t>
            </w:r>
          </w:p>
        </w:tc>
        <w:tc>
          <w:tcPr>
            <w:tcW w:w="966" w:type="pct"/>
            <w:tcBorders>
              <w:bottom w:val="nil"/>
            </w:tcBorders>
            <w:shd w:val="clear" w:color="auto" w:fill="auto"/>
            <w:vAlign w:val="bottom"/>
          </w:tcPr>
          <w:p w14:paraId="342E3EF5" w14:textId="43F8337F" w:rsidR="0065700D" w:rsidRPr="00CD0DDC" w:rsidRDefault="00877090" w:rsidP="004C338D">
            <w:pPr>
              <w:tabs>
                <w:tab w:val="decimal" w:pos="1026"/>
              </w:tabs>
              <w:rPr>
                <w:color w:val="auto"/>
              </w:rPr>
            </w:pPr>
            <w:r>
              <w:rPr>
                <w:color w:val="auto"/>
              </w:rPr>
              <w:t>(</w:t>
            </w:r>
            <w:r w:rsidR="0065700D" w:rsidRPr="00CD0DDC">
              <w:rPr>
                <w:color w:val="auto"/>
              </w:rPr>
              <w:t>20.5</w:t>
            </w:r>
            <w:r>
              <w:rPr>
                <w:color w:val="auto"/>
              </w:rPr>
              <w:t>)</w:t>
            </w:r>
          </w:p>
        </w:tc>
      </w:tr>
      <w:tr w:rsidR="0065700D" w:rsidRPr="00CD0DDC" w14:paraId="69F5D413" w14:textId="77777777" w:rsidTr="004C338D">
        <w:trPr>
          <w:trHeight w:val="369"/>
        </w:trPr>
        <w:tc>
          <w:tcPr>
            <w:tcW w:w="3105" w:type="pct"/>
            <w:shd w:val="clear" w:color="auto" w:fill="auto"/>
            <w:vAlign w:val="bottom"/>
          </w:tcPr>
          <w:p w14:paraId="333C09D1" w14:textId="77777777" w:rsidR="0065700D" w:rsidRPr="00A06955" w:rsidRDefault="0065700D" w:rsidP="004C338D">
            <w:pPr>
              <w:jc w:val="left"/>
              <w:rPr>
                <w:color w:val="auto"/>
              </w:rPr>
            </w:pPr>
            <w:r w:rsidRPr="00A06955">
              <w:rPr>
                <w:color w:val="auto"/>
              </w:rPr>
              <w:t>Other Local Authorities</w:t>
            </w:r>
          </w:p>
        </w:tc>
        <w:tc>
          <w:tcPr>
            <w:tcW w:w="929" w:type="pct"/>
            <w:tcBorders>
              <w:bottom w:val="nil"/>
            </w:tcBorders>
            <w:shd w:val="clear" w:color="auto" w:fill="auto"/>
            <w:vAlign w:val="bottom"/>
          </w:tcPr>
          <w:p w14:paraId="21516FDE" w14:textId="76405433" w:rsidR="0065700D" w:rsidRPr="00A06955" w:rsidRDefault="00877090" w:rsidP="004C338D">
            <w:pPr>
              <w:tabs>
                <w:tab w:val="decimal" w:pos="884"/>
              </w:tabs>
              <w:rPr>
                <w:color w:val="auto"/>
              </w:rPr>
            </w:pPr>
            <w:r>
              <w:rPr>
                <w:color w:val="auto"/>
              </w:rPr>
              <w:t>(</w:t>
            </w:r>
            <w:r w:rsidR="009422EF" w:rsidRPr="00A06955">
              <w:rPr>
                <w:color w:val="auto"/>
              </w:rPr>
              <w:t>14.8</w:t>
            </w:r>
            <w:r>
              <w:rPr>
                <w:color w:val="auto"/>
              </w:rPr>
              <w:t>)</w:t>
            </w:r>
          </w:p>
        </w:tc>
        <w:tc>
          <w:tcPr>
            <w:tcW w:w="966" w:type="pct"/>
            <w:tcBorders>
              <w:bottom w:val="nil"/>
            </w:tcBorders>
            <w:shd w:val="clear" w:color="auto" w:fill="auto"/>
            <w:vAlign w:val="bottom"/>
          </w:tcPr>
          <w:p w14:paraId="4C3D626D" w14:textId="57C2C6DD" w:rsidR="0065700D" w:rsidRPr="00CD0DDC" w:rsidRDefault="00877090" w:rsidP="004C338D">
            <w:pPr>
              <w:tabs>
                <w:tab w:val="decimal" w:pos="1026"/>
              </w:tabs>
              <w:rPr>
                <w:color w:val="auto"/>
              </w:rPr>
            </w:pPr>
            <w:r>
              <w:rPr>
                <w:color w:val="auto"/>
              </w:rPr>
              <w:t>(</w:t>
            </w:r>
            <w:r w:rsidR="0065700D" w:rsidRPr="00CD0DDC">
              <w:rPr>
                <w:color w:val="auto"/>
              </w:rPr>
              <w:t>19.4</w:t>
            </w:r>
            <w:r>
              <w:rPr>
                <w:color w:val="auto"/>
              </w:rPr>
              <w:t>)</w:t>
            </w:r>
          </w:p>
        </w:tc>
      </w:tr>
      <w:tr w:rsidR="0065700D" w:rsidRPr="00CD0DDC" w14:paraId="19414989" w14:textId="77777777" w:rsidTr="004C338D">
        <w:trPr>
          <w:trHeight w:val="369"/>
        </w:trPr>
        <w:tc>
          <w:tcPr>
            <w:tcW w:w="3105" w:type="pct"/>
            <w:shd w:val="clear" w:color="auto" w:fill="auto"/>
            <w:vAlign w:val="bottom"/>
          </w:tcPr>
          <w:p w14:paraId="16D5CCFF" w14:textId="77777777" w:rsidR="0065700D" w:rsidRPr="00A06955" w:rsidRDefault="0065700D" w:rsidP="004C338D">
            <w:pPr>
              <w:jc w:val="left"/>
              <w:rPr>
                <w:color w:val="auto"/>
              </w:rPr>
            </w:pPr>
            <w:r w:rsidRPr="00A06955">
              <w:rPr>
                <w:color w:val="auto"/>
              </w:rPr>
              <w:t>NHS Bodies</w:t>
            </w:r>
          </w:p>
        </w:tc>
        <w:tc>
          <w:tcPr>
            <w:tcW w:w="929" w:type="pct"/>
            <w:tcBorders>
              <w:bottom w:val="nil"/>
            </w:tcBorders>
            <w:shd w:val="clear" w:color="auto" w:fill="auto"/>
            <w:vAlign w:val="bottom"/>
          </w:tcPr>
          <w:p w14:paraId="2326224A" w14:textId="03640CD2" w:rsidR="0065700D" w:rsidRPr="00A06955" w:rsidRDefault="00877090" w:rsidP="004C338D">
            <w:pPr>
              <w:tabs>
                <w:tab w:val="decimal" w:pos="884"/>
              </w:tabs>
              <w:rPr>
                <w:color w:val="auto"/>
              </w:rPr>
            </w:pPr>
            <w:r>
              <w:rPr>
                <w:color w:val="auto"/>
              </w:rPr>
              <w:t>(</w:t>
            </w:r>
            <w:r w:rsidR="009422EF" w:rsidRPr="00A06955">
              <w:rPr>
                <w:color w:val="auto"/>
              </w:rPr>
              <w:t>5.3</w:t>
            </w:r>
            <w:r>
              <w:rPr>
                <w:color w:val="auto"/>
              </w:rPr>
              <w:t>)</w:t>
            </w:r>
          </w:p>
        </w:tc>
        <w:tc>
          <w:tcPr>
            <w:tcW w:w="966" w:type="pct"/>
            <w:tcBorders>
              <w:bottom w:val="nil"/>
            </w:tcBorders>
            <w:shd w:val="clear" w:color="auto" w:fill="auto"/>
            <w:vAlign w:val="bottom"/>
          </w:tcPr>
          <w:p w14:paraId="08FE2796" w14:textId="3EFA6568" w:rsidR="0065700D" w:rsidRPr="00CD0DDC" w:rsidRDefault="00877090" w:rsidP="004C338D">
            <w:pPr>
              <w:tabs>
                <w:tab w:val="decimal" w:pos="1026"/>
              </w:tabs>
              <w:rPr>
                <w:color w:val="auto"/>
              </w:rPr>
            </w:pPr>
            <w:r>
              <w:rPr>
                <w:color w:val="auto"/>
              </w:rPr>
              <w:t>(</w:t>
            </w:r>
            <w:r w:rsidR="0065700D" w:rsidRPr="00CD0DDC">
              <w:rPr>
                <w:color w:val="auto"/>
              </w:rPr>
              <w:t>6.8</w:t>
            </w:r>
            <w:r>
              <w:rPr>
                <w:color w:val="auto"/>
              </w:rPr>
              <w:t>)</w:t>
            </w:r>
          </w:p>
        </w:tc>
      </w:tr>
      <w:tr w:rsidR="0065700D" w:rsidRPr="00CD0DDC" w14:paraId="0F0F4B07" w14:textId="77777777" w:rsidTr="004C338D">
        <w:trPr>
          <w:trHeight w:val="369"/>
        </w:trPr>
        <w:tc>
          <w:tcPr>
            <w:tcW w:w="3105" w:type="pct"/>
            <w:shd w:val="clear" w:color="auto" w:fill="auto"/>
            <w:vAlign w:val="bottom"/>
          </w:tcPr>
          <w:p w14:paraId="78AECE67" w14:textId="77777777" w:rsidR="0065700D" w:rsidRPr="00A06955" w:rsidRDefault="0065700D" w:rsidP="004C338D">
            <w:pPr>
              <w:jc w:val="left"/>
              <w:rPr>
                <w:color w:val="auto"/>
              </w:rPr>
            </w:pPr>
            <w:r w:rsidRPr="00A06955">
              <w:rPr>
                <w:color w:val="auto"/>
              </w:rPr>
              <w:t>Accumulated Absences</w:t>
            </w:r>
          </w:p>
        </w:tc>
        <w:tc>
          <w:tcPr>
            <w:tcW w:w="929" w:type="pct"/>
            <w:tcBorders>
              <w:bottom w:val="nil"/>
            </w:tcBorders>
            <w:shd w:val="clear" w:color="auto" w:fill="auto"/>
            <w:vAlign w:val="bottom"/>
          </w:tcPr>
          <w:p w14:paraId="65314A1D" w14:textId="04294E8F" w:rsidR="0065700D" w:rsidRPr="00A06955" w:rsidRDefault="00877090" w:rsidP="004C338D">
            <w:pPr>
              <w:tabs>
                <w:tab w:val="decimal" w:pos="884"/>
              </w:tabs>
              <w:rPr>
                <w:color w:val="auto"/>
              </w:rPr>
            </w:pPr>
            <w:r>
              <w:rPr>
                <w:color w:val="auto"/>
              </w:rPr>
              <w:t>(</w:t>
            </w:r>
            <w:r w:rsidR="00D50E0C" w:rsidRPr="00A06955">
              <w:rPr>
                <w:color w:val="auto"/>
              </w:rPr>
              <w:t>23.3</w:t>
            </w:r>
            <w:r>
              <w:rPr>
                <w:color w:val="auto"/>
              </w:rPr>
              <w:t>)</w:t>
            </w:r>
          </w:p>
        </w:tc>
        <w:tc>
          <w:tcPr>
            <w:tcW w:w="966" w:type="pct"/>
            <w:tcBorders>
              <w:bottom w:val="nil"/>
            </w:tcBorders>
            <w:shd w:val="clear" w:color="auto" w:fill="auto"/>
            <w:vAlign w:val="bottom"/>
          </w:tcPr>
          <w:p w14:paraId="2EF52EC0" w14:textId="545185A3" w:rsidR="0065700D" w:rsidRPr="00CD0DDC" w:rsidRDefault="00877090" w:rsidP="004C338D">
            <w:pPr>
              <w:tabs>
                <w:tab w:val="decimal" w:pos="1026"/>
              </w:tabs>
              <w:rPr>
                <w:color w:val="auto"/>
              </w:rPr>
            </w:pPr>
            <w:r>
              <w:rPr>
                <w:color w:val="auto"/>
              </w:rPr>
              <w:t>(</w:t>
            </w:r>
            <w:r w:rsidR="0065700D" w:rsidRPr="00CD0DDC">
              <w:rPr>
                <w:color w:val="auto"/>
              </w:rPr>
              <w:t>29.7</w:t>
            </w:r>
            <w:r>
              <w:rPr>
                <w:color w:val="auto"/>
              </w:rPr>
              <w:t>)</w:t>
            </w:r>
          </w:p>
        </w:tc>
      </w:tr>
      <w:tr w:rsidR="0065700D" w:rsidRPr="00CD0DDC" w14:paraId="171250F3" w14:textId="77777777" w:rsidTr="004C338D">
        <w:trPr>
          <w:trHeight w:val="369"/>
        </w:trPr>
        <w:tc>
          <w:tcPr>
            <w:tcW w:w="3105" w:type="pct"/>
            <w:shd w:val="clear" w:color="auto" w:fill="auto"/>
            <w:vAlign w:val="bottom"/>
          </w:tcPr>
          <w:p w14:paraId="58BE05C3" w14:textId="77777777" w:rsidR="0065700D" w:rsidRPr="00A06955" w:rsidRDefault="0065700D" w:rsidP="0065700D">
            <w:pPr>
              <w:jc w:val="left"/>
              <w:rPr>
                <w:color w:val="auto"/>
              </w:rPr>
            </w:pPr>
            <w:r w:rsidRPr="00A06955">
              <w:rPr>
                <w:color w:val="auto"/>
              </w:rPr>
              <w:t>Other Creditors</w:t>
            </w:r>
          </w:p>
        </w:tc>
        <w:tc>
          <w:tcPr>
            <w:tcW w:w="929" w:type="pct"/>
            <w:tcBorders>
              <w:top w:val="nil"/>
              <w:bottom w:val="single" w:sz="4" w:space="0" w:color="auto"/>
            </w:tcBorders>
            <w:shd w:val="clear" w:color="auto" w:fill="auto"/>
            <w:vAlign w:val="bottom"/>
          </w:tcPr>
          <w:p w14:paraId="0CEFE8DA" w14:textId="7BFD474F" w:rsidR="0065700D" w:rsidRPr="00A06955" w:rsidRDefault="00877090">
            <w:pPr>
              <w:tabs>
                <w:tab w:val="decimal" w:pos="884"/>
              </w:tabs>
              <w:rPr>
                <w:color w:val="auto"/>
              </w:rPr>
            </w:pPr>
            <w:r>
              <w:rPr>
                <w:color w:val="auto"/>
              </w:rPr>
              <w:t>(</w:t>
            </w:r>
            <w:r w:rsidR="00D50E0C" w:rsidRPr="00A06955">
              <w:rPr>
                <w:color w:val="auto"/>
              </w:rPr>
              <w:t>141.</w:t>
            </w:r>
            <w:r w:rsidR="00F868A9">
              <w:rPr>
                <w:color w:val="auto"/>
              </w:rPr>
              <w:t>3</w:t>
            </w:r>
            <w:r>
              <w:rPr>
                <w:color w:val="auto"/>
              </w:rPr>
              <w:t>)</w:t>
            </w:r>
          </w:p>
        </w:tc>
        <w:tc>
          <w:tcPr>
            <w:tcW w:w="966" w:type="pct"/>
            <w:tcBorders>
              <w:top w:val="nil"/>
              <w:bottom w:val="single" w:sz="4" w:space="0" w:color="auto"/>
            </w:tcBorders>
            <w:shd w:val="clear" w:color="auto" w:fill="auto"/>
            <w:vAlign w:val="bottom"/>
          </w:tcPr>
          <w:p w14:paraId="6AC4B2F5" w14:textId="1CD21438" w:rsidR="0065700D" w:rsidRPr="00CD0DDC" w:rsidRDefault="00877090" w:rsidP="004C338D">
            <w:pPr>
              <w:tabs>
                <w:tab w:val="decimal" w:pos="1026"/>
              </w:tabs>
              <w:rPr>
                <w:color w:val="auto"/>
              </w:rPr>
            </w:pPr>
            <w:r>
              <w:rPr>
                <w:color w:val="auto"/>
              </w:rPr>
              <w:t>(</w:t>
            </w:r>
            <w:r w:rsidR="0065700D" w:rsidRPr="00CD0DDC">
              <w:rPr>
                <w:color w:val="auto"/>
              </w:rPr>
              <w:t>134.7</w:t>
            </w:r>
            <w:r>
              <w:rPr>
                <w:color w:val="auto"/>
              </w:rPr>
              <w:t>)</w:t>
            </w:r>
          </w:p>
        </w:tc>
      </w:tr>
      <w:tr w:rsidR="0065700D" w:rsidRPr="00CD0DDC" w14:paraId="763B6EE4" w14:textId="77777777" w:rsidTr="004C338D">
        <w:trPr>
          <w:trHeight w:val="369"/>
        </w:trPr>
        <w:tc>
          <w:tcPr>
            <w:tcW w:w="3105" w:type="pct"/>
            <w:shd w:val="clear" w:color="auto" w:fill="auto"/>
            <w:vAlign w:val="bottom"/>
          </w:tcPr>
          <w:p w14:paraId="34B83BFE" w14:textId="77777777" w:rsidR="0065700D" w:rsidRPr="00A06955" w:rsidRDefault="0065700D" w:rsidP="004C338D">
            <w:pPr>
              <w:jc w:val="left"/>
              <w:rPr>
                <w:b/>
                <w:color w:val="auto"/>
              </w:rPr>
            </w:pPr>
            <w:r w:rsidRPr="00A06955">
              <w:rPr>
                <w:b/>
                <w:color w:val="auto"/>
              </w:rPr>
              <w:lastRenderedPageBreak/>
              <w:t>Total</w:t>
            </w:r>
          </w:p>
        </w:tc>
        <w:tc>
          <w:tcPr>
            <w:tcW w:w="929" w:type="pct"/>
            <w:tcBorders>
              <w:top w:val="single" w:sz="4" w:space="0" w:color="auto"/>
              <w:bottom w:val="single" w:sz="4" w:space="0" w:color="auto"/>
            </w:tcBorders>
            <w:shd w:val="clear" w:color="auto" w:fill="auto"/>
            <w:vAlign w:val="bottom"/>
          </w:tcPr>
          <w:p w14:paraId="1AE23E37" w14:textId="744680F8" w:rsidR="0065700D" w:rsidRPr="00A06955" w:rsidRDefault="00877090">
            <w:pPr>
              <w:tabs>
                <w:tab w:val="decimal" w:pos="884"/>
              </w:tabs>
              <w:rPr>
                <w:b/>
                <w:color w:val="auto"/>
              </w:rPr>
            </w:pPr>
            <w:r>
              <w:rPr>
                <w:b/>
                <w:color w:val="auto"/>
              </w:rPr>
              <w:t>(</w:t>
            </w:r>
            <w:r w:rsidR="00494D95" w:rsidRPr="00A06955">
              <w:rPr>
                <w:b/>
                <w:color w:val="auto"/>
              </w:rPr>
              <w:t>204.</w:t>
            </w:r>
            <w:r w:rsidR="00F868A9">
              <w:rPr>
                <w:b/>
                <w:color w:val="auto"/>
              </w:rPr>
              <w:t>5</w:t>
            </w:r>
            <w:r>
              <w:rPr>
                <w:b/>
                <w:color w:val="auto"/>
              </w:rPr>
              <w:t>)</w:t>
            </w:r>
          </w:p>
        </w:tc>
        <w:tc>
          <w:tcPr>
            <w:tcW w:w="966" w:type="pct"/>
            <w:tcBorders>
              <w:top w:val="single" w:sz="4" w:space="0" w:color="auto"/>
              <w:bottom w:val="single" w:sz="4" w:space="0" w:color="auto"/>
            </w:tcBorders>
            <w:shd w:val="clear" w:color="auto" w:fill="auto"/>
            <w:vAlign w:val="bottom"/>
          </w:tcPr>
          <w:p w14:paraId="74798DA2" w14:textId="3BC6D880" w:rsidR="0065700D" w:rsidRPr="00CD0DDC" w:rsidRDefault="00877090" w:rsidP="004C338D">
            <w:pPr>
              <w:tabs>
                <w:tab w:val="decimal" w:pos="1026"/>
              </w:tabs>
              <w:rPr>
                <w:b/>
                <w:color w:val="auto"/>
              </w:rPr>
            </w:pPr>
            <w:r>
              <w:rPr>
                <w:b/>
                <w:color w:val="auto"/>
              </w:rPr>
              <w:t>(</w:t>
            </w:r>
            <w:r w:rsidR="0065700D" w:rsidRPr="00CD0DDC">
              <w:rPr>
                <w:b/>
                <w:color w:val="auto"/>
              </w:rPr>
              <w:t>211.1</w:t>
            </w:r>
            <w:r>
              <w:rPr>
                <w:b/>
                <w:color w:val="auto"/>
              </w:rPr>
              <w:t>)</w:t>
            </w:r>
          </w:p>
        </w:tc>
      </w:tr>
    </w:tbl>
    <w:p w14:paraId="611A2886" w14:textId="77777777" w:rsidR="0065700D" w:rsidRPr="00CD0DDC" w:rsidRDefault="0065700D" w:rsidP="0065700D">
      <w:pPr>
        <w:rPr>
          <w:lang w:eastAsia="en-GB"/>
        </w:rPr>
      </w:pPr>
    </w:p>
    <w:p w14:paraId="439174B8" w14:textId="14BFEF4D" w:rsidR="0065700D" w:rsidRPr="00A06955" w:rsidRDefault="0065700D" w:rsidP="0065700D">
      <w:pPr>
        <w:rPr>
          <w:lang w:eastAsia="en-GB"/>
        </w:rPr>
      </w:pPr>
      <w:r w:rsidRPr="00A06955">
        <w:rPr>
          <w:lang w:eastAsia="en-GB"/>
        </w:rPr>
        <w:t>Central Government Bodies include PAYE &amp; NI £14.</w:t>
      </w:r>
      <w:r w:rsidR="00D50E0C" w:rsidRPr="00A06955">
        <w:rPr>
          <w:lang w:eastAsia="en-GB"/>
        </w:rPr>
        <w:t>0</w:t>
      </w:r>
      <w:r w:rsidRPr="00A06955">
        <w:rPr>
          <w:lang w:eastAsia="en-GB"/>
        </w:rPr>
        <w:t>m (£14.</w:t>
      </w:r>
      <w:r w:rsidR="00D50E0C" w:rsidRPr="00A06955">
        <w:rPr>
          <w:lang w:eastAsia="en-GB"/>
        </w:rPr>
        <w:t>3</w:t>
      </w:r>
      <w:r w:rsidRPr="00A06955">
        <w:rPr>
          <w:lang w:eastAsia="en-GB"/>
        </w:rPr>
        <w:t xml:space="preserve">m </w:t>
      </w:r>
      <w:r w:rsidR="00C37317">
        <w:rPr>
          <w:lang w:eastAsia="en-GB"/>
        </w:rPr>
        <w:t xml:space="preserve">in </w:t>
      </w:r>
      <w:r w:rsidRPr="00A06955">
        <w:rPr>
          <w:lang w:eastAsia="en-GB"/>
        </w:rPr>
        <w:t>201</w:t>
      </w:r>
      <w:r w:rsidR="00D50E0C" w:rsidRPr="00A06955">
        <w:rPr>
          <w:lang w:eastAsia="en-GB"/>
        </w:rPr>
        <w:t>3/14</w:t>
      </w:r>
      <w:r w:rsidRPr="00A06955">
        <w:rPr>
          <w:lang w:eastAsia="en-GB"/>
        </w:rPr>
        <w:t>).</w:t>
      </w:r>
    </w:p>
    <w:p w14:paraId="3E37A118" w14:textId="5D3D43C9" w:rsidR="0065700D" w:rsidRPr="00A06955" w:rsidRDefault="0065700D" w:rsidP="0065700D">
      <w:pPr>
        <w:rPr>
          <w:lang w:eastAsia="en-GB"/>
        </w:rPr>
      </w:pPr>
      <w:r w:rsidRPr="00A06955">
        <w:rPr>
          <w:lang w:eastAsia="en-GB"/>
        </w:rPr>
        <w:t xml:space="preserve">Other creditors mainly </w:t>
      </w:r>
      <w:r w:rsidR="001E6BBC">
        <w:rPr>
          <w:lang w:eastAsia="en-GB"/>
        </w:rPr>
        <w:t>comprise</w:t>
      </w:r>
      <w:r w:rsidRPr="00A06955">
        <w:rPr>
          <w:lang w:eastAsia="en-GB"/>
        </w:rPr>
        <w:t xml:space="preserve"> low value high volume creditors for </w:t>
      </w:r>
      <w:r w:rsidR="001E6BBC">
        <w:rPr>
          <w:lang w:eastAsia="en-GB"/>
        </w:rPr>
        <w:t xml:space="preserve">the </w:t>
      </w:r>
      <w:r w:rsidRPr="00A06955">
        <w:rPr>
          <w:lang w:eastAsia="en-GB"/>
        </w:rPr>
        <w:t xml:space="preserve">purchase of goods and services with the exception of </w:t>
      </w:r>
      <w:r w:rsidR="001E6BBC">
        <w:rPr>
          <w:lang w:eastAsia="en-GB"/>
        </w:rPr>
        <w:t>£23.0m (£0.0m 2013/14) for the purchase of investments</w:t>
      </w:r>
      <w:r w:rsidR="007C530B">
        <w:rPr>
          <w:lang w:eastAsia="en-GB"/>
        </w:rPr>
        <w:t xml:space="preserve">, </w:t>
      </w:r>
      <w:r w:rsidR="004E0FD6">
        <w:rPr>
          <w:lang w:eastAsia="en-GB"/>
        </w:rPr>
        <w:t>PFI £1.9</w:t>
      </w:r>
      <w:r w:rsidRPr="00A06955">
        <w:rPr>
          <w:lang w:eastAsia="en-GB"/>
        </w:rPr>
        <w:t>m (</w:t>
      </w:r>
      <w:r w:rsidR="00C37317">
        <w:rPr>
          <w:lang w:eastAsia="en-GB"/>
        </w:rPr>
        <w:t xml:space="preserve">£10.2m in </w:t>
      </w:r>
      <w:r w:rsidRPr="00A06955">
        <w:rPr>
          <w:lang w:eastAsia="en-GB"/>
        </w:rPr>
        <w:t>201</w:t>
      </w:r>
      <w:r w:rsidR="00D50E0C" w:rsidRPr="00A06955">
        <w:rPr>
          <w:lang w:eastAsia="en-GB"/>
        </w:rPr>
        <w:t>3</w:t>
      </w:r>
      <w:r w:rsidRPr="00A06955">
        <w:rPr>
          <w:lang w:eastAsia="en-GB"/>
        </w:rPr>
        <w:t>/1</w:t>
      </w:r>
      <w:r w:rsidR="00D50E0C" w:rsidRPr="00A06955">
        <w:rPr>
          <w:lang w:eastAsia="en-GB"/>
        </w:rPr>
        <w:t>4</w:t>
      </w:r>
      <w:r w:rsidRPr="00A06955">
        <w:rPr>
          <w:lang w:eastAsia="en-GB"/>
        </w:rPr>
        <w:t>)</w:t>
      </w:r>
      <w:r w:rsidR="00494D95" w:rsidRPr="00A06955">
        <w:rPr>
          <w:lang w:eastAsia="en-GB"/>
        </w:rPr>
        <w:t xml:space="preserve"> and</w:t>
      </w:r>
      <w:r w:rsidR="00BB0CB4">
        <w:rPr>
          <w:lang w:eastAsia="en-GB"/>
        </w:rPr>
        <w:t xml:space="preserve"> </w:t>
      </w:r>
      <w:r w:rsidRPr="00A06955">
        <w:rPr>
          <w:lang w:eastAsia="en-GB"/>
        </w:rPr>
        <w:t>Adult Social Care non-residential placements £</w:t>
      </w:r>
      <w:r w:rsidR="00BC5961" w:rsidRPr="00A06955">
        <w:rPr>
          <w:lang w:eastAsia="en-GB"/>
        </w:rPr>
        <w:t>12.0</w:t>
      </w:r>
      <w:r w:rsidRPr="00A06955">
        <w:rPr>
          <w:lang w:eastAsia="en-GB"/>
        </w:rPr>
        <w:t>m (£</w:t>
      </w:r>
      <w:r w:rsidR="00D50E0C" w:rsidRPr="00A06955">
        <w:rPr>
          <w:lang w:eastAsia="en-GB"/>
        </w:rPr>
        <w:t>8.3</w:t>
      </w:r>
      <w:r w:rsidRPr="00A06955">
        <w:rPr>
          <w:lang w:eastAsia="en-GB"/>
        </w:rPr>
        <w:t xml:space="preserve">m </w:t>
      </w:r>
      <w:r w:rsidR="00181728">
        <w:rPr>
          <w:lang w:eastAsia="en-GB"/>
        </w:rPr>
        <w:t xml:space="preserve">in </w:t>
      </w:r>
      <w:r w:rsidRPr="00A06955">
        <w:rPr>
          <w:lang w:eastAsia="en-GB"/>
        </w:rPr>
        <w:t>201</w:t>
      </w:r>
      <w:r w:rsidR="00D50E0C" w:rsidRPr="00A06955">
        <w:rPr>
          <w:lang w:eastAsia="en-GB"/>
        </w:rPr>
        <w:t>3</w:t>
      </w:r>
      <w:r w:rsidRPr="00A06955">
        <w:rPr>
          <w:lang w:eastAsia="en-GB"/>
        </w:rPr>
        <w:t>/1</w:t>
      </w:r>
      <w:r w:rsidR="00D50E0C" w:rsidRPr="00A06955">
        <w:rPr>
          <w:lang w:eastAsia="en-GB"/>
        </w:rPr>
        <w:t>4</w:t>
      </w:r>
      <w:r w:rsidRPr="00A06955">
        <w:rPr>
          <w:lang w:eastAsia="en-GB"/>
        </w:rPr>
        <w:t>)</w:t>
      </w:r>
      <w:r w:rsidR="00494D95" w:rsidRPr="00A06955">
        <w:rPr>
          <w:lang w:eastAsia="en-GB"/>
        </w:rPr>
        <w:t>.</w:t>
      </w:r>
    </w:p>
    <w:p w14:paraId="772BDEEC" w14:textId="77777777" w:rsidR="004D1888" w:rsidRPr="00A06955" w:rsidRDefault="004D1888" w:rsidP="0065700D">
      <w:pPr>
        <w:rPr>
          <w:lang w:eastAsia="en-GB"/>
        </w:rPr>
      </w:pPr>
    </w:p>
    <w:p w14:paraId="46600035" w14:textId="1B275D31" w:rsidR="0065700D" w:rsidRPr="004D1888" w:rsidRDefault="0065700D" w:rsidP="0065700D">
      <w:pPr>
        <w:pStyle w:val="Heading2"/>
      </w:pPr>
      <w:r w:rsidRPr="004D1888">
        <w:t>2</w:t>
      </w:r>
      <w:r w:rsidR="005B4833">
        <w:t>9</w:t>
      </w:r>
      <w:r w:rsidRPr="004D1888">
        <w:t xml:space="preserve">. Cash and </w:t>
      </w:r>
      <w:r w:rsidR="00311222">
        <w:t>c</w:t>
      </w:r>
      <w:r w:rsidRPr="004D1888">
        <w:t xml:space="preserve">ash </w:t>
      </w:r>
      <w:r w:rsidR="00311222">
        <w:t>e</w:t>
      </w:r>
      <w:r w:rsidRPr="004D1888">
        <w:t>quivalents</w:t>
      </w:r>
    </w:p>
    <w:p w14:paraId="6BF4CE3D" w14:textId="77777777" w:rsidR="0065700D" w:rsidRPr="004D1888" w:rsidRDefault="0065700D" w:rsidP="0065700D">
      <w:pPr>
        <w:rPr>
          <w:lang w:eastAsia="en-GB"/>
        </w:rPr>
      </w:pPr>
      <w:r w:rsidRPr="004D1888">
        <w:rPr>
          <w:lang w:eastAsia="en-GB"/>
        </w:rPr>
        <w:t>The balance of cash and cash equivalents is made up of the following elements: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65700D" w:rsidRPr="004D1888" w14:paraId="06481ACB" w14:textId="77777777" w:rsidTr="00A06955">
        <w:trPr>
          <w:trHeight w:val="369"/>
          <w:tblHeader/>
        </w:trPr>
        <w:tc>
          <w:tcPr>
            <w:tcW w:w="3105" w:type="pct"/>
            <w:shd w:val="clear" w:color="auto" w:fill="D0CECE"/>
            <w:vAlign w:val="bottom"/>
          </w:tcPr>
          <w:p w14:paraId="2998E3F6" w14:textId="77777777" w:rsidR="0065700D" w:rsidRPr="004D1888" w:rsidRDefault="0065700D" w:rsidP="004C338D">
            <w:pPr>
              <w:jc w:val="left"/>
              <w:rPr>
                <w:color w:val="auto"/>
              </w:rPr>
            </w:pPr>
          </w:p>
        </w:tc>
        <w:tc>
          <w:tcPr>
            <w:tcW w:w="929" w:type="pct"/>
            <w:shd w:val="clear" w:color="auto" w:fill="D0CECE"/>
            <w:vAlign w:val="bottom"/>
          </w:tcPr>
          <w:p w14:paraId="696E1A20" w14:textId="77777777" w:rsidR="0065700D" w:rsidRPr="004D1888" w:rsidRDefault="0065700D" w:rsidP="004C338D">
            <w:pPr>
              <w:jc w:val="center"/>
              <w:rPr>
                <w:b/>
                <w:color w:val="auto"/>
              </w:rPr>
            </w:pPr>
            <w:r w:rsidRPr="004D1888">
              <w:rPr>
                <w:b/>
                <w:color w:val="auto"/>
              </w:rPr>
              <w:t>31/03/2015</w:t>
            </w:r>
          </w:p>
        </w:tc>
        <w:tc>
          <w:tcPr>
            <w:tcW w:w="966" w:type="pct"/>
            <w:shd w:val="clear" w:color="auto" w:fill="D0CECE"/>
            <w:vAlign w:val="bottom"/>
          </w:tcPr>
          <w:p w14:paraId="3FED1B96" w14:textId="77777777" w:rsidR="0065700D" w:rsidRPr="004D1888" w:rsidRDefault="0065700D" w:rsidP="004C338D">
            <w:pPr>
              <w:jc w:val="center"/>
              <w:rPr>
                <w:b/>
                <w:color w:val="auto"/>
              </w:rPr>
            </w:pPr>
            <w:r w:rsidRPr="004D1888">
              <w:rPr>
                <w:b/>
                <w:color w:val="auto"/>
              </w:rPr>
              <w:t>31/03/2014</w:t>
            </w:r>
          </w:p>
        </w:tc>
      </w:tr>
      <w:tr w:rsidR="0065700D" w:rsidRPr="004D1888" w14:paraId="60F0722D" w14:textId="77777777" w:rsidTr="00A06955">
        <w:trPr>
          <w:trHeight w:val="369"/>
          <w:tblHeader/>
        </w:trPr>
        <w:tc>
          <w:tcPr>
            <w:tcW w:w="3105" w:type="pct"/>
            <w:shd w:val="clear" w:color="auto" w:fill="D0CECE"/>
            <w:vAlign w:val="bottom"/>
          </w:tcPr>
          <w:p w14:paraId="1738944C" w14:textId="77777777" w:rsidR="0065700D" w:rsidRPr="004D1888" w:rsidRDefault="0065700D" w:rsidP="004C338D">
            <w:pPr>
              <w:jc w:val="left"/>
              <w:rPr>
                <w:color w:val="auto"/>
              </w:rPr>
            </w:pPr>
          </w:p>
        </w:tc>
        <w:tc>
          <w:tcPr>
            <w:tcW w:w="929" w:type="pct"/>
            <w:shd w:val="clear" w:color="auto" w:fill="D0CECE"/>
            <w:vAlign w:val="bottom"/>
          </w:tcPr>
          <w:p w14:paraId="709DE413" w14:textId="77777777" w:rsidR="0065700D" w:rsidRPr="004D1888" w:rsidRDefault="0065700D" w:rsidP="004C338D">
            <w:pPr>
              <w:jc w:val="center"/>
              <w:rPr>
                <w:b/>
                <w:color w:val="auto"/>
              </w:rPr>
            </w:pPr>
            <w:r w:rsidRPr="004D1888">
              <w:rPr>
                <w:b/>
                <w:color w:val="auto"/>
              </w:rPr>
              <w:t>£m</w:t>
            </w:r>
          </w:p>
        </w:tc>
        <w:tc>
          <w:tcPr>
            <w:tcW w:w="966" w:type="pct"/>
            <w:shd w:val="clear" w:color="auto" w:fill="D0CECE"/>
            <w:vAlign w:val="bottom"/>
          </w:tcPr>
          <w:p w14:paraId="74439D24" w14:textId="77777777" w:rsidR="0065700D" w:rsidRPr="004D1888" w:rsidRDefault="0065700D" w:rsidP="004C338D">
            <w:pPr>
              <w:jc w:val="center"/>
              <w:rPr>
                <w:b/>
                <w:color w:val="auto"/>
              </w:rPr>
            </w:pPr>
            <w:r w:rsidRPr="004D1888">
              <w:rPr>
                <w:b/>
                <w:color w:val="auto"/>
              </w:rPr>
              <w:t>£m</w:t>
            </w:r>
          </w:p>
        </w:tc>
      </w:tr>
      <w:tr w:rsidR="0065700D" w:rsidRPr="004D1888" w14:paraId="09F55EE0" w14:textId="77777777" w:rsidTr="004C338D">
        <w:trPr>
          <w:trHeight w:val="369"/>
        </w:trPr>
        <w:tc>
          <w:tcPr>
            <w:tcW w:w="3105" w:type="pct"/>
            <w:shd w:val="clear" w:color="auto" w:fill="auto"/>
            <w:vAlign w:val="bottom"/>
          </w:tcPr>
          <w:p w14:paraId="03590B2F" w14:textId="77777777" w:rsidR="0065700D" w:rsidRPr="004D1888" w:rsidRDefault="0065700D" w:rsidP="004C338D">
            <w:pPr>
              <w:jc w:val="left"/>
              <w:rPr>
                <w:color w:val="auto"/>
              </w:rPr>
            </w:pPr>
            <w:r w:rsidRPr="004D1888">
              <w:rPr>
                <w:color w:val="auto"/>
              </w:rPr>
              <w:t>Cash held by council</w:t>
            </w:r>
          </w:p>
        </w:tc>
        <w:tc>
          <w:tcPr>
            <w:tcW w:w="929" w:type="pct"/>
            <w:tcBorders>
              <w:bottom w:val="nil"/>
            </w:tcBorders>
            <w:shd w:val="clear" w:color="auto" w:fill="auto"/>
            <w:vAlign w:val="bottom"/>
          </w:tcPr>
          <w:p w14:paraId="0A0EAD98" w14:textId="77777777" w:rsidR="0065700D" w:rsidRPr="004D1888" w:rsidRDefault="004D1888" w:rsidP="004C338D">
            <w:pPr>
              <w:tabs>
                <w:tab w:val="decimal" w:pos="884"/>
              </w:tabs>
              <w:rPr>
                <w:color w:val="auto"/>
              </w:rPr>
            </w:pPr>
            <w:r w:rsidRPr="004D1888">
              <w:rPr>
                <w:color w:val="auto"/>
              </w:rPr>
              <w:t>0.8</w:t>
            </w:r>
          </w:p>
        </w:tc>
        <w:tc>
          <w:tcPr>
            <w:tcW w:w="966" w:type="pct"/>
            <w:tcBorders>
              <w:bottom w:val="nil"/>
            </w:tcBorders>
            <w:shd w:val="clear" w:color="auto" w:fill="auto"/>
            <w:vAlign w:val="bottom"/>
          </w:tcPr>
          <w:p w14:paraId="70265770" w14:textId="77777777" w:rsidR="0065700D" w:rsidRPr="004D1888" w:rsidRDefault="004D1888" w:rsidP="004C338D">
            <w:pPr>
              <w:tabs>
                <w:tab w:val="decimal" w:pos="1026"/>
              </w:tabs>
              <w:rPr>
                <w:color w:val="auto"/>
              </w:rPr>
            </w:pPr>
            <w:r w:rsidRPr="004D1888">
              <w:rPr>
                <w:color w:val="auto"/>
              </w:rPr>
              <w:t>0.7</w:t>
            </w:r>
          </w:p>
        </w:tc>
      </w:tr>
      <w:tr w:rsidR="0065700D" w:rsidRPr="004D1888" w14:paraId="0F433A32" w14:textId="77777777" w:rsidTr="004C338D">
        <w:trPr>
          <w:trHeight w:val="369"/>
        </w:trPr>
        <w:tc>
          <w:tcPr>
            <w:tcW w:w="3105" w:type="pct"/>
            <w:shd w:val="clear" w:color="auto" w:fill="auto"/>
            <w:vAlign w:val="bottom"/>
          </w:tcPr>
          <w:p w14:paraId="25455C2B" w14:textId="77777777" w:rsidR="0065700D" w:rsidRPr="004D1888" w:rsidRDefault="0065700D" w:rsidP="004C338D">
            <w:pPr>
              <w:jc w:val="left"/>
              <w:rPr>
                <w:color w:val="auto"/>
              </w:rPr>
            </w:pPr>
            <w:r w:rsidRPr="004D1888">
              <w:rPr>
                <w:color w:val="auto"/>
              </w:rPr>
              <w:t>Bank current accounts</w:t>
            </w:r>
          </w:p>
        </w:tc>
        <w:tc>
          <w:tcPr>
            <w:tcW w:w="929" w:type="pct"/>
            <w:tcBorders>
              <w:bottom w:val="nil"/>
            </w:tcBorders>
            <w:shd w:val="clear" w:color="auto" w:fill="auto"/>
            <w:vAlign w:val="bottom"/>
          </w:tcPr>
          <w:p w14:paraId="70ED9836" w14:textId="77777777" w:rsidR="0065700D" w:rsidRPr="004D1888" w:rsidRDefault="004D1888" w:rsidP="004C338D">
            <w:pPr>
              <w:tabs>
                <w:tab w:val="decimal" w:pos="884"/>
              </w:tabs>
              <w:rPr>
                <w:color w:val="auto"/>
              </w:rPr>
            </w:pPr>
            <w:r>
              <w:rPr>
                <w:color w:val="auto"/>
              </w:rPr>
              <w:t>22.2</w:t>
            </w:r>
          </w:p>
        </w:tc>
        <w:tc>
          <w:tcPr>
            <w:tcW w:w="966" w:type="pct"/>
            <w:tcBorders>
              <w:bottom w:val="nil"/>
            </w:tcBorders>
            <w:shd w:val="clear" w:color="auto" w:fill="auto"/>
            <w:vAlign w:val="bottom"/>
          </w:tcPr>
          <w:p w14:paraId="65F55177" w14:textId="77777777" w:rsidR="0065700D" w:rsidRPr="004D1888" w:rsidRDefault="004D1888" w:rsidP="004C338D">
            <w:pPr>
              <w:tabs>
                <w:tab w:val="decimal" w:pos="1026"/>
              </w:tabs>
              <w:rPr>
                <w:color w:val="auto"/>
              </w:rPr>
            </w:pPr>
            <w:r w:rsidRPr="004D1888">
              <w:rPr>
                <w:color w:val="auto"/>
              </w:rPr>
              <w:t>33.0</w:t>
            </w:r>
          </w:p>
        </w:tc>
      </w:tr>
      <w:tr w:rsidR="0065700D" w:rsidRPr="004D1888" w14:paraId="3A3BA9BB" w14:textId="77777777" w:rsidTr="004C338D">
        <w:trPr>
          <w:trHeight w:val="369"/>
        </w:trPr>
        <w:tc>
          <w:tcPr>
            <w:tcW w:w="3105" w:type="pct"/>
            <w:shd w:val="clear" w:color="auto" w:fill="auto"/>
            <w:vAlign w:val="bottom"/>
          </w:tcPr>
          <w:p w14:paraId="211C3C39" w14:textId="77777777" w:rsidR="0065700D" w:rsidRPr="004D1888" w:rsidRDefault="0065700D" w:rsidP="004C338D">
            <w:pPr>
              <w:jc w:val="left"/>
              <w:rPr>
                <w:color w:val="auto"/>
              </w:rPr>
            </w:pPr>
            <w:r w:rsidRPr="004D1888">
              <w:rPr>
                <w:color w:val="auto"/>
              </w:rPr>
              <w:t>Short term deposits under 3 months</w:t>
            </w:r>
          </w:p>
        </w:tc>
        <w:tc>
          <w:tcPr>
            <w:tcW w:w="929" w:type="pct"/>
            <w:tcBorders>
              <w:bottom w:val="nil"/>
            </w:tcBorders>
            <w:shd w:val="clear" w:color="auto" w:fill="auto"/>
            <w:vAlign w:val="bottom"/>
          </w:tcPr>
          <w:p w14:paraId="533F290D" w14:textId="77777777" w:rsidR="0065700D" w:rsidRPr="004D1888" w:rsidRDefault="004D1888" w:rsidP="004C338D">
            <w:pPr>
              <w:tabs>
                <w:tab w:val="decimal" w:pos="884"/>
              </w:tabs>
              <w:rPr>
                <w:color w:val="auto"/>
              </w:rPr>
            </w:pPr>
            <w:r w:rsidRPr="004D1888">
              <w:rPr>
                <w:color w:val="auto"/>
              </w:rPr>
              <w:t>107.3</w:t>
            </w:r>
          </w:p>
        </w:tc>
        <w:tc>
          <w:tcPr>
            <w:tcW w:w="966" w:type="pct"/>
            <w:tcBorders>
              <w:bottom w:val="nil"/>
            </w:tcBorders>
            <w:shd w:val="clear" w:color="auto" w:fill="auto"/>
            <w:vAlign w:val="bottom"/>
          </w:tcPr>
          <w:p w14:paraId="3916C977" w14:textId="77777777" w:rsidR="0065700D" w:rsidRPr="004D1888" w:rsidRDefault="004D1888" w:rsidP="004C338D">
            <w:pPr>
              <w:tabs>
                <w:tab w:val="decimal" w:pos="1026"/>
              </w:tabs>
              <w:rPr>
                <w:color w:val="auto"/>
              </w:rPr>
            </w:pPr>
            <w:r w:rsidRPr="004D1888">
              <w:rPr>
                <w:color w:val="auto"/>
              </w:rPr>
              <w:t>57.7</w:t>
            </w:r>
          </w:p>
        </w:tc>
      </w:tr>
      <w:tr w:rsidR="0065700D" w:rsidRPr="004F1182" w14:paraId="59117678" w14:textId="77777777" w:rsidTr="004C338D">
        <w:trPr>
          <w:trHeight w:val="369"/>
        </w:trPr>
        <w:tc>
          <w:tcPr>
            <w:tcW w:w="3105" w:type="pct"/>
            <w:shd w:val="clear" w:color="auto" w:fill="auto"/>
            <w:vAlign w:val="bottom"/>
          </w:tcPr>
          <w:p w14:paraId="1DEB3A0F" w14:textId="77777777" w:rsidR="0065700D" w:rsidRPr="004D1888" w:rsidRDefault="0065700D" w:rsidP="004C338D">
            <w:pPr>
              <w:jc w:val="left"/>
              <w:rPr>
                <w:b/>
                <w:color w:val="auto"/>
              </w:rPr>
            </w:pPr>
            <w:r w:rsidRPr="004D1888">
              <w:rPr>
                <w:b/>
                <w:color w:val="auto"/>
              </w:rPr>
              <w:t>Total cash and cash equivalents</w:t>
            </w:r>
          </w:p>
        </w:tc>
        <w:tc>
          <w:tcPr>
            <w:tcW w:w="929" w:type="pct"/>
            <w:tcBorders>
              <w:top w:val="single" w:sz="4" w:space="0" w:color="auto"/>
              <w:bottom w:val="single" w:sz="4" w:space="0" w:color="auto"/>
            </w:tcBorders>
            <w:shd w:val="clear" w:color="auto" w:fill="auto"/>
            <w:vAlign w:val="bottom"/>
          </w:tcPr>
          <w:p w14:paraId="641F2418" w14:textId="77777777" w:rsidR="0065700D" w:rsidRPr="004D1888" w:rsidRDefault="004D1888" w:rsidP="004C338D">
            <w:pPr>
              <w:tabs>
                <w:tab w:val="decimal" w:pos="884"/>
              </w:tabs>
              <w:rPr>
                <w:b/>
                <w:color w:val="auto"/>
              </w:rPr>
            </w:pPr>
            <w:r w:rsidRPr="004D1888">
              <w:rPr>
                <w:b/>
                <w:color w:val="auto"/>
              </w:rPr>
              <w:t>130.3</w:t>
            </w:r>
          </w:p>
        </w:tc>
        <w:tc>
          <w:tcPr>
            <w:tcW w:w="966" w:type="pct"/>
            <w:tcBorders>
              <w:top w:val="single" w:sz="4" w:space="0" w:color="auto"/>
              <w:bottom w:val="single" w:sz="4" w:space="0" w:color="auto"/>
            </w:tcBorders>
            <w:shd w:val="clear" w:color="auto" w:fill="auto"/>
            <w:vAlign w:val="bottom"/>
          </w:tcPr>
          <w:p w14:paraId="19B893F9" w14:textId="77777777" w:rsidR="0065700D" w:rsidRPr="004F1182" w:rsidRDefault="004D1888" w:rsidP="004C338D">
            <w:pPr>
              <w:tabs>
                <w:tab w:val="decimal" w:pos="1026"/>
              </w:tabs>
              <w:rPr>
                <w:b/>
                <w:color w:val="auto"/>
              </w:rPr>
            </w:pPr>
            <w:r w:rsidRPr="004D1888">
              <w:rPr>
                <w:b/>
                <w:color w:val="auto"/>
              </w:rPr>
              <w:t>91.4</w:t>
            </w:r>
          </w:p>
        </w:tc>
      </w:tr>
    </w:tbl>
    <w:p w14:paraId="320B176F" w14:textId="77777777" w:rsidR="004E0FD6" w:rsidRDefault="004E0FD6" w:rsidP="00A06955">
      <w:pPr>
        <w:rPr>
          <w:highlight w:val="yellow"/>
        </w:rPr>
      </w:pPr>
    </w:p>
    <w:p w14:paraId="1B101D66" w14:textId="77777777" w:rsidR="007A2DD0" w:rsidRDefault="007A2DD0" w:rsidP="00A06955">
      <w:pPr>
        <w:rPr>
          <w:highlight w:val="yellow"/>
        </w:rPr>
      </w:pPr>
    </w:p>
    <w:p w14:paraId="5444854E" w14:textId="77777777" w:rsidR="007A2DD0" w:rsidRDefault="007A2DD0" w:rsidP="00A06955">
      <w:pPr>
        <w:rPr>
          <w:highlight w:val="yellow"/>
        </w:rPr>
      </w:pPr>
    </w:p>
    <w:p w14:paraId="63BAE477" w14:textId="77777777" w:rsidR="007A2DD0" w:rsidRDefault="007A2DD0" w:rsidP="00A06955">
      <w:pPr>
        <w:rPr>
          <w:highlight w:val="yellow"/>
        </w:rPr>
      </w:pPr>
    </w:p>
    <w:p w14:paraId="13DB8EFC" w14:textId="77777777" w:rsidR="007A2DD0" w:rsidRDefault="007A2DD0" w:rsidP="00A06955">
      <w:pPr>
        <w:rPr>
          <w:highlight w:val="yellow"/>
        </w:rPr>
      </w:pPr>
    </w:p>
    <w:p w14:paraId="690926A5" w14:textId="77777777" w:rsidR="007A2DD0" w:rsidRDefault="007A2DD0" w:rsidP="00A06955">
      <w:pPr>
        <w:rPr>
          <w:highlight w:val="yellow"/>
        </w:rPr>
      </w:pPr>
    </w:p>
    <w:p w14:paraId="1F1C84A0" w14:textId="77777777" w:rsidR="007A2DD0" w:rsidRDefault="007A2DD0" w:rsidP="00A06955">
      <w:pPr>
        <w:rPr>
          <w:highlight w:val="yellow"/>
        </w:rPr>
      </w:pPr>
    </w:p>
    <w:p w14:paraId="2418AB32" w14:textId="77777777" w:rsidR="007A2DD0" w:rsidRDefault="007A2DD0" w:rsidP="00A06955">
      <w:pPr>
        <w:rPr>
          <w:highlight w:val="yellow"/>
        </w:rPr>
      </w:pPr>
    </w:p>
    <w:p w14:paraId="477CB4F3" w14:textId="77777777" w:rsidR="007D547D" w:rsidRDefault="007D547D" w:rsidP="00A06955">
      <w:pPr>
        <w:rPr>
          <w:highlight w:val="yellow"/>
        </w:rPr>
      </w:pPr>
    </w:p>
    <w:p w14:paraId="464D19D4" w14:textId="77777777" w:rsidR="007D547D" w:rsidRDefault="007D547D" w:rsidP="00A06955">
      <w:pPr>
        <w:rPr>
          <w:highlight w:val="yellow"/>
        </w:rPr>
      </w:pPr>
    </w:p>
    <w:p w14:paraId="616C5210" w14:textId="77777777" w:rsidR="007A2DD0" w:rsidRDefault="007A2DD0" w:rsidP="00A06955">
      <w:pPr>
        <w:rPr>
          <w:highlight w:val="yellow"/>
        </w:rPr>
      </w:pPr>
    </w:p>
    <w:p w14:paraId="01F44980" w14:textId="1C5203D8" w:rsidR="0065700D" w:rsidRPr="00A06955" w:rsidRDefault="005B4833" w:rsidP="0065700D">
      <w:pPr>
        <w:pStyle w:val="Heading2"/>
      </w:pPr>
      <w:r>
        <w:t>30</w:t>
      </w:r>
      <w:r w:rsidR="0065700D" w:rsidRPr="00A06955">
        <w:t>. Provisions</w:t>
      </w:r>
    </w:p>
    <w:p w14:paraId="13B453A6" w14:textId="77777777" w:rsidR="0065700D" w:rsidRPr="00235001" w:rsidRDefault="002A2514" w:rsidP="0065700D">
      <w:pPr>
        <w:rPr>
          <w:lang w:eastAsia="en-GB"/>
        </w:rPr>
      </w:pPr>
      <w:r w:rsidRPr="00A06955">
        <w:rPr>
          <w:lang w:eastAsia="en-GB"/>
        </w:rPr>
        <w:t>We keep some funds set aside to provide for specific expenses, the exact cost of timing of which is still uncertain. These funds are known as 'provisions'. The changes to these funds are summarised in the following table:</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53"/>
        <w:gridCol w:w="1392"/>
        <w:gridCol w:w="1528"/>
        <w:gridCol w:w="1664"/>
        <w:gridCol w:w="1388"/>
        <w:gridCol w:w="1325"/>
      </w:tblGrid>
      <w:tr w:rsidR="002A2514" w:rsidRPr="00235001" w14:paraId="5759BC07" w14:textId="77777777" w:rsidTr="00A06955">
        <w:trPr>
          <w:trHeight w:val="369"/>
          <w:tblHeader/>
        </w:trPr>
        <w:tc>
          <w:tcPr>
            <w:tcW w:w="1509" w:type="pct"/>
            <w:shd w:val="clear" w:color="auto" w:fill="D0CECE"/>
            <w:vAlign w:val="bottom"/>
          </w:tcPr>
          <w:p w14:paraId="07F9B7DD" w14:textId="77777777" w:rsidR="002A2514" w:rsidRPr="00A06955" w:rsidRDefault="002A2514" w:rsidP="002A2514">
            <w:pPr>
              <w:jc w:val="center"/>
              <w:rPr>
                <w:b/>
                <w:color w:val="auto"/>
              </w:rPr>
            </w:pPr>
          </w:p>
        </w:tc>
        <w:tc>
          <w:tcPr>
            <w:tcW w:w="666" w:type="pct"/>
            <w:shd w:val="clear" w:color="auto" w:fill="D0CECE"/>
            <w:vAlign w:val="bottom"/>
          </w:tcPr>
          <w:p w14:paraId="120F5861" w14:textId="23C2E66D" w:rsidR="002A2514" w:rsidRPr="00235001" w:rsidRDefault="002A2514" w:rsidP="002A2514">
            <w:pPr>
              <w:jc w:val="center"/>
              <w:rPr>
                <w:b/>
                <w:color w:val="auto"/>
              </w:rPr>
            </w:pPr>
            <w:r w:rsidRPr="00235001">
              <w:rPr>
                <w:b/>
                <w:color w:val="auto"/>
              </w:rPr>
              <w:t xml:space="preserve">Balance </w:t>
            </w:r>
            <w:r w:rsidR="00EC0F93">
              <w:rPr>
                <w:b/>
                <w:color w:val="auto"/>
              </w:rPr>
              <w:t xml:space="preserve">as </w:t>
            </w:r>
            <w:r w:rsidRPr="00235001">
              <w:rPr>
                <w:b/>
                <w:color w:val="auto"/>
              </w:rPr>
              <w:t>at 1 April 2014</w:t>
            </w:r>
          </w:p>
        </w:tc>
        <w:tc>
          <w:tcPr>
            <w:tcW w:w="731" w:type="pct"/>
            <w:shd w:val="clear" w:color="auto" w:fill="D0CECE"/>
            <w:vAlign w:val="bottom"/>
          </w:tcPr>
          <w:p w14:paraId="71BE3277" w14:textId="77777777" w:rsidR="002A2514" w:rsidRPr="00A06955" w:rsidRDefault="002A2514" w:rsidP="002A2514">
            <w:pPr>
              <w:jc w:val="center"/>
              <w:rPr>
                <w:b/>
                <w:color w:val="auto"/>
              </w:rPr>
            </w:pPr>
            <w:r w:rsidRPr="00A06955">
              <w:rPr>
                <w:b/>
                <w:color w:val="auto"/>
              </w:rPr>
              <w:t>Additional provision made in 2014/15</w:t>
            </w:r>
          </w:p>
        </w:tc>
        <w:tc>
          <w:tcPr>
            <w:tcW w:w="796" w:type="pct"/>
            <w:shd w:val="clear" w:color="auto" w:fill="D0CECE"/>
            <w:vAlign w:val="bottom"/>
          </w:tcPr>
          <w:p w14:paraId="28A2E609" w14:textId="77777777" w:rsidR="002A2514" w:rsidRPr="00A06955" w:rsidRDefault="002A2514" w:rsidP="002A2514">
            <w:pPr>
              <w:jc w:val="center"/>
              <w:rPr>
                <w:b/>
                <w:color w:val="auto"/>
              </w:rPr>
            </w:pPr>
            <w:r w:rsidRPr="00A06955">
              <w:rPr>
                <w:b/>
                <w:color w:val="auto"/>
              </w:rPr>
              <w:t>Spending met from the provision in 2014/15</w:t>
            </w:r>
          </w:p>
        </w:tc>
        <w:tc>
          <w:tcPr>
            <w:tcW w:w="664" w:type="pct"/>
            <w:shd w:val="clear" w:color="auto" w:fill="D0CECE"/>
            <w:vAlign w:val="bottom"/>
          </w:tcPr>
          <w:p w14:paraId="0C5FA2D7" w14:textId="77777777" w:rsidR="002A2514" w:rsidRPr="00A06955" w:rsidRDefault="002A2514" w:rsidP="002A2514">
            <w:pPr>
              <w:jc w:val="center"/>
              <w:rPr>
                <w:b/>
                <w:color w:val="auto"/>
              </w:rPr>
            </w:pPr>
            <w:r w:rsidRPr="00A06955">
              <w:rPr>
                <w:b/>
                <w:color w:val="auto"/>
              </w:rPr>
              <w:t>Unused amounts reversed in 2014/15</w:t>
            </w:r>
          </w:p>
        </w:tc>
        <w:tc>
          <w:tcPr>
            <w:tcW w:w="634" w:type="pct"/>
            <w:shd w:val="clear" w:color="auto" w:fill="D0CECE"/>
            <w:vAlign w:val="bottom"/>
          </w:tcPr>
          <w:p w14:paraId="4BF6D517" w14:textId="070E96ED" w:rsidR="002A2514" w:rsidRPr="00A06955" w:rsidRDefault="002A2514" w:rsidP="002A2514">
            <w:pPr>
              <w:jc w:val="center"/>
              <w:rPr>
                <w:b/>
                <w:color w:val="auto"/>
              </w:rPr>
            </w:pPr>
            <w:r w:rsidRPr="00A06955">
              <w:rPr>
                <w:b/>
                <w:color w:val="auto"/>
              </w:rPr>
              <w:t xml:space="preserve">Balance </w:t>
            </w:r>
            <w:r w:rsidR="00EC0F93">
              <w:rPr>
                <w:b/>
                <w:color w:val="auto"/>
              </w:rPr>
              <w:t xml:space="preserve">as </w:t>
            </w:r>
            <w:r w:rsidRPr="00A06955">
              <w:rPr>
                <w:b/>
                <w:color w:val="auto"/>
              </w:rPr>
              <w:t>at 31 March 2015</w:t>
            </w:r>
          </w:p>
        </w:tc>
      </w:tr>
      <w:tr w:rsidR="002A2514" w:rsidRPr="00235001" w14:paraId="59DD8F5B" w14:textId="77777777" w:rsidTr="00A06955">
        <w:trPr>
          <w:trHeight w:val="369"/>
          <w:tblHeader/>
        </w:trPr>
        <w:tc>
          <w:tcPr>
            <w:tcW w:w="1509" w:type="pct"/>
            <w:shd w:val="clear" w:color="auto" w:fill="D0CECE"/>
            <w:vAlign w:val="bottom"/>
          </w:tcPr>
          <w:p w14:paraId="288F4F3B" w14:textId="77777777" w:rsidR="002A2514" w:rsidRPr="00A06955" w:rsidRDefault="002A2514" w:rsidP="002A2514">
            <w:pPr>
              <w:jc w:val="left"/>
              <w:rPr>
                <w:color w:val="auto"/>
              </w:rPr>
            </w:pPr>
          </w:p>
        </w:tc>
        <w:tc>
          <w:tcPr>
            <w:tcW w:w="666" w:type="pct"/>
            <w:shd w:val="clear" w:color="auto" w:fill="D0CECE"/>
            <w:vAlign w:val="bottom"/>
          </w:tcPr>
          <w:p w14:paraId="1CDF597C" w14:textId="77777777" w:rsidR="002A2514" w:rsidRPr="00235001" w:rsidRDefault="002A2514" w:rsidP="002A2514">
            <w:pPr>
              <w:jc w:val="center"/>
              <w:rPr>
                <w:b/>
                <w:color w:val="auto"/>
              </w:rPr>
            </w:pPr>
            <w:r w:rsidRPr="00235001">
              <w:rPr>
                <w:b/>
                <w:color w:val="auto"/>
              </w:rPr>
              <w:t>£m</w:t>
            </w:r>
          </w:p>
        </w:tc>
        <w:tc>
          <w:tcPr>
            <w:tcW w:w="731" w:type="pct"/>
            <w:shd w:val="clear" w:color="auto" w:fill="D0CECE"/>
            <w:vAlign w:val="bottom"/>
          </w:tcPr>
          <w:p w14:paraId="3F78B5BA" w14:textId="77777777" w:rsidR="002A2514" w:rsidRPr="00A06955" w:rsidRDefault="002A2514" w:rsidP="002A2514">
            <w:pPr>
              <w:jc w:val="center"/>
              <w:rPr>
                <w:b/>
                <w:color w:val="auto"/>
              </w:rPr>
            </w:pPr>
            <w:r w:rsidRPr="00A06955">
              <w:rPr>
                <w:b/>
                <w:color w:val="auto"/>
              </w:rPr>
              <w:t>£m</w:t>
            </w:r>
          </w:p>
        </w:tc>
        <w:tc>
          <w:tcPr>
            <w:tcW w:w="796" w:type="pct"/>
            <w:shd w:val="clear" w:color="auto" w:fill="D0CECE"/>
            <w:vAlign w:val="bottom"/>
          </w:tcPr>
          <w:p w14:paraId="14E06595" w14:textId="77777777" w:rsidR="002A2514" w:rsidRPr="00A06955" w:rsidRDefault="002A2514" w:rsidP="002A2514">
            <w:pPr>
              <w:jc w:val="center"/>
              <w:rPr>
                <w:b/>
                <w:color w:val="auto"/>
              </w:rPr>
            </w:pPr>
            <w:r w:rsidRPr="00A06955">
              <w:rPr>
                <w:b/>
                <w:color w:val="auto"/>
              </w:rPr>
              <w:t>£m</w:t>
            </w:r>
          </w:p>
        </w:tc>
        <w:tc>
          <w:tcPr>
            <w:tcW w:w="664" w:type="pct"/>
            <w:shd w:val="clear" w:color="auto" w:fill="D0CECE"/>
            <w:vAlign w:val="bottom"/>
          </w:tcPr>
          <w:p w14:paraId="7FA5C3C4" w14:textId="77777777" w:rsidR="002A2514" w:rsidRPr="00A06955" w:rsidRDefault="002A2514" w:rsidP="002A2514">
            <w:pPr>
              <w:jc w:val="center"/>
              <w:rPr>
                <w:b/>
                <w:color w:val="auto"/>
              </w:rPr>
            </w:pPr>
            <w:r w:rsidRPr="00A06955">
              <w:rPr>
                <w:b/>
                <w:color w:val="auto"/>
              </w:rPr>
              <w:t>£m</w:t>
            </w:r>
          </w:p>
        </w:tc>
        <w:tc>
          <w:tcPr>
            <w:tcW w:w="634" w:type="pct"/>
            <w:shd w:val="clear" w:color="auto" w:fill="D0CECE"/>
            <w:vAlign w:val="bottom"/>
          </w:tcPr>
          <w:p w14:paraId="155430B7" w14:textId="77777777" w:rsidR="002A2514" w:rsidRPr="00A06955" w:rsidRDefault="002A2514" w:rsidP="002A2514">
            <w:pPr>
              <w:jc w:val="center"/>
              <w:rPr>
                <w:b/>
                <w:color w:val="auto"/>
              </w:rPr>
            </w:pPr>
            <w:r w:rsidRPr="00A06955">
              <w:rPr>
                <w:b/>
                <w:color w:val="auto"/>
              </w:rPr>
              <w:t>£m</w:t>
            </w:r>
          </w:p>
        </w:tc>
      </w:tr>
      <w:tr w:rsidR="002A2514" w:rsidRPr="00C734A4" w14:paraId="404A1217" w14:textId="77777777" w:rsidTr="002A2514">
        <w:trPr>
          <w:trHeight w:val="369"/>
        </w:trPr>
        <w:tc>
          <w:tcPr>
            <w:tcW w:w="1509" w:type="pct"/>
            <w:shd w:val="clear" w:color="auto" w:fill="auto"/>
            <w:vAlign w:val="bottom"/>
          </w:tcPr>
          <w:p w14:paraId="07DFCB46" w14:textId="77777777" w:rsidR="002A2514" w:rsidRPr="00A06955" w:rsidRDefault="002A2514" w:rsidP="002A2514">
            <w:pPr>
              <w:jc w:val="left"/>
              <w:rPr>
                <w:b/>
                <w:color w:val="auto"/>
              </w:rPr>
            </w:pPr>
            <w:r w:rsidRPr="00A06955">
              <w:rPr>
                <w:b/>
                <w:color w:val="auto"/>
              </w:rPr>
              <w:t>Total Long Term Provisions</w:t>
            </w:r>
          </w:p>
        </w:tc>
        <w:tc>
          <w:tcPr>
            <w:tcW w:w="666" w:type="pct"/>
            <w:shd w:val="clear" w:color="auto" w:fill="auto"/>
            <w:vAlign w:val="bottom"/>
          </w:tcPr>
          <w:p w14:paraId="2F85E6EA" w14:textId="77777777" w:rsidR="002A2514" w:rsidRPr="00675407" w:rsidRDefault="00C734A4" w:rsidP="002A2514">
            <w:pPr>
              <w:tabs>
                <w:tab w:val="decimal" w:pos="601"/>
              </w:tabs>
              <w:rPr>
                <w:b/>
                <w:color w:val="auto"/>
              </w:rPr>
            </w:pPr>
            <w:r w:rsidRPr="00675407">
              <w:rPr>
                <w:b/>
                <w:color w:val="auto"/>
              </w:rPr>
              <w:t>(18.8)</w:t>
            </w:r>
          </w:p>
        </w:tc>
        <w:tc>
          <w:tcPr>
            <w:tcW w:w="731" w:type="pct"/>
            <w:vAlign w:val="bottom"/>
          </w:tcPr>
          <w:p w14:paraId="3EF87879" w14:textId="2B515EE8" w:rsidR="002A2514" w:rsidRPr="00A06955" w:rsidRDefault="00FD5408">
            <w:pPr>
              <w:tabs>
                <w:tab w:val="decimal" w:pos="602"/>
              </w:tabs>
              <w:rPr>
                <w:b/>
                <w:color w:val="auto"/>
              </w:rPr>
            </w:pPr>
            <w:r w:rsidRPr="00A06955">
              <w:rPr>
                <w:b/>
                <w:color w:val="auto"/>
              </w:rPr>
              <w:t>(</w:t>
            </w:r>
            <w:r w:rsidR="000A4272">
              <w:rPr>
                <w:b/>
                <w:color w:val="auto"/>
              </w:rPr>
              <w:t>6.3</w:t>
            </w:r>
            <w:r w:rsidRPr="00A06955">
              <w:rPr>
                <w:b/>
                <w:color w:val="auto"/>
              </w:rPr>
              <w:t>)</w:t>
            </w:r>
          </w:p>
        </w:tc>
        <w:tc>
          <w:tcPr>
            <w:tcW w:w="796" w:type="pct"/>
            <w:vAlign w:val="bottom"/>
          </w:tcPr>
          <w:p w14:paraId="5D328F26" w14:textId="3F384331" w:rsidR="002A2514" w:rsidRPr="00A06955" w:rsidRDefault="00206658">
            <w:pPr>
              <w:tabs>
                <w:tab w:val="decimal" w:pos="767"/>
              </w:tabs>
              <w:rPr>
                <w:b/>
                <w:color w:val="auto"/>
              </w:rPr>
            </w:pPr>
            <w:r>
              <w:rPr>
                <w:b/>
                <w:color w:val="auto"/>
              </w:rPr>
              <w:t>11.</w:t>
            </w:r>
            <w:r w:rsidR="00C66054">
              <w:rPr>
                <w:b/>
                <w:color w:val="auto"/>
              </w:rPr>
              <w:t>1</w:t>
            </w:r>
          </w:p>
        </w:tc>
        <w:tc>
          <w:tcPr>
            <w:tcW w:w="664" w:type="pct"/>
            <w:shd w:val="clear" w:color="auto" w:fill="auto"/>
            <w:vAlign w:val="bottom"/>
          </w:tcPr>
          <w:p w14:paraId="77AA92CC" w14:textId="6C767DD9" w:rsidR="002A2514" w:rsidRPr="00A06955" w:rsidRDefault="004F1D7A" w:rsidP="00206658">
            <w:pPr>
              <w:tabs>
                <w:tab w:val="decimal" w:pos="785"/>
              </w:tabs>
              <w:rPr>
                <w:b/>
                <w:color w:val="auto"/>
              </w:rPr>
            </w:pPr>
            <w:r>
              <w:rPr>
                <w:b/>
                <w:color w:val="auto"/>
              </w:rPr>
              <w:t>0.2</w:t>
            </w:r>
          </w:p>
        </w:tc>
        <w:tc>
          <w:tcPr>
            <w:tcW w:w="634" w:type="pct"/>
            <w:shd w:val="clear" w:color="auto" w:fill="auto"/>
            <w:vAlign w:val="bottom"/>
          </w:tcPr>
          <w:p w14:paraId="65CE8ED3" w14:textId="18C6DFE0" w:rsidR="002A2514" w:rsidRPr="00A06955" w:rsidRDefault="00FD5408" w:rsidP="002A2514">
            <w:pPr>
              <w:tabs>
                <w:tab w:val="decimal" w:pos="602"/>
              </w:tabs>
              <w:rPr>
                <w:b/>
                <w:color w:val="auto"/>
              </w:rPr>
            </w:pPr>
            <w:r w:rsidRPr="00A06955">
              <w:rPr>
                <w:b/>
                <w:color w:val="auto"/>
              </w:rPr>
              <w:t>(13.8)</w:t>
            </w:r>
          </w:p>
        </w:tc>
      </w:tr>
      <w:tr w:rsidR="002A2514" w:rsidRPr="00C734A4" w14:paraId="0864B272" w14:textId="77777777" w:rsidTr="002A2514">
        <w:trPr>
          <w:trHeight w:val="369"/>
        </w:trPr>
        <w:tc>
          <w:tcPr>
            <w:tcW w:w="1509" w:type="pct"/>
            <w:shd w:val="clear" w:color="auto" w:fill="auto"/>
            <w:vAlign w:val="bottom"/>
          </w:tcPr>
          <w:p w14:paraId="74A4C33C" w14:textId="77777777" w:rsidR="002A2514" w:rsidRPr="00A06955" w:rsidRDefault="002A2514" w:rsidP="002A2514">
            <w:pPr>
              <w:jc w:val="left"/>
              <w:rPr>
                <w:b/>
                <w:color w:val="auto"/>
              </w:rPr>
            </w:pPr>
            <w:r w:rsidRPr="00A06955">
              <w:rPr>
                <w:b/>
                <w:color w:val="auto"/>
              </w:rPr>
              <w:t xml:space="preserve">Total Short Term </w:t>
            </w:r>
          </w:p>
          <w:p w14:paraId="6FE2CE8E" w14:textId="77777777" w:rsidR="002A2514" w:rsidRPr="00A06955" w:rsidRDefault="002A2514" w:rsidP="002A2514">
            <w:pPr>
              <w:jc w:val="left"/>
              <w:rPr>
                <w:b/>
                <w:color w:val="auto"/>
              </w:rPr>
            </w:pPr>
            <w:r w:rsidRPr="00A06955">
              <w:rPr>
                <w:b/>
                <w:color w:val="auto"/>
              </w:rPr>
              <w:t>Provisions</w:t>
            </w:r>
          </w:p>
        </w:tc>
        <w:tc>
          <w:tcPr>
            <w:tcW w:w="666" w:type="pct"/>
            <w:tcBorders>
              <w:bottom w:val="single" w:sz="4" w:space="0" w:color="auto"/>
            </w:tcBorders>
            <w:shd w:val="clear" w:color="auto" w:fill="auto"/>
            <w:vAlign w:val="bottom"/>
          </w:tcPr>
          <w:p w14:paraId="6B1AFDDE" w14:textId="77777777" w:rsidR="002A2514" w:rsidRPr="00675407" w:rsidRDefault="00C734A4" w:rsidP="002A2514">
            <w:pPr>
              <w:tabs>
                <w:tab w:val="decimal" w:pos="601"/>
              </w:tabs>
              <w:rPr>
                <w:b/>
                <w:color w:val="auto"/>
              </w:rPr>
            </w:pPr>
            <w:r w:rsidRPr="00675407">
              <w:rPr>
                <w:b/>
                <w:color w:val="auto"/>
              </w:rPr>
              <w:t>(8.1)</w:t>
            </w:r>
          </w:p>
        </w:tc>
        <w:tc>
          <w:tcPr>
            <w:tcW w:w="731" w:type="pct"/>
            <w:tcBorders>
              <w:bottom w:val="single" w:sz="4" w:space="0" w:color="auto"/>
            </w:tcBorders>
            <w:vAlign w:val="bottom"/>
          </w:tcPr>
          <w:p w14:paraId="058A173A" w14:textId="46A7873C" w:rsidR="002A2514" w:rsidRPr="00A06955" w:rsidRDefault="00FD5408">
            <w:pPr>
              <w:tabs>
                <w:tab w:val="decimal" w:pos="602"/>
              </w:tabs>
              <w:rPr>
                <w:b/>
                <w:color w:val="auto"/>
              </w:rPr>
            </w:pPr>
            <w:r w:rsidRPr="00A06955">
              <w:rPr>
                <w:b/>
                <w:color w:val="auto"/>
              </w:rPr>
              <w:t>(1</w:t>
            </w:r>
            <w:r w:rsidR="000A4272">
              <w:rPr>
                <w:b/>
                <w:color w:val="auto"/>
              </w:rPr>
              <w:t>7.</w:t>
            </w:r>
            <w:r w:rsidR="00C66054">
              <w:rPr>
                <w:b/>
                <w:color w:val="auto"/>
              </w:rPr>
              <w:t>4</w:t>
            </w:r>
            <w:r w:rsidRPr="00A06955">
              <w:rPr>
                <w:b/>
                <w:color w:val="auto"/>
              </w:rPr>
              <w:t>)</w:t>
            </w:r>
          </w:p>
        </w:tc>
        <w:tc>
          <w:tcPr>
            <w:tcW w:w="796" w:type="pct"/>
            <w:tcBorders>
              <w:bottom w:val="single" w:sz="4" w:space="0" w:color="auto"/>
            </w:tcBorders>
            <w:vAlign w:val="bottom"/>
          </w:tcPr>
          <w:p w14:paraId="1DA9BD00" w14:textId="113538C3" w:rsidR="002A2514" w:rsidRPr="00A06955" w:rsidRDefault="000A4272">
            <w:pPr>
              <w:tabs>
                <w:tab w:val="decimal" w:pos="767"/>
              </w:tabs>
              <w:rPr>
                <w:b/>
                <w:color w:val="auto"/>
              </w:rPr>
            </w:pPr>
            <w:r>
              <w:rPr>
                <w:b/>
                <w:color w:val="auto"/>
              </w:rPr>
              <w:t>6.5</w:t>
            </w:r>
          </w:p>
        </w:tc>
        <w:tc>
          <w:tcPr>
            <w:tcW w:w="664" w:type="pct"/>
            <w:tcBorders>
              <w:bottom w:val="single" w:sz="4" w:space="0" w:color="auto"/>
            </w:tcBorders>
            <w:shd w:val="clear" w:color="auto" w:fill="auto"/>
            <w:vAlign w:val="bottom"/>
          </w:tcPr>
          <w:p w14:paraId="13C473EE" w14:textId="46CD50FD" w:rsidR="002A2514" w:rsidRPr="00A06955" w:rsidRDefault="000A4272">
            <w:pPr>
              <w:tabs>
                <w:tab w:val="decimal" w:pos="785"/>
              </w:tabs>
              <w:rPr>
                <w:b/>
                <w:color w:val="auto"/>
              </w:rPr>
            </w:pPr>
            <w:r>
              <w:rPr>
                <w:b/>
                <w:color w:val="auto"/>
              </w:rPr>
              <w:t>1.0</w:t>
            </w:r>
          </w:p>
        </w:tc>
        <w:tc>
          <w:tcPr>
            <w:tcW w:w="634" w:type="pct"/>
            <w:tcBorders>
              <w:bottom w:val="single" w:sz="4" w:space="0" w:color="auto"/>
            </w:tcBorders>
            <w:shd w:val="clear" w:color="auto" w:fill="auto"/>
            <w:vAlign w:val="bottom"/>
          </w:tcPr>
          <w:p w14:paraId="72A03D83" w14:textId="5E2CBCD0" w:rsidR="002A2514" w:rsidRPr="00A06955" w:rsidRDefault="00FD5408">
            <w:pPr>
              <w:tabs>
                <w:tab w:val="decimal" w:pos="602"/>
              </w:tabs>
              <w:rPr>
                <w:b/>
                <w:color w:val="auto"/>
              </w:rPr>
            </w:pPr>
            <w:r w:rsidRPr="00A06955">
              <w:rPr>
                <w:b/>
                <w:color w:val="auto"/>
              </w:rPr>
              <w:t>(1</w:t>
            </w:r>
            <w:r w:rsidR="000A4272">
              <w:rPr>
                <w:b/>
                <w:color w:val="auto"/>
              </w:rPr>
              <w:t>8.0</w:t>
            </w:r>
            <w:r w:rsidRPr="00A06955">
              <w:rPr>
                <w:b/>
                <w:color w:val="auto"/>
              </w:rPr>
              <w:t>)</w:t>
            </w:r>
          </w:p>
        </w:tc>
      </w:tr>
      <w:tr w:rsidR="002A2514" w:rsidRPr="002A2514" w14:paraId="388F4D3B" w14:textId="77777777" w:rsidTr="002A2514">
        <w:trPr>
          <w:trHeight w:val="369"/>
        </w:trPr>
        <w:tc>
          <w:tcPr>
            <w:tcW w:w="1509" w:type="pct"/>
            <w:shd w:val="clear" w:color="auto" w:fill="auto"/>
            <w:vAlign w:val="bottom"/>
          </w:tcPr>
          <w:p w14:paraId="1A1E699A" w14:textId="77777777" w:rsidR="002A2514" w:rsidRPr="00A06955" w:rsidRDefault="002A2514" w:rsidP="002A2514">
            <w:pPr>
              <w:jc w:val="left"/>
              <w:rPr>
                <w:b/>
                <w:color w:val="auto"/>
              </w:rPr>
            </w:pPr>
            <w:r w:rsidRPr="00A06955">
              <w:rPr>
                <w:b/>
                <w:bCs/>
                <w:sz w:val="22"/>
                <w:szCs w:val="20"/>
              </w:rPr>
              <w:lastRenderedPageBreak/>
              <w:t>Total Provisions</w:t>
            </w:r>
          </w:p>
        </w:tc>
        <w:tc>
          <w:tcPr>
            <w:tcW w:w="666" w:type="pct"/>
            <w:tcBorders>
              <w:top w:val="single" w:sz="4" w:space="0" w:color="auto"/>
            </w:tcBorders>
            <w:shd w:val="clear" w:color="auto" w:fill="auto"/>
            <w:vAlign w:val="bottom"/>
          </w:tcPr>
          <w:p w14:paraId="1BC5F68A" w14:textId="77777777" w:rsidR="002A2514" w:rsidRPr="00675407" w:rsidRDefault="00C734A4" w:rsidP="002A2514">
            <w:pPr>
              <w:tabs>
                <w:tab w:val="decimal" w:pos="601"/>
              </w:tabs>
              <w:rPr>
                <w:b/>
                <w:color w:val="auto"/>
              </w:rPr>
            </w:pPr>
            <w:r w:rsidRPr="00675407">
              <w:rPr>
                <w:b/>
                <w:color w:val="auto"/>
              </w:rPr>
              <w:t>(26.9)</w:t>
            </w:r>
          </w:p>
        </w:tc>
        <w:tc>
          <w:tcPr>
            <w:tcW w:w="731" w:type="pct"/>
            <w:tcBorders>
              <w:top w:val="single" w:sz="4" w:space="0" w:color="auto"/>
            </w:tcBorders>
            <w:vAlign w:val="bottom"/>
          </w:tcPr>
          <w:p w14:paraId="148FCB73" w14:textId="36B5BACF" w:rsidR="002A2514" w:rsidRPr="00A06955" w:rsidRDefault="00675407">
            <w:pPr>
              <w:tabs>
                <w:tab w:val="decimal" w:pos="602"/>
              </w:tabs>
              <w:rPr>
                <w:b/>
                <w:color w:val="auto"/>
              </w:rPr>
            </w:pPr>
            <w:r w:rsidRPr="00A06955">
              <w:rPr>
                <w:b/>
                <w:color w:val="auto"/>
              </w:rPr>
              <w:t>(2</w:t>
            </w:r>
            <w:r w:rsidR="000A4272">
              <w:rPr>
                <w:b/>
                <w:color w:val="auto"/>
              </w:rPr>
              <w:t>3.7</w:t>
            </w:r>
            <w:r w:rsidRPr="00A06955">
              <w:rPr>
                <w:b/>
                <w:color w:val="auto"/>
              </w:rPr>
              <w:t>)</w:t>
            </w:r>
          </w:p>
        </w:tc>
        <w:tc>
          <w:tcPr>
            <w:tcW w:w="796" w:type="pct"/>
            <w:tcBorders>
              <w:top w:val="single" w:sz="4" w:space="0" w:color="auto"/>
            </w:tcBorders>
            <w:vAlign w:val="bottom"/>
          </w:tcPr>
          <w:p w14:paraId="6B7CC0E8" w14:textId="6255BB96" w:rsidR="002A2514" w:rsidRPr="00A06955" w:rsidRDefault="00675407">
            <w:pPr>
              <w:tabs>
                <w:tab w:val="decimal" w:pos="767"/>
              </w:tabs>
              <w:rPr>
                <w:b/>
                <w:color w:val="auto"/>
              </w:rPr>
            </w:pPr>
            <w:r w:rsidRPr="00A06955">
              <w:rPr>
                <w:b/>
                <w:color w:val="auto"/>
              </w:rPr>
              <w:t>1</w:t>
            </w:r>
            <w:r w:rsidR="000A4272">
              <w:rPr>
                <w:b/>
                <w:color w:val="auto"/>
              </w:rPr>
              <w:t>7.6</w:t>
            </w:r>
          </w:p>
        </w:tc>
        <w:tc>
          <w:tcPr>
            <w:tcW w:w="664" w:type="pct"/>
            <w:tcBorders>
              <w:top w:val="single" w:sz="4" w:space="0" w:color="auto"/>
            </w:tcBorders>
            <w:shd w:val="clear" w:color="auto" w:fill="auto"/>
            <w:vAlign w:val="bottom"/>
          </w:tcPr>
          <w:p w14:paraId="2C018516" w14:textId="3EFEB4ED" w:rsidR="002A2514" w:rsidRPr="00A06955" w:rsidRDefault="000A4272">
            <w:pPr>
              <w:tabs>
                <w:tab w:val="decimal" w:pos="785"/>
              </w:tabs>
              <w:rPr>
                <w:b/>
                <w:color w:val="auto"/>
              </w:rPr>
            </w:pPr>
            <w:r>
              <w:rPr>
                <w:b/>
                <w:color w:val="auto"/>
              </w:rPr>
              <w:t>1.2</w:t>
            </w:r>
          </w:p>
        </w:tc>
        <w:tc>
          <w:tcPr>
            <w:tcW w:w="634" w:type="pct"/>
            <w:tcBorders>
              <w:top w:val="single" w:sz="4" w:space="0" w:color="auto"/>
            </w:tcBorders>
            <w:shd w:val="clear" w:color="auto" w:fill="auto"/>
            <w:vAlign w:val="bottom"/>
          </w:tcPr>
          <w:p w14:paraId="515B59C2" w14:textId="741FC07F" w:rsidR="002A2514" w:rsidRPr="00A06955" w:rsidRDefault="00675407">
            <w:pPr>
              <w:tabs>
                <w:tab w:val="decimal" w:pos="602"/>
              </w:tabs>
              <w:rPr>
                <w:b/>
                <w:color w:val="auto"/>
              </w:rPr>
            </w:pPr>
            <w:r w:rsidRPr="00A06955">
              <w:rPr>
                <w:b/>
                <w:color w:val="auto"/>
              </w:rPr>
              <w:t>(</w:t>
            </w:r>
            <w:r w:rsidR="000A4272">
              <w:rPr>
                <w:b/>
                <w:color w:val="auto"/>
              </w:rPr>
              <w:t>31.8</w:t>
            </w:r>
            <w:r w:rsidRPr="00A06955">
              <w:rPr>
                <w:b/>
                <w:color w:val="auto"/>
              </w:rPr>
              <w:t>)</w:t>
            </w:r>
          </w:p>
        </w:tc>
      </w:tr>
    </w:tbl>
    <w:p w14:paraId="02ADC75C" w14:textId="77777777" w:rsidR="00BE3088" w:rsidRDefault="00BE3088" w:rsidP="00BE3088">
      <w:pPr>
        <w:rPr>
          <w:b/>
          <w:lang w:eastAsia="en-GB"/>
        </w:rPr>
      </w:pPr>
    </w:p>
    <w:p w14:paraId="5D69B9B7" w14:textId="4FA2337D" w:rsidR="00BE3088" w:rsidRDefault="00BE3088" w:rsidP="00BE3088">
      <w:pPr>
        <w:rPr>
          <w:lang w:eastAsia="en-GB"/>
        </w:rPr>
      </w:pPr>
      <w:r>
        <w:rPr>
          <w:lang w:eastAsia="en-GB"/>
        </w:rPr>
        <w:t>Total Long Term provisions include Insurance Provision of £10.4m</w:t>
      </w:r>
      <w:r w:rsidRPr="00A06955">
        <w:rPr>
          <w:lang w:eastAsia="en-GB"/>
        </w:rPr>
        <w:t xml:space="preserve"> </w:t>
      </w:r>
      <w:r>
        <w:rPr>
          <w:lang w:eastAsia="en-GB"/>
        </w:rPr>
        <w:t>(£15</w:t>
      </w:r>
      <w:r w:rsidRPr="00A06955">
        <w:rPr>
          <w:lang w:eastAsia="en-GB"/>
        </w:rPr>
        <w:t>.</w:t>
      </w:r>
      <w:r>
        <w:rPr>
          <w:lang w:eastAsia="en-GB"/>
        </w:rPr>
        <w:t>2</w:t>
      </w:r>
      <w:r w:rsidRPr="00A06955">
        <w:rPr>
          <w:lang w:eastAsia="en-GB"/>
        </w:rPr>
        <w:t xml:space="preserve">m </w:t>
      </w:r>
      <w:r>
        <w:rPr>
          <w:lang w:eastAsia="en-GB"/>
        </w:rPr>
        <w:t xml:space="preserve">in </w:t>
      </w:r>
      <w:r w:rsidR="00385ED8">
        <w:rPr>
          <w:lang w:eastAsia="en-GB"/>
        </w:rPr>
        <w:t>2013/14).</w:t>
      </w:r>
    </w:p>
    <w:p w14:paraId="77E4A117" w14:textId="6D2C00D1" w:rsidR="00220AA6" w:rsidRDefault="00BE3088" w:rsidP="00BE3088">
      <w:pPr>
        <w:rPr>
          <w:lang w:eastAsia="en-GB"/>
        </w:rPr>
      </w:pPr>
      <w:r>
        <w:rPr>
          <w:lang w:eastAsia="en-GB"/>
        </w:rPr>
        <w:t xml:space="preserve">Total Short Term provisions include Early Retirement Early Severance provision of £9.9m </w:t>
      </w:r>
      <w:r w:rsidR="00385ED8">
        <w:rPr>
          <w:lang w:eastAsia="en-GB"/>
        </w:rPr>
        <w:t>(£0.5</w:t>
      </w:r>
      <w:r w:rsidR="00385ED8" w:rsidRPr="00A06955">
        <w:rPr>
          <w:lang w:eastAsia="en-GB"/>
        </w:rPr>
        <w:t xml:space="preserve">m </w:t>
      </w:r>
      <w:r w:rsidR="00385ED8">
        <w:rPr>
          <w:lang w:eastAsia="en-GB"/>
        </w:rPr>
        <w:t xml:space="preserve">in 2013/14) </w:t>
      </w:r>
      <w:r>
        <w:rPr>
          <w:lang w:eastAsia="en-GB"/>
        </w:rPr>
        <w:t>and N</w:t>
      </w:r>
      <w:r w:rsidR="00385ED8">
        <w:rPr>
          <w:lang w:eastAsia="en-GB"/>
        </w:rPr>
        <w:t xml:space="preserve">ational Non-domestic </w:t>
      </w:r>
      <w:r>
        <w:rPr>
          <w:lang w:eastAsia="en-GB"/>
        </w:rPr>
        <w:t>R</w:t>
      </w:r>
      <w:r w:rsidR="00385ED8">
        <w:rPr>
          <w:lang w:eastAsia="en-GB"/>
        </w:rPr>
        <w:t>ate</w:t>
      </w:r>
      <w:r>
        <w:rPr>
          <w:lang w:eastAsia="en-GB"/>
        </w:rPr>
        <w:t xml:space="preserve"> </w:t>
      </w:r>
      <w:r w:rsidR="00385ED8">
        <w:rPr>
          <w:lang w:eastAsia="en-GB"/>
        </w:rPr>
        <w:t xml:space="preserve">(NDR) </w:t>
      </w:r>
      <w:r>
        <w:rPr>
          <w:lang w:eastAsia="en-GB"/>
        </w:rPr>
        <w:t>provision of £5.2m</w:t>
      </w:r>
      <w:r w:rsidR="00385ED8">
        <w:rPr>
          <w:lang w:eastAsia="en-GB"/>
        </w:rPr>
        <w:t xml:space="preserve"> (£2.5</w:t>
      </w:r>
      <w:r w:rsidR="00385ED8" w:rsidRPr="00A06955">
        <w:rPr>
          <w:lang w:eastAsia="en-GB"/>
        </w:rPr>
        <w:t xml:space="preserve">m </w:t>
      </w:r>
      <w:r w:rsidR="00385ED8">
        <w:rPr>
          <w:lang w:eastAsia="en-GB"/>
        </w:rPr>
        <w:t xml:space="preserve">in </w:t>
      </w:r>
      <w:r w:rsidR="00385ED8" w:rsidRPr="00A06955">
        <w:rPr>
          <w:lang w:eastAsia="en-GB"/>
        </w:rPr>
        <w:t>2013/14).</w:t>
      </w:r>
      <w:r w:rsidR="00385ED8" w:rsidRPr="00385ED8">
        <w:rPr>
          <w:b/>
        </w:rPr>
        <w:t xml:space="preserve"> </w:t>
      </w:r>
    </w:p>
    <w:p w14:paraId="265C9665" w14:textId="77777777" w:rsidR="00BE3088" w:rsidRPr="003C0F16" w:rsidRDefault="00BE3088" w:rsidP="00BE3088">
      <w:pPr>
        <w:rPr>
          <w:highlight w:val="yellow"/>
          <w:lang w:eastAsia="en-GB"/>
        </w:rPr>
      </w:pPr>
    </w:p>
    <w:p w14:paraId="1904F75A" w14:textId="29A80681" w:rsidR="00C734A4" w:rsidRPr="00A06955" w:rsidRDefault="00C734A4" w:rsidP="00C734A4">
      <w:pPr>
        <w:pStyle w:val="Heading2"/>
      </w:pPr>
      <w:r w:rsidRPr="00A06955">
        <w:t>3</w:t>
      </w:r>
      <w:r w:rsidR="005B4833">
        <w:t>1</w:t>
      </w:r>
      <w:r w:rsidRPr="00A06955">
        <w:t xml:space="preserve">. Usable </w:t>
      </w:r>
      <w:r w:rsidR="00311222">
        <w:t>r</w:t>
      </w:r>
      <w:r w:rsidRPr="00A06955">
        <w:t>eserves</w:t>
      </w:r>
    </w:p>
    <w:p w14:paraId="6E92053E" w14:textId="77777777" w:rsidR="00C734A4" w:rsidRPr="00A06955" w:rsidRDefault="00C734A4" w:rsidP="00C734A4">
      <w:pPr>
        <w:rPr>
          <w:lang w:eastAsia="en-GB"/>
        </w:rPr>
      </w:pPr>
      <w:r w:rsidRPr="00A06955">
        <w:rPr>
          <w:lang w:eastAsia="en-GB"/>
        </w:rPr>
        <w:t>Movements in the council's usable reserves are detailed in the Movement in Reserves Statement.</w:t>
      </w:r>
    </w:p>
    <w:p w14:paraId="720D55E1" w14:textId="77777777" w:rsidR="00A50CD2" w:rsidRDefault="00A50CD2" w:rsidP="00C734A4">
      <w:pPr>
        <w:rPr>
          <w:highlight w:val="yellow"/>
          <w:lang w:eastAsia="en-GB"/>
        </w:rPr>
      </w:pPr>
    </w:p>
    <w:p w14:paraId="4957E666" w14:textId="77777777" w:rsidR="00EC48FE" w:rsidRDefault="00EC48FE" w:rsidP="00C734A4">
      <w:pPr>
        <w:rPr>
          <w:highlight w:val="yellow"/>
          <w:lang w:eastAsia="en-GB"/>
        </w:rPr>
      </w:pPr>
    </w:p>
    <w:p w14:paraId="4C2EBC6F" w14:textId="77777777" w:rsidR="00EC48FE" w:rsidRDefault="00EC48FE" w:rsidP="00C734A4">
      <w:pPr>
        <w:rPr>
          <w:highlight w:val="yellow"/>
          <w:lang w:eastAsia="en-GB"/>
        </w:rPr>
      </w:pPr>
    </w:p>
    <w:p w14:paraId="37FFBEF3" w14:textId="77777777" w:rsidR="00EC48FE" w:rsidRDefault="00EC48FE" w:rsidP="00C734A4">
      <w:pPr>
        <w:rPr>
          <w:highlight w:val="yellow"/>
          <w:lang w:eastAsia="en-GB"/>
        </w:rPr>
      </w:pPr>
    </w:p>
    <w:p w14:paraId="694D34D6" w14:textId="77777777" w:rsidR="00EC48FE" w:rsidRDefault="00EC48FE" w:rsidP="00C734A4">
      <w:pPr>
        <w:rPr>
          <w:highlight w:val="yellow"/>
          <w:lang w:eastAsia="en-GB"/>
        </w:rPr>
      </w:pPr>
    </w:p>
    <w:p w14:paraId="51F0D74C" w14:textId="77777777" w:rsidR="00EC48FE" w:rsidRDefault="00EC48FE" w:rsidP="00C734A4">
      <w:pPr>
        <w:rPr>
          <w:highlight w:val="yellow"/>
          <w:lang w:eastAsia="en-GB"/>
        </w:rPr>
      </w:pPr>
    </w:p>
    <w:p w14:paraId="1F806B7C" w14:textId="77777777" w:rsidR="00EC48FE" w:rsidRDefault="00EC48FE" w:rsidP="00C734A4">
      <w:pPr>
        <w:rPr>
          <w:highlight w:val="yellow"/>
          <w:lang w:eastAsia="en-GB"/>
        </w:rPr>
      </w:pPr>
    </w:p>
    <w:p w14:paraId="5A1AB0F3" w14:textId="77777777" w:rsidR="003931E0" w:rsidRDefault="003931E0" w:rsidP="00C734A4">
      <w:pPr>
        <w:rPr>
          <w:highlight w:val="yellow"/>
          <w:lang w:eastAsia="en-GB"/>
        </w:rPr>
      </w:pPr>
    </w:p>
    <w:p w14:paraId="1CA8249A" w14:textId="77777777" w:rsidR="00EC48FE" w:rsidRDefault="00EC48FE" w:rsidP="00C734A4">
      <w:pPr>
        <w:rPr>
          <w:highlight w:val="yellow"/>
          <w:lang w:eastAsia="en-GB"/>
        </w:rPr>
      </w:pPr>
    </w:p>
    <w:p w14:paraId="7990F664" w14:textId="77777777" w:rsidR="00EC48FE" w:rsidRDefault="00EC48FE" w:rsidP="00C734A4">
      <w:pPr>
        <w:rPr>
          <w:highlight w:val="yellow"/>
          <w:lang w:eastAsia="en-GB"/>
        </w:rPr>
      </w:pPr>
    </w:p>
    <w:p w14:paraId="490276B5" w14:textId="77777777" w:rsidR="00BE3088" w:rsidRDefault="00BE3088" w:rsidP="00C734A4">
      <w:pPr>
        <w:rPr>
          <w:highlight w:val="yellow"/>
          <w:lang w:eastAsia="en-GB"/>
        </w:rPr>
      </w:pPr>
    </w:p>
    <w:p w14:paraId="7E90EBAC" w14:textId="77777777" w:rsidR="00BE3088" w:rsidRDefault="00BE3088" w:rsidP="00C734A4">
      <w:pPr>
        <w:rPr>
          <w:highlight w:val="yellow"/>
          <w:lang w:eastAsia="en-GB"/>
        </w:rPr>
      </w:pPr>
    </w:p>
    <w:p w14:paraId="18AE113C" w14:textId="77777777" w:rsidR="00BE3088" w:rsidRDefault="00BE3088" w:rsidP="00C734A4">
      <w:pPr>
        <w:rPr>
          <w:highlight w:val="yellow"/>
          <w:lang w:eastAsia="en-GB"/>
        </w:rPr>
      </w:pPr>
    </w:p>
    <w:p w14:paraId="68D7E610" w14:textId="77777777" w:rsidR="00BE3088" w:rsidRDefault="00BE3088" w:rsidP="00C734A4">
      <w:pPr>
        <w:rPr>
          <w:highlight w:val="yellow"/>
          <w:lang w:eastAsia="en-GB"/>
        </w:rPr>
      </w:pPr>
    </w:p>
    <w:p w14:paraId="3DA1E7A7" w14:textId="77777777" w:rsidR="00BE3088" w:rsidRDefault="00BE3088" w:rsidP="00C734A4">
      <w:pPr>
        <w:rPr>
          <w:highlight w:val="yellow"/>
          <w:lang w:eastAsia="en-GB"/>
        </w:rPr>
      </w:pPr>
    </w:p>
    <w:p w14:paraId="0740C478" w14:textId="77777777" w:rsidR="00BE3088" w:rsidRDefault="00BE3088" w:rsidP="00C734A4">
      <w:pPr>
        <w:rPr>
          <w:highlight w:val="yellow"/>
          <w:lang w:eastAsia="en-GB"/>
        </w:rPr>
      </w:pPr>
    </w:p>
    <w:p w14:paraId="4C28355B" w14:textId="77777777" w:rsidR="00385ED8" w:rsidRDefault="00385ED8" w:rsidP="00C734A4">
      <w:pPr>
        <w:rPr>
          <w:highlight w:val="yellow"/>
          <w:lang w:eastAsia="en-GB"/>
        </w:rPr>
      </w:pPr>
    </w:p>
    <w:p w14:paraId="3D93BF66" w14:textId="77777777" w:rsidR="00385ED8" w:rsidRDefault="00385ED8" w:rsidP="00C734A4">
      <w:pPr>
        <w:rPr>
          <w:highlight w:val="yellow"/>
          <w:lang w:eastAsia="en-GB"/>
        </w:rPr>
      </w:pPr>
    </w:p>
    <w:p w14:paraId="5FC7F9D6" w14:textId="76E4E41F" w:rsidR="00C734A4" w:rsidRPr="00A06955" w:rsidRDefault="00C734A4" w:rsidP="00C734A4">
      <w:pPr>
        <w:pStyle w:val="Heading2"/>
      </w:pPr>
      <w:r w:rsidRPr="00A06955">
        <w:t>3</w:t>
      </w:r>
      <w:r w:rsidR="005B4833">
        <w:t>2</w:t>
      </w:r>
      <w:r w:rsidRPr="00A06955">
        <w:t xml:space="preserve">. Unusable </w:t>
      </w:r>
      <w:r w:rsidR="00311222">
        <w:t>r</w:t>
      </w:r>
      <w:r w:rsidRPr="00A06955">
        <w:t>eserves</w:t>
      </w:r>
    </w:p>
    <w:p w14:paraId="15C879AF" w14:textId="77777777" w:rsidR="00C734A4" w:rsidRDefault="00C734A4" w:rsidP="00C734A4">
      <w:pPr>
        <w:rPr>
          <w:lang w:eastAsia="en-GB"/>
        </w:rPr>
      </w:pPr>
      <w:r w:rsidRPr="00A06955">
        <w:rPr>
          <w:lang w:eastAsia="en-GB"/>
        </w:rPr>
        <w:t>The table below gives detail of the county council's unusable reserves: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122C43" w:rsidRPr="00052104" w14:paraId="7A1588B0" w14:textId="77777777" w:rsidTr="00A06955">
        <w:trPr>
          <w:trHeight w:val="369"/>
          <w:tblHeader/>
        </w:trPr>
        <w:tc>
          <w:tcPr>
            <w:tcW w:w="3105" w:type="pct"/>
            <w:shd w:val="clear" w:color="auto" w:fill="D0CECE"/>
            <w:vAlign w:val="bottom"/>
          </w:tcPr>
          <w:p w14:paraId="146DFA8B" w14:textId="77777777" w:rsidR="00122C43" w:rsidRPr="003C0F16" w:rsidRDefault="00122C43" w:rsidP="00411CCE">
            <w:pPr>
              <w:jc w:val="left"/>
              <w:rPr>
                <w:color w:val="auto"/>
                <w:highlight w:val="yellow"/>
              </w:rPr>
            </w:pPr>
          </w:p>
        </w:tc>
        <w:tc>
          <w:tcPr>
            <w:tcW w:w="929" w:type="pct"/>
            <w:shd w:val="clear" w:color="auto" w:fill="D0CECE"/>
            <w:vAlign w:val="bottom"/>
          </w:tcPr>
          <w:p w14:paraId="5A315DDE" w14:textId="77777777" w:rsidR="00122C43" w:rsidRPr="00A06955" w:rsidRDefault="00122C43" w:rsidP="00411CCE">
            <w:pPr>
              <w:jc w:val="center"/>
              <w:rPr>
                <w:b/>
                <w:color w:val="auto"/>
              </w:rPr>
            </w:pPr>
            <w:r w:rsidRPr="00A06955">
              <w:rPr>
                <w:b/>
                <w:color w:val="auto"/>
              </w:rPr>
              <w:t>31/03/2015</w:t>
            </w:r>
          </w:p>
        </w:tc>
        <w:tc>
          <w:tcPr>
            <w:tcW w:w="966" w:type="pct"/>
            <w:shd w:val="clear" w:color="auto" w:fill="D0CECE"/>
            <w:vAlign w:val="bottom"/>
          </w:tcPr>
          <w:p w14:paraId="32EAF068" w14:textId="77777777" w:rsidR="00122C43" w:rsidRPr="00052104" w:rsidRDefault="00122C43" w:rsidP="00411CCE">
            <w:pPr>
              <w:jc w:val="center"/>
              <w:rPr>
                <w:b/>
                <w:color w:val="auto"/>
              </w:rPr>
            </w:pPr>
            <w:r>
              <w:rPr>
                <w:b/>
                <w:color w:val="auto"/>
              </w:rPr>
              <w:t>31/03/2014</w:t>
            </w:r>
          </w:p>
        </w:tc>
      </w:tr>
      <w:tr w:rsidR="00122C43" w:rsidRPr="00052104" w14:paraId="3E532998" w14:textId="77777777" w:rsidTr="00A06955">
        <w:trPr>
          <w:trHeight w:val="369"/>
          <w:tblHeader/>
        </w:trPr>
        <w:tc>
          <w:tcPr>
            <w:tcW w:w="3105" w:type="pct"/>
            <w:shd w:val="clear" w:color="auto" w:fill="D0CECE"/>
            <w:vAlign w:val="bottom"/>
          </w:tcPr>
          <w:p w14:paraId="2729D002" w14:textId="77777777" w:rsidR="00122C43" w:rsidRPr="003C0F16" w:rsidRDefault="00122C43" w:rsidP="00411CCE">
            <w:pPr>
              <w:jc w:val="left"/>
              <w:rPr>
                <w:color w:val="auto"/>
                <w:highlight w:val="yellow"/>
              </w:rPr>
            </w:pPr>
          </w:p>
        </w:tc>
        <w:tc>
          <w:tcPr>
            <w:tcW w:w="929" w:type="pct"/>
            <w:shd w:val="clear" w:color="auto" w:fill="D0CECE"/>
            <w:vAlign w:val="bottom"/>
          </w:tcPr>
          <w:p w14:paraId="0A1DB12D" w14:textId="77777777" w:rsidR="00122C43" w:rsidRPr="00A06955" w:rsidRDefault="00122C43" w:rsidP="00411CCE">
            <w:pPr>
              <w:jc w:val="center"/>
              <w:rPr>
                <w:b/>
                <w:color w:val="auto"/>
              </w:rPr>
            </w:pPr>
            <w:r w:rsidRPr="00A06955">
              <w:rPr>
                <w:b/>
                <w:color w:val="auto"/>
              </w:rPr>
              <w:t>£m</w:t>
            </w:r>
          </w:p>
        </w:tc>
        <w:tc>
          <w:tcPr>
            <w:tcW w:w="966" w:type="pct"/>
            <w:shd w:val="clear" w:color="auto" w:fill="D0CECE"/>
            <w:vAlign w:val="bottom"/>
          </w:tcPr>
          <w:p w14:paraId="3022B3A9" w14:textId="77777777" w:rsidR="00122C43" w:rsidRPr="00052104" w:rsidRDefault="00122C43" w:rsidP="00411CCE">
            <w:pPr>
              <w:jc w:val="center"/>
              <w:rPr>
                <w:b/>
                <w:color w:val="auto"/>
              </w:rPr>
            </w:pPr>
            <w:r w:rsidRPr="00052104">
              <w:rPr>
                <w:b/>
                <w:color w:val="auto"/>
              </w:rPr>
              <w:t>£m</w:t>
            </w:r>
          </w:p>
        </w:tc>
      </w:tr>
      <w:tr w:rsidR="00733AF2" w:rsidRPr="00052104" w14:paraId="135018C6" w14:textId="77777777" w:rsidTr="00411CCE">
        <w:trPr>
          <w:trHeight w:val="369"/>
        </w:trPr>
        <w:tc>
          <w:tcPr>
            <w:tcW w:w="3105" w:type="pct"/>
            <w:shd w:val="clear" w:color="auto" w:fill="auto"/>
            <w:vAlign w:val="bottom"/>
          </w:tcPr>
          <w:p w14:paraId="54E58793" w14:textId="501BCBD8" w:rsidR="00733AF2" w:rsidRPr="00A06955" w:rsidRDefault="00733AF2" w:rsidP="00733AF2">
            <w:pPr>
              <w:jc w:val="left"/>
              <w:rPr>
                <w:color w:val="auto"/>
              </w:rPr>
            </w:pPr>
            <w:r w:rsidRPr="00A06955">
              <w:rPr>
                <w:color w:val="auto"/>
              </w:rPr>
              <w:t>Available for Sale Financial Instruments Reserve</w:t>
            </w:r>
          </w:p>
        </w:tc>
        <w:tc>
          <w:tcPr>
            <w:tcW w:w="929" w:type="pct"/>
            <w:tcBorders>
              <w:bottom w:val="nil"/>
            </w:tcBorders>
            <w:shd w:val="clear" w:color="auto" w:fill="auto"/>
            <w:vAlign w:val="bottom"/>
          </w:tcPr>
          <w:p w14:paraId="048F0832" w14:textId="5567FC41" w:rsidR="00733AF2" w:rsidRPr="00A06955" w:rsidRDefault="00733AF2" w:rsidP="00733AF2">
            <w:pPr>
              <w:tabs>
                <w:tab w:val="decimal" w:pos="884"/>
              </w:tabs>
              <w:rPr>
                <w:color w:val="auto"/>
              </w:rPr>
            </w:pPr>
            <w:r w:rsidRPr="00A06955">
              <w:rPr>
                <w:color w:val="auto"/>
              </w:rPr>
              <w:t>6.6</w:t>
            </w:r>
          </w:p>
        </w:tc>
        <w:tc>
          <w:tcPr>
            <w:tcW w:w="966" w:type="pct"/>
            <w:tcBorders>
              <w:bottom w:val="nil"/>
            </w:tcBorders>
            <w:shd w:val="clear" w:color="auto" w:fill="auto"/>
            <w:vAlign w:val="bottom"/>
          </w:tcPr>
          <w:p w14:paraId="7E3A07F4" w14:textId="11451AD7" w:rsidR="00733AF2" w:rsidRDefault="00733AF2" w:rsidP="00733AF2">
            <w:pPr>
              <w:tabs>
                <w:tab w:val="decimal" w:pos="1026"/>
              </w:tabs>
              <w:rPr>
                <w:color w:val="auto"/>
              </w:rPr>
            </w:pPr>
            <w:r>
              <w:rPr>
                <w:color w:val="auto"/>
              </w:rPr>
              <w:t>27.4</w:t>
            </w:r>
          </w:p>
        </w:tc>
      </w:tr>
      <w:tr w:rsidR="00733AF2" w:rsidRPr="00052104" w14:paraId="0D85605D" w14:textId="77777777" w:rsidTr="00411CCE">
        <w:trPr>
          <w:trHeight w:val="369"/>
        </w:trPr>
        <w:tc>
          <w:tcPr>
            <w:tcW w:w="3105" w:type="pct"/>
            <w:shd w:val="clear" w:color="auto" w:fill="auto"/>
            <w:vAlign w:val="bottom"/>
          </w:tcPr>
          <w:p w14:paraId="0D169367" w14:textId="232359B0" w:rsidR="00733AF2" w:rsidRPr="00A06955" w:rsidRDefault="00733AF2" w:rsidP="00733AF2">
            <w:pPr>
              <w:jc w:val="left"/>
              <w:rPr>
                <w:color w:val="auto"/>
              </w:rPr>
            </w:pPr>
            <w:r w:rsidRPr="006F05AE">
              <w:rPr>
                <w:color w:val="auto"/>
              </w:rPr>
              <w:t>Financial Instruments Adjustment Account</w:t>
            </w:r>
          </w:p>
        </w:tc>
        <w:tc>
          <w:tcPr>
            <w:tcW w:w="929" w:type="pct"/>
            <w:tcBorders>
              <w:bottom w:val="nil"/>
            </w:tcBorders>
            <w:shd w:val="clear" w:color="auto" w:fill="auto"/>
            <w:vAlign w:val="bottom"/>
          </w:tcPr>
          <w:p w14:paraId="36218600" w14:textId="0375B78D" w:rsidR="00733AF2" w:rsidRPr="00A06955" w:rsidRDefault="00733AF2" w:rsidP="00C42B44">
            <w:pPr>
              <w:tabs>
                <w:tab w:val="decimal" w:pos="884"/>
              </w:tabs>
              <w:rPr>
                <w:color w:val="auto"/>
              </w:rPr>
            </w:pPr>
            <w:r>
              <w:rPr>
                <w:color w:val="auto"/>
              </w:rPr>
              <w:t>48.</w:t>
            </w:r>
            <w:r w:rsidR="00C42B44">
              <w:rPr>
                <w:color w:val="auto"/>
              </w:rPr>
              <w:t>2</w:t>
            </w:r>
          </w:p>
        </w:tc>
        <w:tc>
          <w:tcPr>
            <w:tcW w:w="966" w:type="pct"/>
            <w:tcBorders>
              <w:bottom w:val="nil"/>
            </w:tcBorders>
            <w:shd w:val="clear" w:color="auto" w:fill="auto"/>
            <w:vAlign w:val="bottom"/>
          </w:tcPr>
          <w:p w14:paraId="3F1E6E97" w14:textId="5D8D858C" w:rsidR="00733AF2" w:rsidRDefault="00733AF2" w:rsidP="00733AF2">
            <w:pPr>
              <w:tabs>
                <w:tab w:val="decimal" w:pos="1026"/>
              </w:tabs>
              <w:rPr>
                <w:color w:val="auto"/>
              </w:rPr>
            </w:pPr>
            <w:r w:rsidRPr="006F05AE">
              <w:rPr>
                <w:color w:val="auto"/>
              </w:rPr>
              <w:t>27.1</w:t>
            </w:r>
          </w:p>
        </w:tc>
      </w:tr>
      <w:tr w:rsidR="00733AF2" w:rsidRPr="00052104" w14:paraId="148EA14A" w14:textId="77777777" w:rsidTr="00411CCE">
        <w:trPr>
          <w:trHeight w:val="369"/>
        </w:trPr>
        <w:tc>
          <w:tcPr>
            <w:tcW w:w="3105" w:type="pct"/>
            <w:shd w:val="clear" w:color="auto" w:fill="auto"/>
            <w:vAlign w:val="bottom"/>
          </w:tcPr>
          <w:p w14:paraId="176F85D6" w14:textId="77777777" w:rsidR="00733AF2" w:rsidRPr="00A06955" w:rsidRDefault="00733AF2" w:rsidP="00733AF2">
            <w:pPr>
              <w:jc w:val="left"/>
              <w:rPr>
                <w:color w:val="auto"/>
              </w:rPr>
            </w:pPr>
            <w:r w:rsidRPr="00A06955">
              <w:rPr>
                <w:color w:val="auto"/>
              </w:rPr>
              <w:t>Revaluation Reserve</w:t>
            </w:r>
          </w:p>
        </w:tc>
        <w:tc>
          <w:tcPr>
            <w:tcW w:w="929" w:type="pct"/>
            <w:tcBorders>
              <w:bottom w:val="nil"/>
            </w:tcBorders>
            <w:shd w:val="clear" w:color="auto" w:fill="auto"/>
            <w:vAlign w:val="bottom"/>
          </w:tcPr>
          <w:p w14:paraId="2C6E1F83" w14:textId="1FE64DB3" w:rsidR="00733AF2" w:rsidRPr="00A06955" w:rsidRDefault="00733AF2" w:rsidP="00E42B06">
            <w:pPr>
              <w:tabs>
                <w:tab w:val="decimal" w:pos="884"/>
              </w:tabs>
              <w:rPr>
                <w:color w:val="auto"/>
              </w:rPr>
            </w:pPr>
            <w:r w:rsidRPr="00A06955">
              <w:rPr>
                <w:color w:val="auto"/>
              </w:rPr>
              <w:t>(674.</w:t>
            </w:r>
            <w:r w:rsidR="00E42B06">
              <w:rPr>
                <w:color w:val="auto"/>
              </w:rPr>
              <w:t>2</w:t>
            </w:r>
            <w:r w:rsidRPr="00A06955">
              <w:rPr>
                <w:color w:val="auto"/>
              </w:rPr>
              <w:t>)</w:t>
            </w:r>
          </w:p>
        </w:tc>
        <w:tc>
          <w:tcPr>
            <w:tcW w:w="966" w:type="pct"/>
            <w:tcBorders>
              <w:bottom w:val="nil"/>
            </w:tcBorders>
            <w:shd w:val="clear" w:color="auto" w:fill="auto"/>
            <w:vAlign w:val="bottom"/>
          </w:tcPr>
          <w:p w14:paraId="17BBA3FB" w14:textId="77777777" w:rsidR="00733AF2" w:rsidRPr="00052104" w:rsidRDefault="00733AF2" w:rsidP="00733AF2">
            <w:pPr>
              <w:tabs>
                <w:tab w:val="decimal" w:pos="1026"/>
              </w:tabs>
              <w:rPr>
                <w:color w:val="auto"/>
              </w:rPr>
            </w:pPr>
            <w:r>
              <w:rPr>
                <w:color w:val="auto"/>
              </w:rPr>
              <w:t>(665.0)</w:t>
            </w:r>
          </w:p>
        </w:tc>
      </w:tr>
      <w:tr w:rsidR="00733AF2" w:rsidRPr="00052104" w14:paraId="3DC5C6DE" w14:textId="77777777" w:rsidTr="00411CCE">
        <w:trPr>
          <w:trHeight w:val="369"/>
        </w:trPr>
        <w:tc>
          <w:tcPr>
            <w:tcW w:w="3105" w:type="pct"/>
            <w:shd w:val="clear" w:color="auto" w:fill="auto"/>
            <w:vAlign w:val="bottom"/>
          </w:tcPr>
          <w:p w14:paraId="3ECE43D6" w14:textId="77777777" w:rsidR="00733AF2" w:rsidRPr="00A06955" w:rsidRDefault="00733AF2" w:rsidP="00733AF2">
            <w:pPr>
              <w:jc w:val="left"/>
              <w:rPr>
                <w:color w:val="auto"/>
              </w:rPr>
            </w:pPr>
            <w:r w:rsidRPr="00A06955">
              <w:rPr>
                <w:color w:val="auto"/>
              </w:rPr>
              <w:t>Capital Adjustment Account</w:t>
            </w:r>
          </w:p>
        </w:tc>
        <w:tc>
          <w:tcPr>
            <w:tcW w:w="929" w:type="pct"/>
            <w:tcBorders>
              <w:bottom w:val="nil"/>
            </w:tcBorders>
            <w:shd w:val="clear" w:color="auto" w:fill="auto"/>
            <w:vAlign w:val="bottom"/>
          </w:tcPr>
          <w:p w14:paraId="0A0D4C2D" w14:textId="0050D9E2" w:rsidR="00733AF2" w:rsidRPr="00A06955" w:rsidRDefault="00733AF2" w:rsidP="001B5046">
            <w:pPr>
              <w:tabs>
                <w:tab w:val="decimal" w:pos="884"/>
              </w:tabs>
              <w:rPr>
                <w:color w:val="auto"/>
              </w:rPr>
            </w:pPr>
            <w:r w:rsidRPr="00A06955">
              <w:rPr>
                <w:color w:val="auto"/>
              </w:rPr>
              <w:t>(</w:t>
            </w:r>
            <w:r w:rsidR="001B5046">
              <w:rPr>
                <w:color w:val="auto"/>
              </w:rPr>
              <w:t>1,020.0</w:t>
            </w:r>
            <w:r w:rsidRPr="00A06955">
              <w:rPr>
                <w:color w:val="auto"/>
              </w:rPr>
              <w:t>)</w:t>
            </w:r>
          </w:p>
        </w:tc>
        <w:tc>
          <w:tcPr>
            <w:tcW w:w="966" w:type="pct"/>
            <w:tcBorders>
              <w:bottom w:val="nil"/>
            </w:tcBorders>
            <w:shd w:val="clear" w:color="auto" w:fill="auto"/>
            <w:vAlign w:val="bottom"/>
          </w:tcPr>
          <w:p w14:paraId="3B300F3F" w14:textId="77777777" w:rsidR="00733AF2" w:rsidRPr="00052104" w:rsidRDefault="00733AF2" w:rsidP="00733AF2">
            <w:pPr>
              <w:tabs>
                <w:tab w:val="decimal" w:pos="1026"/>
              </w:tabs>
              <w:rPr>
                <w:color w:val="auto"/>
              </w:rPr>
            </w:pPr>
            <w:r>
              <w:rPr>
                <w:color w:val="auto"/>
              </w:rPr>
              <w:t>(999.8)</w:t>
            </w:r>
          </w:p>
        </w:tc>
      </w:tr>
      <w:tr w:rsidR="00733AF2" w:rsidRPr="00052104" w14:paraId="2D0B07C2" w14:textId="77777777" w:rsidTr="00A06955">
        <w:trPr>
          <w:trHeight w:val="369"/>
        </w:trPr>
        <w:tc>
          <w:tcPr>
            <w:tcW w:w="3105" w:type="pct"/>
            <w:shd w:val="clear" w:color="auto" w:fill="auto"/>
            <w:vAlign w:val="bottom"/>
          </w:tcPr>
          <w:p w14:paraId="21D64464" w14:textId="77777777" w:rsidR="00733AF2" w:rsidRPr="006F05AE" w:rsidRDefault="00733AF2" w:rsidP="00733AF2">
            <w:pPr>
              <w:jc w:val="left"/>
              <w:rPr>
                <w:color w:val="auto"/>
              </w:rPr>
            </w:pPr>
            <w:r w:rsidRPr="006F05AE">
              <w:rPr>
                <w:color w:val="auto"/>
              </w:rPr>
              <w:lastRenderedPageBreak/>
              <w:t>Pension Reserve</w:t>
            </w:r>
          </w:p>
        </w:tc>
        <w:tc>
          <w:tcPr>
            <w:tcW w:w="929" w:type="pct"/>
            <w:tcBorders>
              <w:top w:val="nil"/>
              <w:bottom w:val="nil"/>
            </w:tcBorders>
            <w:shd w:val="clear" w:color="auto" w:fill="auto"/>
            <w:vAlign w:val="bottom"/>
          </w:tcPr>
          <w:p w14:paraId="340A6514" w14:textId="77777777" w:rsidR="00733AF2" w:rsidRPr="006F05AE" w:rsidRDefault="00733AF2" w:rsidP="00733AF2">
            <w:pPr>
              <w:tabs>
                <w:tab w:val="decimal" w:pos="884"/>
              </w:tabs>
              <w:rPr>
                <w:color w:val="auto"/>
              </w:rPr>
            </w:pPr>
            <w:r w:rsidRPr="006F05AE">
              <w:rPr>
                <w:color w:val="auto"/>
              </w:rPr>
              <w:t>1,238.2</w:t>
            </w:r>
          </w:p>
        </w:tc>
        <w:tc>
          <w:tcPr>
            <w:tcW w:w="966" w:type="pct"/>
            <w:tcBorders>
              <w:top w:val="nil"/>
              <w:bottom w:val="nil"/>
            </w:tcBorders>
            <w:shd w:val="clear" w:color="auto" w:fill="auto"/>
            <w:vAlign w:val="bottom"/>
          </w:tcPr>
          <w:p w14:paraId="0DD48550" w14:textId="77777777" w:rsidR="00733AF2" w:rsidRPr="006F05AE" w:rsidRDefault="00733AF2" w:rsidP="00733AF2">
            <w:pPr>
              <w:tabs>
                <w:tab w:val="decimal" w:pos="1026"/>
              </w:tabs>
              <w:rPr>
                <w:color w:val="auto"/>
              </w:rPr>
            </w:pPr>
            <w:r w:rsidRPr="006F05AE">
              <w:rPr>
                <w:color w:val="auto"/>
              </w:rPr>
              <w:t>905.1</w:t>
            </w:r>
          </w:p>
        </w:tc>
      </w:tr>
      <w:tr w:rsidR="00733AF2" w:rsidRPr="00052104" w14:paraId="6054EA10" w14:textId="77777777" w:rsidTr="00A06955">
        <w:trPr>
          <w:trHeight w:val="369"/>
        </w:trPr>
        <w:tc>
          <w:tcPr>
            <w:tcW w:w="3105" w:type="pct"/>
            <w:shd w:val="clear" w:color="auto" w:fill="auto"/>
            <w:vAlign w:val="bottom"/>
          </w:tcPr>
          <w:p w14:paraId="1B357213" w14:textId="77777777" w:rsidR="00733AF2" w:rsidRPr="00A06955" w:rsidRDefault="00733AF2" w:rsidP="00733AF2">
            <w:pPr>
              <w:jc w:val="left"/>
              <w:rPr>
                <w:color w:val="auto"/>
              </w:rPr>
            </w:pPr>
            <w:r w:rsidRPr="00A06955">
              <w:rPr>
                <w:color w:val="auto"/>
              </w:rPr>
              <w:t>Collection Fund Adjustment Account</w:t>
            </w:r>
          </w:p>
        </w:tc>
        <w:tc>
          <w:tcPr>
            <w:tcW w:w="929" w:type="pct"/>
            <w:tcBorders>
              <w:top w:val="nil"/>
              <w:bottom w:val="nil"/>
            </w:tcBorders>
            <w:shd w:val="clear" w:color="auto" w:fill="auto"/>
            <w:vAlign w:val="bottom"/>
          </w:tcPr>
          <w:p w14:paraId="6C65F926" w14:textId="125E53FC" w:rsidR="00733AF2" w:rsidRPr="00A06955" w:rsidRDefault="00733AF2" w:rsidP="003E2955">
            <w:pPr>
              <w:tabs>
                <w:tab w:val="decimal" w:pos="884"/>
              </w:tabs>
              <w:rPr>
                <w:color w:val="auto"/>
              </w:rPr>
            </w:pPr>
            <w:r w:rsidRPr="00A06955">
              <w:rPr>
                <w:color w:val="auto"/>
              </w:rPr>
              <w:t>(6.</w:t>
            </w:r>
            <w:r w:rsidR="003E2955">
              <w:rPr>
                <w:color w:val="auto"/>
              </w:rPr>
              <w:t>4</w:t>
            </w:r>
            <w:r w:rsidRPr="00A06955">
              <w:rPr>
                <w:color w:val="auto"/>
              </w:rPr>
              <w:t>)</w:t>
            </w:r>
          </w:p>
        </w:tc>
        <w:tc>
          <w:tcPr>
            <w:tcW w:w="966" w:type="pct"/>
            <w:tcBorders>
              <w:top w:val="nil"/>
              <w:bottom w:val="nil"/>
            </w:tcBorders>
            <w:shd w:val="clear" w:color="auto" w:fill="auto"/>
            <w:vAlign w:val="bottom"/>
          </w:tcPr>
          <w:p w14:paraId="1F141421" w14:textId="77777777" w:rsidR="00733AF2" w:rsidRDefault="00733AF2" w:rsidP="00733AF2">
            <w:pPr>
              <w:tabs>
                <w:tab w:val="decimal" w:pos="1026"/>
              </w:tabs>
              <w:rPr>
                <w:color w:val="auto"/>
              </w:rPr>
            </w:pPr>
            <w:r>
              <w:rPr>
                <w:color w:val="auto"/>
              </w:rPr>
              <w:t>(2.8)</w:t>
            </w:r>
          </w:p>
        </w:tc>
      </w:tr>
      <w:tr w:rsidR="00733AF2" w:rsidRPr="00052104" w14:paraId="36FC84CE" w14:textId="77777777" w:rsidTr="00411CCE">
        <w:trPr>
          <w:trHeight w:val="369"/>
        </w:trPr>
        <w:tc>
          <w:tcPr>
            <w:tcW w:w="3105" w:type="pct"/>
            <w:shd w:val="clear" w:color="auto" w:fill="auto"/>
            <w:vAlign w:val="bottom"/>
          </w:tcPr>
          <w:p w14:paraId="34A44ADE" w14:textId="77777777" w:rsidR="00733AF2" w:rsidRPr="00A06955" w:rsidRDefault="00733AF2" w:rsidP="00733AF2">
            <w:pPr>
              <w:jc w:val="left"/>
              <w:rPr>
                <w:color w:val="auto"/>
              </w:rPr>
            </w:pPr>
            <w:r w:rsidRPr="00A06955">
              <w:rPr>
                <w:color w:val="auto"/>
              </w:rPr>
              <w:t>Accumulated Absences Account</w:t>
            </w:r>
          </w:p>
        </w:tc>
        <w:tc>
          <w:tcPr>
            <w:tcW w:w="929" w:type="pct"/>
            <w:tcBorders>
              <w:top w:val="nil"/>
              <w:bottom w:val="single" w:sz="4" w:space="0" w:color="auto"/>
            </w:tcBorders>
            <w:shd w:val="clear" w:color="auto" w:fill="auto"/>
            <w:vAlign w:val="bottom"/>
          </w:tcPr>
          <w:p w14:paraId="1DD9056F" w14:textId="47C8957B" w:rsidR="00733AF2" w:rsidRPr="00A06955" w:rsidRDefault="00733AF2" w:rsidP="000967DA">
            <w:pPr>
              <w:tabs>
                <w:tab w:val="decimal" w:pos="884"/>
              </w:tabs>
              <w:rPr>
                <w:color w:val="auto"/>
              </w:rPr>
            </w:pPr>
            <w:r w:rsidRPr="00A06955">
              <w:rPr>
                <w:color w:val="auto"/>
              </w:rPr>
              <w:t>23.</w:t>
            </w:r>
            <w:r w:rsidR="000967DA">
              <w:rPr>
                <w:color w:val="auto"/>
              </w:rPr>
              <w:t>2</w:t>
            </w:r>
          </w:p>
        </w:tc>
        <w:tc>
          <w:tcPr>
            <w:tcW w:w="966" w:type="pct"/>
            <w:tcBorders>
              <w:top w:val="nil"/>
              <w:bottom w:val="single" w:sz="4" w:space="0" w:color="auto"/>
            </w:tcBorders>
            <w:shd w:val="clear" w:color="auto" w:fill="auto"/>
            <w:vAlign w:val="bottom"/>
          </w:tcPr>
          <w:p w14:paraId="29B2448C" w14:textId="77777777" w:rsidR="00733AF2" w:rsidRDefault="00733AF2" w:rsidP="00733AF2">
            <w:pPr>
              <w:tabs>
                <w:tab w:val="decimal" w:pos="1026"/>
              </w:tabs>
              <w:rPr>
                <w:color w:val="auto"/>
              </w:rPr>
            </w:pPr>
            <w:r>
              <w:rPr>
                <w:color w:val="auto"/>
              </w:rPr>
              <w:t>29.7</w:t>
            </w:r>
          </w:p>
        </w:tc>
      </w:tr>
      <w:tr w:rsidR="00733AF2" w:rsidRPr="004F1182" w14:paraId="7EB42EA5" w14:textId="77777777" w:rsidTr="00411CCE">
        <w:trPr>
          <w:trHeight w:val="369"/>
        </w:trPr>
        <w:tc>
          <w:tcPr>
            <w:tcW w:w="3105" w:type="pct"/>
            <w:shd w:val="clear" w:color="auto" w:fill="auto"/>
            <w:vAlign w:val="bottom"/>
          </w:tcPr>
          <w:p w14:paraId="107F936D" w14:textId="77777777" w:rsidR="00733AF2" w:rsidRPr="00A06955" w:rsidRDefault="00733AF2" w:rsidP="00733AF2">
            <w:pPr>
              <w:jc w:val="left"/>
              <w:rPr>
                <w:b/>
                <w:color w:val="auto"/>
              </w:rPr>
            </w:pPr>
            <w:r w:rsidRPr="00A06955">
              <w:rPr>
                <w:b/>
                <w:color w:val="auto"/>
              </w:rPr>
              <w:t>Total Unusable Reserves</w:t>
            </w:r>
          </w:p>
        </w:tc>
        <w:tc>
          <w:tcPr>
            <w:tcW w:w="929" w:type="pct"/>
            <w:tcBorders>
              <w:top w:val="single" w:sz="4" w:space="0" w:color="auto"/>
              <w:bottom w:val="single" w:sz="4" w:space="0" w:color="auto"/>
            </w:tcBorders>
            <w:shd w:val="clear" w:color="auto" w:fill="auto"/>
            <w:vAlign w:val="bottom"/>
          </w:tcPr>
          <w:p w14:paraId="0947861B" w14:textId="751B6C97" w:rsidR="00733AF2" w:rsidRPr="00A06955" w:rsidRDefault="001B5046" w:rsidP="003E2955">
            <w:pPr>
              <w:tabs>
                <w:tab w:val="decimal" w:pos="884"/>
              </w:tabs>
              <w:rPr>
                <w:b/>
                <w:color w:val="auto"/>
              </w:rPr>
            </w:pPr>
            <w:r>
              <w:rPr>
                <w:b/>
                <w:color w:val="auto"/>
              </w:rPr>
              <w:t>(384.</w:t>
            </w:r>
            <w:r w:rsidR="003E2955">
              <w:rPr>
                <w:b/>
                <w:color w:val="auto"/>
              </w:rPr>
              <w:t>4</w:t>
            </w:r>
            <w:r w:rsidR="00733AF2" w:rsidRPr="00A06955">
              <w:rPr>
                <w:b/>
                <w:color w:val="auto"/>
              </w:rPr>
              <w:t>)</w:t>
            </w:r>
          </w:p>
        </w:tc>
        <w:tc>
          <w:tcPr>
            <w:tcW w:w="966" w:type="pct"/>
            <w:tcBorders>
              <w:top w:val="single" w:sz="4" w:space="0" w:color="auto"/>
              <w:bottom w:val="single" w:sz="4" w:space="0" w:color="auto"/>
            </w:tcBorders>
            <w:shd w:val="clear" w:color="auto" w:fill="auto"/>
            <w:vAlign w:val="bottom"/>
          </w:tcPr>
          <w:p w14:paraId="17F0748E" w14:textId="77777777" w:rsidR="00733AF2" w:rsidRPr="004F1182" w:rsidRDefault="00733AF2" w:rsidP="00733AF2">
            <w:pPr>
              <w:tabs>
                <w:tab w:val="decimal" w:pos="1026"/>
              </w:tabs>
              <w:rPr>
                <w:b/>
                <w:color w:val="auto"/>
              </w:rPr>
            </w:pPr>
            <w:r>
              <w:rPr>
                <w:b/>
                <w:color w:val="auto"/>
              </w:rPr>
              <w:t>(678.3)</w:t>
            </w:r>
          </w:p>
        </w:tc>
      </w:tr>
    </w:tbl>
    <w:p w14:paraId="7750EE7A" w14:textId="77777777" w:rsidR="00771B22" w:rsidRDefault="00771B22" w:rsidP="00C734A4">
      <w:pPr>
        <w:rPr>
          <w:lang w:eastAsia="en-GB"/>
        </w:rPr>
      </w:pPr>
    </w:p>
    <w:p w14:paraId="5C7DBBC4" w14:textId="77777777" w:rsidR="00733AF2" w:rsidRPr="006F05AE" w:rsidRDefault="00733AF2" w:rsidP="00733AF2">
      <w:pPr>
        <w:rPr>
          <w:b/>
          <w:lang w:eastAsia="en-GB"/>
        </w:rPr>
      </w:pPr>
      <w:r w:rsidRPr="006F05AE">
        <w:rPr>
          <w:b/>
          <w:lang w:eastAsia="en-GB"/>
        </w:rPr>
        <w:t>Available for Sale Financial Instruments Reserve</w:t>
      </w:r>
    </w:p>
    <w:p w14:paraId="5E992AAA" w14:textId="77777777" w:rsidR="00733AF2" w:rsidRDefault="00733AF2" w:rsidP="00733AF2">
      <w:pPr>
        <w:rPr>
          <w:lang w:eastAsia="en-GB"/>
        </w:rPr>
      </w:pPr>
      <w:r w:rsidRPr="006F05AE">
        <w:rPr>
          <w:lang w:eastAsia="en-GB"/>
        </w:rPr>
        <w:t>The Available for Sale Financial Instruments Reserve contains the gains made by the council arising from increases in the value of its investments that have quoted market prices or otherwise do not have fixed or determinable payments. The balance is reduced when investments with accumulated gains are revalued downwards or impaired and the gains are lost or disposed of and the gains are realised.</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733AF2" w:rsidRPr="00052104" w14:paraId="7157DE97" w14:textId="77777777" w:rsidTr="00942CC4">
        <w:trPr>
          <w:trHeight w:val="369"/>
          <w:tblHeader/>
        </w:trPr>
        <w:tc>
          <w:tcPr>
            <w:tcW w:w="3105" w:type="pct"/>
            <w:shd w:val="clear" w:color="auto" w:fill="D0CECE"/>
            <w:vAlign w:val="bottom"/>
          </w:tcPr>
          <w:p w14:paraId="35069B24" w14:textId="77777777" w:rsidR="00733AF2" w:rsidRPr="00597BEE" w:rsidRDefault="00733AF2" w:rsidP="00942CC4">
            <w:pPr>
              <w:jc w:val="left"/>
              <w:rPr>
                <w:color w:val="auto"/>
              </w:rPr>
            </w:pPr>
          </w:p>
        </w:tc>
        <w:tc>
          <w:tcPr>
            <w:tcW w:w="929" w:type="pct"/>
            <w:shd w:val="clear" w:color="auto" w:fill="D0CECE"/>
            <w:vAlign w:val="bottom"/>
          </w:tcPr>
          <w:p w14:paraId="597A96AF" w14:textId="77777777" w:rsidR="00733AF2" w:rsidRPr="00597BEE" w:rsidRDefault="00733AF2" w:rsidP="00942CC4">
            <w:pPr>
              <w:jc w:val="center"/>
              <w:rPr>
                <w:b/>
                <w:color w:val="auto"/>
              </w:rPr>
            </w:pPr>
            <w:r w:rsidRPr="00597BEE">
              <w:rPr>
                <w:b/>
                <w:color w:val="auto"/>
              </w:rPr>
              <w:t>2014/15</w:t>
            </w:r>
          </w:p>
        </w:tc>
        <w:tc>
          <w:tcPr>
            <w:tcW w:w="966" w:type="pct"/>
            <w:shd w:val="clear" w:color="auto" w:fill="D0CECE"/>
            <w:vAlign w:val="bottom"/>
          </w:tcPr>
          <w:p w14:paraId="4EF392E9" w14:textId="77777777" w:rsidR="00733AF2" w:rsidRPr="00597BEE" w:rsidRDefault="00733AF2" w:rsidP="00942CC4">
            <w:pPr>
              <w:jc w:val="center"/>
              <w:rPr>
                <w:b/>
                <w:color w:val="auto"/>
              </w:rPr>
            </w:pPr>
            <w:r w:rsidRPr="00597BEE">
              <w:rPr>
                <w:b/>
                <w:color w:val="auto"/>
              </w:rPr>
              <w:t>2013/14</w:t>
            </w:r>
          </w:p>
        </w:tc>
      </w:tr>
      <w:tr w:rsidR="00733AF2" w:rsidRPr="00052104" w14:paraId="29F31029" w14:textId="77777777" w:rsidTr="00942CC4">
        <w:trPr>
          <w:trHeight w:val="369"/>
          <w:tblHeader/>
        </w:trPr>
        <w:tc>
          <w:tcPr>
            <w:tcW w:w="3105" w:type="pct"/>
            <w:shd w:val="clear" w:color="auto" w:fill="D0CECE"/>
            <w:vAlign w:val="bottom"/>
          </w:tcPr>
          <w:p w14:paraId="530340EA" w14:textId="77777777" w:rsidR="00733AF2" w:rsidRPr="00597BEE" w:rsidRDefault="00733AF2" w:rsidP="00942CC4">
            <w:pPr>
              <w:jc w:val="left"/>
              <w:rPr>
                <w:color w:val="auto"/>
              </w:rPr>
            </w:pPr>
          </w:p>
        </w:tc>
        <w:tc>
          <w:tcPr>
            <w:tcW w:w="929" w:type="pct"/>
            <w:shd w:val="clear" w:color="auto" w:fill="D0CECE"/>
            <w:vAlign w:val="bottom"/>
          </w:tcPr>
          <w:p w14:paraId="3EDE26CD" w14:textId="77777777" w:rsidR="00733AF2" w:rsidRPr="00597BEE" w:rsidRDefault="00733AF2" w:rsidP="00942CC4">
            <w:pPr>
              <w:jc w:val="center"/>
              <w:rPr>
                <w:b/>
                <w:color w:val="auto"/>
              </w:rPr>
            </w:pPr>
            <w:r w:rsidRPr="00597BEE">
              <w:rPr>
                <w:b/>
                <w:color w:val="auto"/>
              </w:rPr>
              <w:t>£m</w:t>
            </w:r>
          </w:p>
        </w:tc>
        <w:tc>
          <w:tcPr>
            <w:tcW w:w="966" w:type="pct"/>
            <w:shd w:val="clear" w:color="auto" w:fill="D0CECE"/>
            <w:vAlign w:val="bottom"/>
          </w:tcPr>
          <w:p w14:paraId="6B835F7C" w14:textId="77777777" w:rsidR="00733AF2" w:rsidRPr="00597BEE" w:rsidRDefault="00733AF2" w:rsidP="00942CC4">
            <w:pPr>
              <w:jc w:val="center"/>
              <w:rPr>
                <w:b/>
                <w:color w:val="auto"/>
              </w:rPr>
            </w:pPr>
            <w:r w:rsidRPr="00597BEE">
              <w:rPr>
                <w:b/>
                <w:color w:val="auto"/>
              </w:rPr>
              <w:t>£m</w:t>
            </w:r>
          </w:p>
        </w:tc>
      </w:tr>
      <w:tr w:rsidR="00733AF2" w:rsidRPr="00AB61E2" w14:paraId="0E040F0B" w14:textId="77777777" w:rsidTr="00942CC4">
        <w:trPr>
          <w:trHeight w:val="369"/>
        </w:trPr>
        <w:tc>
          <w:tcPr>
            <w:tcW w:w="3105" w:type="pct"/>
            <w:shd w:val="clear" w:color="auto" w:fill="auto"/>
            <w:vAlign w:val="bottom"/>
          </w:tcPr>
          <w:p w14:paraId="6CBFAEF6" w14:textId="1765210E" w:rsidR="00733AF2" w:rsidRPr="00597BEE" w:rsidRDefault="00733AF2" w:rsidP="00942CC4">
            <w:pPr>
              <w:jc w:val="left"/>
              <w:rPr>
                <w:b/>
                <w:color w:val="auto"/>
              </w:rPr>
            </w:pPr>
            <w:r w:rsidRPr="00597BEE">
              <w:rPr>
                <w:b/>
                <w:color w:val="auto"/>
              </w:rPr>
              <w:t xml:space="preserve">Balance </w:t>
            </w:r>
            <w:r w:rsidR="002B3169">
              <w:rPr>
                <w:b/>
                <w:color w:val="auto"/>
              </w:rPr>
              <w:t xml:space="preserve">as </w:t>
            </w:r>
            <w:r w:rsidRPr="00597BEE">
              <w:rPr>
                <w:b/>
                <w:color w:val="auto"/>
              </w:rPr>
              <w:t>at 1 April</w:t>
            </w:r>
          </w:p>
        </w:tc>
        <w:tc>
          <w:tcPr>
            <w:tcW w:w="929" w:type="pct"/>
            <w:tcBorders>
              <w:bottom w:val="nil"/>
            </w:tcBorders>
            <w:shd w:val="clear" w:color="auto" w:fill="auto"/>
            <w:vAlign w:val="bottom"/>
          </w:tcPr>
          <w:p w14:paraId="10A80ACE" w14:textId="77777777" w:rsidR="00733AF2" w:rsidRPr="00597BEE" w:rsidRDefault="00733AF2" w:rsidP="00942CC4">
            <w:pPr>
              <w:tabs>
                <w:tab w:val="decimal" w:pos="884"/>
              </w:tabs>
              <w:rPr>
                <w:b/>
                <w:color w:val="auto"/>
              </w:rPr>
            </w:pPr>
            <w:r w:rsidRPr="00597BEE">
              <w:rPr>
                <w:b/>
                <w:color w:val="auto"/>
              </w:rPr>
              <w:t>27.4</w:t>
            </w:r>
          </w:p>
        </w:tc>
        <w:tc>
          <w:tcPr>
            <w:tcW w:w="966" w:type="pct"/>
            <w:tcBorders>
              <w:bottom w:val="nil"/>
            </w:tcBorders>
            <w:shd w:val="clear" w:color="auto" w:fill="auto"/>
            <w:vAlign w:val="bottom"/>
          </w:tcPr>
          <w:p w14:paraId="19B348FF" w14:textId="77777777" w:rsidR="00733AF2" w:rsidRPr="00597BEE" w:rsidRDefault="00733AF2" w:rsidP="00942CC4">
            <w:pPr>
              <w:tabs>
                <w:tab w:val="decimal" w:pos="1026"/>
              </w:tabs>
              <w:rPr>
                <w:b/>
                <w:color w:val="auto"/>
              </w:rPr>
            </w:pPr>
            <w:r w:rsidRPr="00597BEE">
              <w:rPr>
                <w:b/>
                <w:color w:val="auto"/>
              </w:rPr>
              <w:t>1.1</w:t>
            </w:r>
          </w:p>
        </w:tc>
      </w:tr>
      <w:tr w:rsidR="00733AF2" w:rsidRPr="00052104" w14:paraId="2F4E453F" w14:textId="77777777" w:rsidTr="00942CC4">
        <w:trPr>
          <w:trHeight w:val="369"/>
        </w:trPr>
        <w:tc>
          <w:tcPr>
            <w:tcW w:w="3105" w:type="pct"/>
            <w:shd w:val="clear" w:color="auto" w:fill="auto"/>
            <w:vAlign w:val="bottom"/>
          </w:tcPr>
          <w:p w14:paraId="4CC1D982" w14:textId="72332569" w:rsidR="00733AF2" w:rsidRPr="00597BEE" w:rsidRDefault="007F3EAD" w:rsidP="007F3EAD">
            <w:pPr>
              <w:jc w:val="left"/>
              <w:rPr>
                <w:color w:val="auto"/>
              </w:rPr>
            </w:pPr>
            <w:r>
              <w:rPr>
                <w:color w:val="auto"/>
              </w:rPr>
              <w:t>Upward r</w:t>
            </w:r>
            <w:r w:rsidR="00733AF2" w:rsidRPr="00597BEE">
              <w:rPr>
                <w:color w:val="auto"/>
              </w:rPr>
              <w:t>evaluation of investments</w:t>
            </w:r>
          </w:p>
        </w:tc>
        <w:tc>
          <w:tcPr>
            <w:tcW w:w="929" w:type="pct"/>
            <w:tcBorders>
              <w:bottom w:val="nil"/>
            </w:tcBorders>
            <w:shd w:val="clear" w:color="auto" w:fill="auto"/>
            <w:vAlign w:val="bottom"/>
          </w:tcPr>
          <w:p w14:paraId="43C23920" w14:textId="77777777" w:rsidR="00733AF2" w:rsidRPr="00597BEE" w:rsidRDefault="00733AF2" w:rsidP="00942CC4">
            <w:pPr>
              <w:tabs>
                <w:tab w:val="decimal" w:pos="884"/>
              </w:tabs>
              <w:rPr>
                <w:color w:val="auto"/>
              </w:rPr>
            </w:pPr>
            <w:r w:rsidRPr="00597BEE">
              <w:rPr>
                <w:color w:val="auto"/>
              </w:rPr>
              <w:t>(20.8)</w:t>
            </w:r>
          </w:p>
        </w:tc>
        <w:tc>
          <w:tcPr>
            <w:tcW w:w="966" w:type="pct"/>
            <w:tcBorders>
              <w:bottom w:val="nil"/>
            </w:tcBorders>
            <w:shd w:val="clear" w:color="auto" w:fill="auto"/>
            <w:vAlign w:val="bottom"/>
          </w:tcPr>
          <w:p w14:paraId="0D1665DB" w14:textId="77777777" w:rsidR="00733AF2" w:rsidRPr="00597BEE" w:rsidRDefault="00733AF2" w:rsidP="00942CC4">
            <w:pPr>
              <w:tabs>
                <w:tab w:val="decimal" w:pos="1026"/>
              </w:tabs>
              <w:rPr>
                <w:color w:val="auto"/>
              </w:rPr>
            </w:pPr>
            <w:r w:rsidRPr="00597BEE">
              <w:rPr>
                <w:color w:val="auto"/>
              </w:rPr>
              <w:t>-</w:t>
            </w:r>
          </w:p>
        </w:tc>
      </w:tr>
      <w:tr w:rsidR="00733AF2" w:rsidRPr="00052104" w14:paraId="1616D2F4" w14:textId="77777777" w:rsidTr="00942CC4">
        <w:trPr>
          <w:trHeight w:val="369"/>
        </w:trPr>
        <w:tc>
          <w:tcPr>
            <w:tcW w:w="3105" w:type="pct"/>
            <w:shd w:val="clear" w:color="auto" w:fill="auto"/>
            <w:vAlign w:val="bottom"/>
          </w:tcPr>
          <w:p w14:paraId="68C34EB0" w14:textId="40DFD603" w:rsidR="00733AF2" w:rsidRPr="00597BEE" w:rsidRDefault="007F3EAD" w:rsidP="007F3EAD">
            <w:pPr>
              <w:jc w:val="left"/>
              <w:rPr>
                <w:color w:val="auto"/>
              </w:rPr>
            </w:pPr>
            <w:r>
              <w:rPr>
                <w:color w:val="auto"/>
              </w:rPr>
              <w:t>Downward r</w:t>
            </w:r>
            <w:r w:rsidR="00733AF2" w:rsidRPr="00597BEE">
              <w:rPr>
                <w:color w:val="auto"/>
              </w:rPr>
              <w:t>evaluation of investments not charged to the surplus/deficit on the Provision of Services</w:t>
            </w:r>
          </w:p>
        </w:tc>
        <w:tc>
          <w:tcPr>
            <w:tcW w:w="929" w:type="pct"/>
            <w:tcBorders>
              <w:bottom w:val="nil"/>
            </w:tcBorders>
            <w:shd w:val="clear" w:color="auto" w:fill="auto"/>
            <w:vAlign w:val="bottom"/>
          </w:tcPr>
          <w:p w14:paraId="27AE96BF" w14:textId="77777777" w:rsidR="00733AF2" w:rsidRPr="00597BEE" w:rsidRDefault="00733AF2" w:rsidP="00942CC4">
            <w:pPr>
              <w:tabs>
                <w:tab w:val="decimal" w:pos="884"/>
              </w:tabs>
              <w:rPr>
                <w:color w:val="auto"/>
              </w:rPr>
            </w:pPr>
            <w:r w:rsidRPr="00597BEE">
              <w:rPr>
                <w:color w:val="auto"/>
              </w:rPr>
              <w:t>-</w:t>
            </w:r>
          </w:p>
        </w:tc>
        <w:tc>
          <w:tcPr>
            <w:tcW w:w="966" w:type="pct"/>
            <w:tcBorders>
              <w:bottom w:val="nil"/>
            </w:tcBorders>
            <w:shd w:val="clear" w:color="auto" w:fill="auto"/>
            <w:vAlign w:val="bottom"/>
          </w:tcPr>
          <w:p w14:paraId="6FD9EAEF" w14:textId="77777777" w:rsidR="00733AF2" w:rsidRPr="00597BEE" w:rsidRDefault="00733AF2" w:rsidP="00942CC4">
            <w:pPr>
              <w:tabs>
                <w:tab w:val="decimal" w:pos="1026"/>
              </w:tabs>
              <w:rPr>
                <w:color w:val="auto"/>
              </w:rPr>
            </w:pPr>
            <w:r w:rsidRPr="00597BEE">
              <w:rPr>
                <w:color w:val="auto"/>
              </w:rPr>
              <w:t>26.3</w:t>
            </w:r>
          </w:p>
        </w:tc>
      </w:tr>
      <w:tr w:rsidR="00733AF2" w:rsidRPr="004F1182" w14:paraId="64363173" w14:textId="77777777" w:rsidTr="00942CC4">
        <w:trPr>
          <w:trHeight w:val="369"/>
        </w:trPr>
        <w:tc>
          <w:tcPr>
            <w:tcW w:w="3105" w:type="pct"/>
            <w:shd w:val="clear" w:color="auto" w:fill="auto"/>
            <w:vAlign w:val="bottom"/>
          </w:tcPr>
          <w:p w14:paraId="04A7A57F" w14:textId="1DB1C8AA" w:rsidR="00733AF2" w:rsidRPr="00597BEE" w:rsidRDefault="00733AF2" w:rsidP="00942CC4">
            <w:pPr>
              <w:jc w:val="left"/>
              <w:rPr>
                <w:b/>
                <w:color w:val="auto"/>
              </w:rPr>
            </w:pPr>
            <w:r w:rsidRPr="00597BEE">
              <w:rPr>
                <w:b/>
                <w:color w:val="auto"/>
              </w:rPr>
              <w:t xml:space="preserve">Balance </w:t>
            </w:r>
            <w:r w:rsidR="002B3169">
              <w:rPr>
                <w:b/>
                <w:color w:val="auto"/>
              </w:rPr>
              <w:t xml:space="preserve">as </w:t>
            </w:r>
            <w:r w:rsidRPr="00597BEE">
              <w:rPr>
                <w:b/>
                <w:color w:val="auto"/>
              </w:rPr>
              <w:t>at 31 March</w:t>
            </w:r>
          </w:p>
        </w:tc>
        <w:tc>
          <w:tcPr>
            <w:tcW w:w="929" w:type="pct"/>
            <w:tcBorders>
              <w:top w:val="single" w:sz="4" w:space="0" w:color="auto"/>
              <w:bottom w:val="single" w:sz="4" w:space="0" w:color="auto"/>
            </w:tcBorders>
            <w:shd w:val="clear" w:color="auto" w:fill="auto"/>
            <w:vAlign w:val="bottom"/>
          </w:tcPr>
          <w:p w14:paraId="2E84BE39" w14:textId="77777777" w:rsidR="00733AF2" w:rsidRPr="00597BEE" w:rsidRDefault="00733AF2" w:rsidP="00942CC4">
            <w:pPr>
              <w:tabs>
                <w:tab w:val="decimal" w:pos="884"/>
              </w:tabs>
              <w:rPr>
                <w:b/>
                <w:color w:val="auto"/>
              </w:rPr>
            </w:pPr>
            <w:r w:rsidRPr="00597BEE">
              <w:rPr>
                <w:b/>
                <w:color w:val="auto"/>
              </w:rPr>
              <w:t>6.6</w:t>
            </w:r>
          </w:p>
        </w:tc>
        <w:tc>
          <w:tcPr>
            <w:tcW w:w="966" w:type="pct"/>
            <w:tcBorders>
              <w:top w:val="single" w:sz="4" w:space="0" w:color="auto"/>
              <w:bottom w:val="single" w:sz="4" w:space="0" w:color="auto"/>
            </w:tcBorders>
            <w:shd w:val="clear" w:color="auto" w:fill="auto"/>
            <w:vAlign w:val="bottom"/>
          </w:tcPr>
          <w:p w14:paraId="35825651" w14:textId="77777777" w:rsidR="00733AF2" w:rsidRPr="00597BEE" w:rsidRDefault="00733AF2" w:rsidP="00942CC4">
            <w:pPr>
              <w:tabs>
                <w:tab w:val="decimal" w:pos="1026"/>
              </w:tabs>
              <w:rPr>
                <w:b/>
                <w:color w:val="auto"/>
              </w:rPr>
            </w:pPr>
            <w:r w:rsidRPr="00597BEE">
              <w:rPr>
                <w:b/>
                <w:color w:val="auto"/>
              </w:rPr>
              <w:t>27.4</w:t>
            </w:r>
          </w:p>
        </w:tc>
      </w:tr>
    </w:tbl>
    <w:p w14:paraId="104E5435" w14:textId="77777777" w:rsidR="00733AF2" w:rsidRDefault="00733AF2" w:rsidP="00C734A4">
      <w:pPr>
        <w:rPr>
          <w:b/>
          <w:lang w:eastAsia="en-GB"/>
        </w:rPr>
      </w:pPr>
    </w:p>
    <w:p w14:paraId="222FA512" w14:textId="2095D497" w:rsidR="00733AF2" w:rsidRPr="006F05AE" w:rsidRDefault="001E44F9" w:rsidP="00733AF2">
      <w:pPr>
        <w:rPr>
          <w:b/>
          <w:lang w:eastAsia="en-GB"/>
        </w:rPr>
      </w:pPr>
      <w:r>
        <w:rPr>
          <w:b/>
          <w:lang w:eastAsia="en-GB"/>
        </w:rPr>
        <w:t>Financial Instrument Adjustment</w:t>
      </w:r>
      <w:r w:rsidR="00733AF2" w:rsidRPr="006F05AE">
        <w:rPr>
          <w:b/>
          <w:lang w:eastAsia="en-GB"/>
        </w:rPr>
        <w:t xml:space="preserve"> Reserve</w:t>
      </w:r>
    </w:p>
    <w:p w14:paraId="18DC6255" w14:textId="5293CDE6" w:rsidR="00733AF2" w:rsidRDefault="001E44F9" w:rsidP="00733AF2">
      <w:pPr>
        <w:rPr>
          <w:lang w:eastAsia="en-GB"/>
        </w:rPr>
      </w:pPr>
      <w:r>
        <w:rPr>
          <w:lang w:eastAsia="en-GB"/>
        </w:rPr>
        <w:lastRenderedPageBreak/>
        <w:t>The financial instruments adjustment account absorbs the timing arising from the different arrangements for accounting for income and expenses relating to certain financial instruments and for bearing losses or benefiting from gains per statutory provisions.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733AF2" w:rsidRPr="00052104" w14:paraId="37D5249D" w14:textId="77777777" w:rsidTr="00942CC4">
        <w:trPr>
          <w:trHeight w:val="369"/>
          <w:tblHeader/>
        </w:trPr>
        <w:tc>
          <w:tcPr>
            <w:tcW w:w="3105" w:type="pct"/>
            <w:shd w:val="clear" w:color="auto" w:fill="D0CECE"/>
            <w:vAlign w:val="bottom"/>
          </w:tcPr>
          <w:p w14:paraId="59B520FB" w14:textId="77777777" w:rsidR="00733AF2" w:rsidRPr="00597BEE" w:rsidRDefault="00733AF2" w:rsidP="00942CC4">
            <w:pPr>
              <w:jc w:val="left"/>
              <w:rPr>
                <w:color w:val="auto"/>
              </w:rPr>
            </w:pPr>
          </w:p>
        </w:tc>
        <w:tc>
          <w:tcPr>
            <w:tcW w:w="929" w:type="pct"/>
            <w:shd w:val="clear" w:color="auto" w:fill="D0CECE"/>
            <w:vAlign w:val="bottom"/>
          </w:tcPr>
          <w:p w14:paraId="14BF2FAD" w14:textId="77777777" w:rsidR="00733AF2" w:rsidRPr="00597BEE" w:rsidRDefault="00733AF2" w:rsidP="00942CC4">
            <w:pPr>
              <w:jc w:val="center"/>
              <w:rPr>
                <w:b/>
                <w:color w:val="auto"/>
              </w:rPr>
            </w:pPr>
            <w:r w:rsidRPr="00597BEE">
              <w:rPr>
                <w:b/>
                <w:color w:val="auto"/>
              </w:rPr>
              <w:t>2014/15</w:t>
            </w:r>
          </w:p>
        </w:tc>
        <w:tc>
          <w:tcPr>
            <w:tcW w:w="966" w:type="pct"/>
            <w:shd w:val="clear" w:color="auto" w:fill="D0CECE"/>
            <w:vAlign w:val="bottom"/>
          </w:tcPr>
          <w:p w14:paraId="0594C84F" w14:textId="77777777" w:rsidR="00733AF2" w:rsidRPr="00597BEE" w:rsidRDefault="00733AF2" w:rsidP="00942CC4">
            <w:pPr>
              <w:jc w:val="center"/>
              <w:rPr>
                <w:b/>
                <w:color w:val="auto"/>
              </w:rPr>
            </w:pPr>
            <w:r w:rsidRPr="00597BEE">
              <w:rPr>
                <w:b/>
                <w:color w:val="auto"/>
              </w:rPr>
              <w:t>2013/14</w:t>
            </w:r>
          </w:p>
        </w:tc>
      </w:tr>
      <w:tr w:rsidR="00733AF2" w:rsidRPr="00052104" w14:paraId="60FA1AB9" w14:textId="77777777" w:rsidTr="00942CC4">
        <w:trPr>
          <w:trHeight w:val="369"/>
          <w:tblHeader/>
        </w:trPr>
        <w:tc>
          <w:tcPr>
            <w:tcW w:w="3105" w:type="pct"/>
            <w:shd w:val="clear" w:color="auto" w:fill="D0CECE"/>
            <w:vAlign w:val="bottom"/>
          </w:tcPr>
          <w:p w14:paraId="06EA716E" w14:textId="77777777" w:rsidR="00733AF2" w:rsidRPr="00597BEE" w:rsidRDefault="00733AF2" w:rsidP="00942CC4">
            <w:pPr>
              <w:jc w:val="left"/>
              <w:rPr>
                <w:color w:val="auto"/>
              </w:rPr>
            </w:pPr>
          </w:p>
        </w:tc>
        <w:tc>
          <w:tcPr>
            <w:tcW w:w="929" w:type="pct"/>
            <w:shd w:val="clear" w:color="auto" w:fill="D0CECE"/>
            <w:vAlign w:val="bottom"/>
          </w:tcPr>
          <w:p w14:paraId="6B0E4CFE" w14:textId="77777777" w:rsidR="00733AF2" w:rsidRPr="00597BEE" w:rsidRDefault="00733AF2" w:rsidP="00942CC4">
            <w:pPr>
              <w:jc w:val="center"/>
              <w:rPr>
                <w:b/>
                <w:color w:val="auto"/>
              </w:rPr>
            </w:pPr>
            <w:r w:rsidRPr="00597BEE">
              <w:rPr>
                <w:b/>
                <w:color w:val="auto"/>
              </w:rPr>
              <w:t>£m</w:t>
            </w:r>
          </w:p>
        </w:tc>
        <w:tc>
          <w:tcPr>
            <w:tcW w:w="966" w:type="pct"/>
            <w:shd w:val="clear" w:color="auto" w:fill="D0CECE"/>
            <w:vAlign w:val="bottom"/>
          </w:tcPr>
          <w:p w14:paraId="1EACA9C8" w14:textId="77777777" w:rsidR="00733AF2" w:rsidRPr="00597BEE" w:rsidRDefault="00733AF2" w:rsidP="00942CC4">
            <w:pPr>
              <w:jc w:val="center"/>
              <w:rPr>
                <w:b/>
                <w:color w:val="auto"/>
              </w:rPr>
            </w:pPr>
            <w:r w:rsidRPr="00597BEE">
              <w:rPr>
                <w:b/>
                <w:color w:val="auto"/>
              </w:rPr>
              <w:t>£m</w:t>
            </w:r>
          </w:p>
        </w:tc>
      </w:tr>
      <w:tr w:rsidR="00733AF2" w:rsidRPr="00AB61E2" w14:paraId="1F0F888F" w14:textId="77777777" w:rsidTr="00942CC4">
        <w:trPr>
          <w:trHeight w:val="369"/>
        </w:trPr>
        <w:tc>
          <w:tcPr>
            <w:tcW w:w="3105" w:type="pct"/>
            <w:shd w:val="clear" w:color="auto" w:fill="auto"/>
            <w:vAlign w:val="bottom"/>
          </w:tcPr>
          <w:p w14:paraId="75E00677" w14:textId="486BEC89" w:rsidR="00733AF2" w:rsidRPr="00597BEE" w:rsidRDefault="00733AF2" w:rsidP="00942CC4">
            <w:pPr>
              <w:jc w:val="left"/>
              <w:rPr>
                <w:b/>
                <w:color w:val="auto"/>
              </w:rPr>
            </w:pPr>
            <w:r w:rsidRPr="00597BEE">
              <w:rPr>
                <w:b/>
                <w:color w:val="auto"/>
              </w:rPr>
              <w:t xml:space="preserve">Balance </w:t>
            </w:r>
            <w:r w:rsidR="002B3169">
              <w:rPr>
                <w:b/>
                <w:color w:val="auto"/>
              </w:rPr>
              <w:t xml:space="preserve">as </w:t>
            </w:r>
            <w:r w:rsidRPr="00597BEE">
              <w:rPr>
                <w:b/>
                <w:color w:val="auto"/>
              </w:rPr>
              <w:t>at 1 April</w:t>
            </w:r>
          </w:p>
        </w:tc>
        <w:tc>
          <w:tcPr>
            <w:tcW w:w="929" w:type="pct"/>
            <w:tcBorders>
              <w:bottom w:val="nil"/>
            </w:tcBorders>
            <w:shd w:val="clear" w:color="auto" w:fill="auto"/>
            <w:vAlign w:val="bottom"/>
          </w:tcPr>
          <w:p w14:paraId="2E650C93" w14:textId="15A55A02" w:rsidR="00733AF2" w:rsidRPr="00597BEE" w:rsidRDefault="00733AF2">
            <w:pPr>
              <w:tabs>
                <w:tab w:val="decimal" w:pos="884"/>
              </w:tabs>
              <w:rPr>
                <w:b/>
                <w:color w:val="auto"/>
              </w:rPr>
            </w:pPr>
            <w:r w:rsidRPr="00597BEE">
              <w:rPr>
                <w:b/>
                <w:color w:val="auto"/>
              </w:rPr>
              <w:t>27.</w:t>
            </w:r>
            <w:r w:rsidR="001E44F9">
              <w:rPr>
                <w:b/>
                <w:color w:val="auto"/>
              </w:rPr>
              <w:t>1</w:t>
            </w:r>
          </w:p>
        </w:tc>
        <w:tc>
          <w:tcPr>
            <w:tcW w:w="966" w:type="pct"/>
            <w:tcBorders>
              <w:bottom w:val="nil"/>
            </w:tcBorders>
            <w:shd w:val="clear" w:color="auto" w:fill="auto"/>
            <w:vAlign w:val="bottom"/>
          </w:tcPr>
          <w:p w14:paraId="75A03B4A" w14:textId="0540F75E" w:rsidR="00733AF2" w:rsidRPr="00597BEE" w:rsidRDefault="001E44F9">
            <w:pPr>
              <w:tabs>
                <w:tab w:val="decimal" w:pos="1026"/>
              </w:tabs>
              <w:rPr>
                <w:b/>
                <w:color w:val="auto"/>
              </w:rPr>
            </w:pPr>
            <w:r>
              <w:rPr>
                <w:b/>
                <w:color w:val="auto"/>
              </w:rPr>
              <w:t>29</w:t>
            </w:r>
            <w:r w:rsidR="00733AF2" w:rsidRPr="00597BEE">
              <w:rPr>
                <w:b/>
                <w:color w:val="auto"/>
              </w:rPr>
              <w:t>.</w:t>
            </w:r>
            <w:r>
              <w:rPr>
                <w:b/>
                <w:color w:val="auto"/>
              </w:rPr>
              <w:t>6</w:t>
            </w:r>
          </w:p>
        </w:tc>
      </w:tr>
      <w:tr w:rsidR="00733AF2" w:rsidRPr="00052104" w14:paraId="736F63D5" w14:textId="77777777" w:rsidTr="00942CC4">
        <w:trPr>
          <w:trHeight w:val="369"/>
        </w:trPr>
        <w:tc>
          <w:tcPr>
            <w:tcW w:w="3105" w:type="pct"/>
            <w:shd w:val="clear" w:color="auto" w:fill="auto"/>
            <w:vAlign w:val="bottom"/>
          </w:tcPr>
          <w:p w14:paraId="31F6A766" w14:textId="56390FBE" w:rsidR="00733AF2" w:rsidRPr="00597BEE" w:rsidRDefault="007D7604" w:rsidP="00942CC4">
            <w:pPr>
              <w:jc w:val="left"/>
              <w:rPr>
                <w:color w:val="auto"/>
              </w:rPr>
            </w:pPr>
            <w:r>
              <w:rPr>
                <w:color w:val="auto"/>
              </w:rPr>
              <w:t>Premiums incurred in year and charged to the Comprehensive Income &amp; Expenditure</w:t>
            </w:r>
            <w:r w:rsidR="00B81795">
              <w:rPr>
                <w:color w:val="auto"/>
              </w:rPr>
              <w:t xml:space="preserve"> S</w:t>
            </w:r>
            <w:r>
              <w:rPr>
                <w:color w:val="auto"/>
              </w:rPr>
              <w:t>tatement</w:t>
            </w:r>
          </w:p>
        </w:tc>
        <w:tc>
          <w:tcPr>
            <w:tcW w:w="929" w:type="pct"/>
            <w:tcBorders>
              <w:bottom w:val="nil"/>
            </w:tcBorders>
            <w:shd w:val="clear" w:color="auto" w:fill="auto"/>
            <w:vAlign w:val="bottom"/>
          </w:tcPr>
          <w:p w14:paraId="5E80B88A" w14:textId="7E16802A" w:rsidR="00733AF2" w:rsidRPr="00BA7E5C" w:rsidRDefault="00733AF2" w:rsidP="00BA7E5C">
            <w:pPr>
              <w:tabs>
                <w:tab w:val="decimal" w:pos="884"/>
              </w:tabs>
              <w:rPr>
                <w:color w:val="auto"/>
                <w:vertAlign w:val="superscript"/>
              </w:rPr>
            </w:pPr>
            <w:r w:rsidRPr="00597BEE">
              <w:rPr>
                <w:color w:val="auto"/>
              </w:rPr>
              <w:t>2</w:t>
            </w:r>
            <w:r w:rsidR="001E44F9">
              <w:rPr>
                <w:color w:val="auto"/>
              </w:rPr>
              <w:t>4</w:t>
            </w:r>
            <w:r w:rsidRPr="00597BEE">
              <w:rPr>
                <w:color w:val="auto"/>
              </w:rPr>
              <w:t>.</w:t>
            </w:r>
            <w:r w:rsidR="001E44F9">
              <w:rPr>
                <w:color w:val="auto"/>
              </w:rPr>
              <w:t>3</w:t>
            </w:r>
            <w:r w:rsidR="00BA7E5C" w:rsidRPr="00BA7E5C">
              <w:rPr>
                <w:color w:val="auto"/>
                <w:sz w:val="20"/>
                <w:szCs w:val="20"/>
                <w:vertAlign w:val="superscript"/>
              </w:rPr>
              <w:t>1</w:t>
            </w:r>
          </w:p>
        </w:tc>
        <w:tc>
          <w:tcPr>
            <w:tcW w:w="966" w:type="pct"/>
            <w:tcBorders>
              <w:bottom w:val="nil"/>
            </w:tcBorders>
            <w:shd w:val="clear" w:color="auto" w:fill="auto"/>
            <w:vAlign w:val="bottom"/>
          </w:tcPr>
          <w:p w14:paraId="0B3460BA" w14:textId="77777777" w:rsidR="00733AF2" w:rsidRPr="00597BEE" w:rsidRDefault="00733AF2" w:rsidP="00942CC4">
            <w:pPr>
              <w:tabs>
                <w:tab w:val="decimal" w:pos="1026"/>
              </w:tabs>
              <w:rPr>
                <w:color w:val="auto"/>
              </w:rPr>
            </w:pPr>
            <w:r w:rsidRPr="00597BEE">
              <w:rPr>
                <w:color w:val="auto"/>
              </w:rPr>
              <w:t>-</w:t>
            </w:r>
          </w:p>
        </w:tc>
      </w:tr>
      <w:tr w:rsidR="00733AF2" w:rsidRPr="00052104" w14:paraId="69D6B17A" w14:textId="77777777" w:rsidTr="00942CC4">
        <w:trPr>
          <w:trHeight w:val="369"/>
        </w:trPr>
        <w:tc>
          <w:tcPr>
            <w:tcW w:w="3105" w:type="pct"/>
            <w:shd w:val="clear" w:color="auto" w:fill="auto"/>
            <w:vAlign w:val="bottom"/>
          </w:tcPr>
          <w:p w14:paraId="1355DF4A" w14:textId="1F6D5EC3" w:rsidR="00733AF2" w:rsidRPr="00597BEE" w:rsidRDefault="004E5727">
            <w:pPr>
              <w:jc w:val="left"/>
              <w:rPr>
                <w:color w:val="auto"/>
              </w:rPr>
            </w:pPr>
            <w:r>
              <w:rPr>
                <w:color w:val="auto"/>
              </w:rPr>
              <w:t>Proportion of premiums incurred in previous financial years to be charge</w:t>
            </w:r>
            <w:r w:rsidR="00B81795">
              <w:rPr>
                <w:color w:val="auto"/>
              </w:rPr>
              <w:t>d</w:t>
            </w:r>
            <w:r>
              <w:rPr>
                <w:color w:val="auto"/>
              </w:rPr>
              <w:t xml:space="preserve"> against county fund balance</w:t>
            </w:r>
          </w:p>
        </w:tc>
        <w:tc>
          <w:tcPr>
            <w:tcW w:w="929" w:type="pct"/>
            <w:tcBorders>
              <w:bottom w:val="nil"/>
            </w:tcBorders>
            <w:shd w:val="clear" w:color="auto" w:fill="auto"/>
            <w:vAlign w:val="bottom"/>
          </w:tcPr>
          <w:p w14:paraId="6063C590" w14:textId="1CDEC5AB" w:rsidR="00733AF2" w:rsidRPr="00597BEE" w:rsidRDefault="001E44F9" w:rsidP="00942CC4">
            <w:pPr>
              <w:tabs>
                <w:tab w:val="decimal" w:pos="884"/>
              </w:tabs>
              <w:rPr>
                <w:color w:val="auto"/>
              </w:rPr>
            </w:pPr>
            <w:r>
              <w:rPr>
                <w:color w:val="auto"/>
              </w:rPr>
              <w:t>(3.2)</w:t>
            </w:r>
          </w:p>
        </w:tc>
        <w:tc>
          <w:tcPr>
            <w:tcW w:w="966" w:type="pct"/>
            <w:tcBorders>
              <w:bottom w:val="nil"/>
            </w:tcBorders>
            <w:shd w:val="clear" w:color="auto" w:fill="auto"/>
            <w:vAlign w:val="bottom"/>
          </w:tcPr>
          <w:p w14:paraId="6E9F218B" w14:textId="22597433" w:rsidR="00733AF2" w:rsidRPr="00597BEE" w:rsidRDefault="001E44F9">
            <w:pPr>
              <w:tabs>
                <w:tab w:val="decimal" w:pos="1026"/>
              </w:tabs>
              <w:rPr>
                <w:color w:val="auto"/>
              </w:rPr>
            </w:pPr>
            <w:r>
              <w:rPr>
                <w:color w:val="auto"/>
              </w:rPr>
              <w:t>(</w:t>
            </w:r>
            <w:r w:rsidR="00733AF2" w:rsidRPr="00597BEE">
              <w:rPr>
                <w:color w:val="auto"/>
              </w:rPr>
              <w:t>2.</w:t>
            </w:r>
            <w:r>
              <w:rPr>
                <w:color w:val="auto"/>
              </w:rPr>
              <w:t>5)</w:t>
            </w:r>
          </w:p>
        </w:tc>
      </w:tr>
      <w:tr w:rsidR="00733AF2" w:rsidRPr="004F1182" w14:paraId="3017165F" w14:textId="77777777" w:rsidTr="00942CC4">
        <w:trPr>
          <w:trHeight w:val="369"/>
        </w:trPr>
        <w:tc>
          <w:tcPr>
            <w:tcW w:w="3105" w:type="pct"/>
            <w:shd w:val="clear" w:color="auto" w:fill="auto"/>
            <w:vAlign w:val="bottom"/>
          </w:tcPr>
          <w:p w14:paraId="6C638962" w14:textId="6F5E283F" w:rsidR="00733AF2" w:rsidRPr="00597BEE" w:rsidRDefault="00733AF2" w:rsidP="00942CC4">
            <w:pPr>
              <w:jc w:val="left"/>
              <w:rPr>
                <w:b/>
                <w:color w:val="auto"/>
              </w:rPr>
            </w:pPr>
            <w:r w:rsidRPr="00597BEE">
              <w:rPr>
                <w:b/>
                <w:color w:val="auto"/>
              </w:rPr>
              <w:t xml:space="preserve">Balance </w:t>
            </w:r>
            <w:r w:rsidR="002B3169">
              <w:rPr>
                <w:b/>
                <w:color w:val="auto"/>
              </w:rPr>
              <w:t xml:space="preserve">as </w:t>
            </w:r>
            <w:r w:rsidRPr="00597BEE">
              <w:rPr>
                <w:b/>
                <w:color w:val="auto"/>
              </w:rPr>
              <w:t>at 31 March</w:t>
            </w:r>
          </w:p>
        </w:tc>
        <w:tc>
          <w:tcPr>
            <w:tcW w:w="929" w:type="pct"/>
            <w:tcBorders>
              <w:top w:val="single" w:sz="4" w:space="0" w:color="auto"/>
              <w:bottom w:val="single" w:sz="4" w:space="0" w:color="auto"/>
            </w:tcBorders>
            <w:shd w:val="clear" w:color="auto" w:fill="auto"/>
            <w:vAlign w:val="bottom"/>
          </w:tcPr>
          <w:p w14:paraId="419A5C4D" w14:textId="2D428C3F" w:rsidR="00733AF2" w:rsidRPr="00597BEE" w:rsidRDefault="001E44F9" w:rsidP="009C1D66">
            <w:pPr>
              <w:tabs>
                <w:tab w:val="decimal" w:pos="884"/>
              </w:tabs>
              <w:rPr>
                <w:b/>
                <w:color w:val="auto"/>
              </w:rPr>
            </w:pPr>
            <w:r>
              <w:rPr>
                <w:b/>
                <w:color w:val="auto"/>
              </w:rPr>
              <w:t>48</w:t>
            </w:r>
            <w:r w:rsidR="00733AF2" w:rsidRPr="00597BEE">
              <w:rPr>
                <w:b/>
                <w:color w:val="auto"/>
              </w:rPr>
              <w:t>.</w:t>
            </w:r>
            <w:r w:rsidR="001339B9">
              <w:rPr>
                <w:b/>
                <w:color w:val="auto"/>
              </w:rPr>
              <w:t>2</w:t>
            </w:r>
          </w:p>
        </w:tc>
        <w:tc>
          <w:tcPr>
            <w:tcW w:w="966" w:type="pct"/>
            <w:tcBorders>
              <w:top w:val="single" w:sz="4" w:space="0" w:color="auto"/>
              <w:bottom w:val="single" w:sz="4" w:space="0" w:color="auto"/>
            </w:tcBorders>
            <w:shd w:val="clear" w:color="auto" w:fill="auto"/>
            <w:vAlign w:val="bottom"/>
          </w:tcPr>
          <w:p w14:paraId="59D3DECC" w14:textId="5171D449" w:rsidR="00733AF2" w:rsidRPr="00597BEE" w:rsidRDefault="00733AF2">
            <w:pPr>
              <w:tabs>
                <w:tab w:val="decimal" w:pos="1026"/>
              </w:tabs>
              <w:rPr>
                <w:b/>
                <w:color w:val="auto"/>
              </w:rPr>
            </w:pPr>
            <w:r w:rsidRPr="00597BEE">
              <w:rPr>
                <w:b/>
                <w:color w:val="auto"/>
              </w:rPr>
              <w:t>27.</w:t>
            </w:r>
            <w:r w:rsidR="001E44F9">
              <w:rPr>
                <w:b/>
                <w:color w:val="auto"/>
              </w:rPr>
              <w:t>1</w:t>
            </w:r>
          </w:p>
        </w:tc>
      </w:tr>
    </w:tbl>
    <w:p w14:paraId="43E554D4" w14:textId="6C13CCAD" w:rsidR="008C77A2" w:rsidRPr="008C77A2" w:rsidRDefault="00BA7E5C" w:rsidP="008C77A2">
      <w:pPr>
        <w:rPr>
          <w:sz w:val="20"/>
          <w:szCs w:val="20"/>
          <w:lang w:eastAsia="en-GB"/>
        </w:rPr>
      </w:pPr>
      <w:r w:rsidRPr="00BA7E5C">
        <w:rPr>
          <w:sz w:val="18"/>
          <w:szCs w:val="20"/>
          <w:vertAlign w:val="superscript"/>
          <w:lang w:eastAsia="en-GB"/>
        </w:rPr>
        <w:t>1</w:t>
      </w:r>
      <w:r w:rsidR="008C77A2" w:rsidRPr="008C77A2">
        <w:rPr>
          <w:sz w:val="20"/>
          <w:szCs w:val="20"/>
          <w:lang w:eastAsia="en-GB"/>
        </w:rPr>
        <w:t xml:space="preserve">This relates to </w:t>
      </w:r>
      <w:r w:rsidR="008C77A2">
        <w:rPr>
          <w:sz w:val="20"/>
          <w:szCs w:val="20"/>
          <w:lang w:eastAsia="en-GB"/>
        </w:rPr>
        <w:t xml:space="preserve">the </w:t>
      </w:r>
      <w:r w:rsidR="008C77A2" w:rsidRPr="008C77A2">
        <w:rPr>
          <w:sz w:val="20"/>
          <w:szCs w:val="20"/>
          <w:lang w:eastAsia="en-GB"/>
        </w:rPr>
        <w:t xml:space="preserve">refinancing of </w:t>
      </w:r>
      <w:r w:rsidR="00EC48FE">
        <w:rPr>
          <w:sz w:val="20"/>
          <w:szCs w:val="20"/>
          <w:lang w:eastAsia="en-GB"/>
        </w:rPr>
        <w:t>waste treatment facilities.</w:t>
      </w:r>
    </w:p>
    <w:p w14:paraId="280132EC" w14:textId="77777777" w:rsidR="00733AF2" w:rsidRDefault="00733AF2" w:rsidP="00C734A4">
      <w:pPr>
        <w:rPr>
          <w:b/>
          <w:lang w:eastAsia="en-GB"/>
        </w:rPr>
      </w:pPr>
    </w:p>
    <w:p w14:paraId="6255C9D8" w14:textId="77777777" w:rsidR="00122C43" w:rsidRPr="00A06955" w:rsidRDefault="00122C43" w:rsidP="00C734A4">
      <w:pPr>
        <w:rPr>
          <w:b/>
          <w:lang w:eastAsia="en-GB"/>
        </w:rPr>
      </w:pPr>
      <w:r w:rsidRPr="00A06955">
        <w:rPr>
          <w:b/>
          <w:lang w:eastAsia="en-GB"/>
        </w:rPr>
        <w:t>Revaluation Reserve</w:t>
      </w:r>
    </w:p>
    <w:p w14:paraId="102D40D5" w14:textId="77777777" w:rsidR="00122C43" w:rsidRPr="00A06955" w:rsidRDefault="00122C43" w:rsidP="00C734A4">
      <w:pPr>
        <w:rPr>
          <w:lang w:eastAsia="en-GB"/>
        </w:rPr>
      </w:pPr>
      <w:r w:rsidRPr="00A06955">
        <w:rPr>
          <w:lang w:eastAsia="en-GB"/>
        </w:rPr>
        <w:t>The revaluation reserve contains the gains made by the council arising from increases in the value of its property, plant and equipment and intangible assets.  The balance is reduced when assets with accumulated gains are:</w:t>
      </w:r>
    </w:p>
    <w:p w14:paraId="331CEB4B" w14:textId="0B28FB61" w:rsidR="00122C43" w:rsidRPr="00A06955" w:rsidRDefault="001F510F" w:rsidP="00EC401F">
      <w:pPr>
        <w:numPr>
          <w:ilvl w:val="0"/>
          <w:numId w:val="40"/>
        </w:numPr>
        <w:rPr>
          <w:lang w:eastAsia="en-GB"/>
        </w:rPr>
      </w:pPr>
      <w:r w:rsidRPr="00A06955">
        <w:rPr>
          <w:lang w:eastAsia="en-GB"/>
        </w:rPr>
        <w:t>R</w:t>
      </w:r>
      <w:r w:rsidR="00122C43" w:rsidRPr="00A06955">
        <w:rPr>
          <w:lang w:eastAsia="en-GB"/>
        </w:rPr>
        <w:t>evalued downwards or impaired and the gains are lost</w:t>
      </w:r>
      <w:r w:rsidRPr="00A06955">
        <w:rPr>
          <w:lang w:eastAsia="en-GB"/>
        </w:rPr>
        <w:t>;</w:t>
      </w:r>
    </w:p>
    <w:p w14:paraId="777B73C2" w14:textId="70FC51C1" w:rsidR="00122C43" w:rsidRPr="00A06955" w:rsidRDefault="00DC22AE" w:rsidP="00EC401F">
      <w:pPr>
        <w:numPr>
          <w:ilvl w:val="0"/>
          <w:numId w:val="40"/>
        </w:numPr>
        <w:rPr>
          <w:lang w:eastAsia="en-GB"/>
        </w:rPr>
      </w:pPr>
      <w:r>
        <w:rPr>
          <w:lang w:eastAsia="en-GB"/>
        </w:rPr>
        <w:t>U</w:t>
      </w:r>
      <w:r w:rsidR="00122C43" w:rsidRPr="00A06955">
        <w:rPr>
          <w:lang w:eastAsia="en-GB"/>
        </w:rPr>
        <w:t>sed in the provision of services and the gains are consumed through depreciation or</w:t>
      </w:r>
      <w:r w:rsidR="001F510F" w:rsidRPr="00A06955">
        <w:rPr>
          <w:lang w:eastAsia="en-GB"/>
        </w:rPr>
        <w:t>;</w:t>
      </w:r>
    </w:p>
    <w:p w14:paraId="5614DFAC" w14:textId="1D1F42CD" w:rsidR="00122C43" w:rsidRPr="00A06955" w:rsidRDefault="00DC22AE" w:rsidP="00EC401F">
      <w:pPr>
        <w:numPr>
          <w:ilvl w:val="0"/>
          <w:numId w:val="40"/>
        </w:numPr>
        <w:rPr>
          <w:lang w:eastAsia="en-GB"/>
        </w:rPr>
      </w:pPr>
      <w:r>
        <w:rPr>
          <w:lang w:eastAsia="en-GB"/>
        </w:rPr>
        <w:t>D</w:t>
      </w:r>
      <w:r w:rsidR="00122C43" w:rsidRPr="00A06955">
        <w:rPr>
          <w:lang w:eastAsia="en-GB"/>
        </w:rPr>
        <w:t>isposed of and the gains are realised.</w:t>
      </w:r>
    </w:p>
    <w:p w14:paraId="79D5AF9C" w14:textId="77777777" w:rsidR="00122C43" w:rsidRDefault="00122C43" w:rsidP="00122C43">
      <w:pPr>
        <w:rPr>
          <w:lang w:eastAsia="en-GB"/>
        </w:rPr>
      </w:pPr>
      <w:r w:rsidRPr="00A06955">
        <w:rPr>
          <w:lang w:eastAsia="en-GB"/>
        </w:rPr>
        <w:lastRenderedPageBreak/>
        <w:t>The revaluation reserve contains only revaluation gains accumulated since 1 April 2007, the date that the reserve was created. Accumulated gains arising before that date are consolidated into the balance on the Capital Adjustment Account.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43"/>
        <w:gridCol w:w="1666"/>
        <w:gridCol w:w="1741"/>
      </w:tblGrid>
      <w:tr w:rsidR="00BA3029" w:rsidRPr="00052104" w14:paraId="03EBD6C3" w14:textId="77777777" w:rsidTr="00A06955">
        <w:trPr>
          <w:trHeight w:val="369"/>
          <w:tblHeader/>
        </w:trPr>
        <w:tc>
          <w:tcPr>
            <w:tcW w:w="3370" w:type="pct"/>
            <w:shd w:val="clear" w:color="auto" w:fill="D0CECE"/>
            <w:vAlign w:val="bottom"/>
          </w:tcPr>
          <w:p w14:paraId="15BEE39E" w14:textId="77777777" w:rsidR="00BA3029" w:rsidRPr="003C0F16" w:rsidRDefault="00BA3029" w:rsidP="00411CCE">
            <w:pPr>
              <w:jc w:val="left"/>
              <w:rPr>
                <w:color w:val="auto"/>
                <w:highlight w:val="yellow"/>
              </w:rPr>
            </w:pPr>
          </w:p>
        </w:tc>
        <w:tc>
          <w:tcPr>
            <w:tcW w:w="797" w:type="pct"/>
            <w:shd w:val="clear" w:color="auto" w:fill="D0CECE"/>
            <w:vAlign w:val="bottom"/>
          </w:tcPr>
          <w:p w14:paraId="572EE642" w14:textId="77777777" w:rsidR="00BA3029" w:rsidRPr="00A06955" w:rsidRDefault="00BA3029" w:rsidP="00411CCE">
            <w:pPr>
              <w:jc w:val="center"/>
              <w:rPr>
                <w:b/>
                <w:color w:val="auto"/>
              </w:rPr>
            </w:pPr>
            <w:r w:rsidRPr="00A06955">
              <w:rPr>
                <w:b/>
                <w:color w:val="auto"/>
              </w:rPr>
              <w:t>2014/15</w:t>
            </w:r>
          </w:p>
        </w:tc>
        <w:tc>
          <w:tcPr>
            <w:tcW w:w="833" w:type="pct"/>
            <w:shd w:val="clear" w:color="auto" w:fill="D0CECE"/>
            <w:vAlign w:val="bottom"/>
          </w:tcPr>
          <w:p w14:paraId="3D446537" w14:textId="77777777" w:rsidR="00BA3029" w:rsidRPr="00052104" w:rsidRDefault="00BA3029" w:rsidP="00411CCE">
            <w:pPr>
              <w:jc w:val="center"/>
              <w:rPr>
                <w:b/>
                <w:color w:val="auto"/>
              </w:rPr>
            </w:pPr>
            <w:r>
              <w:rPr>
                <w:b/>
                <w:color w:val="auto"/>
              </w:rPr>
              <w:t>2013/14</w:t>
            </w:r>
          </w:p>
        </w:tc>
      </w:tr>
      <w:tr w:rsidR="00BA3029" w:rsidRPr="00052104" w14:paraId="35BC3AC7" w14:textId="77777777" w:rsidTr="00A06955">
        <w:trPr>
          <w:trHeight w:val="369"/>
          <w:tblHeader/>
        </w:trPr>
        <w:tc>
          <w:tcPr>
            <w:tcW w:w="3370" w:type="pct"/>
            <w:shd w:val="clear" w:color="auto" w:fill="D0CECE"/>
            <w:vAlign w:val="bottom"/>
          </w:tcPr>
          <w:p w14:paraId="099A99E9" w14:textId="77777777" w:rsidR="00BA3029" w:rsidRPr="003C0F16" w:rsidRDefault="00BA3029" w:rsidP="00411CCE">
            <w:pPr>
              <w:jc w:val="left"/>
              <w:rPr>
                <w:color w:val="auto"/>
                <w:highlight w:val="yellow"/>
              </w:rPr>
            </w:pPr>
          </w:p>
        </w:tc>
        <w:tc>
          <w:tcPr>
            <w:tcW w:w="797" w:type="pct"/>
            <w:shd w:val="clear" w:color="auto" w:fill="D0CECE"/>
            <w:vAlign w:val="bottom"/>
          </w:tcPr>
          <w:p w14:paraId="0B0F336C" w14:textId="77777777" w:rsidR="00BA3029" w:rsidRPr="00A06955" w:rsidRDefault="00BA3029" w:rsidP="00411CCE">
            <w:pPr>
              <w:jc w:val="center"/>
              <w:rPr>
                <w:b/>
                <w:color w:val="auto"/>
              </w:rPr>
            </w:pPr>
            <w:r w:rsidRPr="00A06955">
              <w:rPr>
                <w:b/>
                <w:color w:val="auto"/>
              </w:rPr>
              <w:t>£m</w:t>
            </w:r>
          </w:p>
        </w:tc>
        <w:tc>
          <w:tcPr>
            <w:tcW w:w="833" w:type="pct"/>
            <w:shd w:val="clear" w:color="auto" w:fill="D0CECE"/>
            <w:vAlign w:val="bottom"/>
          </w:tcPr>
          <w:p w14:paraId="61347D6A" w14:textId="77777777" w:rsidR="00BA3029" w:rsidRPr="00052104" w:rsidRDefault="00BA3029" w:rsidP="00411CCE">
            <w:pPr>
              <w:jc w:val="center"/>
              <w:rPr>
                <w:b/>
                <w:color w:val="auto"/>
              </w:rPr>
            </w:pPr>
            <w:r w:rsidRPr="00052104">
              <w:rPr>
                <w:b/>
                <w:color w:val="auto"/>
              </w:rPr>
              <w:t>£m</w:t>
            </w:r>
          </w:p>
        </w:tc>
      </w:tr>
      <w:tr w:rsidR="00BA3029" w:rsidRPr="00BA3029" w14:paraId="494636E4" w14:textId="77777777" w:rsidTr="00BA3029">
        <w:trPr>
          <w:trHeight w:val="369"/>
        </w:trPr>
        <w:tc>
          <w:tcPr>
            <w:tcW w:w="3370" w:type="pct"/>
            <w:shd w:val="clear" w:color="auto" w:fill="auto"/>
            <w:vAlign w:val="bottom"/>
          </w:tcPr>
          <w:p w14:paraId="1127B405" w14:textId="0A3AE8FC" w:rsidR="00BA3029" w:rsidRPr="00A06955" w:rsidRDefault="00BA3029" w:rsidP="00411CCE">
            <w:pPr>
              <w:jc w:val="left"/>
              <w:rPr>
                <w:b/>
                <w:color w:val="auto"/>
              </w:rPr>
            </w:pPr>
            <w:r w:rsidRPr="00A06955">
              <w:rPr>
                <w:b/>
                <w:color w:val="auto"/>
              </w:rPr>
              <w:t xml:space="preserve">Balance </w:t>
            </w:r>
            <w:r w:rsidR="002B3169">
              <w:rPr>
                <w:b/>
                <w:color w:val="auto"/>
              </w:rPr>
              <w:t xml:space="preserve">as </w:t>
            </w:r>
            <w:r w:rsidRPr="00A06955">
              <w:rPr>
                <w:b/>
                <w:color w:val="auto"/>
              </w:rPr>
              <w:t>at 1 April</w:t>
            </w:r>
            <w:r w:rsidR="00955619">
              <w:rPr>
                <w:b/>
                <w:color w:val="auto"/>
              </w:rPr>
              <w:t xml:space="preserve"> 2014</w:t>
            </w:r>
          </w:p>
        </w:tc>
        <w:tc>
          <w:tcPr>
            <w:tcW w:w="797" w:type="pct"/>
            <w:tcBorders>
              <w:bottom w:val="nil"/>
            </w:tcBorders>
            <w:shd w:val="clear" w:color="auto" w:fill="auto"/>
            <w:vAlign w:val="bottom"/>
          </w:tcPr>
          <w:p w14:paraId="3B31E17C" w14:textId="5352795B" w:rsidR="00BA3029" w:rsidRPr="00A06955" w:rsidRDefault="00597BEE" w:rsidP="00411CCE">
            <w:pPr>
              <w:tabs>
                <w:tab w:val="decimal" w:pos="884"/>
              </w:tabs>
              <w:rPr>
                <w:b/>
                <w:color w:val="auto"/>
              </w:rPr>
            </w:pPr>
            <w:r w:rsidRPr="00A06955">
              <w:rPr>
                <w:b/>
                <w:color w:val="auto"/>
              </w:rPr>
              <w:t>(665.0)</w:t>
            </w:r>
          </w:p>
        </w:tc>
        <w:tc>
          <w:tcPr>
            <w:tcW w:w="833" w:type="pct"/>
            <w:tcBorders>
              <w:bottom w:val="nil"/>
            </w:tcBorders>
            <w:shd w:val="clear" w:color="auto" w:fill="auto"/>
            <w:vAlign w:val="bottom"/>
          </w:tcPr>
          <w:p w14:paraId="03A41855" w14:textId="77777777" w:rsidR="00BA3029" w:rsidRPr="00CD5A88" w:rsidRDefault="00BA3029" w:rsidP="00BA3029">
            <w:pPr>
              <w:tabs>
                <w:tab w:val="decimal" w:pos="884"/>
              </w:tabs>
              <w:rPr>
                <w:b/>
                <w:color w:val="auto"/>
              </w:rPr>
            </w:pPr>
            <w:r w:rsidRPr="00CD5A88">
              <w:rPr>
                <w:b/>
                <w:color w:val="auto"/>
              </w:rPr>
              <w:t>(663.2)</w:t>
            </w:r>
          </w:p>
        </w:tc>
      </w:tr>
      <w:tr w:rsidR="00BA3029" w:rsidRPr="00052104" w14:paraId="739B1393" w14:textId="77777777" w:rsidTr="00BA3029">
        <w:trPr>
          <w:trHeight w:val="369"/>
        </w:trPr>
        <w:tc>
          <w:tcPr>
            <w:tcW w:w="3370" w:type="pct"/>
            <w:shd w:val="clear" w:color="auto" w:fill="auto"/>
            <w:vAlign w:val="bottom"/>
          </w:tcPr>
          <w:p w14:paraId="25B4A3A5" w14:textId="77777777" w:rsidR="00BA3029" w:rsidRPr="00A06955" w:rsidRDefault="00BA3029" w:rsidP="00411CCE">
            <w:pPr>
              <w:jc w:val="left"/>
              <w:rPr>
                <w:color w:val="auto"/>
              </w:rPr>
            </w:pPr>
            <w:r w:rsidRPr="00A06955">
              <w:rPr>
                <w:color w:val="auto"/>
              </w:rPr>
              <w:t>Upward revaluation of assets</w:t>
            </w:r>
          </w:p>
        </w:tc>
        <w:tc>
          <w:tcPr>
            <w:tcW w:w="797" w:type="pct"/>
            <w:tcBorders>
              <w:bottom w:val="nil"/>
            </w:tcBorders>
            <w:shd w:val="clear" w:color="auto" w:fill="auto"/>
            <w:vAlign w:val="bottom"/>
          </w:tcPr>
          <w:p w14:paraId="1DF6AA1D" w14:textId="699E4C2E" w:rsidR="00BA3029" w:rsidRPr="00A06955" w:rsidRDefault="00EA3A34" w:rsidP="00034E7C">
            <w:pPr>
              <w:tabs>
                <w:tab w:val="decimal" w:pos="884"/>
              </w:tabs>
              <w:rPr>
                <w:color w:val="auto"/>
              </w:rPr>
            </w:pPr>
            <w:r w:rsidRPr="00A06955">
              <w:rPr>
                <w:color w:val="auto"/>
              </w:rPr>
              <w:t>(59.</w:t>
            </w:r>
            <w:r w:rsidR="00034E7C">
              <w:rPr>
                <w:color w:val="auto"/>
              </w:rPr>
              <w:t>4</w:t>
            </w:r>
            <w:r w:rsidRPr="00A06955">
              <w:rPr>
                <w:color w:val="auto"/>
              </w:rPr>
              <w:t>)</w:t>
            </w:r>
          </w:p>
        </w:tc>
        <w:tc>
          <w:tcPr>
            <w:tcW w:w="833" w:type="pct"/>
            <w:tcBorders>
              <w:bottom w:val="nil"/>
            </w:tcBorders>
            <w:shd w:val="clear" w:color="auto" w:fill="auto"/>
            <w:vAlign w:val="bottom"/>
          </w:tcPr>
          <w:p w14:paraId="1AE8E4B7" w14:textId="77777777" w:rsidR="00BA3029" w:rsidRPr="00CD5A88" w:rsidRDefault="00BA3029" w:rsidP="00BA3029">
            <w:pPr>
              <w:tabs>
                <w:tab w:val="decimal" w:pos="884"/>
              </w:tabs>
              <w:rPr>
                <w:color w:val="auto"/>
              </w:rPr>
            </w:pPr>
            <w:r w:rsidRPr="00CD5A88">
              <w:rPr>
                <w:color w:val="auto"/>
              </w:rPr>
              <w:t>(70.8)</w:t>
            </w:r>
          </w:p>
        </w:tc>
      </w:tr>
      <w:tr w:rsidR="00BA3029" w:rsidRPr="00052104" w14:paraId="3840126F" w14:textId="77777777" w:rsidTr="00BA3029">
        <w:trPr>
          <w:trHeight w:val="369"/>
        </w:trPr>
        <w:tc>
          <w:tcPr>
            <w:tcW w:w="3370" w:type="pct"/>
            <w:shd w:val="clear" w:color="auto" w:fill="auto"/>
            <w:vAlign w:val="bottom"/>
          </w:tcPr>
          <w:p w14:paraId="1F4AD91A" w14:textId="77777777" w:rsidR="00BA3029" w:rsidRPr="00A06955" w:rsidRDefault="00BA3029" w:rsidP="00411CCE">
            <w:pPr>
              <w:jc w:val="left"/>
              <w:rPr>
                <w:color w:val="auto"/>
              </w:rPr>
            </w:pPr>
            <w:r w:rsidRPr="00A06955">
              <w:rPr>
                <w:color w:val="auto"/>
              </w:rPr>
              <w:t>Downward revaluation of assets and impairment losses not charged to the Surplus/Deficit on the Provision of Services</w:t>
            </w:r>
          </w:p>
        </w:tc>
        <w:tc>
          <w:tcPr>
            <w:tcW w:w="797" w:type="pct"/>
            <w:tcBorders>
              <w:bottom w:val="nil"/>
            </w:tcBorders>
            <w:shd w:val="clear" w:color="auto" w:fill="auto"/>
            <w:vAlign w:val="bottom"/>
          </w:tcPr>
          <w:p w14:paraId="1577871A" w14:textId="77552158" w:rsidR="00BA3029" w:rsidRPr="00A06955" w:rsidRDefault="00EA3A34" w:rsidP="00411CCE">
            <w:pPr>
              <w:tabs>
                <w:tab w:val="decimal" w:pos="884"/>
              </w:tabs>
              <w:rPr>
                <w:color w:val="auto"/>
              </w:rPr>
            </w:pPr>
            <w:r w:rsidRPr="00A06955">
              <w:rPr>
                <w:color w:val="auto"/>
              </w:rPr>
              <w:t>38.9</w:t>
            </w:r>
          </w:p>
        </w:tc>
        <w:tc>
          <w:tcPr>
            <w:tcW w:w="833" w:type="pct"/>
            <w:tcBorders>
              <w:bottom w:val="nil"/>
            </w:tcBorders>
            <w:shd w:val="clear" w:color="auto" w:fill="auto"/>
            <w:vAlign w:val="bottom"/>
          </w:tcPr>
          <w:p w14:paraId="25869CF4" w14:textId="77777777" w:rsidR="00BA3029" w:rsidRPr="00CD5A88" w:rsidRDefault="00BA3029" w:rsidP="00BA3029">
            <w:pPr>
              <w:tabs>
                <w:tab w:val="decimal" w:pos="884"/>
              </w:tabs>
              <w:rPr>
                <w:color w:val="auto"/>
              </w:rPr>
            </w:pPr>
            <w:r w:rsidRPr="00CD5A88">
              <w:rPr>
                <w:color w:val="auto"/>
              </w:rPr>
              <w:t>56.1</w:t>
            </w:r>
          </w:p>
        </w:tc>
      </w:tr>
      <w:tr w:rsidR="00BA3029" w:rsidRPr="00BA3029" w14:paraId="04A4B832" w14:textId="77777777" w:rsidTr="00BA3029">
        <w:trPr>
          <w:trHeight w:val="369"/>
        </w:trPr>
        <w:tc>
          <w:tcPr>
            <w:tcW w:w="3370" w:type="pct"/>
            <w:shd w:val="clear" w:color="auto" w:fill="auto"/>
            <w:vAlign w:val="bottom"/>
          </w:tcPr>
          <w:p w14:paraId="0D100558" w14:textId="77777777" w:rsidR="00BA3029" w:rsidRPr="00A06955" w:rsidRDefault="00BA3029" w:rsidP="00411CCE">
            <w:pPr>
              <w:jc w:val="left"/>
              <w:rPr>
                <w:b/>
                <w:color w:val="auto"/>
              </w:rPr>
            </w:pPr>
            <w:r w:rsidRPr="00A06955">
              <w:rPr>
                <w:b/>
                <w:color w:val="auto"/>
              </w:rPr>
              <w:t>Surplus or deficit on revaluation of non-current assets not posted to the Surplus or Deficit on the Provision of Services</w:t>
            </w:r>
          </w:p>
        </w:tc>
        <w:tc>
          <w:tcPr>
            <w:tcW w:w="797" w:type="pct"/>
            <w:tcBorders>
              <w:bottom w:val="nil"/>
            </w:tcBorders>
            <w:shd w:val="clear" w:color="auto" w:fill="auto"/>
            <w:vAlign w:val="bottom"/>
          </w:tcPr>
          <w:p w14:paraId="3AA9AC5A" w14:textId="6162E850" w:rsidR="00BA3029" w:rsidRPr="00034E7C" w:rsidRDefault="00CD5A88" w:rsidP="00034E7C">
            <w:pPr>
              <w:tabs>
                <w:tab w:val="decimal" w:pos="884"/>
              </w:tabs>
              <w:rPr>
                <w:b/>
                <w:color w:val="auto"/>
              </w:rPr>
            </w:pPr>
            <w:r w:rsidRPr="00034E7C">
              <w:rPr>
                <w:b/>
                <w:color w:val="auto"/>
              </w:rPr>
              <w:t>(20.</w:t>
            </w:r>
            <w:r w:rsidR="00034E7C" w:rsidRPr="00034E7C">
              <w:rPr>
                <w:b/>
                <w:color w:val="auto"/>
              </w:rPr>
              <w:t>5</w:t>
            </w:r>
            <w:r w:rsidRPr="00034E7C">
              <w:rPr>
                <w:b/>
                <w:color w:val="auto"/>
              </w:rPr>
              <w:t>)</w:t>
            </w:r>
          </w:p>
        </w:tc>
        <w:tc>
          <w:tcPr>
            <w:tcW w:w="833" w:type="pct"/>
            <w:tcBorders>
              <w:bottom w:val="nil"/>
            </w:tcBorders>
            <w:shd w:val="clear" w:color="auto" w:fill="auto"/>
            <w:vAlign w:val="bottom"/>
          </w:tcPr>
          <w:p w14:paraId="1A45D90E" w14:textId="77777777" w:rsidR="00BA3029" w:rsidRPr="00CD5A88" w:rsidRDefault="00BA3029" w:rsidP="00BA3029">
            <w:pPr>
              <w:tabs>
                <w:tab w:val="decimal" w:pos="884"/>
              </w:tabs>
              <w:rPr>
                <w:b/>
                <w:color w:val="auto"/>
              </w:rPr>
            </w:pPr>
            <w:r w:rsidRPr="00CD5A88">
              <w:rPr>
                <w:b/>
                <w:color w:val="auto"/>
              </w:rPr>
              <w:t>(14.7)</w:t>
            </w:r>
          </w:p>
        </w:tc>
      </w:tr>
      <w:tr w:rsidR="00BA3029" w:rsidRPr="00052104" w14:paraId="737B36D8" w14:textId="77777777" w:rsidTr="00BA3029">
        <w:trPr>
          <w:trHeight w:val="369"/>
        </w:trPr>
        <w:tc>
          <w:tcPr>
            <w:tcW w:w="3370" w:type="pct"/>
            <w:shd w:val="clear" w:color="auto" w:fill="auto"/>
            <w:vAlign w:val="bottom"/>
          </w:tcPr>
          <w:p w14:paraId="3E3AFBEE" w14:textId="77777777" w:rsidR="00BA3029" w:rsidRPr="00A06955" w:rsidRDefault="00BA3029" w:rsidP="00411CCE">
            <w:pPr>
              <w:jc w:val="left"/>
              <w:rPr>
                <w:color w:val="auto"/>
              </w:rPr>
            </w:pPr>
            <w:r w:rsidRPr="00A06955">
              <w:rPr>
                <w:color w:val="auto"/>
              </w:rPr>
              <w:t>Difference between fair value depreciation and historical cost depreciation</w:t>
            </w:r>
          </w:p>
        </w:tc>
        <w:tc>
          <w:tcPr>
            <w:tcW w:w="797" w:type="pct"/>
            <w:tcBorders>
              <w:bottom w:val="nil"/>
            </w:tcBorders>
            <w:shd w:val="clear" w:color="auto" w:fill="auto"/>
            <w:vAlign w:val="bottom"/>
          </w:tcPr>
          <w:p w14:paraId="77DFA1EA" w14:textId="023833BC" w:rsidR="00BA3029" w:rsidRPr="00034E7C" w:rsidRDefault="00CD5A88" w:rsidP="00411CCE">
            <w:pPr>
              <w:tabs>
                <w:tab w:val="decimal" w:pos="884"/>
              </w:tabs>
              <w:rPr>
                <w:color w:val="auto"/>
              </w:rPr>
            </w:pPr>
            <w:r w:rsidRPr="00034E7C">
              <w:rPr>
                <w:color w:val="auto"/>
              </w:rPr>
              <w:t>10.1</w:t>
            </w:r>
          </w:p>
        </w:tc>
        <w:tc>
          <w:tcPr>
            <w:tcW w:w="833" w:type="pct"/>
            <w:tcBorders>
              <w:bottom w:val="nil"/>
            </w:tcBorders>
            <w:shd w:val="clear" w:color="auto" w:fill="auto"/>
            <w:vAlign w:val="bottom"/>
          </w:tcPr>
          <w:p w14:paraId="595380A6" w14:textId="77777777" w:rsidR="00BA3029" w:rsidRPr="00CD5A88" w:rsidRDefault="00BA3029" w:rsidP="00BA3029">
            <w:pPr>
              <w:tabs>
                <w:tab w:val="decimal" w:pos="884"/>
              </w:tabs>
              <w:rPr>
                <w:color w:val="auto"/>
              </w:rPr>
            </w:pPr>
            <w:r w:rsidRPr="00CD5A88">
              <w:rPr>
                <w:color w:val="auto"/>
              </w:rPr>
              <w:t>9.4</w:t>
            </w:r>
          </w:p>
        </w:tc>
      </w:tr>
      <w:tr w:rsidR="00BA3029" w:rsidRPr="00052104" w14:paraId="045B7974" w14:textId="77777777" w:rsidTr="00BA3029">
        <w:trPr>
          <w:trHeight w:val="369"/>
        </w:trPr>
        <w:tc>
          <w:tcPr>
            <w:tcW w:w="3370" w:type="pct"/>
            <w:shd w:val="clear" w:color="auto" w:fill="auto"/>
            <w:vAlign w:val="bottom"/>
          </w:tcPr>
          <w:p w14:paraId="58F3F4CD" w14:textId="77777777" w:rsidR="00BA3029" w:rsidRPr="00A06955" w:rsidRDefault="00BA3029" w:rsidP="00411CCE">
            <w:pPr>
              <w:jc w:val="left"/>
              <w:rPr>
                <w:color w:val="auto"/>
              </w:rPr>
            </w:pPr>
            <w:r w:rsidRPr="00A06955">
              <w:rPr>
                <w:color w:val="auto"/>
              </w:rPr>
              <w:t>Accumulated gains on assets sold or scrapped</w:t>
            </w:r>
          </w:p>
        </w:tc>
        <w:tc>
          <w:tcPr>
            <w:tcW w:w="797" w:type="pct"/>
            <w:tcBorders>
              <w:bottom w:val="nil"/>
            </w:tcBorders>
            <w:shd w:val="clear" w:color="auto" w:fill="auto"/>
            <w:vAlign w:val="bottom"/>
          </w:tcPr>
          <w:p w14:paraId="220351E3" w14:textId="41255B9C" w:rsidR="00BA3029" w:rsidRPr="00034E7C" w:rsidRDefault="00CD5A88" w:rsidP="00411CCE">
            <w:pPr>
              <w:tabs>
                <w:tab w:val="decimal" w:pos="884"/>
              </w:tabs>
              <w:rPr>
                <w:color w:val="auto"/>
              </w:rPr>
            </w:pPr>
            <w:r w:rsidRPr="00034E7C">
              <w:rPr>
                <w:color w:val="auto"/>
              </w:rPr>
              <w:t>1.2</w:t>
            </w:r>
          </w:p>
        </w:tc>
        <w:tc>
          <w:tcPr>
            <w:tcW w:w="833" w:type="pct"/>
            <w:tcBorders>
              <w:bottom w:val="nil"/>
            </w:tcBorders>
            <w:shd w:val="clear" w:color="auto" w:fill="auto"/>
            <w:vAlign w:val="bottom"/>
          </w:tcPr>
          <w:p w14:paraId="74693D24" w14:textId="77777777" w:rsidR="00BA3029" w:rsidRPr="00CD5A88" w:rsidRDefault="00BA3029" w:rsidP="00BA3029">
            <w:pPr>
              <w:tabs>
                <w:tab w:val="decimal" w:pos="884"/>
              </w:tabs>
              <w:rPr>
                <w:color w:val="auto"/>
              </w:rPr>
            </w:pPr>
            <w:r w:rsidRPr="00CD5A88">
              <w:rPr>
                <w:color w:val="auto"/>
              </w:rPr>
              <w:t>3.5</w:t>
            </w:r>
          </w:p>
        </w:tc>
      </w:tr>
      <w:tr w:rsidR="00BA3029" w:rsidRPr="00BA3029" w14:paraId="02F4DF1B" w14:textId="77777777" w:rsidTr="00BA3029">
        <w:trPr>
          <w:trHeight w:val="369"/>
        </w:trPr>
        <w:tc>
          <w:tcPr>
            <w:tcW w:w="3370" w:type="pct"/>
            <w:shd w:val="clear" w:color="auto" w:fill="auto"/>
            <w:vAlign w:val="bottom"/>
          </w:tcPr>
          <w:p w14:paraId="444F15DB" w14:textId="77777777" w:rsidR="00BA3029" w:rsidRPr="00A06955" w:rsidRDefault="00BA3029" w:rsidP="00411CCE">
            <w:pPr>
              <w:jc w:val="left"/>
              <w:rPr>
                <w:b/>
                <w:color w:val="auto"/>
              </w:rPr>
            </w:pPr>
            <w:r w:rsidRPr="00A06955">
              <w:rPr>
                <w:b/>
                <w:color w:val="auto"/>
              </w:rPr>
              <w:t>Amount written off to the Capital Adjustment Account</w:t>
            </w:r>
          </w:p>
        </w:tc>
        <w:tc>
          <w:tcPr>
            <w:tcW w:w="797" w:type="pct"/>
            <w:tcBorders>
              <w:top w:val="nil"/>
              <w:bottom w:val="single" w:sz="4" w:space="0" w:color="auto"/>
            </w:tcBorders>
            <w:shd w:val="clear" w:color="auto" w:fill="auto"/>
            <w:vAlign w:val="bottom"/>
          </w:tcPr>
          <w:p w14:paraId="29064DAC" w14:textId="51383EDF" w:rsidR="00BA3029" w:rsidRPr="00034E7C" w:rsidRDefault="00CD5A88" w:rsidP="00411CCE">
            <w:pPr>
              <w:tabs>
                <w:tab w:val="decimal" w:pos="884"/>
              </w:tabs>
              <w:rPr>
                <w:b/>
                <w:color w:val="auto"/>
              </w:rPr>
            </w:pPr>
            <w:r w:rsidRPr="00034E7C">
              <w:rPr>
                <w:b/>
                <w:color w:val="auto"/>
              </w:rPr>
              <w:t>11.3</w:t>
            </w:r>
          </w:p>
        </w:tc>
        <w:tc>
          <w:tcPr>
            <w:tcW w:w="833" w:type="pct"/>
            <w:tcBorders>
              <w:top w:val="nil"/>
              <w:bottom w:val="single" w:sz="4" w:space="0" w:color="auto"/>
            </w:tcBorders>
            <w:shd w:val="clear" w:color="auto" w:fill="auto"/>
            <w:vAlign w:val="bottom"/>
          </w:tcPr>
          <w:p w14:paraId="71DE9486" w14:textId="77777777" w:rsidR="00BA3029" w:rsidRPr="00CD5A88" w:rsidRDefault="00BA3029" w:rsidP="00BA3029">
            <w:pPr>
              <w:tabs>
                <w:tab w:val="decimal" w:pos="884"/>
              </w:tabs>
              <w:rPr>
                <w:b/>
                <w:color w:val="auto"/>
              </w:rPr>
            </w:pPr>
            <w:r w:rsidRPr="00CD5A88">
              <w:rPr>
                <w:b/>
                <w:color w:val="auto"/>
              </w:rPr>
              <w:t>12.9</w:t>
            </w:r>
          </w:p>
        </w:tc>
      </w:tr>
      <w:tr w:rsidR="00BA3029" w:rsidRPr="004F1182" w14:paraId="7AECDD85" w14:textId="77777777" w:rsidTr="00BA3029">
        <w:trPr>
          <w:trHeight w:val="369"/>
        </w:trPr>
        <w:tc>
          <w:tcPr>
            <w:tcW w:w="3370" w:type="pct"/>
            <w:shd w:val="clear" w:color="auto" w:fill="auto"/>
            <w:vAlign w:val="bottom"/>
          </w:tcPr>
          <w:p w14:paraId="071FBD31" w14:textId="1108B4D6" w:rsidR="00BA3029" w:rsidRPr="00A06955" w:rsidRDefault="00BA3029" w:rsidP="00411CCE">
            <w:pPr>
              <w:jc w:val="left"/>
              <w:rPr>
                <w:b/>
                <w:color w:val="auto"/>
              </w:rPr>
            </w:pPr>
            <w:r w:rsidRPr="00A06955">
              <w:rPr>
                <w:b/>
                <w:color w:val="auto"/>
              </w:rPr>
              <w:t xml:space="preserve">Balance </w:t>
            </w:r>
            <w:r w:rsidR="002B3169">
              <w:rPr>
                <w:b/>
                <w:color w:val="auto"/>
              </w:rPr>
              <w:t xml:space="preserve">as </w:t>
            </w:r>
            <w:r w:rsidRPr="00A06955">
              <w:rPr>
                <w:b/>
                <w:color w:val="auto"/>
              </w:rPr>
              <w:t>at 31 March</w:t>
            </w:r>
            <w:r w:rsidR="00955619">
              <w:rPr>
                <w:b/>
                <w:color w:val="auto"/>
              </w:rPr>
              <w:t xml:space="preserve"> 2015</w:t>
            </w:r>
          </w:p>
        </w:tc>
        <w:tc>
          <w:tcPr>
            <w:tcW w:w="797" w:type="pct"/>
            <w:tcBorders>
              <w:top w:val="single" w:sz="4" w:space="0" w:color="auto"/>
              <w:bottom w:val="single" w:sz="4" w:space="0" w:color="auto"/>
            </w:tcBorders>
            <w:shd w:val="clear" w:color="auto" w:fill="auto"/>
            <w:vAlign w:val="bottom"/>
          </w:tcPr>
          <w:p w14:paraId="67A9C4FC" w14:textId="38594509" w:rsidR="00BA3029" w:rsidRPr="00034E7C" w:rsidRDefault="00CD5A88" w:rsidP="00034E7C">
            <w:pPr>
              <w:tabs>
                <w:tab w:val="decimal" w:pos="884"/>
              </w:tabs>
              <w:rPr>
                <w:b/>
                <w:color w:val="auto"/>
              </w:rPr>
            </w:pPr>
            <w:r w:rsidRPr="00034E7C">
              <w:rPr>
                <w:b/>
                <w:color w:val="auto"/>
              </w:rPr>
              <w:t>(674.</w:t>
            </w:r>
            <w:r w:rsidR="00034E7C" w:rsidRPr="00034E7C">
              <w:rPr>
                <w:b/>
                <w:color w:val="auto"/>
              </w:rPr>
              <w:t>2</w:t>
            </w:r>
            <w:r w:rsidRPr="00034E7C">
              <w:rPr>
                <w:b/>
                <w:color w:val="auto"/>
              </w:rPr>
              <w:t>)</w:t>
            </w:r>
          </w:p>
        </w:tc>
        <w:tc>
          <w:tcPr>
            <w:tcW w:w="833" w:type="pct"/>
            <w:tcBorders>
              <w:top w:val="single" w:sz="4" w:space="0" w:color="auto"/>
              <w:bottom w:val="single" w:sz="4" w:space="0" w:color="auto"/>
            </w:tcBorders>
            <w:shd w:val="clear" w:color="auto" w:fill="auto"/>
            <w:vAlign w:val="bottom"/>
          </w:tcPr>
          <w:p w14:paraId="76F6F39E" w14:textId="77777777" w:rsidR="00BA3029" w:rsidRPr="00CD5A88" w:rsidRDefault="00BA3029" w:rsidP="00BA3029">
            <w:pPr>
              <w:tabs>
                <w:tab w:val="decimal" w:pos="884"/>
              </w:tabs>
              <w:rPr>
                <w:b/>
                <w:color w:val="auto"/>
              </w:rPr>
            </w:pPr>
            <w:r w:rsidRPr="00CD5A88">
              <w:rPr>
                <w:b/>
                <w:color w:val="auto"/>
              </w:rPr>
              <w:t>(665.0)</w:t>
            </w:r>
          </w:p>
        </w:tc>
      </w:tr>
    </w:tbl>
    <w:p w14:paraId="26E7F479" w14:textId="77777777" w:rsidR="00FE1058" w:rsidRDefault="00FE1058" w:rsidP="00122C43">
      <w:pPr>
        <w:rPr>
          <w:lang w:eastAsia="en-GB"/>
        </w:rPr>
      </w:pPr>
    </w:p>
    <w:p w14:paraId="1EA7C569" w14:textId="77777777" w:rsidR="00BA3029" w:rsidRPr="00A06955" w:rsidRDefault="00BA3029" w:rsidP="00122C43">
      <w:pPr>
        <w:rPr>
          <w:b/>
          <w:lang w:eastAsia="en-GB"/>
        </w:rPr>
      </w:pPr>
      <w:r w:rsidRPr="00A06955">
        <w:rPr>
          <w:b/>
          <w:lang w:eastAsia="en-GB"/>
        </w:rPr>
        <w:t>Capital Adjustment Account</w:t>
      </w:r>
    </w:p>
    <w:p w14:paraId="254D1DFE" w14:textId="77777777" w:rsidR="00BA3029" w:rsidRPr="00A06955" w:rsidRDefault="00BA3029" w:rsidP="00122C43">
      <w:pPr>
        <w:rPr>
          <w:lang w:eastAsia="en-GB"/>
        </w:rPr>
      </w:pPr>
      <w:r w:rsidRPr="00A06955">
        <w:rPr>
          <w:lang w:eastAsia="en-GB"/>
        </w:rPr>
        <w:t>The capital adjustment account absorbs the timing differences arising from the different arrangements for accounting for the consumption of non-current assets and for financing the acquisition, construction or additions of those assets under statutory provisions.</w:t>
      </w:r>
    </w:p>
    <w:p w14:paraId="1A8472BE" w14:textId="77777777" w:rsidR="00BA3029" w:rsidRPr="00A06955" w:rsidRDefault="00BA3029" w:rsidP="00BA3029">
      <w:pPr>
        <w:rPr>
          <w:lang w:eastAsia="en-GB"/>
        </w:rPr>
      </w:pPr>
      <w:r w:rsidRPr="00A06955">
        <w:rPr>
          <w:lang w:eastAsia="en-GB"/>
        </w:rPr>
        <w:lastRenderedPageBreak/>
        <w:t>The account is debited with the cost of acquisition, construction or subsequent costs as depreciation, impairment losses and amortisations are charged to the Comprehensive Income and Expenditure Statement (with reconciling postings from the Revaluation Reserve to convert fair value figures to a historical cost basis). The account is credited with the amounts set aside by the council as finance for the costs of acquisition, construction and enhancement.</w:t>
      </w:r>
    </w:p>
    <w:p w14:paraId="663291DA" w14:textId="77777777" w:rsidR="00BA3029" w:rsidRPr="00A06955" w:rsidRDefault="00BA3029" w:rsidP="00BA3029">
      <w:pPr>
        <w:rPr>
          <w:lang w:eastAsia="en-GB"/>
        </w:rPr>
      </w:pPr>
      <w:r w:rsidRPr="00A06955">
        <w:rPr>
          <w:lang w:eastAsia="en-GB"/>
        </w:rPr>
        <w:t>The account contains revaluation gains accumulated on Proper</w:t>
      </w:r>
      <w:r w:rsidR="00651878" w:rsidRPr="00A06955">
        <w:rPr>
          <w:lang w:eastAsia="en-GB"/>
        </w:rPr>
        <w:t>ty, Plant and Equipment before</w:t>
      </w:r>
      <w:r w:rsidRPr="00A06955">
        <w:rPr>
          <w:lang w:eastAsia="en-GB"/>
        </w:rPr>
        <w:t xml:space="preserve"> 1 April 2007, the date that the Revaluation Reserve was created to hold such gains.</w:t>
      </w:r>
    </w:p>
    <w:p w14:paraId="3D124631" w14:textId="476E3853" w:rsidR="00BA3029" w:rsidRDefault="00BA3029" w:rsidP="00BA3029">
      <w:pPr>
        <w:rPr>
          <w:lang w:eastAsia="en-GB"/>
        </w:rPr>
      </w:pPr>
      <w:r w:rsidRPr="00C24E88">
        <w:rPr>
          <w:lang w:eastAsia="en-GB"/>
        </w:rPr>
        <w:t xml:space="preserve">Note </w:t>
      </w:r>
      <w:r w:rsidR="00C24E88" w:rsidRPr="00C24E88">
        <w:rPr>
          <w:lang w:eastAsia="en-GB"/>
        </w:rPr>
        <w:t>6</w:t>
      </w:r>
      <w:r w:rsidRPr="00C24E88">
        <w:rPr>
          <w:lang w:eastAsia="en-GB"/>
        </w:rPr>
        <w:t xml:space="preserve"> details</w:t>
      </w:r>
      <w:r w:rsidRPr="00A06955">
        <w:rPr>
          <w:lang w:eastAsia="en-GB"/>
        </w:rPr>
        <w:t xml:space="preserve"> the source of all the transactions posted to the account.</w:t>
      </w:r>
    </w:p>
    <w:p w14:paraId="78CFEC11" w14:textId="5BA0496D" w:rsidR="00A71D3B" w:rsidRDefault="00A71D3B">
      <w:pPr>
        <w:autoSpaceDE/>
        <w:autoSpaceDN/>
        <w:adjustRightInd/>
        <w:spacing w:after="0"/>
        <w:jc w:val="left"/>
        <w:rPr>
          <w:lang w:eastAsia="en-GB"/>
        </w:rPr>
      </w:pPr>
      <w:r>
        <w:rPr>
          <w:lang w:eastAsia="en-GB"/>
        </w:rPr>
        <w:br w:type="page"/>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43"/>
        <w:gridCol w:w="1666"/>
        <w:gridCol w:w="1741"/>
      </w:tblGrid>
      <w:tr w:rsidR="00E7723E" w:rsidRPr="00052104" w14:paraId="62F320CE" w14:textId="77777777" w:rsidTr="00A06955">
        <w:trPr>
          <w:trHeight w:val="369"/>
          <w:tblHeader/>
        </w:trPr>
        <w:tc>
          <w:tcPr>
            <w:tcW w:w="3370" w:type="pct"/>
            <w:shd w:val="clear" w:color="auto" w:fill="D0CECE"/>
            <w:vAlign w:val="bottom"/>
          </w:tcPr>
          <w:p w14:paraId="011B9228" w14:textId="77777777" w:rsidR="00E7723E" w:rsidRPr="00A06955" w:rsidRDefault="00E7723E" w:rsidP="00411CCE">
            <w:pPr>
              <w:jc w:val="left"/>
              <w:rPr>
                <w:color w:val="auto"/>
              </w:rPr>
            </w:pPr>
          </w:p>
        </w:tc>
        <w:tc>
          <w:tcPr>
            <w:tcW w:w="797" w:type="pct"/>
            <w:shd w:val="clear" w:color="auto" w:fill="D0CECE"/>
            <w:vAlign w:val="bottom"/>
          </w:tcPr>
          <w:p w14:paraId="19C2BF88" w14:textId="77777777" w:rsidR="00E7723E" w:rsidRPr="00A06955" w:rsidRDefault="00E7723E" w:rsidP="00411CCE">
            <w:pPr>
              <w:jc w:val="center"/>
              <w:rPr>
                <w:b/>
                <w:color w:val="auto"/>
              </w:rPr>
            </w:pPr>
            <w:r w:rsidRPr="00A06955">
              <w:rPr>
                <w:b/>
                <w:color w:val="auto"/>
              </w:rPr>
              <w:t>2014/15</w:t>
            </w:r>
          </w:p>
        </w:tc>
        <w:tc>
          <w:tcPr>
            <w:tcW w:w="833" w:type="pct"/>
            <w:shd w:val="clear" w:color="auto" w:fill="D0CECE"/>
            <w:vAlign w:val="bottom"/>
          </w:tcPr>
          <w:p w14:paraId="5F3A8452" w14:textId="77777777" w:rsidR="00E7723E" w:rsidRPr="00052104" w:rsidRDefault="00E7723E" w:rsidP="00411CCE">
            <w:pPr>
              <w:jc w:val="center"/>
              <w:rPr>
                <w:b/>
                <w:color w:val="auto"/>
              </w:rPr>
            </w:pPr>
            <w:r w:rsidRPr="00052104">
              <w:rPr>
                <w:b/>
                <w:color w:val="auto"/>
              </w:rPr>
              <w:t>2013/14</w:t>
            </w:r>
          </w:p>
        </w:tc>
      </w:tr>
      <w:tr w:rsidR="00E7723E" w:rsidRPr="00052104" w14:paraId="7E3D46BD" w14:textId="77777777" w:rsidTr="00A06955">
        <w:trPr>
          <w:trHeight w:val="369"/>
          <w:tblHeader/>
        </w:trPr>
        <w:tc>
          <w:tcPr>
            <w:tcW w:w="3370" w:type="pct"/>
            <w:shd w:val="clear" w:color="auto" w:fill="D0CECE"/>
            <w:vAlign w:val="bottom"/>
          </w:tcPr>
          <w:p w14:paraId="243E6D48" w14:textId="77777777" w:rsidR="00E7723E" w:rsidRPr="00A06955" w:rsidRDefault="00E7723E" w:rsidP="00411CCE">
            <w:pPr>
              <w:jc w:val="left"/>
              <w:rPr>
                <w:color w:val="auto"/>
              </w:rPr>
            </w:pPr>
          </w:p>
        </w:tc>
        <w:tc>
          <w:tcPr>
            <w:tcW w:w="797" w:type="pct"/>
            <w:shd w:val="clear" w:color="auto" w:fill="D0CECE"/>
            <w:vAlign w:val="bottom"/>
          </w:tcPr>
          <w:p w14:paraId="09F332F5" w14:textId="77777777" w:rsidR="00E7723E" w:rsidRPr="00A06955" w:rsidRDefault="00E7723E" w:rsidP="00411CCE">
            <w:pPr>
              <w:jc w:val="center"/>
              <w:rPr>
                <w:b/>
                <w:color w:val="auto"/>
              </w:rPr>
            </w:pPr>
            <w:r w:rsidRPr="00A06955">
              <w:rPr>
                <w:b/>
                <w:color w:val="auto"/>
              </w:rPr>
              <w:t>£m</w:t>
            </w:r>
          </w:p>
        </w:tc>
        <w:tc>
          <w:tcPr>
            <w:tcW w:w="833" w:type="pct"/>
            <w:shd w:val="clear" w:color="auto" w:fill="D0CECE"/>
            <w:vAlign w:val="bottom"/>
          </w:tcPr>
          <w:p w14:paraId="51F6A5A3" w14:textId="77777777" w:rsidR="00E7723E" w:rsidRPr="00052104" w:rsidRDefault="00E7723E" w:rsidP="00411CCE">
            <w:pPr>
              <w:jc w:val="center"/>
              <w:rPr>
                <w:b/>
                <w:color w:val="auto"/>
              </w:rPr>
            </w:pPr>
            <w:r w:rsidRPr="00052104">
              <w:rPr>
                <w:b/>
                <w:color w:val="auto"/>
              </w:rPr>
              <w:t>£m</w:t>
            </w:r>
          </w:p>
        </w:tc>
      </w:tr>
      <w:tr w:rsidR="00E7723E" w:rsidRPr="00052104" w14:paraId="1A4E6C3C" w14:textId="77777777" w:rsidTr="00E7723E">
        <w:trPr>
          <w:trHeight w:val="369"/>
        </w:trPr>
        <w:tc>
          <w:tcPr>
            <w:tcW w:w="3370" w:type="pct"/>
            <w:shd w:val="clear" w:color="auto" w:fill="auto"/>
            <w:vAlign w:val="bottom"/>
          </w:tcPr>
          <w:p w14:paraId="0FCFA96A" w14:textId="160E2C71" w:rsidR="00E7723E" w:rsidRPr="00A06955" w:rsidRDefault="00E7723E" w:rsidP="00411CCE">
            <w:pPr>
              <w:jc w:val="left"/>
              <w:rPr>
                <w:b/>
                <w:color w:val="auto"/>
              </w:rPr>
            </w:pPr>
            <w:r w:rsidRPr="00A06955">
              <w:rPr>
                <w:b/>
                <w:color w:val="auto"/>
              </w:rPr>
              <w:t xml:space="preserve">Balance </w:t>
            </w:r>
            <w:r w:rsidR="002B3169">
              <w:rPr>
                <w:b/>
                <w:color w:val="auto"/>
              </w:rPr>
              <w:t xml:space="preserve">as </w:t>
            </w:r>
            <w:r w:rsidRPr="00A06955">
              <w:rPr>
                <w:b/>
                <w:color w:val="auto"/>
              </w:rPr>
              <w:t>at 1 April</w:t>
            </w:r>
            <w:r w:rsidR="00955619">
              <w:rPr>
                <w:b/>
                <w:color w:val="auto"/>
              </w:rPr>
              <w:t xml:space="preserve"> 2014</w:t>
            </w:r>
          </w:p>
        </w:tc>
        <w:tc>
          <w:tcPr>
            <w:tcW w:w="797" w:type="pct"/>
            <w:tcBorders>
              <w:bottom w:val="nil"/>
            </w:tcBorders>
            <w:shd w:val="clear" w:color="auto" w:fill="auto"/>
            <w:vAlign w:val="bottom"/>
          </w:tcPr>
          <w:p w14:paraId="2CA2F896" w14:textId="696CB78D" w:rsidR="00E7723E" w:rsidRPr="00A06955" w:rsidRDefault="00597BEE" w:rsidP="00411CCE">
            <w:pPr>
              <w:tabs>
                <w:tab w:val="decimal" w:pos="1026"/>
              </w:tabs>
              <w:rPr>
                <w:b/>
                <w:color w:val="auto"/>
              </w:rPr>
            </w:pPr>
            <w:r w:rsidRPr="00A06955">
              <w:rPr>
                <w:b/>
                <w:color w:val="auto"/>
              </w:rPr>
              <w:t>(999.8)</w:t>
            </w:r>
          </w:p>
        </w:tc>
        <w:tc>
          <w:tcPr>
            <w:tcW w:w="833" w:type="pct"/>
            <w:tcBorders>
              <w:bottom w:val="nil"/>
            </w:tcBorders>
            <w:shd w:val="clear" w:color="auto" w:fill="auto"/>
            <w:vAlign w:val="bottom"/>
          </w:tcPr>
          <w:p w14:paraId="03276B5C" w14:textId="77777777" w:rsidR="00E7723E" w:rsidRPr="00FE1594" w:rsidRDefault="00651878" w:rsidP="00411CCE">
            <w:pPr>
              <w:tabs>
                <w:tab w:val="decimal" w:pos="1026"/>
              </w:tabs>
              <w:rPr>
                <w:b/>
                <w:color w:val="auto"/>
              </w:rPr>
            </w:pPr>
            <w:r>
              <w:rPr>
                <w:b/>
                <w:color w:val="auto"/>
              </w:rPr>
              <w:t>(930.2)</w:t>
            </w:r>
          </w:p>
        </w:tc>
      </w:tr>
      <w:tr w:rsidR="00E7723E" w:rsidRPr="00052104" w14:paraId="046F425A" w14:textId="77777777" w:rsidTr="00E7723E">
        <w:trPr>
          <w:trHeight w:val="369"/>
        </w:trPr>
        <w:tc>
          <w:tcPr>
            <w:tcW w:w="3370" w:type="pct"/>
            <w:shd w:val="clear" w:color="auto" w:fill="auto"/>
            <w:vAlign w:val="bottom"/>
          </w:tcPr>
          <w:p w14:paraId="4D9AFC09" w14:textId="77777777" w:rsidR="00E7723E" w:rsidRPr="003C0F16" w:rsidRDefault="00E7723E" w:rsidP="00411CCE">
            <w:pPr>
              <w:jc w:val="left"/>
              <w:rPr>
                <w:color w:val="auto"/>
                <w:highlight w:val="yellow"/>
                <w:u w:val="single"/>
              </w:rPr>
            </w:pPr>
            <w:r w:rsidRPr="00A06955">
              <w:rPr>
                <w:color w:val="auto"/>
                <w:u w:val="single"/>
              </w:rPr>
              <w:t>Reversal of items relating to capital expenditure debited or credited to the Comprehensive Income and Expenditure Statement</w:t>
            </w:r>
          </w:p>
        </w:tc>
        <w:tc>
          <w:tcPr>
            <w:tcW w:w="797" w:type="pct"/>
            <w:tcBorders>
              <w:bottom w:val="nil"/>
            </w:tcBorders>
            <w:shd w:val="clear" w:color="auto" w:fill="auto"/>
            <w:vAlign w:val="bottom"/>
          </w:tcPr>
          <w:p w14:paraId="4DC3C5A0" w14:textId="77777777" w:rsidR="00E7723E" w:rsidRPr="003C0F16" w:rsidRDefault="00E7723E" w:rsidP="00411CCE">
            <w:pPr>
              <w:tabs>
                <w:tab w:val="decimal" w:pos="1026"/>
              </w:tabs>
              <w:rPr>
                <w:color w:val="auto"/>
                <w:highlight w:val="yellow"/>
              </w:rPr>
            </w:pPr>
          </w:p>
        </w:tc>
        <w:tc>
          <w:tcPr>
            <w:tcW w:w="833" w:type="pct"/>
            <w:tcBorders>
              <w:bottom w:val="nil"/>
            </w:tcBorders>
            <w:shd w:val="clear" w:color="auto" w:fill="auto"/>
            <w:vAlign w:val="bottom"/>
          </w:tcPr>
          <w:p w14:paraId="6A817B97" w14:textId="77777777" w:rsidR="00E7723E" w:rsidRPr="00052104" w:rsidRDefault="00E7723E" w:rsidP="00411CCE">
            <w:pPr>
              <w:tabs>
                <w:tab w:val="decimal" w:pos="1026"/>
              </w:tabs>
              <w:rPr>
                <w:color w:val="auto"/>
              </w:rPr>
            </w:pPr>
          </w:p>
        </w:tc>
      </w:tr>
      <w:tr w:rsidR="00E7723E" w:rsidRPr="00052104" w14:paraId="3CD0BF6B" w14:textId="77777777" w:rsidTr="00E7723E">
        <w:trPr>
          <w:trHeight w:val="369"/>
        </w:trPr>
        <w:tc>
          <w:tcPr>
            <w:tcW w:w="3370" w:type="pct"/>
            <w:shd w:val="clear" w:color="auto" w:fill="auto"/>
            <w:vAlign w:val="bottom"/>
          </w:tcPr>
          <w:p w14:paraId="3B5118CA" w14:textId="0ACA82F4" w:rsidR="00E7723E" w:rsidRPr="00A06955" w:rsidRDefault="00E7723E">
            <w:pPr>
              <w:jc w:val="left"/>
              <w:rPr>
                <w:color w:val="auto"/>
              </w:rPr>
            </w:pPr>
            <w:r w:rsidRPr="00A06955">
              <w:rPr>
                <w:color w:val="auto"/>
              </w:rPr>
              <w:t>Charges for depreciation and impairment of non</w:t>
            </w:r>
            <w:r w:rsidR="006C5A66" w:rsidRPr="00A06955">
              <w:rPr>
                <w:color w:val="auto"/>
              </w:rPr>
              <w:t>-</w:t>
            </w:r>
            <w:r w:rsidRPr="00A06955">
              <w:rPr>
                <w:color w:val="auto"/>
              </w:rPr>
              <w:t>current assets</w:t>
            </w:r>
          </w:p>
        </w:tc>
        <w:tc>
          <w:tcPr>
            <w:tcW w:w="797" w:type="pct"/>
            <w:tcBorders>
              <w:bottom w:val="nil"/>
            </w:tcBorders>
            <w:shd w:val="clear" w:color="auto" w:fill="auto"/>
            <w:vAlign w:val="bottom"/>
          </w:tcPr>
          <w:p w14:paraId="3130C9A9" w14:textId="566DDE6B" w:rsidR="00E7723E" w:rsidRPr="00A06955" w:rsidRDefault="000932CB" w:rsidP="00411CCE">
            <w:pPr>
              <w:tabs>
                <w:tab w:val="decimal" w:pos="1026"/>
              </w:tabs>
              <w:rPr>
                <w:color w:val="auto"/>
                <w:highlight w:val="cyan"/>
              </w:rPr>
            </w:pPr>
            <w:r w:rsidRPr="009C1D66">
              <w:rPr>
                <w:color w:val="auto"/>
              </w:rPr>
              <w:t>48.0</w:t>
            </w:r>
          </w:p>
        </w:tc>
        <w:tc>
          <w:tcPr>
            <w:tcW w:w="833" w:type="pct"/>
            <w:tcBorders>
              <w:bottom w:val="nil"/>
            </w:tcBorders>
            <w:shd w:val="clear" w:color="auto" w:fill="auto"/>
            <w:vAlign w:val="bottom"/>
          </w:tcPr>
          <w:p w14:paraId="37B52ECA" w14:textId="77777777" w:rsidR="00E7723E" w:rsidRPr="00CD5A88" w:rsidRDefault="00651878" w:rsidP="00411CCE">
            <w:pPr>
              <w:tabs>
                <w:tab w:val="decimal" w:pos="1026"/>
              </w:tabs>
              <w:rPr>
                <w:color w:val="auto"/>
              </w:rPr>
            </w:pPr>
            <w:r w:rsidRPr="00CD5A88">
              <w:rPr>
                <w:color w:val="auto"/>
              </w:rPr>
              <w:t>47.2</w:t>
            </w:r>
          </w:p>
        </w:tc>
      </w:tr>
      <w:tr w:rsidR="00E7723E" w:rsidRPr="00052104" w14:paraId="5F6780DB" w14:textId="77777777" w:rsidTr="00E7723E">
        <w:trPr>
          <w:trHeight w:val="369"/>
        </w:trPr>
        <w:tc>
          <w:tcPr>
            <w:tcW w:w="3370" w:type="pct"/>
            <w:shd w:val="clear" w:color="auto" w:fill="auto"/>
            <w:vAlign w:val="bottom"/>
          </w:tcPr>
          <w:p w14:paraId="2F4C4304" w14:textId="77777777" w:rsidR="00E7723E" w:rsidRPr="00A06955" w:rsidRDefault="00E7723E" w:rsidP="00411CCE">
            <w:pPr>
              <w:jc w:val="left"/>
              <w:rPr>
                <w:color w:val="auto"/>
              </w:rPr>
            </w:pPr>
            <w:r w:rsidRPr="00A06955">
              <w:rPr>
                <w:color w:val="auto"/>
              </w:rPr>
              <w:t>Revaluation losses on Property, Plant and Equipment including assets held for sale</w:t>
            </w:r>
          </w:p>
        </w:tc>
        <w:tc>
          <w:tcPr>
            <w:tcW w:w="797" w:type="pct"/>
            <w:tcBorders>
              <w:bottom w:val="nil"/>
            </w:tcBorders>
            <w:shd w:val="clear" w:color="auto" w:fill="auto"/>
            <w:vAlign w:val="bottom"/>
          </w:tcPr>
          <w:p w14:paraId="1BB3AD73" w14:textId="64C9DA57" w:rsidR="00E7723E" w:rsidRPr="001E3F93" w:rsidRDefault="001B5046" w:rsidP="002B3169">
            <w:pPr>
              <w:tabs>
                <w:tab w:val="decimal" w:pos="1026"/>
              </w:tabs>
              <w:rPr>
                <w:color w:val="auto"/>
                <w:highlight w:val="cyan"/>
                <w:vertAlign w:val="superscript"/>
              </w:rPr>
            </w:pPr>
            <w:r>
              <w:rPr>
                <w:color w:val="auto"/>
              </w:rPr>
              <w:t>128.8</w:t>
            </w:r>
          </w:p>
        </w:tc>
        <w:tc>
          <w:tcPr>
            <w:tcW w:w="833" w:type="pct"/>
            <w:tcBorders>
              <w:bottom w:val="nil"/>
            </w:tcBorders>
            <w:shd w:val="clear" w:color="auto" w:fill="auto"/>
            <w:vAlign w:val="bottom"/>
          </w:tcPr>
          <w:p w14:paraId="5711C2B5" w14:textId="77777777" w:rsidR="00E7723E" w:rsidRPr="00CD5A88" w:rsidRDefault="00651878" w:rsidP="00411CCE">
            <w:pPr>
              <w:tabs>
                <w:tab w:val="decimal" w:pos="1026"/>
              </w:tabs>
              <w:rPr>
                <w:color w:val="auto"/>
              </w:rPr>
            </w:pPr>
            <w:r w:rsidRPr="00CD5A88">
              <w:rPr>
                <w:color w:val="auto"/>
              </w:rPr>
              <w:t>38.4</w:t>
            </w:r>
          </w:p>
        </w:tc>
      </w:tr>
      <w:tr w:rsidR="00E7723E" w:rsidRPr="00052104" w14:paraId="3780BE1B" w14:textId="77777777" w:rsidTr="00E7723E">
        <w:trPr>
          <w:trHeight w:val="369"/>
        </w:trPr>
        <w:tc>
          <w:tcPr>
            <w:tcW w:w="3370" w:type="pct"/>
            <w:shd w:val="clear" w:color="auto" w:fill="auto"/>
            <w:vAlign w:val="bottom"/>
          </w:tcPr>
          <w:p w14:paraId="20C72901" w14:textId="77777777" w:rsidR="00E7723E" w:rsidRPr="00A06955" w:rsidRDefault="00E7723E" w:rsidP="00411CCE">
            <w:pPr>
              <w:jc w:val="left"/>
              <w:rPr>
                <w:color w:val="auto"/>
              </w:rPr>
            </w:pPr>
            <w:r w:rsidRPr="00A06955">
              <w:rPr>
                <w:color w:val="auto"/>
              </w:rPr>
              <w:t>Amortisation of intangible assets</w:t>
            </w:r>
          </w:p>
        </w:tc>
        <w:tc>
          <w:tcPr>
            <w:tcW w:w="797" w:type="pct"/>
            <w:tcBorders>
              <w:top w:val="nil"/>
              <w:bottom w:val="nil"/>
            </w:tcBorders>
            <w:shd w:val="clear" w:color="auto" w:fill="auto"/>
            <w:vAlign w:val="bottom"/>
          </w:tcPr>
          <w:p w14:paraId="137CBDDE" w14:textId="692A40E2" w:rsidR="00E7723E" w:rsidRPr="00A06955" w:rsidRDefault="00144B95" w:rsidP="00411CCE">
            <w:pPr>
              <w:tabs>
                <w:tab w:val="decimal" w:pos="1026"/>
              </w:tabs>
              <w:rPr>
                <w:color w:val="auto"/>
                <w:highlight w:val="cyan"/>
              </w:rPr>
            </w:pPr>
            <w:r>
              <w:rPr>
                <w:color w:val="auto"/>
              </w:rPr>
              <w:t>3.9</w:t>
            </w:r>
          </w:p>
        </w:tc>
        <w:tc>
          <w:tcPr>
            <w:tcW w:w="833" w:type="pct"/>
            <w:tcBorders>
              <w:top w:val="nil"/>
              <w:bottom w:val="nil"/>
            </w:tcBorders>
            <w:shd w:val="clear" w:color="auto" w:fill="auto"/>
            <w:vAlign w:val="bottom"/>
          </w:tcPr>
          <w:p w14:paraId="338CB176" w14:textId="77777777" w:rsidR="00E7723E" w:rsidRPr="00CD5A88" w:rsidRDefault="00651878" w:rsidP="00411CCE">
            <w:pPr>
              <w:tabs>
                <w:tab w:val="decimal" w:pos="1026"/>
              </w:tabs>
              <w:rPr>
                <w:color w:val="auto"/>
              </w:rPr>
            </w:pPr>
            <w:r w:rsidRPr="00CD5A88">
              <w:rPr>
                <w:color w:val="auto"/>
              </w:rPr>
              <w:t>2.8</w:t>
            </w:r>
          </w:p>
        </w:tc>
      </w:tr>
      <w:tr w:rsidR="00E7723E" w:rsidRPr="008E4793" w14:paraId="27B5993C" w14:textId="77777777" w:rsidTr="00E7723E">
        <w:trPr>
          <w:trHeight w:val="369"/>
        </w:trPr>
        <w:tc>
          <w:tcPr>
            <w:tcW w:w="3370" w:type="pct"/>
            <w:shd w:val="clear" w:color="auto" w:fill="auto"/>
            <w:vAlign w:val="bottom"/>
          </w:tcPr>
          <w:p w14:paraId="6109DB29" w14:textId="77777777" w:rsidR="00E7723E" w:rsidRPr="00A06955" w:rsidRDefault="00E7723E" w:rsidP="00411CCE">
            <w:pPr>
              <w:jc w:val="left"/>
              <w:rPr>
                <w:color w:val="auto"/>
              </w:rPr>
            </w:pPr>
            <w:r w:rsidRPr="00A06955">
              <w:rPr>
                <w:color w:val="auto"/>
              </w:rPr>
              <w:t>Revenue expenditure funded from capital under statute</w:t>
            </w:r>
          </w:p>
        </w:tc>
        <w:tc>
          <w:tcPr>
            <w:tcW w:w="797" w:type="pct"/>
            <w:tcBorders>
              <w:top w:val="nil"/>
              <w:bottom w:val="nil"/>
            </w:tcBorders>
            <w:shd w:val="clear" w:color="auto" w:fill="auto"/>
            <w:vAlign w:val="bottom"/>
          </w:tcPr>
          <w:p w14:paraId="5229AD6D" w14:textId="232FD53B" w:rsidR="00E7723E" w:rsidRPr="00A06955" w:rsidRDefault="009138A9" w:rsidP="00411CCE">
            <w:pPr>
              <w:tabs>
                <w:tab w:val="decimal" w:pos="1026"/>
              </w:tabs>
              <w:rPr>
                <w:color w:val="auto"/>
              </w:rPr>
            </w:pPr>
            <w:r w:rsidRPr="00A06955">
              <w:rPr>
                <w:color w:val="auto"/>
              </w:rPr>
              <w:t>18.9</w:t>
            </w:r>
          </w:p>
        </w:tc>
        <w:tc>
          <w:tcPr>
            <w:tcW w:w="833" w:type="pct"/>
            <w:tcBorders>
              <w:top w:val="nil"/>
              <w:bottom w:val="nil"/>
            </w:tcBorders>
            <w:shd w:val="clear" w:color="auto" w:fill="auto"/>
            <w:vAlign w:val="bottom"/>
          </w:tcPr>
          <w:p w14:paraId="23EF2044" w14:textId="77777777" w:rsidR="00E7723E" w:rsidRPr="00CD5A88" w:rsidRDefault="00651878" w:rsidP="00411CCE">
            <w:pPr>
              <w:tabs>
                <w:tab w:val="decimal" w:pos="1026"/>
              </w:tabs>
              <w:rPr>
                <w:color w:val="auto"/>
              </w:rPr>
            </w:pPr>
            <w:r w:rsidRPr="00CD5A88">
              <w:rPr>
                <w:color w:val="auto"/>
              </w:rPr>
              <w:t>8.7</w:t>
            </w:r>
          </w:p>
        </w:tc>
      </w:tr>
      <w:tr w:rsidR="00E7723E" w:rsidRPr="008E4793" w14:paraId="4705E0AE" w14:textId="77777777" w:rsidTr="00E7723E">
        <w:trPr>
          <w:trHeight w:val="369"/>
        </w:trPr>
        <w:tc>
          <w:tcPr>
            <w:tcW w:w="3370" w:type="pct"/>
            <w:shd w:val="clear" w:color="auto" w:fill="auto"/>
            <w:vAlign w:val="bottom"/>
          </w:tcPr>
          <w:p w14:paraId="7CC4660A" w14:textId="77777777" w:rsidR="00E7723E" w:rsidRPr="00A06955" w:rsidRDefault="00E7723E" w:rsidP="00411CCE">
            <w:pPr>
              <w:jc w:val="left"/>
              <w:rPr>
                <w:color w:val="auto"/>
              </w:rPr>
            </w:pPr>
            <w:r w:rsidRPr="00A06955">
              <w:rPr>
                <w:color w:val="auto"/>
              </w:rPr>
              <w:t>Reversal of charge re transfer of academies</w:t>
            </w:r>
          </w:p>
        </w:tc>
        <w:tc>
          <w:tcPr>
            <w:tcW w:w="797" w:type="pct"/>
            <w:tcBorders>
              <w:bottom w:val="nil"/>
            </w:tcBorders>
            <w:shd w:val="clear" w:color="auto" w:fill="auto"/>
            <w:vAlign w:val="bottom"/>
          </w:tcPr>
          <w:p w14:paraId="158B8645" w14:textId="77777777" w:rsidR="00E7723E" w:rsidRPr="00A06955" w:rsidRDefault="00E7723E" w:rsidP="00411CCE">
            <w:pPr>
              <w:tabs>
                <w:tab w:val="decimal" w:pos="1026"/>
              </w:tabs>
              <w:rPr>
                <w:color w:val="auto"/>
              </w:rPr>
            </w:pPr>
            <w:r w:rsidRPr="00A06955">
              <w:rPr>
                <w:color w:val="auto"/>
              </w:rPr>
              <w:t>-</w:t>
            </w:r>
          </w:p>
        </w:tc>
        <w:tc>
          <w:tcPr>
            <w:tcW w:w="833" w:type="pct"/>
            <w:tcBorders>
              <w:bottom w:val="nil"/>
            </w:tcBorders>
            <w:shd w:val="clear" w:color="auto" w:fill="auto"/>
            <w:vAlign w:val="bottom"/>
          </w:tcPr>
          <w:p w14:paraId="24AAC9A1" w14:textId="77777777" w:rsidR="00E7723E" w:rsidRPr="00CD5A88" w:rsidRDefault="00651878" w:rsidP="00411CCE">
            <w:pPr>
              <w:tabs>
                <w:tab w:val="decimal" w:pos="1026"/>
              </w:tabs>
              <w:rPr>
                <w:color w:val="auto"/>
              </w:rPr>
            </w:pPr>
            <w:r w:rsidRPr="00CD5A88">
              <w:rPr>
                <w:color w:val="auto"/>
              </w:rPr>
              <w:t>13.3</w:t>
            </w:r>
          </w:p>
        </w:tc>
      </w:tr>
      <w:tr w:rsidR="00E7723E" w:rsidRPr="00052104" w14:paraId="637C786E" w14:textId="77777777" w:rsidTr="00E7723E">
        <w:trPr>
          <w:trHeight w:val="369"/>
        </w:trPr>
        <w:tc>
          <w:tcPr>
            <w:tcW w:w="3370" w:type="pct"/>
            <w:shd w:val="clear" w:color="auto" w:fill="auto"/>
            <w:vAlign w:val="bottom"/>
          </w:tcPr>
          <w:p w14:paraId="47896015" w14:textId="77777777" w:rsidR="00E7723E" w:rsidRPr="00A06955" w:rsidRDefault="00E7723E" w:rsidP="00411CCE">
            <w:pPr>
              <w:jc w:val="left"/>
              <w:rPr>
                <w:color w:val="auto"/>
              </w:rPr>
            </w:pPr>
            <w:r w:rsidRPr="00A06955">
              <w:rPr>
                <w:color w:val="auto"/>
              </w:rPr>
              <w:t>Amounts of non-current assets written off on disposal or sale as part of the gain/loss on disposal to the Comprehensive Income and Expenditure Statement</w:t>
            </w:r>
          </w:p>
        </w:tc>
        <w:tc>
          <w:tcPr>
            <w:tcW w:w="797" w:type="pct"/>
            <w:tcBorders>
              <w:bottom w:val="nil"/>
            </w:tcBorders>
            <w:shd w:val="clear" w:color="auto" w:fill="auto"/>
            <w:vAlign w:val="bottom"/>
          </w:tcPr>
          <w:p w14:paraId="7C37DC8B" w14:textId="7D13F5CC" w:rsidR="00E7723E" w:rsidRPr="00A06955" w:rsidRDefault="006662A4" w:rsidP="00411CCE">
            <w:pPr>
              <w:tabs>
                <w:tab w:val="decimal" w:pos="1026"/>
              </w:tabs>
              <w:rPr>
                <w:color w:val="auto"/>
              </w:rPr>
            </w:pPr>
            <w:r w:rsidRPr="00A06955">
              <w:rPr>
                <w:color w:val="auto"/>
              </w:rPr>
              <w:t>6.0</w:t>
            </w:r>
          </w:p>
        </w:tc>
        <w:tc>
          <w:tcPr>
            <w:tcW w:w="833" w:type="pct"/>
            <w:tcBorders>
              <w:bottom w:val="nil"/>
            </w:tcBorders>
            <w:shd w:val="clear" w:color="auto" w:fill="auto"/>
            <w:vAlign w:val="bottom"/>
          </w:tcPr>
          <w:p w14:paraId="0614B550" w14:textId="77777777" w:rsidR="00E7723E" w:rsidRPr="00CD5A88" w:rsidRDefault="00651878" w:rsidP="00411CCE">
            <w:pPr>
              <w:tabs>
                <w:tab w:val="decimal" w:pos="1026"/>
              </w:tabs>
              <w:rPr>
                <w:color w:val="auto"/>
              </w:rPr>
            </w:pPr>
            <w:r w:rsidRPr="00CD5A88">
              <w:rPr>
                <w:color w:val="auto"/>
              </w:rPr>
              <w:t>22.7</w:t>
            </w:r>
          </w:p>
        </w:tc>
      </w:tr>
      <w:tr w:rsidR="00E7723E" w:rsidRPr="00052104" w14:paraId="32A8EC50" w14:textId="77777777" w:rsidTr="00E7723E">
        <w:trPr>
          <w:trHeight w:val="369"/>
        </w:trPr>
        <w:tc>
          <w:tcPr>
            <w:tcW w:w="3370" w:type="pct"/>
            <w:shd w:val="clear" w:color="auto" w:fill="auto"/>
            <w:vAlign w:val="bottom"/>
          </w:tcPr>
          <w:p w14:paraId="392500E8" w14:textId="77777777" w:rsidR="00E7723E" w:rsidRPr="00A06955" w:rsidRDefault="00E7723E" w:rsidP="00411CCE">
            <w:pPr>
              <w:jc w:val="left"/>
              <w:rPr>
                <w:color w:val="auto"/>
              </w:rPr>
            </w:pPr>
            <w:r w:rsidRPr="00A06955">
              <w:rPr>
                <w:color w:val="auto"/>
              </w:rPr>
              <w:t>Write down of Private Finance Initiative (PFI) liability</w:t>
            </w:r>
          </w:p>
        </w:tc>
        <w:tc>
          <w:tcPr>
            <w:tcW w:w="797" w:type="pct"/>
            <w:tcBorders>
              <w:bottom w:val="nil"/>
            </w:tcBorders>
            <w:shd w:val="clear" w:color="auto" w:fill="auto"/>
            <w:vAlign w:val="bottom"/>
          </w:tcPr>
          <w:p w14:paraId="5BA0A22A" w14:textId="01C98A40" w:rsidR="00E7723E" w:rsidRPr="00A06955" w:rsidRDefault="00597BEE">
            <w:pPr>
              <w:tabs>
                <w:tab w:val="decimal" w:pos="1026"/>
              </w:tabs>
              <w:rPr>
                <w:color w:val="auto"/>
              </w:rPr>
            </w:pPr>
            <w:r w:rsidRPr="00A06955">
              <w:rPr>
                <w:color w:val="auto"/>
              </w:rPr>
              <w:t>(6.3)</w:t>
            </w:r>
          </w:p>
        </w:tc>
        <w:tc>
          <w:tcPr>
            <w:tcW w:w="833" w:type="pct"/>
            <w:tcBorders>
              <w:bottom w:val="nil"/>
            </w:tcBorders>
            <w:shd w:val="clear" w:color="auto" w:fill="auto"/>
            <w:vAlign w:val="bottom"/>
          </w:tcPr>
          <w:p w14:paraId="3C7A15F3" w14:textId="77777777" w:rsidR="00E7723E" w:rsidRPr="00CD5A88" w:rsidRDefault="00E7723E" w:rsidP="00411CCE">
            <w:pPr>
              <w:tabs>
                <w:tab w:val="decimal" w:pos="1026"/>
              </w:tabs>
              <w:rPr>
                <w:color w:val="auto"/>
              </w:rPr>
            </w:pPr>
            <w:r w:rsidRPr="00CD5A88">
              <w:rPr>
                <w:color w:val="auto"/>
              </w:rPr>
              <w:t>(7.6)</w:t>
            </w:r>
          </w:p>
        </w:tc>
      </w:tr>
      <w:tr w:rsidR="00E7723E" w:rsidRPr="00052104" w14:paraId="6F77319C" w14:textId="77777777" w:rsidTr="00E7723E">
        <w:trPr>
          <w:trHeight w:val="369"/>
        </w:trPr>
        <w:tc>
          <w:tcPr>
            <w:tcW w:w="3370" w:type="pct"/>
            <w:shd w:val="clear" w:color="auto" w:fill="auto"/>
            <w:vAlign w:val="bottom"/>
          </w:tcPr>
          <w:p w14:paraId="157E7528" w14:textId="77777777" w:rsidR="00E7723E" w:rsidRPr="00A06955" w:rsidRDefault="00E7723E" w:rsidP="00411CCE">
            <w:pPr>
              <w:jc w:val="left"/>
              <w:rPr>
                <w:color w:val="auto"/>
              </w:rPr>
            </w:pPr>
            <w:r w:rsidRPr="00A06955">
              <w:rPr>
                <w:color w:val="auto"/>
              </w:rPr>
              <w:t>Adjusting amounts written out of the Revaluation Reserve</w:t>
            </w:r>
          </w:p>
        </w:tc>
        <w:tc>
          <w:tcPr>
            <w:tcW w:w="797" w:type="pct"/>
            <w:tcBorders>
              <w:top w:val="nil"/>
              <w:bottom w:val="single" w:sz="4" w:space="0" w:color="auto"/>
            </w:tcBorders>
            <w:shd w:val="clear" w:color="auto" w:fill="auto"/>
            <w:vAlign w:val="bottom"/>
          </w:tcPr>
          <w:p w14:paraId="2F614CEF" w14:textId="2CB3FFC5" w:rsidR="00E7723E" w:rsidRPr="00A06955" w:rsidRDefault="006662A4">
            <w:pPr>
              <w:tabs>
                <w:tab w:val="decimal" w:pos="1026"/>
              </w:tabs>
              <w:rPr>
                <w:color w:val="auto"/>
              </w:rPr>
            </w:pPr>
            <w:r w:rsidRPr="00A06955">
              <w:rPr>
                <w:color w:val="auto"/>
              </w:rPr>
              <w:t>(11.</w:t>
            </w:r>
            <w:r w:rsidR="008E2FD8">
              <w:rPr>
                <w:color w:val="auto"/>
              </w:rPr>
              <w:t>3</w:t>
            </w:r>
            <w:r w:rsidRPr="00A06955">
              <w:rPr>
                <w:color w:val="auto"/>
              </w:rPr>
              <w:t>)</w:t>
            </w:r>
          </w:p>
        </w:tc>
        <w:tc>
          <w:tcPr>
            <w:tcW w:w="833" w:type="pct"/>
            <w:tcBorders>
              <w:top w:val="nil"/>
              <w:bottom w:val="single" w:sz="4" w:space="0" w:color="auto"/>
            </w:tcBorders>
            <w:shd w:val="clear" w:color="auto" w:fill="auto"/>
            <w:vAlign w:val="bottom"/>
          </w:tcPr>
          <w:p w14:paraId="42D138A7" w14:textId="77777777" w:rsidR="00E7723E" w:rsidRPr="00CD5A88" w:rsidRDefault="00E7723E" w:rsidP="00651878">
            <w:pPr>
              <w:tabs>
                <w:tab w:val="decimal" w:pos="1026"/>
              </w:tabs>
              <w:rPr>
                <w:color w:val="auto"/>
              </w:rPr>
            </w:pPr>
            <w:r w:rsidRPr="00CD5A88">
              <w:rPr>
                <w:color w:val="auto"/>
              </w:rPr>
              <w:t>(</w:t>
            </w:r>
            <w:r w:rsidR="00651878" w:rsidRPr="00CD5A88">
              <w:rPr>
                <w:color w:val="auto"/>
              </w:rPr>
              <w:t>12.9</w:t>
            </w:r>
            <w:r w:rsidRPr="00CD5A88">
              <w:rPr>
                <w:color w:val="auto"/>
              </w:rPr>
              <w:t>)</w:t>
            </w:r>
          </w:p>
        </w:tc>
      </w:tr>
      <w:tr w:rsidR="00E95E56" w:rsidRPr="00052104" w14:paraId="74EEC5B3" w14:textId="77777777" w:rsidTr="00E7723E">
        <w:trPr>
          <w:trHeight w:val="369"/>
        </w:trPr>
        <w:tc>
          <w:tcPr>
            <w:tcW w:w="3370" w:type="pct"/>
            <w:shd w:val="clear" w:color="auto" w:fill="auto"/>
            <w:vAlign w:val="bottom"/>
          </w:tcPr>
          <w:p w14:paraId="5561760C" w14:textId="77777777" w:rsidR="00E95E56" w:rsidRPr="00A06955" w:rsidRDefault="00E95E56" w:rsidP="00411CCE">
            <w:pPr>
              <w:jc w:val="left"/>
              <w:rPr>
                <w:color w:val="auto"/>
              </w:rPr>
            </w:pPr>
          </w:p>
        </w:tc>
        <w:tc>
          <w:tcPr>
            <w:tcW w:w="797" w:type="pct"/>
            <w:tcBorders>
              <w:top w:val="nil"/>
              <w:bottom w:val="single" w:sz="4" w:space="0" w:color="auto"/>
            </w:tcBorders>
            <w:shd w:val="clear" w:color="auto" w:fill="auto"/>
            <w:vAlign w:val="bottom"/>
          </w:tcPr>
          <w:p w14:paraId="16FA8DF1" w14:textId="0A510974" w:rsidR="00E95E56" w:rsidRPr="00DF27F7" w:rsidRDefault="008E2FD8" w:rsidP="001B5046">
            <w:pPr>
              <w:tabs>
                <w:tab w:val="decimal" w:pos="1026"/>
              </w:tabs>
              <w:rPr>
                <w:b/>
                <w:color w:val="auto"/>
              </w:rPr>
            </w:pPr>
            <w:r>
              <w:rPr>
                <w:b/>
                <w:color w:val="auto"/>
              </w:rPr>
              <w:t>(</w:t>
            </w:r>
            <w:r w:rsidR="001B5046">
              <w:rPr>
                <w:b/>
                <w:color w:val="auto"/>
              </w:rPr>
              <w:t>811</w:t>
            </w:r>
            <w:r>
              <w:rPr>
                <w:b/>
                <w:color w:val="auto"/>
              </w:rPr>
              <w:t>.8</w:t>
            </w:r>
            <w:r w:rsidR="00DF27F7" w:rsidRPr="00DF27F7">
              <w:rPr>
                <w:b/>
                <w:color w:val="auto"/>
              </w:rPr>
              <w:t>)</w:t>
            </w:r>
          </w:p>
        </w:tc>
        <w:tc>
          <w:tcPr>
            <w:tcW w:w="833" w:type="pct"/>
            <w:tcBorders>
              <w:top w:val="nil"/>
              <w:bottom w:val="single" w:sz="4" w:space="0" w:color="auto"/>
            </w:tcBorders>
            <w:shd w:val="clear" w:color="auto" w:fill="auto"/>
            <w:vAlign w:val="bottom"/>
          </w:tcPr>
          <w:p w14:paraId="25241964" w14:textId="00634D42" w:rsidR="00E95E56" w:rsidRPr="00DF27F7" w:rsidRDefault="00DF27F7" w:rsidP="00651878">
            <w:pPr>
              <w:tabs>
                <w:tab w:val="decimal" w:pos="1026"/>
              </w:tabs>
              <w:rPr>
                <w:b/>
                <w:color w:val="auto"/>
              </w:rPr>
            </w:pPr>
            <w:r w:rsidRPr="00DF27F7">
              <w:rPr>
                <w:b/>
                <w:color w:val="auto"/>
              </w:rPr>
              <w:t>(817.6)</w:t>
            </w:r>
          </w:p>
        </w:tc>
      </w:tr>
      <w:tr w:rsidR="00E7723E" w:rsidRPr="008E4793" w14:paraId="44ED97D4" w14:textId="77777777" w:rsidTr="00E7723E">
        <w:trPr>
          <w:trHeight w:val="369"/>
        </w:trPr>
        <w:tc>
          <w:tcPr>
            <w:tcW w:w="3370" w:type="pct"/>
            <w:shd w:val="clear" w:color="auto" w:fill="auto"/>
            <w:vAlign w:val="bottom"/>
          </w:tcPr>
          <w:p w14:paraId="0875121D" w14:textId="77777777" w:rsidR="00E7723E" w:rsidRPr="00A06955" w:rsidRDefault="00E7723E" w:rsidP="00411CCE">
            <w:pPr>
              <w:jc w:val="left"/>
              <w:rPr>
                <w:color w:val="auto"/>
                <w:u w:val="single"/>
              </w:rPr>
            </w:pPr>
            <w:r w:rsidRPr="00A06955">
              <w:rPr>
                <w:color w:val="auto"/>
                <w:u w:val="single"/>
              </w:rPr>
              <w:t>Capita</w:t>
            </w:r>
            <w:r w:rsidR="0048314D" w:rsidRPr="00A06955">
              <w:rPr>
                <w:color w:val="auto"/>
                <w:u w:val="single"/>
              </w:rPr>
              <w:t>l financing applied in the year</w:t>
            </w:r>
          </w:p>
        </w:tc>
        <w:tc>
          <w:tcPr>
            <w:tcW w:w="797" w:type="pct"/>
            <w:tcBorders>
              <w:bottom w:val="nil"/>
            </w:tcBorders>
            <w:shd w:val="clear" w:color="auto" w:fill="auto"/>
            <w:vAlign w:val="bottom"/>
          </w:tcPr>
          <w:p w14:paraId="0E44A141" w14:textId="77777777" w:rsidR="00E7723E" w:rsidRPr="00A06955" w:rsidRDefault="00E7723E" w:rsidP="00411CCE">
            <w:pPr>
              <w:tabs>
                <w:tab w:val="decimal" w:pos="1026"/>
              </w:tabs>
              <w:rPr>
                <w:color w:val="auto"/>
              </w:rPr>
            </w:pPr>
          </w:p>
        </w:tc>
        <w:tc>
          <w:tcPr>
            <w:tcW w:w="833" w:type="pct"/>
            <w:tcBorders>
              <w:bottom w:val="nil"/>
            </w:tcBorders>
            <w:shd w:val="clear" w:color="auto" w:fill="auto"/>
            <w:vAlign w:val="bottom"/>
          </w:tcPr>
          <w:p w14:paraId="79EAEF5C" w14:textId="77777777" w:rsidR="00E7723E" w:rsidRPr="00CD5A88" w:rsidRDefault="00E7723E" w:rsidP="00411CCE">
            <w:pPr>
              <w:tabs>
                <w:tab w:val="decimal" w:pos="1026"/>
              </w:tabs>
              <w:rPr>
                <w:color w:val="auto"/>
              </w:rPr>
            </w:pPr>
          </w:p>
        </w:tc>
      </w:tr>
      <w:tr w:rsidR="00E7723E" w:rsidRPr="008E4793" w14:paraId="3F6C05E9" w14:textId="77777777" w:rsidTr="00E7723E">
        <w:trPr>
          <w:trHeight w:val="369"/>
        </w:trPr>
        <w:tc>
          <w:tcPr>
            <w:tcW w:w="3370" w:type="pct"/>
            <w:shd w:val="clear" w:color="auto" w:fill="auto"/>
            <w:vAlign w:val="bottom"/>
          </w:tcPr>
          <w:p w14:paraId="69E68025" w14:textId="77777777" w:rsidR="00E7723E" w:rsidRPr="00A06955" w:rsidRDefault="00E7723E" w:rsidP="00E7723E">
            <w:pPr>
              <w:jc w:val="left"/>
              <w:rPr>
                <w:color w:val="auto"/>
              </w:rPr>
            </w:pPr>
            <w:r w:rsidRPr="00A06955">
              <w:rPr>
                <w:color w:val="auto"/>
              </w:rPr>
              <w:t>Capital grants and contributions credited to the Comprehensive Income and Expenditure Statement that have been applied to capital financing</w:t>
            </w:r>
          </w:p>
        </w:tc>
        <w:tc>
          <w:tcPr>
            <w:tcW w:w="797" w:type="pct"/>
            <w:tcBorders>
              <w:bottom w:val="nil"/>
            </w:tcBorders>
            <w:shd w:val="clear" w:color="auto" w:fill="auto"/>
            <w:vAlign w:val="bottom"/>
          </w:tcPr>
          <w:p w14:paraId="4ACF0D5E" w14:textId="3821E60D" w:rsidR="00E7723E" w:rsidRPr="00A06955" w:rsidRDefault="006662A4" w:rsidP="005D7511">
            <w:pPr>
              <w:tabs>
                <w:tab w:val="decimal" w:pos="1026"/>
              </w:tabs>
              <w:rPr>
                <w:color w:val="auto"/>
              </w:rPr>
            </w:pPr>
            <w:r w:rsidRPr="00A06955">
              <w:rPr>
                <w:color w:val="auto"/>
              </w:rPr>
              <w:t>(125.</w:t>
            </w:r>
            <w:r w:rsidR="005D7511">
              <w:rPr>
                <w:color w:val="auto"/>
              </w:rPr>
              <w:t>5</w:t>
            </w:r>
            <w:r w:rsidRPr="00A06955">
              <w:rPr>
                <w:color w:val="auto"/>
              </w:rPr>
              <w:t>)</w:t>
            </w:r>
          </w:p>
        </w:tc>
        <w:tc>
          <w:tcPr>
            <w:tcW w:w="833" w:type="pct"/>
            <w:tcBorders>
              <w:bottom w:val="nil"/>
            </w:tcBorders>
            <w:shd w:val="clear" w:color="auto" w:fill="auto"/>
            <w:vAlign w:val="bottom"/>
          </w:tcPr>
          <w:p w14:paraId="0440A7A5" w14:textId="77777777" w:rsidR="00E7723E" w:rsidRPr="00CD5A88" w:rsidRDefault="00E7723E" w:rsidP="00651878">
            <w:pPr>
              <w:tabs>
                <w:tab w:val="decimal" w:pos="1026"/>
              </w:tabs>
              <w:rPr>
                <w:color w:val="auto"/>
              </w:rPr>
            </w:pPr>
            <w:r w:rsidRPr="00CD5A88">
              <w:rPr>
                <w:color w:val="auto"/>
              </w:rPr>
              <w:t>(</w:t>
            </w:r>
            <w:r w:rsidR="00651878" w:rsidRPr="00CD5A88">
              <w:rPr>
                <w:color w:val="auto"/>
              </w:rPr>
              <w:t>78.6</w:t>
            </w:r>
            <w:r w:rsidRPr="00CD5A88">
              <w:rPr>
                <w:color w:val="auto"/>
              </w:rPr>
              <w:t>)</w:t>
            </w:r>
          </w:p>
        </w:tc>
      </w:tr>
      <w:tr w:rsidR="00E7723E" w:rsidRPr="008E4793" w14:paraId="4B177EE9" w14:textId="77777777" w:rsidTr="00E7723E">
        <w:trPr>
          <w:trHeight w:val="369"/>
        </w:trPr>
        <w:tc>
          <w:tcPr>
            <w:tcW w:w="3370" w:type="pct"/>
            <w:shd w:val="clear" w:color="auto" w:fill="auto"/>
            <w:vAlign w:val="bottom"/>
          </w:tcPr>
          <w:p w14:paraId="2E2B927D" w14:textId="38A20A3B" w:rsidR="00E7723E" w:rsidRPr="00A06955" w:rsidRDefault="00E7723E" w:rsidP="0080760D">
            <w:pPr>
              <w:jc w:val="left"/>
              <w:rPr>
                <w:color w:val="auto"/>
              </w:rPr>
            </w:pPr>
            <w:r w:rsidRPr="00A06955">
              <w:rPr>
                <w:color w:val="auto"/>
              </w:rPr>
              <w:t xml:space="preserve">Application of </w:t>
            </w:r>
            <w:r w:rsidR="00053326">
              <w:rPr>
                <w:color w:val="auto"/>
              </w:rPr>
              <w:t xml:space="preserve">capital </w:t>
            </w:r>
            <w:r w:rsidR="0080760D">
              <w:rPr>
                <w:color w:val="auto"/>
              </w:rPr>
              <w:t>grants</w:t>
            </w:r>
            <w:r w:rsidR="00053326" w:rsidRPr="00A06955">
              <w:rPr>
                <w:color w:val="auto"/>
              </w:rPr>
              <w:t xml:space="preserve"> </w:t>
            </w:r>
            <w:r w:rsidRPr="00A06955">
              <w:rPr>
                <w:color w:val="auto"/>
              </w:rPr>
              <w:t>to capital financing from the Capital Grants Unapplied Account</w:t>
            </w:r>
          </w:p>
        </w:tc>
        <w:tc>
          <w:tcPr>
            <w:tcW w:w="797" w:type="pct"/>
            <w:tcBorders>
              <w:bottom w:val="nil"/>
            </w:tcBorders>
            <w:shd w:val="clear" w:color="auto" w:fill="auto"/>
            <w:vAlign w:val="bottom"/>
          </w:tcPr>
          <w:p w14:paraId="589F8CE4" w14:textId="2CD7AE91" w:rsidR="00E7723E" w:rsidRPr="00A06955" w:rsidRDefault="008E2FD8" w:rsidP="00E7723E">
            <w:pPr>
              <w:tabs>
                <w:tab w:val="decimal" w:pos="1026"/>
              </w:tabs>
              <w:rPr>
                <w:color w:val="auto"/>
              </w:rPr>
            </w:pPr>
            <w:r>
              <w:rPr>
                <w:color w:val="auto"/>
              </w:rPr>
              <w:t>(25.3</w:t>
            </w:r>
            <w:r w:rsidR="006662A4" w:rsidRPr="00A06955">
              <w:rPr>
                <w:color w:val="auto"/>
              </w:rPr>
              <w:t>)</w:t>
            </w:r>
          </w:p>
        </w:tc>
        <w:tc>
          <w:tcPr>
            <w:tcW w:w="833" w:type="pct"/>
            <w:tcBorders>
              <w:bottom w:val="nil"/>
            </w:tcBorders>
            <w:shd w:val="clear" w:color="auto" w:fill="auto"/>
            <w:vAlign w:val="bottom"/>
          </w:tcPr>
          <w:p w14:paraId="7BECEB9A" w14:textId="77777777" w:rsidR="00E7723E" w:rsidRPr="00CD5A88" w:rsidRDefault="00E7723E" w:rsidP="00651878">
            <w:pPr>
              <w:tabs>
                <w:tab w:val="decimal" w:pos="1026"/>
              </w:tabs>
              <w:rPr>
                <w:color w:val="auto"/>
              </w:rPr>
            </w:pPr>
            <w:r w:rsidRPr="00CD5A88">
              <w:rPr>
                <w:color w:val="auto"/>
              </w:rPr>
              <w:t>(</w:t>
            </w:r>
            <w:r w:rsidR="00651878" w:rsidRPr="00CD5A88">
              <w:rPr>
                <w:color w:val="auto"/>
              </w:rPr>
              <w:t>59.5</w:t>
            </w:r>
            <w:r w:rsidRPr="00CD5A88">
              <w:rPr>
                <w:color w:val="auto"/>
              </w:rPr>
              <w:t>)</w:t>
            </w:r>
          </w:p>
        </w:tc>
      </w:tr>
      <w:tr w:rsidR="00053326" w:rsidRPr="008E4793" w14:paraId="5272C778" w14:textId="77777777" w:rsidTr="00E7723E">
        <w:trPr>
          <w:trHeight w:val="369"/>
        </w:trPr>
        <w:tc>
          <w:tcPr>
            <w:tcW w:w="3370" w:type="pct"/>
            <w:shd w:val="clear" w:color="auto" w:fill="auto"/>
            <w:vAlign w:val="bottom"/>
          </w:tcPr>
          <w:p w14:paraId="1D63CD07" w14:textId="775F17E0" w:rsidR="00053326" w:rsidRPr="00053326" w:rsidRDefault="00053326" w:rsidP="0080760D">
            <w:pPr>
              <w:jc w:val="left"/>
              <w:rPr>
                <w:color w:val="auto"/>
              </w:rPr>
            </w:pPr>
            <w:r w:rsidRPr="005A7B8C">
              <w:rPr>
                <w:color w:val="auto"/>
              </w:rPr>
              <w:t xml:space="preserve">Application of </w:t>
            </w:r>
            <w:r w:rsidR="0080760D">
              <w:rPr>
                <w:color w:val="auto"/>
              </w:rPr>
              <w:t>receipts</w:t>
            </w:r>
            <w:r w:rsidRPr="005A7B8C">
              <w:rPr>
                <w:color w:val="auto"/>
              </w:rPr>
              <w:t xml:space="preserve"> to capital financing from the Capital </w:t>
            </w:r>
            <w:r>
              <w:rPr>
                <w:color w:val="auto"/>
              </w:rPr>
              <w:t xml:space="preserve">Receipts </w:t>
            </w:r>
            <w:r w:rsidR="0080760D">
              <w:rPr>
                <w:color w:val="auto"/>
              </w:rPr>
              <w:t>Reserve</w:t>
            </w:r>
          </w:p>
        </w:tc>
        <w:tc>
          <w:tcPr>
            <w:tcW w:w="797" w:type="pct"/>
            <w:tcBorders>
              <w:bottom w:val="nil"/>
            </w:tcBorders>
            <w:shd w:val="clear" w:color="auto" w:fill="auto"/>
            <w:vAlign w:val="bottom"/>
          </w:tcPr>
          <w:p w14:paraId="18BD3473" w14:textId="4D87A7C3" w:rsidR="00053326" w:rsidRPr="00A06955" w:rsidDel="006662A4" w:rsidRDefault="00053326" w:rsidP="00E95E56">
            <w:pPr>
              <w:tabs>
                <w:tab w:val="decimal" w:pos="1026"/>
              </w:tabs>
              <w:rPr>
                <w:color w:val="auto"/>
              </w:rPr>
            </w:pPr>
            <w:r w:rsidRPr="00A06955">
              <w:rPr>
                <w:color w:val="auto"/>
              </w:rPr>
              <w:t>(11.</w:t>
            </w:r>
            <w:r w:rsidR="00F30BAC">
              <w:rPr>
                <w:color w:val="auto"/>
              </w:rPr>
              <w:t>4</w:t>
            </w:r>
            <w:r w:rsidRPr="00A06955">
              <w:rPr>
                <w:color w:val="auto"/>
              </w:rPr>
              <w:t>)</w:t>
            </w:r>
          </w:p>
        </w:tc>
        <w:tc>
          <w:tcPr>
            <w:tcW w:w="833" w:type="pct"/>
            <w:tcBorders>
              <w:bottom w:val="nil"/>
            </w:tcBorders>
            <w:shd w:val="clear" w:color="auto" w:fill="auto"/>
            <w:vAlign w:val="bottom"/>
          </w:tcPr>
          <w:p w14:paraId="2D91EE61" w14:textId="5D896B14" w:rsidR="00053326" w:rsidRPr="00CD5A88" w:rsidRDefault="00053326" w:rsidP="00053326">
            <w:pPr>
              <w:tabs>
                <w:tab w:val="decimal" w:pos="1026"/>
              </w:tabs>
              <w:rPr>
                <w:color w:val="auto"/>
              </w:rPr>
            </w:pPr>
            <w:r>
              <w:rPr>
                <w:color w:val="auto"/>
              </w:rPr>
              <w:t>-</w:t>
            </w:r>
          </w:p>
        </w:tc>
      </w:tr>
      <w:tr w:rsidR="00053326" w:rsidRPr="008E4793" w14:paraId="7631AFA7" w14:textId="77777777" w:rsidTr="00E7723E">
        <w:trPr>
          <w:trHeight w:val="369"/>
        </w:trPr>
        <w:tc>
          <w:tcPr>
            <w:tcW w:w="3370" w:type="pct"/>
            <w:shd w:val="clear" w:color="auto" w:fill="auto"/>
            <w:vAlign w:val="bottom"/>
          </w:tcPr>
          <w:p w14:paraId="5F6C962C" w14:textId="77777777" w:rsidR="00053326" w:rsidRPr="00A06955" w:rsidRDefault="00053326" w:rsidP="00053326">
            <w:pPr>
              <w:jc w:val="left"/>
              <w:rPr>
                <w:color w:val="auto"/>
              </w:rPr>
            </w:pPr>
            <w:r w:rsidRPr="00A06955">
              <w:rPr>
                <w:color w:val="auto"/>
              </w:rPr>
              <w:t>Statutory provision for the financing of capital investment charged against the County Fund</w:t>
            </w:r>
          </w:p>
        </w:tc>
        <w:tc>
          <w:tcPr>
            <w:tcW w:w="797" w:type="pct"/>
            <w:tcBorders>
              <w:bottom w:val="nil"/>
            </w:tcBorders>
            <w:shd w:val="clear" w:color="auto" w:fill="auto"/>
            <w:vAlign w:val="bottom"/>
          </w:tcPr>
          <w:p w14:paraId="63C9F48B" w14:textId="41454C6E" w:rsidR="00053326" w:rsidRPr="00A06955" w:rsidRDefault="00053326" w:rsidP="00053326">
            <w:pPr>
              <w:tabs>
                <w:tab w:val="decimal" w:pos="1026"/>
              </w:tabs>
              <w:rPr>
                <w:color w:val="auto"/>
              </w:rPr>
            </w:pPr>
            <w:r w:rsidRPr="00A06955">
              <w:rPr>
                <w:color w:val="auto"/>
              </w:rPr>
              <w:t>(30.2)</w:t>
            </w:r>
          </w:p>
        </w:tc>
        <w:tc>
          <w:tcPr>
            <w:tcW w:w="833" w:type="pct"/>
            <w:tcBorders>
              <w:bottom w:val="nil"/>
            </w:tcBorders>
            <w:shd w:val="clear" w:color="auto" w:fill="auto"/>
            <w:vAlign w:val="bottom"/>
          </w:tcPr>
          <w:p w14:paraId="55B75B2D" w14:textId="77777777" w:rsidR="00053326" w:rsidRPr="00CD5A88" w:rsidRDefault="00053326" w:rsidP="00053326">
            <w:pPr>
              <w:tabs>
                <w:tab w:val="decimal" w:pos="1026"/>
              </w:tabs>
              <w:rPr>
                <w:color w:val="auto"/>
              </w:rPr>
            </w:pPr>
            <w:r w:rsidRPr="00CD5A88">
              <w:rPr>
                <w:color w:val="auto"/>
              </w:rPr>
              <w:t>(27.6)</w:t>
            </w:r>
          </w:p>
        </w:tc>
      </w:tr>
      <w:tr w:rsidR="00053326" w:rsidRPr="00052104" w14:paraId="726A7757" w14:textId="77777777" w:rsidTr="00A06955">
        <w:trPr>
          <w:trHeight w:val="369"/>
        </w:trPr>
        <w:tc>
          <w:tcPr>
            <w:tcW w:w="3370" w:type="pct"/>
            <w:shd w:val="clear" w:color="auto" w:fill="auto"/>
            <w:vAlign w:val="bottom"/>
          </w:tcPr>
          <w:p w14:paraId="6B2C7F7E" w14:textId="77777777" w:rsidR="00053326" w:rsidRPr="00A06955" w:rsidRDefault="00053326" w:rsidP="00053326">
            <w:pPr>
              <w:jc w:val="left"/>
              <w:rPr>
                <w:color w:val="auto"/>
              </w:rPr>
            </w:pPr>
            <w:r w:rsidRPr="00A06955">
              <w:rPr>
                <w:color w:val="auto"/>
              </w:rPr>
              <w:t>Capital expenditure charged against the County Fund</w:t>
            </w:r>
          </w:p>
        </w:tc>
        <w:tc>
          <w:tcPr>
            <w:tcW w:w="797" w:type="pct"/>
            <w:tcBorders>
              <w:top w:val="nil"/>
              <w:bottom w:val="single" w:sz="4" w:space="0" w:color="auto"/>
            </w:tcBorders>
            <w:shd w:val="clear" w:color="auto" w:fill="auto"/>
            <w:vAlign w:val="bottom"/>
          </w:tcPr>
          <w:p w14:paraId="2523FF48" w14:textId="70877709" w:rsidR="00053326" w:rsidRPr="00A06955" w:rsidRDefault="00053326">
            <w:pPr>
              <w:tabs>
                <w:tab w:val="decimal" w:pos="1026"/>
              </w:tabs>
              <w:rPr>
                <w:color w:val="auto"/>
              </w:rPr>
            </w:pPr>
            <w:r w:rsidRPr="00A06955">
              <w:rPr>
                <w:color w:val="auto"/>
              </w:rPr>
              <w:t>(15.</w:t>
            </w:r>
            <w:r w:rsidR="00BA4AC3">
              <w:rPr>
                <w:color w:val="auto"/>
              </w:rPr>
              <w:t>8</w:t>
            </w:r>
            <w:r w:rsidRPr="00A06955">
              <w:rPr>
                <w:color w:val="auto"/>
              </w:rPr>
              <w:t>)</w:t>
            </w:r>
          </w:p>
        </w:tc>
        <w:tc>
          <w:tcPr>
            <w:tcW w:w="833" w:type="pct"/>
            <w:tcBorders>
              <w:top w:val="nil"/>
              <w:bottom w:val="single" w:sz="4" w:space="0" w:color="auto"/>
            </w:tcBorders>
            <w:shd w:val="clear" w:color="auto" w:fill="auto"/>
            <w:vAlign w:val="bottom"/>
          </w:tcPr>
          <w:p w14:paraId="71054665" w14:textId="77777777" w:rsidR="00053326" w:rsidRPr="00CD5A88" w:rsidRDefault="00053326" w:rsidP="00053326">
            <w:pPr>
              <w:tabs>
                <w:tab w:val="decimal" w:pos="1026"/>
              </w:tabs>
              <w:rPr>
                <w:color w:val="auto"/>
              </w:rPr>
            </w:pPr>
            <w:r w:rsidRPr="00CD5A88">
              <w:rPr>
                <w:color w:val="auto"/>
              </w:rPr>
              <w:t>(16.4)</w:t>
            </w:r>
          </w:p>
        </w:tc>
      </w:tr>
      <w:tr w:rsidR="00053326" w:rsidRPr="00052104" w14:paraId="1163C5FF" w14:textId="77777777" w:rsidTr="00A06955">
        <w:trPr>
          <w:trHeight w:val="369"/>
        </w:trPr>
        <w:tc>
          <w:tcPr>
            <w:tcW w:w="3370" w:type="pct"/>
            <w:shd w:val="clear" w:color="auto" w:fill="auto"/>
            <w:vAlign w:val="bottom"/>
          </w:tcPr>
          <w:p w14:paraId="79713F1C" w14:textId="77777777" w:rsidR="00053326" w:rsidRPr="00A06955" w:rsidRDefault="00053326" w:rsidP="00053326">
            <w:pPr>
              <w:jc w:val="left"/>
              <w:rPr>
                <w:b/>
                <w:color w:val="auto"/>
                <w:u w:val="single"/>
              </w:rPr>
            </w:pPr>
          </w:p>
        </w:tc>
        <w:tc>
          <w:tcPr>
            <w:tcW w:w="797" w:type="pct"/>
            <w:tcBorders>
              <w:top w:val="single" w:sz="4" w:space="0" w:color="auto"/>
              <w:bottom w:val="single" w:sz="4" w:space="0" w:color="auto"/>
            </w:tcBorders>
            <w:shd w:val="clear" w:color="auto" w:fill="auto"/>
            <w:vAlign w:val="bottom"/>
          </w:tcPr>
          <w:p w14:paraId="088F14C7" w14:textId="07834AAE" w:rsidR="00053326" w:rsidRPr="009C1D66" w:rsidRDefault="008E2FD8" w:rsidP="005D7511">
            <w:pPr>
              <w:tabs>
                <w:tab w:val="decimal" w:pos="1026"/>
              </w:tabs>
              <w:rPr>
                <w:b/>
                <w:color w:val="auto"/>
              </w:rPr>
            </w:pPr>
            <w:r>
              <w:rPr>
                <w:b/>
                <w:color w:val="auto"/>
              </w:rPr>
              <w:t>(208.</w:t>
            </w:r>
            <w:r w:rsidR="005D7511">
              <w:rPr>
                <w:b/>
                <w:color w:val="auto"/>
              </w:rPr>
              <w:t>2</w:t>
            </w:r>
            <w:r w:rsidR="00053326" w:rsidRPr="009C1D66">
              <w:rPr>
                <w:b/>
                <w:color w:val="auto"/>
              </w:rPr>
              <w:t>)</w:t>
            </w:r>
          </w:p>
        </w:tc>
        <w:tc>
          <w:tcPr>
            <w:tcW w:w="833" w:type="pct"/>
            <w:tcBorders>
              <w:top w:val="single" w:sz="4" w:space="0" w:color="auto"/>
              <w:bottom w:val="single" w:sz="4" w:space="0" w:color="auto"/>
            </w:tcBorders>
            <w:shd w:val="clear" w:color="auto" w:fill="auto"/>
            <w:vAlign w:val="bottom"/>
          </w:tcPr>
          <w:p w14:paraId="741CD6A7" w14:textId="77777777" w:rsidR="00053326" w:rsidRPr="009C1D66" w:rsidRDefault="00053326" w:rsidP="00053326">
            <w:pPr>
              <w:tabs>
                <w:tab w:val="decimal" w:pos="1026"/>
              </w:tabs>
              <w:rPr>
                <w:b/>
                <w:color w:val="auto"/>
              </w:rPr>
            </w:pPr>
            <w:r w:rsidRPr="009C1D66">
              <w:rPr>
                <w:b/>
                <w:color w:val="auto"/>
              </w:rPr>
              <w:t>(182.1)</w:t>
            </w:r>
          </w:p>
        </w:tc>
      </w:tr>
      <w:tr w:rsidR="00053326" w:rsidRPr="00E7723E" w14:paraId="546300B2" w14:textId="77777777" w:rsidTr="00A06955">
        <w:trPr>
          <w:trHeight w:val="369"/>
        </w:trPr>
        <w:tc>
          <w:tcPr>
            <w:tcW w:w="3370" w:type="pct"/>
            <w:shd w:val="clear" w:color="auto" w:fill="auto"/>
            <w:vAlign w:val="bottom"/>
          </w:tcPr>
          <w:p w14:paraId="3BAF8EE5" w14:textId="77777777" w:rsidR="00053326" w:rsidRPr="00A06955" w:rsidRDefault="00053326" w:rsidP="00053326">
            <w:pPr>
              <w:jc w:val="left"/>
              <w:rPr>
                <w:color w:val="auto"/>
              </w:rPr>
            </w:pPr>
            <w:r w:rsidRPr="00A06955">
              <w:rPr>
                <w:color w:val="auto"/>
              </w:rPr>
              <w:lastRenderedPageBreak/>
              <w:t>Movements in the market value of investment properties debited or credited to the Comprehensive Income and Expenditure Statement</w:t>
            </w:r>
          </w:p>
        </w:tc>
        <w:tc>
          <w:tcPr>
            <w:tcW w:w="797" w:type="pct"/>
            <w:tcBorders>
              <w:top w:val="single" w:sz="4" w:space="0" w:color="auto"/>
              <w:bottom w:val="nil"/>
            </w:tcBorders>
            <w:shd w:val="clear" w:color="auto" w:fill="auto"/>
            <w:vAlign w:val="bottom"/>
          </w:tcPr>
          <w:p w14:paraId="5909B710" w14:textId="77777777" w:rsidR="00053326" w:rsidRPr="00A06955" w:rsidRDefault="00053326" w:rsidP="00053326">
            <w:pPr>
              <w:tabs>
                <w:tab w:val="decimal" w:pos="1026"/>
              </w:tabs>
              <w:rPr>
                <w:color w:val="auto"/>
              </w:rPr>
            </w:pPr>
            <w:r w:rsidRPr="00A06955">
              <w:rPr>
                <w:color w:val="auto"/>
              </w:rPr>
              <w:t>-</w:t>
            </w:r>
          </w:p>
        </w:tc>
        <w:tc>
          <w:tcPr>
            <w:tcW w:w="833" w:type="pct"/>
            <w:tcBorders>
              <w:top w:val="single" w:sz="4" w:space="0" w:color="auto"/>
              <w:bottom w:val="nil"/>
            </w:tcBorders>
            <w:shd w:val="clear" w:color="auto" w:fill="auto"/>
            <w:vAlign w:val="bottom"/>
          </w:tcPr>
          <w:p w14:paraId="64C0D2C7" w14:textId="77777777" w:rsidR="00053326" w:rsidRPr="00CD5A88" w:rsidRDefault="00053326" w:rsidP="00053326">
            <w:pPr>
              <w:tabs>
                <w:tab w:val="decimal" w:pos="1026"/>
              </w:tabs>
              <w:rPr>
                <w:color w:val="auto"/>
              </w:rPr>
            </w:pPr>
            <w:r w:rsidRPr="00CD5A88">
              <w:rPr>
                <w:color w:val="auto"/>
              </w:rPr>
              <w:t>1.5</w:t>
            </w:r>
          </w:p>
        </w:tc>
      </w:tr>
      <w:tr w:rsidR="00053326" w:rsidRPr="00E7723E" w14:paraId="02034D3B" w14:textId="77777777" w:rsidTr="00411CCE">
        <w:trPr>
          <w:trHeight w:val="369"/>
        </w:trPr>
        <w:tc>
          <w:tcPr>
            <w:tcW w:w="3370" w:type="pct"/>
            <w:shd w:val="clear" w:color="auto" w:fill="auto"/>
            <w:vAlign w:val="bottom"/>
          </w:tcPr>
          <w:p w14:paraId="751E95C9" w14:textId="77777777" w:rsidR="00053326" w:rsidRPr="00A06955" w:rsidRDefault="00053326" w:rsidP="00053326">
            <w:pPr>
              <w:jc w:val="left"/>
              <w:rPr>
                <w:color w:val="auto"/>
              </w:rPr>
            </w:pPr>
            <w:r w:rsidRPr="00A06955">
              <w:rPr>
                <w:color w:val="auto"/>
              </w:rPr>
              <w:t>Reclassifications – PPE adjustments and waste PFI deferred consideration write out</w:t>
            </w:r>
          </w:p>
        </w:tc>
        <w:tc>
          <w:tcPr>
            <w:tcW w:w="797" w:type="pct"/>
            <w:tcBorders>
              <w:bottom w:val="nil"/>
            </w:tcBorders>
            <w:shd w:val="clear" w:color="auto" w:fill="auto"/>
            <w:vAlign w:val="bottom"/>
          </w:tcPr>
          <w:p w14:paraId="31653A27" w14:textId="77777777" w:rsidR="00053326" w:rsidRPr="00A06955" w:rsidRDefault="00053326" w:rsidP="00053326">
            <w:pPr>
              <w:tabs>
                <w:tab w:val="decimal" w:pos="1026"/>
              </w:tabs>
              <w:rPr>
                <w:color w:val="auto"/>
              </w:rPr>
            </w:pPr>
            <w:r w:rsidRPr="00A06955">
              <w:rPr>
                <w:color w:val="auto"/>
              </w:rPr>
              <w:t>-</w:t>
            </w:r>
          </w:p>
        </w:tc>
        <w:tc>
          <w:tcPr>
            <w:tcW w:w="833" w:type="pct"/>
            <w:tcBorders>
              <w:bottom w:val="nil"/>
            </w:tcBorders>
            <w:shd w:val="clear" w:color="auto" w:fill="auto"/>
            <w:vAlign w:val="bottom"/>
          </w:tcPr>
          <w:p w14:paraId="1374C702" w14:textId="77777777" w:rsidR="00053326" w:rsidRPr="00CD5A88" w:rsidRDefault="00053326" w:rsidP="00053326">
            <w:pPr>
              <w:tabs>
                <w:tab w:val="decimal" w:pos="1026"/>
              </w:tabs>
              <w:rPr>
                <w:color w:val="auto"/>
              </w:rPr>
            </w:pPr>
            <w:r w:rsidRPr="00CD5A88">
              <w:rPr>
                <w:color w:val="auto"/>
              </w:rPr>
              <w:t>(1.6)</w:t>
            </w:r>
          </w:p>
        </w:tc>
      </w:tr>
      <w:tr w:rsidR="00053326" w:rsidRPr="00052104" w14:paraId="2F2FCF6A" w14:textId="77777777" w:rsidTr="00E7723E">
        <w:trPr>
          <w:trHeight w:val="369"/>
        </w:trPr>
        <w:tc>
          <w:tcPr>
            <w:tcW w:w="3370" w:type="pct"/>
            <w:shd w:val="clear" w:color="auto" w:fill="auto"/>
            <w:vAlign w:val="bottom"/>
          </w:tcPr>
          <w:p w14:paraId="53B67812" w14:textId="38CBB575" w:rsidR="00053326" w:rsidRPr="003C0F16" w:rsidRDefault="00053326" w:rsidP="00053326">
            <w:pPr>
              <w:jc w:val="left"/>
              <w:rPr>
                <w:b/>
                <w:color w:val="auto"/>
                <w:highlight w:val="yellow"/>
              </w:rPr>
            </w:pPr>
            <w:r w:rsidRPr="00A06955">
              <w:rPr>
                <w:b/>
                <w:color w:val="auto"/>
              </w:rPr>
              <w:t xml:space="preserve">Balance </w:t>
            </w:r>
            <w:r w:rsidR="002B3169">
              <w:rPr>
                <w:b/>
                <w:color w:val="auto"/>
              </w:rPr>
              <w:t xml:space="preserve">as </w:t>
            </w:r>
            <w:r w:rsidRPr="00A06955">
              <w:rPr>
                <w:b/>
                <w:color w:val="auto"/>
              </w:rPr>
              <w:t>at 31 March</w:t>
            </w:r>
            <w:r w:rsidR="00955619">
              <w:rPr>
                <w:b/>
                <w:color w:val="auto"/>
              </w:rPr>
              <w:t xml:space="preserve"> 2015</w:t>
            </w:r>
          </w:p>
        </w:tc>
        <w:tc>
          <w:tcPr>
            <w:tcW w:w="797" w:type="pct"/>
            <w:tcBorders>
              <w:top w:val="single" w:sz="4" w:space="0" w:color="auto"/>
              <w:bottom w:val="single" w:sz="4" w:space="0" w:color="auto"/>
            </w:tcBorders>
            <w:shd w:val="clear" w:color="auto" w:fill="auto"/>
            <w:vAlign w:val="bottom"/>
          </w:tcPr>
          <w:p w14:paraId="1A2927C1" w14:textId="52D4B367" w:rsidR="00053326" w:rsidRPr="00A06955" w:rsidRDefault="00053326" w:rsidP="005D7511">
            <w:pPr>
              <w:tabs>
                <w:tab w:val="decimal" w:pos="1026"/>
              </w:tabs>
              <w:rPr>
                <w:b/>
                <w:color w:val="auto"/>
                <w:highlight w:val="cyan"/>
              </w:rPr>
            </w:pPr>
            <w:r w:rsidRPr="00A06955">
              <w:rPr>
                <w:b/>
                <w:color w:val="auto"/>
              </w:rPr>
              <w:t>(</w:t>
            </w:r>
            <w:r w:rsidR="00144B95">
              <w:rPr>
                <w:b/>
                <w:color w:val="auto"/>
              </w:rPr>
              <w:t>1,020</w:t>
            </w:r>
            <w:r w:rsidRPr="00A06955">
              <w:rPr>
                <w:b/>
                <w:color w:val="auto"/>
              </w:rPr>
              <w:t>.</w:t>
            </w:r>
            <w:r w:rsidR="005D7511">
              <w:rPr>
                <w:b/>
                <w:color w:val="auto"/>
              </w:rPr>
              <w:t>0</w:t>
            </w:r>
            <w:r w:rsidRPr="00A06955">
              <w:rPr>
                <w:b/>
                <w:color w:val="auto"/>
              </w:rPr>
              <w:t>)</w:t>
            </w:r>
          </w:p>
        </w:tc>
        <w:tc>
          <w:tcPr>
            <w:tcW w:w="833" w:type="pct"/>
            <w:tcBorders>
              <w:top w:val="single" w:sz="4" w:space="0" w:color="auto"/>
              <w:bottom w:val="single" w:sz="4" w:space="0" w:color="auto"/>
            </w:tcBorders>
            <w:shd w:val="clear" w:color="auto" w:fill="auto"/>
            <w:vAlign w:val="bottom"/>
          </w:tcPr>
          <w:p w14:paraId="37E6E018" w14:textId="77777777" w:rsidR="00053326" w:rsidRDefault="00053326" w:rsidP="00053326">
            <w:pPr>
              <w:tabs>
                <w:tab w:val="decimal" w:pos="1026"/>
              </w:tabs>
              <w:rPr>
                <w:b/>
                <w:color w:val="auto"/>
              </w:rPr>
            </w:pPr>
            <w:r>
              <w:rPr>
                <w:b/>
                <w:color w:val="auto"/>
              </w:rPr>
              <w:t>(999.8)</w:t>
            </w:r>
          </w:p>
        </w:tc>
      </w:tr>
    </w:tbl>
    <w:p w14:paraId="7B955F93" w14:textId="0152E939" w:rsidR="006E230C" w:rsidRPr="001E3F93" w:rsidRDefault="006E230C" w:rsidP="00796721">
      <w:pPr>
        <w:shd w:val="clear" w:color="auto" w:fill="FFFFFF" w:themeFill="background1"/>
        <w:rPr>
          <w:b/>
          <w:color w:val="auto"/>
          <w:lang w:eastAsia="en-GB"/>
        </w:rPr>
      </w:pPr>
      <w:commentRangeStart w:id="9"/>
      <w:r w:rsidRPr="001E3F93">
        <w:rPr>
          <w:b/>
          <w:color w:val="auto"/>
          <w:lang w:eastAsia="en-GB"/>
        </w:rPr>
        <w:t xml:space="preserve"> </w:t>
      </w:r>
      <w:commentRangeEnd w:id="9"/>
      <w:r w:rsidR="00796721" w:rsidRPr="001E3F93">
        <w:rPr>
          <w:rFonts w:eastAsia="Times New Roman" w:cs="Arial"/>
          <w:color w:val="auto"/>
          <w:lang w:eastAsia="en-GB"/>
        </w:rPr>
        <w:commentReference w:id="9"/>
      </w:r>
    </w:p>
    <w:p w14:paraId="15010099" w14:textId="2C80812A" w:rsidR="00AB61E2" w:rsidRPr="006F05AE" w:rsidRDefault="008E213D" w:rsidP="00BA3029">
      <w:pPr>
        <w:rPr>
          <w:b/>
          <w:lang w:eastAsia="en-GB"/>
        </w:rPr>
      </w:pPr>
      <w:r w:rsidRPr="006F05AE">
        <w:rPr>
          <w:b/>
          <w:lang w:eastAsia="en-GB"/>
        </w:rPr>
        <w:t>Pensions Reserve</w:t>
      </w:r>
    </w:p>
    <w:p w14:paraId="6280B955" w14:textId="5AE48D66" w:rsidR="008E213D" w:rsidRPr="006F05AE" w:rsidRDefault="008E213D" w:rsidP="008E213D">
      <w:pPr>
        <w:rPr>
          <w:lang w:eastAsia="en-GB"/>
        </w:rPr>
      </w:pPr>
      <w:r w:rsidRPr="006F05AE">
        <w:rPr>
          <w:lang w:eastAsia="en-GB"/>
        </w:rPr>
        <w:t>The pensions reserve absorbs the timing differences arising from the different arrangements for accounting for post</w:t>
      </w:r>
      <w:r w:rsidR="006C5A66">
        <w:rPr>
          <w:lang w:eastAsia="en-GB"/>
        </w:rPr>
        <w:t>-</w:t>
      </w:r>
      <w:r w:rsidRPr="006F05AE">
        <w:rPr>
          <w:lang w:eastAsia="en-GB"/>
        </w:rPr>
        <w:t>employment benefits and for funding benefits in accordance with statutory provisions.</w:t>
      </w:r>
    </w:p>
    <w:p w14:paraId="7F52E437" w14:textId="0D116437" w:rsidR="008E213D" w:rsidRPr="006F05AE" w:rsidRDefault="008E213D" w:rsidP="008E213D">
      <w:pPr>
        <w:rPr>
          <w:lang w:eastAsia="en-GB"/>
        </w:rPr>
      </w:pPr>
      <w:r w:rsidRPr="006F05AE">
        <w:rPr>
          <w:lang w:eastAsia="en-GB"/>
        </w:rPr>
        <w:t>The council accounts for post</w:t>
      </w:r>
      <w:r w:rsidR="006C5A66">
        <w:rPr>
          <w:lang w:eastAsia="en-GB"/>
        </w:rPr>
        <w:t>-</w:t>
      </w:r>
      <w:r w:rsidRPr="006F05AE">
        <w:rPr>
          <w:lang w:eastAsia="en-GB"/>
        </w:rPr>
        <w:t>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w:t>
      </w:r>
    </w:p>
    <w:p w14:paraId="2A0A193A" w14:textId="77777777" w:rsidR="008E213D" w:rsidRDefault="008E213D" w:rsidP="008E213D">
      <w:pPr>
        <w:rPr>
          <w:lang w:eastAsia="en-GB"/>
        </w:rPr>
      </w:pPr>
      <w:r w:rsidRPr="006F05AE">
        <w:rPr>
          <w:lang w:eastAsia="en-GB"/>
        </w:rPr>
        <w:t xml:space="preserve">However, statutory arrangements require benefits earned to be financed, as the council makes employer's contributions to pension funds or eventually pay any pensions for which it is directly responsible. The debit balance on the Pensions Reserve therefore shows a substantial shortfall in the benefits earned by past and current employees and the resources the council has set aside to meet them. The statutory arrangements will ensure that </w:t>
      </w:r>
      <w:r w:rsidRPr="006F05AE">
        <w:rPr>
          <w:lang w:eastAsia="en-GB"/>
        </w:rPr>
        <w:lastRenderedPageBreak/>
        <w:t>funding will have been set aside by the time the benefits come to be paid.</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AD7422" w:rsidRPr="00052104" w14:paraId="379974F5" w14:textId="77777777" w:rsidTr="00A06955">
        <w:trPr>
          <w:trHeight w:val="369"/>
          <w:tblHeader/>
        </w:trPr>
        <w:tc>
          <w:tcPr>
            <w:tcW w:w="3105" w:type="pct"/>
            <w:shd w:val="clear" w:color="auto" w:fill="D0CECE"/>
            <w:vAlign w:val="bottom"/>
          </w:tcPr>
          <w:p w14:paraId="60769AAA" w14:textId="77777777" w:rsidR="00AD7422" w:rsidRPr="006F05AE" w:rsidRDefault="00AD7422" w:rsidP="00411CCE">
            <w:pPr>
              <w:jc w:val="left"/>
              <w:rPr>
                <w:color w:val="auto"/>
              </w:rPr>
            </w:pPr>
          </w:p>
        </w:tc>
        <w:tc>
          <w:tcPr>
            <w:tcW w:w="929" w:type="pct"/>
            <w:shd w:val="clear" w:color="auto" w:fill="D0CECE"/>
            <w:vAlign w:val="bottom"/>
          </w:tcPr>
          <w:p w14:paraId="4118485F" w14:textId="77777777" w:rsidR="00AD7422" w:rsidRPr="006F05AE" w:rsidRDefault="00AD7422" w:rsidP="00411CCE">
            <w:pPr>
              <w:jc w:val="center"/>
              <w:rPr>
                <w:b/>
                <w:color w:val="auto"/>
              </w:rPr>
            </w:pPr>
            <w:r w:rsidRPr="006F05AE">
              <w:rPr>
                <w:b/>
                <w:color w:val="auto"/>
              </w:rPr>
              <w:t>31/03/2015</w:t>
            </w:r>
          </w:p>
        </w:tc>
        <w:tc>
          <w:tcPr>
            <w:tcW w:w="966" w:type="pct"/>
            <w:shd w:val="clear" w:color="auto" w:fill="D0CECE"/>
            <w:vAlign w:val="bottom"/>
          </w:tcPr>
          <w:p w14:paraId="5B9D2B78" w14:textId="77777777" w:rsidR="00AD7422" w:rsidRPr="006F05AE" w:rsidRDefault="00AD7422" w:rsidP="00411CCE">
            <w:pPr>
              <w:jc w:val="center"/>
              <w:rPr>
                <w:b/>
                <w:color w:val="auto"/>
              </w:rPr>
            </w:pPr>
            <w:r w:rsidRPr="006F05AE">
              <w:rPr>
                <w:b/>
                <w:color w:val="auto"/>
              </w:rPr>
              <w:t>31/03/2014</w:t>
            </w:r>
          </w:p>
        </w:tc>
      </w:tr>
      <w:tr w:rsidR="00AD7422" w:rsidRPr="00052104" w14:paraId="1E3AE9E7" w14:textId="77777777" w:rsidTr="00A06955">
        <w:trPr>
          <w:trHeight w:val="369"/>
          <w:tblHeader/>
        </w:trPr>
        <w:tc>
          <w:tcPr>
            <w:tcW w:w="3105" w:type="pct"/>
            <w:shd w:val="clear" w:color="auto" w:fill="D0CECE"/>
            <w:vAlign w:val="bottom"/>
          </w:tcPr>
          <w:p w14:paraId="1528B718" w14:textId="77777777" w:rsidR="00AD7422" w:rsidRPr="006F05AE" w:rsidRDefault="00AD7422" w:rsidP="00411CCE">
            <w:pPr>
              <w:jc w:val="left"/>
              <w:rPr>
                <w:color w:val="auto"/>
              </w:rPr>
            </w:pPr>
          </w:p>
        </w:tc>
        <w:tc>
          <w:tcPr>
            <w:tcW w:w="929" w:type="pct"/>
            <w:shd w:val="clear" w:color="auto" w:fill="D0CECE"/>
            <w:vAlign w:val="bottom"/>
          </w:tcPr>
          <w:p w14:paraId="5604D043" w14:textId="77777777" w:rsidR="00AD7422" w:rsidRPr="006F05AE" w:rsidRDefault="00AD7422" w:rsidP="00411CCE">
            <w:pPr>
              <w:jc w:val="center"/>
              <w:rPr>
                <w:b/>
                <w:color w:val="auto"/>
              </w:rPr>
            </w:pPr>
            <w:r w:rsidRPr="006F05AE">
              <w:rPr>
                <w:b/>
                <w:color w:val="auto"/>
              </w:rPr>
              <w:t>£m</w:t>
            </w:r>
          </w:p>
        </w:tc>
        <w:tc>
          <w:tcPr>
            <w:tcW w:w="966" w:type="pct"/>
            <w:shd w:val="clear" w:color="auto" w:fill="D0CECE"/>
            <w:vAlign w:val="bottom"/>
          </w:tcPr>
          <w:p w14:paraId="11B66B31" w14:textId="77777777" w:rsidR="00AD7422" w:rsidRPr="006F05AE" w:rsidRDefault="00AD7422" w:rsidP="00411CCE">
            <w:pPr>
              <w:jc w:val="center"/>
              <w:rPr>
                <w:b/>
                <w:color w:val="auto"/>
              </w:rPr>
            </w:pPr>
            <w:r w:rsidRPr="006F05AE">
              <w:rPr>
                <w:b/>
                <w:color w:val="auto"/>
              </w:rPr>
              <w:t>£m</w:t>
            </w:r>
          </w:p>
        </w:tc>
      </w:tr>
      <w:tr w:rsidR="00AD7422" w:rsidRPr="00AB61E2" w14:paraId="75EBEED1" w14:textId="77777777" w:rsidTr="00411CCE">
        <w:trPr>
          <w:trHeight w:val="369"/>
        </w:trPr>
        <w:tc>
          <w:tcPr>
            <w:tcW w:w="3105" w:type="pct"/>
            <w:shd w:val="clear" w:color="auto" w:fill="auto"/>
            <w:vAlign w:val="bottom"/>
          </w:tcPr>
          <w:p w14:paraId="552C181C" w14:textId="2ECA2302" w:rsidR="00AD7422" w:rsidRPr="006F05AE" w:rsidRDefault="00AD7422" w:rsidP="00411CCE">
            <w:pPr>
              <w:jc w:val="left"/>
              <w:rPr>
                <w:b/>
                <w:color w:val="auto"/>
              </w:rPr>
            </w:pPr>
            <w:r w:rsidRPr="006F05AE">
              <w:rPr>
                <w:b/>
                <w:color w:val="auto"/>
              </w:rPr>
              <w:t xml:space="preserve">Balance </w:t>
            </w:r>
            <w:r w:rsidR="002B3169">
              <w:rPr>
                <w:b/>
                <w:color w:val="auto"/>
              </w:rPr>
              <w:t xml:space="preserve">as </w:t>
            </w:r>
            <w:r w:rsidRPr="006F05AE">
              <w:rPr>
                <w:b/>
                <w:color w:val="auto"/>
              </w:rPr>
              <w:t>at 1 April</w:t>
            </w:r>
            <w:r w:rsidR="00955619">
              <w:rPr>
                <w:b/>
                <w:color w:val="auto"/>
              </w:rPr>
              <w:t xml:space="preserve"> 2014</w:t>
            </w:r>
          </w:p>
        </w:tc>
        <w:tc>
          <w:tcPr>
            <w:tcW w:w="929" w:type="pct"/>
            <w:tcBorders>
              <w:bottom w:val="nil"/>
            </w:tcBorders>
            <w:shd w:val="clear" w:color="auto" w:fill="auto"/>
            <w:vAlign w:val="bottom"/>
          </w:tcPr>
          <w:p w14:paraId="17A5D82B" w14:textId="77777777" w:rsidR="00AD7422" w:rsidRPr="006F05AE" w:rsidRDefault="006F05AE" w:rsidP="00411CCE">
            <w:pPr>
              <w:tabs>
                <w:tab w:val="decimal" w:pos="884"/>
              </w:tabs>
              <w:rPr>
                <w:b/>
                <w:color w:val="auto"/>
              </w:rPr>
            </w:pPr>
            <w:r w:rsidRPr="006F05AE">
              <w:rPr>
                <w:b/>
                <w:color w:val="auto"/>
              </w:rPr>
              <w:t>905.1</w:t>
            </w:r>
          </w:p>
        </w:tc>
        <w:tc>
          <w:tcPr>
            <w:tcW w:w="966" w:type="pct"/>
            <w:tcBorders>
              <w:bottom w:val="nil"/>
            </w:tcBorders>
            <w:shd w:val="clear" w:color="auto" w:fill="auto"/>
            <w:vAlign w:val="bottom"/>
          </w:tcPr>
          <w:p w14:paraId="5062B5F9" w14:textId="77777777" w:rsidR="00AD7422" w:rsidRPr="006F05AE" w:rsidRDefault="00AD7422" w:rsidP="00411CCE">
            <w:pPr>
              <w:tabs>
                <w:tab w:val="decimal" w:pos="1026"/>
              </w:tabs>
              <w:rPr>
                <w:b/>
                <w:color w:val="auto"/>
              </w:rPr>
            </w:pPr>
            <w:r w:rsidRPr="006F05AE">
              <w:rPr>
                <w:b/>
                <w:color w:val="auto"/>
              </w:rPr>
              <w:t>1,127.1</w:t>
            </w:r>
          </w:p>
        </w:tc>
      </w:tr>
      <w:tr w:rsidR="00AD7422" w:rsidRPr="00052104" w14:paraId="26EBCFDA" w14:textId="77777777" w:rsidTr="00A06955">
        <w:trPr>
          <w:trHeight w:val="369"/>
        </w:trPr>
        <w:tc>
          <w:tcPr>
            <w:tcW w:w="3105" w:type="pct"/>
            <w:shd w:val="clear" w:color="auto" w:fill="auto"/>
            <w:vAlign w:val="bottom"/>
          </w:tcPr>
          <w:p w14:paraId="7735AE33" w14:textId="77777777" w:rsidR="00AD7422" w:rsidRPr="006F05AE" w:rsidRDefault="00AD7422" w:rsidP="00411CCE">
            <w:pPr>
              <w:jc w:val="left"/>
              <w:rPr>
                <w:color w:val="auto"/>
              </w:rPr>
            </w:pPr>
            <w:r w:rsidRPr="006F05AE">
              <w:rPr>
                <w:color w:val="auto"/>
              </w:rPr>
              <w:t>Re</w:t>
            </w:r>
            <w:r w:rsidR="006C5A66">
              <w:rPr>
                <w:color w:val="auto"/>
              </w:rPr>
              <w:t>-</w:t>
            </w:r>
            <w:r w:rsidRPr="006F05AE">
              <w:rPr>
                <w:color w:val="auto"/>
              </w:rPr>
              <w:t>measurements of the net defined benefit liability/(asset)</w:t>
            </w:r>
          </w:p>
        </w:tc>
        <w:tc>
          <w:tcPr>
            <w:tcW w:w="929" w:type="pct"/>
            <w:tcBorders>
              <w:bottom w:val="nil"/>
            </w:tcBorders>
            <w:shd w:val="clear" w:color="auto" w:fill="auto"/>
            <w:vAlign w:val="bottom"/>
          </w:tcPr>
          <w:p w14:paraId="6168D87B" w14:textId="77777777" w:rsidR="00AD7422" w:rsidRPr="006F05AE" w:rsidRDefault="006F05AE" w:rsidP="00411CCE">
            <w:pPr>
              <w:tabs>
                <w:tab w:val="decimal" w:pos="884"/>
              </w:tabs>
              <w:rPr>
                <w:color w:val="auto"/>
              </w:rPr>
            </w:pPr>
            <w:r w:rsidRPr="006F05AE">
              <w:rPr>
                <w:color w:val="auto"/>
              </w:rPr>
              <w:t>301.9</w:t>
            </w:r>
          </w:p>
        </w:tc>
        <w:tc>
          <w:tcPr>
            <w:tcW w:w="966" w:type="pct"/>
            <w:tcBorders>
              <w:bottom w:val="nil"/>
            </w:tcBorders>
            <w:shd w:val="clear" w:color="auto" w:fill="auto"/>
            <w:vAlign w:val="bottom"/>
          </w:tcPr>
          <w:p w14:paraId="0E45CD90" w14:textId="77777777" w:rsidR="00AD7422" w:rsidRPr="006F05AE" w:rsidRDefault="00AD7422" w:rsidP="00411CCE">
            <w:pPr>
              <w:tabs>
                <w:tab w:val="decimal" w:pos="1026"/>
              </w:tabs>
              <w:rPr>
                <w:color w:val="auto"/>
              </w:rPr>
            </w:pPr>
            <w:r w:rsidRPr="006F05AE">
              <w:rPr>
                <w:color w:val="auto"/>
              </w:rPr>
              <w:t>(273.8)</w:t>
            </w:r>
          </w:p>
        </w:tc>
      </w:tr>
      <w:tr w:rsidR="00AD7422" w:rsidRPr="00052104" w14:paraId="63E712C7" w14:textId="77777777" w:rsidTr="00A06955">
        <w:trPr>
          <w:trHeight w:val="369"/>
        </w:trPr>
        <w:tc>
          <w:tcPr>
            <w:tcW w:w="3105" w:type="pct"/>
            <w:shd w:val="clear" w:color="auto" w:fill="auto"/>
            <w:vAlign w:val="bottom"/>
          </w:tcPr>
          <w:p w14:paraId="3F919D0F" w14:textId="42B0AE8A" w:rsidR="00AD7422" w:rsidRPr="006F05AE" w:rsidRDefault="00AD7422" w:rsidP="00A06955">
            <w:pPr>
              <w:jc w:val="left"/>
              <w:rPr>
                <w:color w:val="auto"/>
              </w:rPr>
            </w:pPr>
            <w:r w:rsidRPr="006F05AE">
              <w:rPr>
                <w:color w:val="auto"/>
              </w:rPr>
              <w:t xml:space="preserve">Reversal of items relating to retirement benefits debited or credited to </w:t>
            </w:r>
            <w:r w:rsidRPr="00A06955">
              <w:rPr>
                <w:color w:val="auto"/>
              </w:rPr>
              <w:t>the Surplus on the</w:t>
            </w:r>
            <w:r w:rsidRPr="006F05AE">
              <w:rPr>
                <w:color w:val="auto"/>
              </w:rPr>
              <w:t xml:space="preserve"> Provision of Services in the Comprehensive Income and Expenditure Statement</w:t>
            </w:r>
          </w:p>
        </w:tc>
        <w:tc>
          <w:tcPr>
            <w:tcW w:w="929" w:type="pct"/>
            <w:tcBorders>
              <w:top w:val="nil"/>
              <w:bottom w:val="single" w:sz="4" w:space="0" w:color="auto"/>
            </w:tcBorders>
            <w:shd w:val="clear" w:color="auto" w:fill="auto"/>
            <w:vAlign w:val="bottom"/>
          </w:tcPr>
          <w:p w14:paraId="5043317F" w14:textId="77777777" w:rsidR="00AD7422" w:rsidRPr="006F05AE" w:rsidRDefault="006F05AE" w:rsidP="00411CCE">
            <w:pPr>
              <w:tabs>
                <w:tab w:val="decimal" w:pos="884"/>
              </w:tabs>
              <w:rPr>
                <w:color w:val="auto"/>
              </w:rPr>
            </w:pPr>
            <w:r w:rsidRPr="006F05AE">
              <w:rPr>
                <w:color w:val="auto"/>
              </w:rPr>
              <w:t>125.0</w:t>
            </w:r>
          </w:p>
        </w:tc>
        <w:tc>
          <w:tcPr>
            <w:tcW w:w="966" w:type="pct"/>
            <w:tcBorders>
              <w:top w:val="nil"/>
              <w:bottom w:val="single" w:sz="4" w:space="0" w:color="auto"/>
            </w:tcBorders>
            <w:shd w:val="clear" w:color="auto" w:fill="auto"/>
            <w:vAlign w:val="bottom"/>
          </w:tcPr>
          <w:p w14:paraId="3CCEC84D" w14:textId="77777777" w:rsidR="00AD7422" w:rsidRPr="006F05AE" w:rsidRDefault="00AD7422" w:rsidP="00411CCE">
            <w:pPr>
              <w:tabs>
                <w:tab w:val="decimal" w:pos="1026"/>
              </w:tabs>
              <w:rPr>
                <w:color w:val="auto"/>
              </w:rPr>
            </w:pPr>
            <w:r w:rsidRPr="006F05AE">
              <w:rPr>
                <w:color w:val="auto"/>
              </w:rPr>
              <w:t>134.9</w:t>
            </w:r>
          </w:p>
        </w:tc>
      </w:tr>
      <w:tr w:rsidR="00AD7422" w:rsidRPr="00052104" w14:paraId="7023E0D3" w14:textId="77777777" w:rsidTr="00A06955">
        <w:trPr>
          <w:trHeight w:val="369"/>
        </w:trPr>
        <w:tc>
          <w:tcPr>
            <w:tcW w:w="3105" w:type="pct"/>
            <w:shd w:val="clear" w:color="auto" w:fill="auto"/>
            <w:vAlign w:val="bottom"/>
          </w:tcPr>
          <w:p w14:paraId="32C85035" w14:textId="77777777" w:rsidR="00AD7422" w:rsidRPr="006F05AE" w:rsidRDefault="00AD7422" w:rsidP="00411CCE">
            <w:pPr>
              <w:jc w:val="left"/>
              <w:rPr>
                <w:color w:val="auto"/>
              </w:rPr>
            </w:pPr>
            <w:r w:rsidRPr="006F05AE">
              <w:rPr>
                <w:color w:val="auto"/>
              </w:rPr>
              <w:t>Employer's pension contributions and direct payments to pensioners payable in the year</w:t>
            </w:r>
          </w:p>
        </w:tc>
        <w:tc>
          <w:tcPr>
            <w:tcW w:w="929" w:type="pct"/>
            <w:tcBorders>
              <w:top w:val="single" w:sz="4" w:space="0" w:color="auto"/>
              <w:bottom w:val="nil"/>
            </w:tcBorders>
            <w:shd w:val="clear" w:color="auto" w:fill="auto"/>
            <w:vAlign w:val="bottom"/>
          </w:tcPr>
          <w:p w14:paraId="49B9DB05" w14:textId="77777777" w:rsidR="00AD7422" w:rsidRPr="006F05AE" w:rsidRDefault="006F05AE" w:rsidP="00411CCE">
            <w:pPr>
              <w:tabs>
                <w:tab w:val="decimal" w:pos="884"/>
              </w:tabs>
              <w:rPr>
                <w:color w:val="auto"/>
              </w:rPr>
            </w:pPr>
            <w:r w:rsidRPr="006F05AE">
              <w:rPr>
                <w:color w:val="auto"/>
              </w:rPr>
              <w:t>(93.8)</w:t>
            </w:r>
          </w:p>
        </w:tc>
        <w:tc>
          <w:tcPr>
            <w:tcW w:w="966" w:type="pct"/>
            <w:tcBorders>
              <w:top w:val="single" w:sz="4" w:space="0" w:color="auto"/>
              <w:bottom w:val="nil"/>
            </w:tcBorders>
            <w:shd w:val="clear" w:color="auto" w:fill="auto"/>
            <w:vAlign w:val="bottom"/>
          </w:tcPr>
          <w:p w14:paraId="7A141984" w14:textId="77777777" w:rsidR="00AD7422" w:rsidRPr="006F05AE" w:rsidRDefault="00AD7422" w:rsidP="00411CCE">
            <w:pPr>
              <w:tabs>
                <w:tab w:val="decimal" w:pos="1026"/>
              </w:tabs>
              <w:rPr>
                <w:color w:val="auto"/>
              </w:rPr>
            </w:pPr>
            <w:r w:rsidRPr="006F05AE">
              <w:rPr>
                <w:color w:val="auto"/>
              </w:rPr>
              <w:t>(83.1)</w:t>
            </w:r>
          </w:p>
        </w:tc>
      </w:tr>
      <w:tr w:rsidR="00AD7422" w:rsidRPr="004F1182" w14:paraId="47A69753" w14:textId="77777777" w:rsidTr="00411CCE">
        <w:trPr>
          <w:trHeight w:val="369"/>
        </w:trPr>
        <w:tc>
          <w:tcPr>
            <w:tcW w:w="3105" w:type="pct"/>
            <w:shd w:val="clear" w:color="auto" w:fill="auto"/>
            <w:vAlign w:val="bottom"/>
          </w:tcPr>
          <w:p w14:paraId="2B74F2DE" w14:textId="1BADDC25" w:rsidR="00AD7422" w:rsidRPr="006F05AE" w:rsidRDefault="00AD7422" w:rsidP="00411CCE">
            <w:pPr>
              <w:jc w:val="left"/>
              <w:rPr>
                <w:b/>
                <w:color w:val="auto"/>
              </w:rPr>
            </w:pPr>
            <w:r w:rsidRPr="006F05AE">
              <w:rPr>
                <w:b/>
                <w:color w:val="auto"/>
              </w:rPr>
              <w:t xml:space="preserve">Balance </w:t>
            </w:r>
            <w:r w:rsidR="002B3169">
              <w:rPr>
                <w:b/>
                <w:color w:val="auto"/>
              </w:rPr>
              <w:t xml:space="preserve">as </w:t>
            </w:r>
            <w:r w:rsidRPr="006F05AE">
              <w:rPr>
                <w:b/>
                <w:color w:val="auto"/>
              </w:rPr>
              <w:t>at 31 March</w:t>
            </w:r>
            <w:r w:rsidR="00955619">
              <w:rPr>
                <w:b/>
                <w:color w:val="auto"/>
              </w:rPr>
              <w:t xml:space="preserve"> 2015</w:t>
            </w:r>
          </w:p>
        </w:tc>
        <w:tc>
          <w:tcPr>
            <w:tcW w:w="929" w:type="pct"/>
            <w:tcBorders>
              <w:top w:val="single" w:sz="4" w:space="0" w:color="auto"/>
              <w:bottom w:val="single" w:sz="4" w:space="0" w:color="auto"/>
            </w:tcBorders>
            <w:shd w:val="clear" w:color="auto" w:fill="auto"/>
            <w:vAlign w:val="bottom"/>
          </w:tcPr>
          <w:p w14:paraId="4095FDFF" w14:textId="77777777" w:rsidR="00AD7422" w:rsidRPr="006F05AE" w:rsidRDefault="006F05AE" w:rsidP="00411CCE">
            <w:pPr>
              <w:tabs>
                <w:tab w:val="decimal" w:pos="884"/>
              </w:tabs>
              <w:rPr>
                <w:b/>
                <w:color w:val="auto"/>
              </w:rPr>
            </w:pPr>
            <w:r w:rsidRPr="006F05AE">
              <w:rPr>
                <w:b/>
                <w:color w:val="auto"/>
              </w:rPr>
              <w:t>1,238.2</w:t>
            </w:r>
          </w:p>
        </w:tc>
        <w:tc>
          <w:tcPr>
            <w:tcW w:w="966" w:type="pct"/>
            <w:tcBorders>
              <w:top w:val="single" w:sz="4" w:space="0" w:color="auto"/>
              <w:bottom w:val="single" w:sz="4" w:space="0" w:color="auto"/>
            </w:tcBorders>
            <w:shd w:val="clear" w:color="auto" w:fill="auto"/>
            <w:vAlign w:val="bottom"/>
          </w:tcPr>
          <w:p w14:paraId="553E0730" w14:textId="77777777" w:rsidR="00AD7422" w:rsidRPr="006F05AE" w:rsidRDefault="00AD7422" w:rsidP="00411CCE">
            <w:pPr>
              <w:tabs>
                <w:tab w:val="decimal" w:pos="1026"/>
              </w:tabs>
              <w:rPr>
                <w:b/>
                <w:color w:val="auto"/>
              </w:rPr>
            </w:pPr>
            <w:r w:rsidRPr="006F05AE">
              <w:rPr>
                <w:b/>
                <w:color w:val="auto"/>
              </w:rPr>
              <w:t>905.1</w:t>
            </w:r>
          </w:p>
        </w:tc>
      </w:tr>
    </w:tbl>
    <w:p w14:paraId="5D0831A7" w14:textId="77777777" w:rsidR="009D3D93" w:rsidRDefault="009D3D93" w:rsidP="008E213D">
      <w:pPr>
        <w:rPr>
          <w:lang w:eastAsia="en-GB"/>
        </w:rPr>
      </w:pPr>
    </w:p>
    <w:p w14:paraId="4BFF1F85" w14:textId="77777777" w:rsidR="00021254" w:rsidRDefault="00021254" w:rsidP="008E213D">
      <w:pPr>
        <w:rPr>
          <w:lang w:eastAsia="en-GB"/>
        </w:rPr>
      </w:pPr>
    </w:p>
    <w:p w14:paraId="1E65C017" w14:textId="32BB9219" w:rsidR="00AD7422" w:rsidRPr="00A936B3" w:rsidRDefault="00AD7422" w:rsidP="00AD7422">
      <w:pPr>
        <w:pStyle w:val="Heading2"/>
      </w:pPr>
      <w:r w:rsidRPr="00A936B3">
        <w:t>3</w:t>
      </w:r>
      <w:r w:rsidR="005B4833">
        <w:t>3</w:t>
      </w:r>
      <w:r w:rsidRPr="00A936B3">
        <w:t xml:space="preserve">. Long </w:t>
      </w:r>
      <w:r w:rsidR="00311222">
        <w:t>t</w:t>
      </w:r>
      <w:r w:rsidRPr="00A936B3">
        <w:t xml:space="preserve">erm </w:t>
      </w:r>
      <w:r w:rsidR="00311222">
        <w:t>d</w:t>
      </w:r>
      <w:r w:rsidRPr="00A936B3">
        <w:t>ebtors</w:t>
      </w:r>
    </w:p>
    <w:p w14:paraId="408705D3" w14:textId="77777777" w:rsidR="00AD7422" w:rsidRPr="00A936B3" w:rsidRDefault="004206F9" w:rsidP="00AD7422">
      <w:pPr>
        <w:rPr>
          <w:lang w:eastAsia="en-GB"/>
        </w:rPr>
      </w:pPr>
      <w:r w:rsidRPr="00A936B3">
        <w:rPr>
          <w:lang w:eastAsia="en-GB"/>
        </w:rPr>
        <w:t>Long term debts to the council are shown below:</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2011"/>
        <w:gridCol w:w="1950"/>
      </w:tblGrid>
      <w:tr w:rsidR="004206F9" w:rsidRPr="00A936B3" w14:paraId="4055DF27" w14:textId="77777777" w:rsidTr="008D0533">
        <w:trPr>
          <w:trHeight w:val="369"/>
          <w:tblHeader/>
        </w:trPr>
        <w:tc>
          <w:tcPr>
            <w:tcW w:w="3105" w:type="pct"/>
            <w:shd w:val="clear" w:color="auto" w:fill="D0CECE"/>
            <w:vAlign w:val="bottom"/>
          </w:tcPr>
          <w:p w14:paraId="16F756D5" w14:textId="77777777" w:rsidR="004206F9" w:rsidRPr="00A936B3" w:rsidRDefault="004206F9" w:rsidP="00411CCE">
            <w:pPr>
              <w:jc w:val="left"/>
              <w:rPr>
                <w:color w:val="auto"/>
              </w:rPr>
            </w:pPr>
          </w:p>
        </w:tc>
        <w:tc>
          <w:tcPr>
            <w:tcW w:w="962" w:type="pct"/>
            <w:shd w:val="clear" w:color="auto" w:fill="D0CECE"/>
            <w:vAlign w:val="bottom"/>
          </w:tcPr>
          <w:p w14:paraId="29CAE16D" w14:textId="77777777" w:rsidR="004206F9" w:rsidRPr="00A936B3" w:rsidRDefault="004206F9" w:rsidP="00411CCE">
            <w:pPr>
              <w:jc w:val="center"/>
              <w:rPr>
                <w:b/>
                <w:color w:val="auto"/>
              </w:rPr>
            </w:pPr>
            <w:r w:rsidRPr="00A936B3">
              <w:rPr>
                <w:b/>
                <w:color w:val="auto"/>
              </w:rPr>
              <w:t>31/03/2015</w:t>
            </w:r>
          </w:p>
        </w:tc>
        <w:tc>
          <w:tcPr>
            <w:tcW w:w="933" w:type="pct"/>
            <w:shd w:val="clear" w:color="auto" w:fill="D0CECE"/>
            <w:vAlign w:val="bottom"/>
          </w:tcPr>
          <w:p w14:paraId="6736E757" w14:textId="77777777" w:rsidR="004206F9" w:rsidRPr="00A936B3" w:rsidRDefault="004206F9" w:rsidP="00411CCE">
            <w:pPr>
              <w:jc w:val="center"/>
              <w:rPr>
                <w:b/>
                <w:color w:val="auto"/>
              </w:rPr>
            </w:pPr>
            <w:r w:rsidRPr="00A936B3">
              <w:rPr>
                <w:b/>
                <w:color w:val="auto"/>
              </w:rPr>
              <w:t>31/03/2014</w:t>
            </w:r>
          </w:p>
        </w:tc>
      </w:tr>
      <w:tr w:rsidR="004206F9" w:rsidRPr="00A936B3" w14:paraId="29CD530F" w14:textId="77777777" w:rsidTr="008D0533">
        <w:trPr>
          <w:trHeight w:val="369"/>
          <w:tblHeader/>
        </w:trPr>
        <w:tc>
          <w:tcPr>
            <w:tcW w:w="3105" w:type="pct"/>
            <w:shd w:val="clear" w:color="auto" w:fill="D0CECE"/>
            <w:vAlign w:val="bottom"/>
          </w:tcPr>
          <w:p w14:paraId="395EC03F" w14:textId="77777777" w:rsidR="004206F9" w:rsidRPr="00A936B3" w:rsidRDefault="004206F9" w:rsidP="00411CCE">
            <w:pPr>
              <w:jc w:val="left"/>
              <w:rPr>
                <w:color w:val="auto"/>
              </w:rPr>
            </w:pPr>
          </w:p>
        </w:tc>
        <w:tc>
          <w:tcPr>
            <w:tcW w:w="962" w:type="pct"/>
            <w:shd w:val="clear" w:color="auto" w:fill="D0CECE"/>
            <w:vAlign w:val="bottom"/>
          </w:tcPr>
          <w:p w14:paraId="03020C01" w14:textId="77777777" w:rsidR="004206F9" w:rsidRPr="00A936B3" w:rsidRDefault="004206F9" w:rsidP="00411CCE">
            <w:pPr>
              <w:jc w:val="center"/>
              <w:rPr>
                <w:b/>
                <w:color w:val="auto"/>
              </w:rPr>
            </w:pPr>
            <w:r w:rsidRPr="00A936B3">
              <w:rPr>
                <w:b/>
                <w:color w:val="auto"/>
              </w:rPr>
              <w:t>£m</w:t>
            </w:r>
          </w:p>
        </w:tc>
        <w:tc>
          <w:tcPr>
            <w:tcW w:w="933" w:type="pct"/>
            <w:shd w:val="clear" w:color="auto" w:fill="D0CECE"/>
          </w:tcPr>
          <w:p w14:paraId="0093310C" w14:textId="77777777" w:rsidR="004206F9" w:rsidRPr="00A936B3" w:rsidRDefault="004206F9" w:rsidP="0035446B">
            <w:pPr>
              <w:jc w:val="center"/>
              <w:rPr>
                <w:b/>
                <w:color w:val="auto"/>
              </w:rPr>
            </w:pPr>
            <w:r w:rsidRPr="00A936B3">
              <w:rPr>
                <w:b/>
                <w:color w:val="auto"/>
              </w:rPr>
              <w:t>£m</w:t>
            </w:r>
          </w:p>
        </w:tc>
      </w:tr>
      <w:tr w:rsidR="004206F9" w:rsidRPr="00A936B3" w14:paraId="6F283E43" w14:textId="77777777" w:rsidTr="008D0533">
        <w:trPr>
          <w:trHeight w:val="369"/>
        </w:trPr>
        <w:tc>
          <w:tcPr>
            <w:tcW w:w="3105" w:type="pct"/>
            <w:shd w:val="clear" w:color="auto" w:fill="auto"/>
            <w:vAlign w:val="bottom"/>
          </w:tcPr>
          <w:p w14:paraId="44F82BAD" w14:textId="50E98C2D" w:rsidR="004206F9" w:rsidRPr="008D0533" w:rsidRDefault="004206F9" w:rsidP="00411CCE">
            <w:pPr>
              <w:jc w:val="left"/>
              <w:rPr>
                <w:color w:val="auto"/>
                <w:vertAlign w:val="superscript"/>
              </w:rPr>
            </w:pPr>
            <w:r w:rsidRPr="00A936B3">
              <w:rPr>
                <w:color w:val="auto"/>
              </w:rPr>
              <w:t>Transferred Debt</w:t>
            </w:r>
            <w:r w:rsidR="00350DC2">
              <w:rPr>
                <w:color w:val="auto"/>
                <w:vertAlign w:val="superscript"/>
              </w:rPr>
              <w:t>1</w:t>
            </w:r>
          </w:p>
        </w:tc>
        <w:tc>
          <w:tcPr>
            <w:tcW w:w="962" w:type="pct"/>
            <w:tcBorders>
              <w:bottom w:val="nil"/>
            </w:tcBorders>
            <w:shd w:val="clear" w:color="auto" w:fill="auto"/>
            <w:vAlign w:val="bottom"/>
          </w:tcPr>
          <w:p w14:paraId="7FB0729C" w14:textId="77777777" w:rsidR="004206F9" w:rsidRPr="00A936B3" w:rsidRDefault="00A936B3" w:rsidP="00411CCE">
            <w:pPr>
              <w:tabs>
                <w:tab w:val="decimal" w:pos="884"/>
              </w:tabs>
              <w:rPr>
                <w:color w:val="auto"/>
              </w:rPr>
            </w:pPr>
            <w:r>
              <w:rPr>
                <w:color w:val="auto"/>
              </w:rPr>
              <w:t>39.1</w:t>
            </w:r>
          </w:p>
        </w:tc>
        <w:tc>
          <w:tcPr>
            <w:tcW w:w="933" w:type="pct"/>
            <w:tcBorders>
              <w:bottom w:val="nil"/>
            </w:tcBorders>
            <w:shd w:val="clear" w:color="auto" w:fill="auto"/>
            <w:vAlign w:val="bottom"/>
          </w:tcPr>
          <w:p w14:paraId="2F29BC44" w14:textId="77777777" w:rsidR="004206F9" w:rsidRPr="00A936B3" w:rsidRDefault="004206F9" w:rsidP="008D0533">
            <w:pPr>
              <w:tabs>
                <w:tab w:val="decimal" w:pos="885"/>
              </w:tabs>
              <w:rPr>
                <w:color w:val="auto"/>
              </w:rPr>
            </w:pPr>
            <w:r w:rsidRPr="00A936B3">
              <w:rPr>
                <w:color w:val="auto"/>
              </w:rPr>
              <w:t>41.1</w:t>
            </w:r>
          </w:p>
        </w:tc>
      </w:tr>
      <w:tr w:rsidR="006E5CA7" w:rsidRPr="00A936B3" w14:paraId="706C37A2" w14:textId="77777777" w:rsidTr="008D0533">
        <w:trPr>
          <w:trHeight w:val="369"/>
        </w:trPr>
        <w:tc>
          <w:tcPr>
            <w:tcW w:w="3105" w:type="pct"/>
            <w:shd w:val="clear" w:color="auto" w:fill="auto"/>
            <w:vAlign w:val="bottom"/>
          </w:tcPr>
          <w:p w14:paraId="119BF035" w14:textId="2AB382B9" w:rsidR="006E5CA7" w:rsidRPr="008D0533" w:rsidRDefault="006E5CA7" w:rsidP="00411CCE">
            <w:pPr>
              <w:jc w:val="left"/>
              <w:rPr>
                <w:color w:val="auto"/>
                <w:vertAlign w:val="superscript"/>
              </w:rPr>
            </w:pPr>
            <w:r>
              <w:rPr>
                <w:color w:val="auto"/>
              </w:rPr>
              <w:t>Finance Lease Debtor</w:t>
            </w:r>
            <w:r w:rsidR="00350DC2">
              <w:rPr>
                <w:color w:val="auto"/>
                <w:vertAlign w:val="superscript"/>
              </w:rPr>
              <w:t>2</w:t>
            </w:r>
          </w:p>
        </w:tc>
        <w:tc>
          <w:tcPr>
            <w:tcW w:w="962" w:type="pct"/>
            <w:tcBorders>
              <w:bottom w:val="nil"/>
            </w:tcBorders>
            <w:shd w:val="clear" w:color="auto" w:fill="auto"/>
            <w:vAlign w:val="bottom"/>
          </w:tcPr>
          <w:p w14:paraId="265AD6D4" w14:textId="328AC6B3" w:rsidR="006E5CA7" w:rsidRDefault="006E5CA7" w:rsidP="00411CCE">
            <w:pPr>
              <w:tabs>
                <w:tab w:val="decimal" w:pos="884"/>
              </w:tabs>
              <w:rPr>
                <w:color w:val="auto"/>
              </w:rPr>
            </w:pPr>
            <w:r>
              <w:rPr>
                <w:color w:val="auto"/>
              </w:rPr>
              <w:t>35.1</w:t>
            </w:r>
          </w:p>
        </w:tc>
        <w:tc>
          <w:tcPr>
            <w:tcW w:w="933" w:type="pct"/>
            <w:tcBorders>
              <w:bottom w:val="nil"/>
            </w:tcBorders>
            <w:shd w:val="clear" w:color="auto" w:fill="auto"/>
            <w:vAlign w:val="bottom"/>
          </w:tcPr>
          <w:p w14:paraId="05F057FD" w14:textId="10F58B83" w:rsidR="006E5CA7" w:rsidRPr="00A936B3" w:rsidRDefault="006E5CA7" w:rsidP="008D0533">
            <w:pPr>
              <w:tabs>
                <w:tab w:val="decimal" w:pos="885"/>
              </w:tabs>
              <w:rPr>
                <w:color w:val="auto"/>
              </w:rPr>
            </w:pPr>
            <w:r>
              <w:rPr>
                <w:color w:val="auto"/>
              </w:rPr>
              <w:t>-</w:t>
            </w:r>
          </w:p>
        </w:tc>
      </w:tr>
      <w:tr w:rsidR="004206F9" w:rsidRPr="00A936B3" w14:paraId="32F40347" w14:textId="77777777" w:rsidTr="008D0533">
        <w:trPr>
          <w:trHeight w:val="369"/>
        </w:trPr>
        <w:tc>
          <w:tcPr>
            <w:tcW w:w="3105" w:type="pct"/>
            <w:shd w:val="clear" w:color="auto" w:fill="auto"/>
            <w:vAlign w:val="bottom"/>
          </w:tcPr>
          <w:p w14:paraId="75E98E11" w14:textId="77777777" w:rsidR="004206F9" w:rsidRPr="00A936B3" w:rsidRDefault="004206F9" w:rsidP="004206F9">
            <w:pPr>
              <w:jc w:val="left"/>
              <w:rPr>
                <w:b/>
                <w:color w:val="auto"/>
              </w:rPr>
            </w:pPr>
            <w:r w:rsidRPr="00A936B3">
              <w:rPr>
                <w:b/>
                <w:color w:val="auto"/>
              </w:rPr>
              <w:t>Total</w:t>
            </w:r>
          </w:p>
        </w:tc>
        <w:tc>
          <w:tcPr>
            <w:tcW w:w="962" w:type="pct"/>
            <w:tcBorders>
              <w:top w:val="single" w:sz="4" w:space="0" w:color="auto"/>
              <w:bottom w:val="single" w:sz="4" w:space="0" w:color="auto"/>
            </w:tcBorders>
            <w:shd w:val="clear" w:color="auto" w:fill="auto"/>
            <w:vAlign w:val="bottom"/>
          </w:tcPr>
          <w:p w14:paraId="1BFC1A97" w14:textId="43FC156D" w:rsidR="004206F9" w:rsidRPr="00A936B3" w:rsidRDefault="006E5CA7" w:rsidP="006E5CA7">
            <w:pPr>
              <w:tabs>
                <w:tab w:val="decimal" w:pos="884"/>
              </w:tabs>
              <w:rPr>
                <w:b/>
                <w:color w:val="auto"/>
              </w:rPr>
            </w:pPr>
            <w:r>
              <w:rPr>
                <w:b/>
                <w:color w:val="auto"/>
              </w:rPr>
              <w:t>74.2</w:t>
            </w:r>
          </w:p>
        </w:tc>
        <w:tc>
          <w:tcPr>
            <w:tcW w:w="933" w:type="pct"/>
            <w:tcBorders>
              <w:top w:val="single" w:sz="4" w:space="0" w:color="auto"/>
              <w:bottom w:val="single" w:sz="4" w:space="0" w:color="auto"/>
            </w:tcBorders>
            <w:shd w:val="clear" w:color="auto" w:fill="auto"/>
            <w:vAlign w:val="bottom"/>
          </w:tcPr>
          <w:p w14:paraId="3194C270" w14:textId="77777777" w:rsidR="004206F9" w:rsidRPr="00A936B3" w:rsidRDefault="004206F9" w:rsidP="008D0533">
            <w:pPr>
              <w:tabs>
                <w:tab w:val="decimal" w:pos="885"/>
              </w:tabs>
              <w:rPr>
                <w:b/>
                <w:color w:val="auto"/>
              </w:rPr>
            </w:pPr>
            <w:r w:rsidRPr="00A936B3">
              <w:rPr>
                <w:b/>
                <w:color w:val="auto"/>
              </w:rPr>
              <w:t>41.1</w:t>
            </w:r>
          </w:p>
        </w:tc>
      </w:tr>
    </w:tbl>
    <w:p w14:paraId="562E844C" w14:textId="43AACE05" w:rsidR="004206F9" w:rsidRDefault="00350DC2" w:rsidP="00AD7422">
      <w:pPr>
        <w:rPr>
          <w:lang w:eastAsia="en-GB"/>
        </w:rPr>
      </w:pPr>
      <w:r>
        <w:rPr>
          <w:vertAlign w:val="superscript"/>
          <w:lang w:eastAsia="en-GB"/>
        </w:rPr>
        <w:t>1</w:t>
      </w:r>
      <w:r w:rsidR="004206F9" w:rsidRPr="00A936B3">
        <w:rPr>
          <w:lang w:eastAsia="en-GB"/>
        </w:rPr>
        <w:t>Transferred debt is debt which we manage for other authorities as a result of various local government reorganisations, which is being repaid over time.</w:t>
      </w:r>
    </w:p>
    <w:p w14:paraId="0AAE755B" w14:textId="34F0794B" w:rsidR="00350DC2" w:rsidRPr="00350DC2" w:rsidRDefault="00350DC2" w:rsidP="00AD7422">
      <w:pPr>
        <w:rPr>
          <w:lang w:eastAsia="en-GB"/>
        </w:rPr>
      </w:pPr>
      <w:r>
        <w:rPr>
          <w:vertAlign w:val="superscript"/>
          <w:lang w:eastAsia="en-GB"/>
        </w:rPr>
        <w:lastRenderedPageBreak/>
        <w:t>2</w:t>
      </w:r>
      <w:r>
        <w:rPr>
          <w:lang w:eastAsia="en-GB"/>
        </w:rPr>
        <w:t>Finance lease debtor is a long term debtor due to the council from Blackpool Council in respect of the new borrowing raised to pay off the PFI liability with Lancashire County Council as the lessor, as below:</w:t>
      </w:r>
    </w:p>
    <w:p w14:paraId="519638B7" w14:textId="77777777" w:rsidR="00A936B3" w:rsidRDefault="00A936B3" w:rsidP="00AD7422">
      <w:pPr>
        <w:rPr>
          <w:lang w:eastAsia="en-GB"/>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0"/>
        <w:gridCol w:w="1950"/>
      </w:tblGrid>
      <w:tr w:rsidR="00B1048E" w:rsidRPr="00B1048E" w14:paraId="69AF35D4" w14:textId="77777777" w:rsidTr="008D0533">
        <w:trPr>
          <w:trHeight w:val="369"/>
          <w:tblHeader/>
        </w:trPr>
        <w:tc>
          <w:tcPr>
            <w:tcW w:w="4067" w:type="pct"/>
            <w:shd w:val="clear" w:color="auto" w:fill="D0CECE"/>
          </w:tcPr>
          <w:p w14:paraId="4E54D9E1" w14:textId="60798A16" w:rsidR="00B1048E" w:rsidRPr="008D0533" w:rsidRDefault="00B1048E" w:rsidP="0035446B">
            <w:pPr>
              <w:jc w:val="left"/>
              <w:rPr>
                <w:b/>
                <w:color w:val="auto"/>
              </w:rPr>
            </w:pPr>
            <w:r w:rsidRPr="008D0533">
              <w:rPr>
                <w:b/>
                <w:color w:val="auto"/>
              </w:rPr>
              <w:t>Finance lease debtor (net present value of minimum lease payments)</w:t>
            </w:r>
          </w:p>
        </w:tc>
        <w:tc>
          <w:tcPr>
            <w:tcW w:w="933" w:type="pct"/>
            <w:shd w:val="clear" w:color="auto" w:fill="D0CECE"/>
          </w:tcPr>
          <w:p w14:paraId="28376A2D" w14:textId="77777777" w:rsidR="00B1048E" w:rsidRPr="0035446B" w:rsidRDefault="00B1048E" w:rsidP="008D0533">
            <w:pPr>
              <w:jc w:val="center"/>
              <w:rPr>
                <w:b/>
                <w:color w:val="auto"/>
              </w:rPr>
            </w:pPr>
            <w:r w:rsidRPr="0035446B">
              <w:rPr>
                <w:b/>
                <w:color w:val="auto"/>
              </w:rPr>
              <w:t>31/03/2015</w:t>
            </w:r>
          </w:p>
        </w:tc>
      </w:tr>
      <w:tr w:rsidR="00B1048E" w:rsidRPr="00B1048E" w14:paraId="6EA8BB51" w14:textId="77777777" w:rsidTr="008D0533">
        <w:trPr>
          <w:trHeight w:val="369"/>
          <w:tblHeader/>
        </w:trPr>
        <w:tc>
          <w:tcPr>
            <w:tcW w:w="4067" w:type="pct"/>
            <w:shd w:val="clear" w:color="auto" w:fill="D0CECE"/>
            <w:vAlign w:val="bottom"/>
          </w:tcPr>
          <w:p w14:paraId="01B0E64D" w14:textId="77777777" w:rsidR="00B1048E" w:rsidRPr="008D0533" w:rsidRDefault="00B1048E" w:rsidP="0035371C">
            <w:pPr>
              <w:jc w:val="left"/>
              <w:rPr>
                <w:b/>
                <w:color w:val="auto"/>
              </w:rPr>
            </w:pPr>
          </w:p>
        </w:tc>
        <w:tc>
          <w:tcPr>
            <w:tcW w:w="933" w:type="pct"/>
            <w:shd w:val="clear" w:color="auto" w:fill="D0CECE"/>
          </w:tcPr>
          <w:p w14:paraId="7A7FDB1B" w14:textId="77777777" w:rsidR="00B1048E" w:rsidRPr="0035446B" w:rsidRDefault="00B1048E" w:rsidP="008D0533">
            <w:pPr>
              <w:jc w:val="center"/>
              <w:rPr>
                <w:b/>
                <w:color w:val="auto"/>
              </w:rPr>
            </w:pPr>
            <w:r w:rsidRPr="0035446B">
              <w:rPr>
                <w:b/>
                <w:color w:val="auto"/>
              </w:rPr>
              <w:t>£m</w:t>
            </w:r>
          </w:p>
        </w:tc>
      </w:tr>
      <w:tr w:rsidR="00B1048E" w:rsidRPr="00A936B3" w14:paraId="3D2D7D0A" w14:textId="77777777" w:rsidTr="008D0533">
        <w:trPr>
          <w:trHeight w:val="369"/>
        </w:trPr>
        <w:tc>
          <w:tcPr>
            <w:tcW w:w="4067" w:type="pct"/>
            <w:shd w:val="clear" w:color="auto" w:fill="auto"/>
            <w:vAlign w:val="bottom"/>
          </w:tcPr>
          <w:p w14:paraId="5A26FF85" w14:textId="247DA699" w:rsidR="00B1048E" w:rsidRPr="008D0533" w:rsidRDefault="00B1048E" w:rsidP="0035371C">
            <w:pPr>
              <w:jc w:val="left"/>
              <w:rPr>
                <w:color w:val="auto"/>
              </w:rPr>
            </w:pPr>
            <w:r>
              <w:rPr>
                <w:color w:val="auto"/>
              </w:rPr>
              <w:t>Current</w:t>
            </w:r>
          </w:p>
        </w:tc>
        <w:tc>
          <w:tcPr>
            <w:tcW w:w="933" w:type="pct"/>
            <w:tcBorders>
              <w:bottom w:val="nil"/>
            </w:tcBorders>
            <w:shd w:val="clear" w:color="auto" w:fill="auto"/>
            <w:vAlign w:val="bottom"/>
          </w:tcPr>
          <w:p w14:paraId="25257D24" w14:textId="484F951F" w:rsidR="00B1048E" w:rsidRPr="00A936B3" w:rsidRDefault="00B1048E">
            <w:pPr>
              <w:tabs>
                <w:tab w:val="decimal" w:pos="884"/>
              </w:tabs>
              <w:rPr>
                <w:color w:val="auto"/>
              </w:rPr>
            </w:pPr>
            <w:r>
              <w:rPr>
                <w:color w:val="auto"/>
              </w:rPr>
              <w:t>2.2</w:t>
            </w:r>
          </w:p>
        </w:tc>
      </w:tr>
      <w:tr w:rsidR="00B1048E" w:rsidRPr="00A936B3" w14:paraId="22C72460" w14:textId="77777777" w:rsidTr="008D0533">
        <w:trPr>
          <w:trHeight w:val="369"/>
        </w:trPr>
        <w:tc>
          <w:tcPr>
            <w:tcW w:w="4067" w:type="pct"/>
            <w:shd w:val="clear" w:color="auto" w:fill="auto"/>
            <w:vAlign w:val="bottom"/>
          </w:tcPr>
          <w:p w14:paraId="1522C40C" w14:textId="516FDC5F" w:rsidR="00B1048E" w:rsidRPr="008D0533" w:rsidRDefault="00B1048E" w:rsidP="0035446B">
            <w:pPr>
              <w:jc w:val="left"/>
              <w:rPr>
                <w:color w:val="auto"/>
              </w:rPr>
            </w:pPr>
            <w:r>
              <w:rPr>
                <w:color w:val="auto"/>
              </w:rPr>
              <w:t>Non</w:t>
            </w:r>
            <w:r w:rsidR="0035446B">
              <w:rPr>
                <w:color w:val="auto"/>
              </w:rPr>
              <w:t>-</w:t>
            </w:r>
            <w:r>
              <w:rPr>
                <w:color w:val="auto"/>
              </w:rPr>
              <w:t>current</w:t>
            </w:r>
          </w:p>
        </w:tc>
        <w:tc>
          <w:tcPr>
            <w:tcW w:w="933" w:type="pct"/>
            <w:tcBorders>
              <w:bottom w:val="nil"/>
            </w:tcBorders>
            <w:shd w:val="clear" w:color="auto" w:fill="auto"/>
            <w:vAlign w:val="bottom"/>
          </w:tcPr>
          <w:p w14:paraId="71C7CAE9" w14:textId="04A04B02" w:rsidR="00B1048E" w:rsidRDefault="00B1048E">
            <w:pPr>
              <w:tabs>
                <w:tab w:val="decimal" w:pos="884"/>
              </w:tabs>
              <w:rPr>
                <w:color w:val="auto"/>
              </w:rPr>
            </w:pPr>
            <w:r>
              <w:rPr>
                <w:color w:val="auto"/>
              </w:rPr>
              <w:t>52.9</w:t>
            </w:r>
          </w:p>
        </w:tc>
      </w:tr>
      <w:tr w:rsidR="00B1048E" w:rsidRPr="00A936B3" w14:paraId="2DB9093E" w14:textId="77777777" w:rsidTr="008D0533">
        <w:trPr>
          <w:trHeight w:val="369"/>
        </w:trPr>
        <w:tc>
          <w:tcPr>
            <w:tcW w:w="4067" w:type="pct"/>
            <w:shd w:val="clear" w:color="auto" w:fill="auto"/>
            <w:vAlign w:val="bottom"/>
          </w:tcPr>
          <w:p w14:paraId="4469B144" w14:textId="2EA46DC9" w:rsidR="00B1048E" w:rsidRDefault="00B1048E" w:rsidP="0035371C">
            <w:pPr>
              <w:jc w:val="left"/>
              <w:rPr>
                <w:color w:val="auto"/>
              </w:rPr>
            </w:pPr>
            <w:r>
              <w:rPr>
                <w:color w:val="auto"/>
              </w:rPr>
              <w:t>Unearned finance income</w:t>
            </w:r>
          </w:p>
        </w:tc>
        <w:tc>
          <w:tcPr>
            <w:tcW w:w="933" w:type="pct"/>
            <w:tcBorders>
              <w:bottom w:val="nil"/>
            </w:tcBorders>
            <w:shd w:val="clear" w:color="auto" w:fill="auto"/>
            <w:vAlign w:val="bottom"/>
          </w:tcPr>
          <w:p w14:paraId="25C26568" w14:textId="75147ED3" w:rsidR="00B1048E" w:rsidRDefault="00B1048E">
            <w:pPr>
              <w:tabs>
                <w:tab w:val="decimal" w:pos="884"/>
              </w:tabs>
              <w:rPr>
                <w:color w:val="auto"/>
              </w:rPr>
            </w:pPr>
            <w:r>
              <w:rPr>
                <w:color w:val="auto"/>
              </w:rPr>
              <w:t>20.0</w:t>
            </w:r>
          </w:p>
        </w:tc>
      </w:tr>
      <w:tr w:rsidR="00B1048E" w:rsidRPr="00A936B3" w14:paraId="22D85675" w14:textId="77777777" w:rsidTr="008D0533">
        <w:trPr>
          <w:trHeight w:val="369"/>
        </w:trPr>
        <w:tc>
          <w:tcPr>
            <w:tcW w:w="4067" w:type="pct"/>
            <w:shd w:val="clear" w:color="auto" w:fill="auto"/>
            <w:vAlign w:val="bottom"/>
          </w:tcPr>
          <w:p w14:paraId="4CCB2CF9" w14:textId="153284FF" w:rsidR="00B1048E" w:rsidRPr="008D0533" w:rsidRDefault="00B1048E" w:rsidP="0035371C">
            <w:pPr>
              <w:jc w:val="left"/>
              <w:rPr>
                <w:color w:val="auto"/>
              </w:rPr>
            </w:pPr>
            <w:r>
              <w:rPr>
                <w:color w:val="auto"/>
              </w:rPr>
              <w:t>Gross investment in the finance lease</w:t>
            </w:r>
          </w:p>
        </w:tc>
        <w:tc>
          <w:tcPr>
            <w:tcW w:w="933" w:type="pct"/>
            <w:tcBorders>
              <w:top w:val="nil"/>
              <w:bottom w:val="single" w:sz="4" w:space="0" w:color="auto"/>
            </w:tcBorders>
            <w:shd w:val="clear" w:color="auto" w:fill="auto"/>
            <w:vAlign w:val="bottom"/>
          </w:tcPr>
          <w:p w14:paraId="29892BD8" w14:textId="372CF248" w:rsidR="00B1048E" w:rsidRPr="008D0533" w:rsidRDefault="00B1048E">
            <w:pPr>
              <w:tabs>
                <w:tab w:val="decimal" w:pos="884"/>
              </w:tabs>
              <w:rPr>
                <w:color w:val="auto"/>
              </w:rPr>
            </w:pPr>
            <w:r>
              <w:rPr>
                <w:color w:val="auto"/>
              </w:rPr>
              <w:t>35.1</w:t>
            </w:r>
          </w:p>
        </w:tc>
      </w:tr>
    </w:tbl>
    <w:p w14:paraId="1C5C40D1" w14:textId="77777777" w:rsidR="00350DC2" w:rsidRDefault="00350DC2" w:rsidP="00AD7422">
      <w:pPr>
        <w:rPr>
          <w:lang w:eastAsia="en-GB"/>
        </w:rPr>
      </w:pPr>
    </w:p>
    <w:p w14:paraId="191AD932" w14:textId="77777777" w:rsidR="007A3465" w:rsidRDefault="007A3465" w:rsidP="00AD7422">
      <w:pPr>
        <w:rPr>
          <w:lang w:eastAsia="en-GB"/>
        </w:rPr>
      </w:pPr>
    </w:p>
    <w:p w14:paraId="073419B0" w14:textId="74CA1C1F" w:rsidR="007A3465" w:rsidRDefault="007A3465" w:rsidP="00AD7422">
      <w:pPr>
        <w:rPr>
          <w:lang w:eastAsia="en-GB"/>
        </w:rPr>
      </w:pPr>
      <w:r>
        <w:rPr>
          <w:lang w:eastAsia="en-GB"/>
        </w:rPr>
        <w:t>The gross investment in the finance lease will be received over the following periods: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2011"/>
        <w:gridCol w:w="1950"/>
      </w:tblGrid>
      <w:tr w:rsidR="007A3465" w:rsidRPr="00A936B3" w14:paraId="2C539C21" w14:textId="77777777" w:rsidTr="0035371C">
        <w:trPr>
          <w:trHeight w:val="369"/>
          <w:tblHeader/>
        </w:trPr>
        <w:tc>
          <w:tcPr>
            <w:tcW w:w="3105" w:type="pct"/>
            <w:shd w:val="clear" w:color="auto" w:fill="D0CECE"/>
            <w:vAlign w:val="bottom"/>
          </w:tcPr>
          <w:p w14:paraId="71B4AC07" w14:textId="7A82CE5F" w:rsidR="007A3465" w:rsidRPr="00A936B3" w:rsidRDefault="007A3465" w:rsidP="0035371C">
            <w:pPr>
              <w:jc w:val="left"/>
              <w:rPr>
                <w:color w:val="auto"/>
              </w:rPr>
            </w:pPr>
          </w:p>
        </w:tc>
        <w:tc>
          <w:tcPr>
            <w:tcW w:w="962" w:type="pct"/>
            <w:shd w:val="clear" w:color="auto" w:fill="D0CECE"/>
            <w:vAlign w:val="bottom"/>
          </w:tcPr>
          <w:p w14:paraId="3B38885F" w14:textId="5E298B67" w:rsidR="007A3465" w:rsidRPr="00A936B3" w:rsidRDefault="007A3465" w:rsidP="0035371C">
            <w:pPr>
              <w:jc w:val="center"/>
              <w:rPr>
                <w:b/>
                <w:color w:val="auto"/>
              </w:rPr>
            </w:pPr>
            <w:r>
              <w:rPr>
                <w:b/>
                <w:color w:val="auto"/>
              </w:rPr>
              <w:t>Gross investment in the lease</w:t>
            </w:r>
          </w:p>
        </w:tc>
        <w:tc>
          <w:tcPr>
            <w:tcW w:w="933" w:type="pct"/>
            <w:shd w:val="clear" w:color="auto" w:fill="D0CECE"/>
            <w:vAlign w:val="bottom"/>
          </w:tcPr>
          <w:p w14:paraId="02D479DC" w14:textId="7AD5DCEF" w:rsidR="007A3465" w:rsidRPr="00A936B3" w:rsidRDefault="007A3465" w:rsidP="0035371C">
            <w:pPr>
              <w:jc w:val="center"/>
              <w:rPr>
                <w:b/>
                <w:color w:val="auto"/>
              </w:rPr>
            </w:pPr>
            <w:r>
              <w:rPr>
                <w:b/>
                <w:color w:val="auto"/>
              </w:rPr>
              <w:t>Minimum lease payments</w:t>
            </w:r>
          </w:p>
        </w:tc>
      </w:tr>
      <w:tr w:rsidR="007A3465" w:rsidRPr="00A936B3" w14:paraId="7ABFF299" w14:textId="77777777" w:rsidTr="0035371C">
        <w:trPr>
          <w:trHeight w:val="369"/>
          <w:tblHeader/>
        </w:trPr>
        <w:tc>
          <w:tcPr>
            <w:tcW w:w="3105" w:type="pct"/>
            <w:shd w:val="clear" w:color="auto" w:fill="D0CECE"/>
            <w:vAlign w:val="bottom"/>
          </w:tcPr>
          <w:p w14:paraId="1F64CE81" w14:textId="77777777" w:rsidR="007A3465" w:rsidRPr="00A936B3" w:rsidRDefault="007A3465" w:rsidP="007A3465">
            <w:pPr>
              <w:jc w:val="left"/>
              <w:rPr>
                <w:color w:val="auto"/>
              </w:rPr>
            </w:pPr>
          </w:p>
        </w:tc>
        <w:tc>
          <w:tcPr>
            <w:tcW w:w="962" w:type="pct"/>
            <w:shd w:val="clear" w:color="auto" w:fill="D0CECE"/>
            <w:vAlign w:val="bottom"/>
          </w:tcPr>
          <w:p w14:paraId="7952FAE2" w14:textId="40CD7583" w:rsidR="007A3465" w:rsidRPr="00A936B3" w:rsidRDefault="007A3465" w:rsidP="007A3465">
            <w:pPr>
              <w:jc w:val="center"/>
              <w:rPr>
                <w:b/>
                <w:color w:val="auto"/>
              </w:rPr>
            </w:pPr>
            <w:r w:rsidRPr="00A936B3">
              <w:rPr>
                <w:b/>
                <w:color w:val="auto"/>
              </w:rPr>
              <w:t>31/03/2015</w:t>
            </w:r>
          </w:p>
        </w:tc>
        <w:tc>
          <w:tcPr>
            <w:tcW w:w="933" w:type="pct"/>
            <w:shd w:val="clear" w:color="auto" w:fill="D0CECE"/>
            <w:vAlign w:val="bottom"/>
          </w:tcPr>
          <w:p w14:paraId="7F6FB000" w14:textId="33AFACAB" w:rsidR="007A3465" w:rsidRPr="00A936B3" w:rsidRDefault="007A3465" w:rsidP="007A3465">
            <w:pPr>
              <w:jc w:val="center"/>
              <w:rPr>
                <w:b/>
                <w:color w:val="auto"/>
              </w:rPr>
            </w:pPr>
            <w:r>
              <w:rPr>
                <w:b/>
                <w:color w:val="auto"/>
              </w:rPr>
              <w:t>31/03/2015</w:t>
            </w:r>
          </w:p>
        </w:tc>
      </w:tr>
      <w:tr w:rsidR="007A3465" w:rsidRPr="00A936B3" w14:paraId="0A845487" w14:textId="77777777" w:rsidTr="0035371C">
        <w:trPr>
          <w:trHeight w:val="369"/>
          <w:tblHeader/>
        </w:trPr>
        <w:tc>
          <w:tcPr>
            <w:tcW w:w="3105" w:type="pct"/>
            <w:shd w:val="clear" w:color="auto" w:fill="D0CECE"/>
            <w:vAlign w:val="bottom"/>
          </w:tcPr>
          <w:p w14:paraId="1E99621A" w14:textId="77777777" w:rsidR="007A3465" w:rsidRPr="00A936B3" w:rsidRDefault="007A3465" w:rsidP="0035371C">
            <w:pPr>
              <w:jc w:val="left"/>
              <w:rPr>
                <w:color w:val="auto"/>
              </w:rPr>
            </w:pPr>
          </w:p>
        </w:tc>
        <w:tc>
          <w:tcPr>
            <w:tcW w:w="962" w:type="pct"/>
            <w:shd w:val="clear" w:color="auto" w:fill="D0CECE"/>
            <w:vAlign w:val="bottom"/>
          </w:tcPr>
          <w:p w14:paraId="7D554E31" w14:textId="77777777" w:rsidR="007A3465" w:rsidRPr="00A936B3" w:rsidRDefault="007A3465" w:rsidP="0035371C">
            <w:pPr>
              <w:jc w:val="center"/>
              <w:rPr>
                <w:b/>
                <w:color w:val="auto"/>
              </w:rPr>
            </w:pPr>
            <w:r w:rsidRPr="00A936B3">
              <w:rPr>
                <w:b/>
                <w:color w:val="auto"/>
              </w:rPr>
              <w:t>£m</w:t>
            </w:r>
          </w:p>
        </w:tc>
        <w:tc>
          <w:tcPr>
            <w:tcW w:w="933" w:type="pct"/>
            <w:shd w:val="clear" w:color="auto" w:fill="D0CECE"/>
          </w:tcPr>
          <w:p w14:paraId="4CA5AA55" w14:textId="77777777" w:rsidR="007A3465" w:rsidRPr="00A936B3" w:rsidRDefault="007A3465" w:rsidP="0035371C">
            <w:pPr>
              <w:jc w:val="center"/>
              <w:rPr>
                <w:b/>
                <w:color w:val="auto"/>
              </w:rPr>
            </w:pPr>
            <w:r w:rsidRPr="00A936B3">
              <w:rPr>
                <w:b/>
                <w:color w:val="auto"/>
              </w:rPr>
              <w:t>£m</w:t>
            </w:r>
          </w:p>
        </w:tc>
      </w:tr>
      <w:tr w:rsidR="007A3465" w:rsidRPr="00A936B3" w14:paraId="35E3A841" w14:textId="77777777" w:rsidTr="0035371C">
        <w:trPr>
          <w:trHeight w:val="369"/>
        </w:trPr>
        <w:tc>
          <w:tcPr>
            <w:tcW w:w="3105" w:type="pct"/>
            <w:shd w:val="clear" w:color="auto" w:fill="auto"/>
            <w:vAlign w:val="bottom"/>
          </w:tcPr>
          <w:p w14:paraId="11AB63C3" w14:textId="7738572C" w:rsidR="007A3465" w:rsidRPr="008D0533" w:rsidRDefault="007A3465" w:rsidP="0035371C">
            <w:pPr>
              <w:jc w:val="left"/>
              <w:rPr>
                <w:color w:val="auto"/>
              </w:rPr>
            </w:pPr>
            <w:r>
              <w:rPr>
                <w:color w:val="auto"/>
              </w:rPr>
              <w:t>Not later than one year</w:t>
            </w:r>
          </w:p>
        </w:tc>
        <w:tc>
          <w:tcPr>
            <w:tcW w:w="962" w:type="pct"/>
            <w:tcBorders>
              <w:bottom w:val="nil"/>
            </w:tcBorders>
            <w:shd w:val="clear" w:color="auto" w:fill="auto"/>
            <w:vAlign w:val="bottom"/>
          </w:tcPr>
          <w:p w14:paraId="771EE376" w14:textId="521438C3" w:rsidR="007A3465" w:rsidRPr="00A936B3" w:rsidRDefault="007A3465" w:rsidP="0035371C">
            <w:pPr>
              <w:tabs>
                <w:tab w:val="decimal" w:pos="884"/>
              </w:tabs>
              <w:rPr>
                <w:color w:val="auto"/>
              </w:rPr>
            </w:pPr>
            <w:r>
              <w:rPr>
                <w:color w:val="auto"/>
              </w:rPr>
              <w:t>0.9</w:t>
            </w:r>
          </w:p>
        </w:tc>
        <w:tc>
          <w:tcPr>
            <w:tcW w:w="933" w:type="pct"/>
            <w:tcBorders>
              <w:bottom w:val="nil"/>
            </w:tcBorders>
            <w:shd w:val="clear" w:color="auto" w:fill="auto"/>
            <w:vAlign w:val="bottom"/>
          </w:tcPr>
          <w:p w14:paraId="77092BD6" w14:textId="4683B534" w:rsidR="007A3465" w:rsidRPr="00A936B3" w:rsidRDefault="007A3465" w:rsidP="0035371C">
            <w:pPr>
              <w:tabs>
                <w:tab w:val="decimal" w:pos="885"/>
              </w:tabs>
              <w:rPr>
                <w:color w:val="auto"/>
              </w:rPr>
            </w:pPr>
            <w:r>
              <w:rPr>
                <w:color w:val="auto"/>
              </w:rPr>
              <w:t>2.2</w:t>
            </w:r>
          </w:p>
        </w:tc>
      </w:tr>
      <w:tr w:rsidR="007A3465" w:rsidRPr="00A936B3" w14:paraId="05199B6A" w14:textId="77777777" w:rsidTr="008D0533">
        <w:trPr>
          <w:trHeight w:val="369"/>
        </w:trPr>
        <w:tc>
          <w:tcPr>
            <w:tcW w:w="3105" w:type="pct"/>
            <w:shd w:val="clear" w:color="auto" w:fill="auto"/>
            <w:vAlign w:val="bottom"/>
          </w:tcPr>
          <w:p w14:paraId="79BA94A9" w14:textId="477521A7" w:rsidR="007A3465" w:rsidRPr="008D0533" w:rsidRDefault="007A3465" w:rsidP="0035371C">
            <w:pPr>
              <w:jc w:val="left"/>
              <w:rPr>
                <w:color w:val="auto"/>
              </w:rPr>
            </w:pPr>
            <w:r>
              <w:rPr>
                <w:color w:val="auto"/>
              </w:rPr>
              <w:t>Later than one year but not later than five years</w:t>
            </w:r>
          </w:p>
        </w:tc>
        <w:tc>
          <w:tcPr>
            <w:tcW w:w="962" w:type="pct"/>
            <w:tcBorders>
              <w:bottom w:val="nil"/>
            </w:tcBorders>
            <w:shd w:val="clear" w:color="auto" w:fill="auto"/>
            <w:vAlign w:val="bottom"/>
          </w:tcPr>
          <w:p w14:paraId="05E60970" w14:textId="6CD283ED" w:rsidR="007A3465" w:rsidRDefault="007A3465" w:rsidP="0035371C">
            <w:pPr>
              <w:tabs>
                <w:tab w:val="decimal" w:pos="884"/>
              </w:tabs>
              <w:rPr>
                <w:color w:val="auto"/>
              </w:rPr>
            </w:pPr>
            <w:r>
              <w:rPr>
                <w:color w:val="auto"/>
              </w:rPr>
              <w:t>3.8</w:t>
            </w:r>
          </w:p>
        </w:tc>
        <w:tc>
          <w:tcPr>
            <w:tcW w:w="933" w:type="pct"/>
            <w:tcBorders>
              <w:bottom w:val="nil"/>
            </w:tcBorders>
            <w:shd w:val="clear" w:color="auto" w:fill="auto"/>
            <w:vAlign w:val="bottom"/>
          </w:tcPr>
          <w:p w14:paraId="6504D2D8" w14:textId="45CB55FF" w:rsidR="007A3465" w:rsidRPr="00A936B3" w:rsidRDefault="007A3465" w:rsidP="0035371C">
            <w:pPr>
              <w:tabs>
                <w:tab w:val="decimal" w:pos="885"/>
              </w:tabs>
              <w:rPr>
                <w:color w:val="auto"/>
              </w:rPr>
            </w:pPr>
            <w:r>
              <w:rPr>
                <w:color w:val="auto"/>
              </w:rPr>
              <w:t>9.0</w:t>
            </w:r>
          </w:p>
        </w:tc>
      </w:tr>
      <w:tr w:rsidR="007A3465" w:rsidRPr="00A936B3" w14:paraId="136F4ECF" w14:textId="77777777" w:rsidTr="008D0533">
        <w:trPr>
          <w:trHeight w:val="369"/>
        </w:trPr>
        <w:tc>
          <w:tcPr>
            <w:tcW w:w="3105" w:type="pct"/>
            <w:shd w:val="clear" w:color="auto" w:fill="auto"/>
            <w:vAlign w:val="bottom"/>
          </w:tcPr>
          <w:p w14:paraId="426BD70C" w14:textId="7398E872" w:rsidR="007A3465" w:rsidRPr="008D0533" w:rsidRDefault="007A3465" w:rsidP="0035371C">
            <w:pPr>
              <w:jc w:val="left"/>
              <w:rPr>
                <w:color w:val="auto"/>
              </w:rPr>
            </w:pPr>
            <w:r w:rsidRPr="008D0533">
              <w:rPr>
                <w:color w:val="auto"/>
              </w:rPr>
              <w:t>Later than five years</w:t>
            </w:r>
          </w:p>
        </w:tc>
        <w:tc>
          <w:tcPr>
            <w:tcW w:w="962" w:type="pct"/>
            <w:tcBorders>
              <w:top w:val="nil"/>
              <w:bottom w:val="single" w:sz="4" w:space="0" w:color="auto"/>
            </w:tcBorders>
            <w:shd w:val="clear" w:color="auto" w:fill="auto"/>
            <w:vAlign w:val="bottom"/>
          </w:tcPr>
          <w:p w14:paraId="3E25C146" w14:textId="631C1B4C" w:rsidR="007A3465" w:rsidRPr="008D0533" w:rsidRDefault="007A3465" w:rsidP="0035371C">
            <w:pPr>
              <w:tabs>
                <w:tab w:val="decimal" w:pos="884"/>
              </w:tabs>
              <w:rPr>
                <w:color w:val="auto"/>
              </w:rPr>
            </w:pPr>
            <w:r w:rsidRPr="008D0533">
              <w:rPr>
                <w:color w:val="auto"/>
              </w:rPr>
              <w:t>30.4</w:t>
            </w:r>
          </w:p>
        </w:tc>
        <w:tc>
          <w:tcPr>
            <w:tcW w:w="933" w:type="pct"/>
            <w:tcBorders>
              <w:top w:val="nil"/>
              <w:bottom w:val="single" w:sz="4" w:space="0" w:color="auto"/>
            </w:tcBorders>
            <w:shd w:val="clear" w:color="auto" w:fill="auto"/>
            <w:vAlign w:val="bottom"/>
          </w:tcPr>
          <w:p w14:paraId="49747312" w14:textId="24AEE3C4" w:rsidR="007A3465" w:rsidRPr="008D0533" w:rsidRDefault="007A3465" w:rsidP="0035371C">
            <w:pPr>
              <w:tabs>
                <w:tab w:val="decimal" w:pos="885"/>
              </w:tabs>
              <w:rPr>
                <w:color w:val="auto"/>
              </w:rPr>
            </w:pPr>
            <w:r w:rsidRPr="008D0533">
              <w:rPr>
                <w:color w:val="auto"/>
              </w:rPr>
              <w:t>43.9</w:t>
            </w:r>
          </w:p>
        </w:tc>
      </w:tr>
      <w:tr w:rsidR="007A3465" w:rsidRPr="00A936B3" w14:paraId="35EF6187" w14:textId="77777777" w:rsidTr="008D0533">
        <w:trPr>
          <w:trHeight w:val="369"/>
        </w:trPr>
        <w:tc>
          <w:tcPr>
            <w:tcW w:w="3105" w:type="pct"/>
            <w:shd w:val="clear" w:color="auto" w:fill="auto"/>
            <w:vAlign w:val="bottom"/>
          </w:tcPr>
          <w:p w14:paraId="5B64F476" w14:textId="3B7D5435" w:rsidR="007A3465" w:rsidRPr="008D0533" w:rsidRDefault="007A3465" w:rsidP="0035371C">
            <w:pPr>
              <w:jc w:val="left"/>
              <w:rPr>
                <w:b/>
                <w:color w:val="auto"/>
              </w:rPr>
            </w:pPr>
            <w:r w:rsidRPr="008D0533">
              <w:rPr>
                <w:b/>
                <w:color w:val="auto"/>
              </w:rPr>
              <w:t>Total</w:t>
            </w:r>
          </w:p>
        </w:tc>
        <w:tc>
          <w:tcPr>
            <w:tcW w:w="962" w:type="pct"/>
            <w:tcBorders>
              <w:top w:val="single" w:sz="4" w:space="0" w:color="auto"/>
              <w:bottom w:val="single" w:sz="4" w:space="0" w:color="auto"/>
            </w:tcBorders>
            <w:shd w:val="clear" w:color="auto" w:fill="auto"/>
            <w:vAlign w:val="bottom"/>
          </w:tcPr>
          <w:p w14:paraId="4B033ED7" w14:textId="48502AB8" w:rsidR="007A3465" w:rsidRPr="00A936B3" w:rsidRDefault="007A3465" w:rsidP="0035371C">
            <w:pPr>
              <w:tabs>
                <w:tab w:val="decimal" w:pos="884"/>
              </w:tabs>
              <w:rPr>
                <w:b/>
                <w:color w:val="auto"/>
              </w:rPr>
            </w:pPr>
            <w:r>
              <w:rPr>
                <w:b/>
                <w:color w:val="auto"/>
              </w:rPr>
              <w:t>35.1</w:t>
            </w:r>
          </w:p>
        </w:tc>
        <w:tc>
          <w:tcPr>
            <w:tcW w:w="933" w:type="pct"/>
            <w:tcBorders>
              <w:top w:val="single" w:sz="4" w:space="0" w:color="auto"/>
              <w:bottom w:val="single" w:sz="4" w:space="0" w:color="auto"/>
            </w:tcBorders>
            <w:shd w:val="clear" w:color="auto" w:fill="auto"/>
            <w:vAlign w:val="bottom"/>
          </w:tcPr>
          <w:p w14:paraId="568E8E21" w14:textId="64649EA8" w:rsidR="007A3465" w:rsidRPr="00A936B3" w:rsidRDefault="007A3465" w:rsidP="0035371C">
            <w:pPr>
              <w:tabs>
                <w:tab w:val="decimal" w:pos="885"/>
              </w:tabs>
              <w:rPr>
                <w:b/>
                <w:color w:val="auto"/>
              </w:rPr>
            </w:pPr>
            <w:r>
              <w:rPr>
                <w:b/>
                <w:color w:val="auto"/>
              </w:rPr>
              <w:t>55.1</w:t>
            </w:r>
          </w:p>
        </w:tc>
      </w:tr>
    </w:tbl>
    <w:p w14:paraId="40D49719" w14:textId="77777777" w:rsidR="00350DC2" w:rsidRDefault="00350DC2" w:rsidP="00AD7422">
      <w:pPr>
        <w:rPr>
          <w:lang w:eastAsia="en-GB"/>
        </w:rPr>
      </w:pPr>
    </w:p>
    <w:p w14:paraId="0869FEE7" w14:textId="77777777" w:rsidR="00350DC2" w:rsidRPr="00A936B3" w:rsidRDefault="00350DC2" w:rsidP="00AD7422">
      <w:pPr>
        <w:rPr>
          <w:lang w:eastAsia="en-GB"/>
        </w:rPr>
      </w:pPr>
    </w:p>
    <w:p w14:paraId="0B0AADE8" w14:textId="29142E5C" w:rsidR="004206F9" w:rsidRPr="00A06955" w:rsidRDefault="00AC2E64" w:rsidP="00AD7422">
      <w:pPr>
        <w:rPr>
          <w:b/>
          <w:u w:val="single"/>
          <w:lang w:eastAsia="en-GB"/>
        </w:rPr>
      </w:pPr>
      <w:r>
        <w:rPr>
          <w:b/>
          <w:u w:val="single"/>
          <w:lang w:eastAsia="en-GB"/>
        </w:rPr>
        <w:t xml:space="preserve">Cash </w:t>
      </w:r>
      <w:r w:rsidR="00311222">
        <w:rPr>
          <w:b/>
          <w:u w:val="single"/>
          <w:lang w:eastAsia="en-GB"/>
        </w:rPr>
        <w:t>f</w:t>
      </w:r>
      <w:r>
        <w:rPr>
          <w:b/>
          <w:u w:val="single"/>
          <w:lang w:eastAsia="en-GB"/>
        </w:rPr>
        <w:t>low</w:t>
      </w:r>
      <w:r w:rsidR="004B2A7E" w:rsidRPr="00A06955">
        <w:rPr>
          <w:b/>
          <w:u w:val="single"/>
          <w:lang w:eastAsia="en-GB"/>
        </w:rPr>
        <w:t xml:space="preserve"> </w:t>
      </w:r>
      <w:r w:rsidR="00311222">
        <w:rPr>
          <w:b/>
          <w:u w:val="single"/>
          <w:lang w:eastAsia="en-GB"/>
        </w:rPr>
        <w:t>s</w:t>
      </w:r>
      <w:r w:rsidR="004B2A7E" w:rsidRPr="00A06955">
        <w:rPr>
          <w:b/>
          <w:u w:val="single"/>
          <w:lang w:eastAsia="en-GB"/>
        </w:rPr>
        <w:t xml:space="preserve">tatement </w:t>
      </w:r>
      <w:r w:rsidR="00311222">
        <w:rPr>
          <w:b/>
          <w:u w:val="single"/>
          <w:lang w:eastAsia="en-GB"/>
        </w:rPr>
        <w:t>n</w:t>
      </w:r>
      <w:r w:rsidR="004B2A7E" w:rsidRPr="00A06955">
        <w:rPr>
          <w:b/>
          <w:u w:val="single"/>
          <w:lang w:eastAsia="en-GB"/>
        </w:rPr>
        <w:t>otes</w:t>
      </w:r>
    </w:p>
    <w:p w14:paraId="33BE6690" w14:textId="28A697BC" w:rsidR="00AB559D" w:rsidRDefault="00AB559D" w:rsidP="00AB559D">
      <w:pPr>
        <w:pStyle w:val="Heading2"/>
      </w:pPr>
      <w:r w:rsidRPr="00A06955">
        <w:t>3</w:t>
      </w:r>
      <w:r w:rsidR="005B4833">
        <w:t>4</w:t>
      </w:r>
      <w:r w:rsidRPr="00A06955">
        <w:t>. Cash</w:t>
      </w:r>
      <w:r w:rsidR="000E2EE7">
        <w:t xml:space="preserve"> </w:t>
      </w:r>
      <w:r w:rsidR="00311222">
        <w:t>f</w:t>
      </w:r>
      <w:r w:rsidRPr="00A06955">
        <w:t xml:space="preserve">lows from </w:t>
      </w:r>
      <w:r w:rsidR="00311222">
        <w:t>o</w:t>
      </w:r>
      <w:r w:rsidRPr="00A06955">
        <w:t xml:space="preserve">perating </w:t>
      </w:r>
      <w:r w:rsidR="00311222">
        <w:t>a</w:t>
      </w:r>
      <w:r w:rsidRPr="00A06955">
        <w:t>ctivities</w:t>
      </w:r>
      <w:r w:rsidR="00C622A8">
        <w:t xml:space="preserve">: </w:t>
      </w:r>
      <w:r w:rsidRPr="00A06955">
        <w:t>Interest</w:t>
      </w:r>
      <w:r w:rsidR="00C622A8">
        <w:t xml:space="preserve"> (memorandum</w:t>
      </w:r>
      <w:r w:rsidRPr="00A06955">
        <w:t>)</w:t>
      </w:r>
    </w:p>
    <w:p w14:paraId="0859A23B" w14:textId="6621F4F2" w:rsidR="00C622A8" w:rsidRPr="00A06955" w:rsidRDefault="00C622A8" w:rsidP="00A06955">
      <w:pPr>
        <w:rPr>
          <w:lang w:eastAsia="en-GB"/>
        </w:rPr>
      </w:pPr>
      <w:r>
        <w:rPr>
          <w:lang w:eastAsia="en-GB"/>
        </w:rPr>
        <w:t xml:space="preserve">The </w:t>
      </w:r>
      <w:r w:rsidR="00AC2E64">
        <w:rPr>
          <w:lang w:eastAsia="en-GB"/>
        </w:rPr>
        <w:t>cash flows</w:t>
      </w:r>
      <w:r>
        <w:rPr>
          <w:lang w:eastAsia="en-GB"/>
        </w:rPr>
        <w:t xml:space="preserve"> below i.e. interest received and interest paid are included in the </w:t>
      </w:r>
      <w:r w:rsidR="00AC2E64">
        <w:rPr>
          <w:lang w:eastAsia="en-GB"/>
        </w:rPr>
        <w:t>cash flows</w:t>
      </w:r>
      <w:r>
        <w:rPr>
          <w:lang w:eastAsia="en-GB"/>
        </w:rPr>
        <w:t xml:space="preserve"> from operating activities.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43"/>
        <w:gridCol w:w="1666"/>
        <w:gridCol w:w="1741"/>
      </w:tblGrid>
      <w:tr w:rsidR="00AB559D" w:rsidRPr="009C09EC" w14:paraId="23471B76" w14:textId="77777777" w:rsidTr="005B59ED">
        <w:trPr>
          <w:trHeight w:val="369"/>
          <w:tblHeader/>
        </w:trPr>
        <w:tc>
          <w:tcPr>
            <w:tcW w:w="3370" w:type="pct"/>
            <w:shd w:val="clear" w:color="auto" w:fill="D0CECE"/>
            <w:vAlign w:val="bottom"/>
          </w:tcPr>
          <w:p w14:paraId="2A716E84" w14:textId="77777777" w:rsidR="00AB559D" w:rsidRPr="00A06955" w:rsidRDefault="00AB559D" w:rsidP="005B59ED">
            <w:pPr>
              <w:jc w:val="left"/>
              <w:rPr>
                <w:color w:val="auto"/>
              </w:rPr>
            </w:pPr>
          </w:p>
        </w:tc>
        <w:tc>
          <w:tcPr>
            <w:tcW w:w="797" w:type="pct"/>
            <w:shd w:val="clear" w:color="auto" w:fill="D0CECE"/>
            <w:vAlign w:val="bottom"/>
          </w:tcPr>
          <w:p w14:paraId="5CA98D60" w14:textId="77777777" w:rsidR="00AB559D" w:rsidRPr="00A06955" w:rsidRDefault="00AB559D" w:rsidP="005B59ED">
            <w:pPr>
              <w:jc w:val="center"/>
              <w:rPr>
                <w:b/>
                <w:color w:val="auto"/>
              </w:rPr>
            </w:pPr>
            <w:r w:rsidRPr="00A06955">
              <w:rPr>
                <w:b/>
                <w:color w:val="auto"/>
              </w:rPr>
              <w:t>2014/15</w:t>
            </w:r>
          </w:p>
        </w:tc>
        <w:tc>
          <w:tcPr>
            <w:tcW w:w="833" w:type="pct"/>
            <w:shd w:val="clear" w:color="auto" w:fill="D0CECE"/>
            <w:vAlign w:val="bottom"/>
          </w:tcPr>
          <w:p w14:paraId="6FA18A64" w14:textId="77777777" w:rsidR="00AB559D" w:rsidRPr="009C09EC" w:rsidRDefault="00AB559D" w:rsidP="005B59ED">
            <w:pPr>
              <w:jc w:val="center"/>
              <w:rPr>
                <w:b/>
                <w:color w:val="auto"/>
              </w:rPr>
            </w:pPr>
            <w:r w:rsidRPr="009C09EC">
              <w:rPr>
                <w:b/>
                <w:color w:val="auto"/>
              </w:rPr>
              <w:t>2013/14</w:t>
            </w:r>
          </w:p>
        </w:tc>
      </w:tr>
      <w:tr w:rsidR="00AB559D" w:rsidRPr="009C09EC" w14:paraId="5688D5BF" w14:textId="77777777" w:rsidTr="005B59ED">
        <w:trPr>
          <w:trHeight w:val="369"/>
          <w:tblHeader/>
        </w:trPr>
        <w:tc>
          <w:tcPr>
            <w:tcW w:w="3370" w:type="pct"/>
            <w:shd w:val="clear" w:color="auto" w:fill="D0CECE"/>
            <w:vAlign w:val="bottom"/>
          </w:tcPr>
          <w:p w14:paraId="79F53E87" w14:textId="77777777" w:rsidR="00AB559D" w:rsidRPr="00A06955" w:rsidRDefault="00AB559D" w:rsidP="005B59ED">
            <w:pPr>
              <w:jc w:val="left"/>
              <w:rPr>
                <w:color w:val="auto"/>
              </w:rPr>
            </w:pPr>
          </w:p>
        </w:tc>
        <w:tc>
          <w:tcPr>
            <w:tcW w:w="797" w:type="pct"/>
            <w:shd w:val="clear" w:color="auto" w:fill="D0CECE"/>
            <w:vAlign w:val="bottom"/>
          </w:tcPr>
          <w:p w14:paraId="506CB7E1" w14:textId="77777777" w:rsidR="00AB559D" w:rsidRPr="00A06955" w:rsidRDefault="00AB559D" w:rsidP="005B59ED">
            <w:pPr>
              <w:jc w:val="center"/>
              <w:rPr>
                <w:b/>
                <w:color w:val="auto"/>
              </w:rPr>
            </w:pPr>
            <w:r w:rsidRPr="00A06955">
              <w:rPr>
                <w:b/>
                <w:color w:val="auto"/>
              </w:rPr>
              <w:t>£m</w:t>
            </w:r>
          </w:p>
        </w:tc>
        <w:tc>
          <w:tcPr>
            <w:tcW w:w="833" w:type="pct"/>
            <w:shd w:val="clear" w:color="auto" w:fill="D0CECE"/>
            <w:vAlign w:val="bottom"/>
          </w:tcPr>
          <w:p w14:paraId="75D70FDF" w14:textId="77777777" w:rsidR="00AB559D" w:rsidRPr="009C09EC" w:rsidRDefault="00AB559D" w:rsidP="005B59ED">
            <w:pPr>
              <w:jc w:val="center"/>
              <w:rPr>
                <w:b/>
                <w:color w:val="auto"/>
              </w:rPr>
            </w:pPr>
            <w:r w:rsidRPr="009C09EC">
              <w:rPr>
                <w:b/>
                <w:color w:val="auto"/>
              </w:rPr>
              <w:t>£m</w:t>
            </w:r>
          </w:p>
        </w:tc>
      </w:tr>
      <w:tr w:rsidR="00AB559D" w:rsidRPr="009C09EC" w14:paraId="0926A706" w14:textId="77777777" w:rsidTr="008D0533">
        <w:trPr>
          <w:trHeight w:val="369"/>
        </w:trPr>
        <w:tc>
          <w:tcPr>
            <w:tcW w:w="3370" w:type="pct"/>
            <w:shd w:val="clear" w:color="auto" w:fill="auto"/>
            <w:vAlign w:val="bottom"/>
          </w:tcPr>
          <w:p w14:paraId="7DB7E958" w14:textId="77777777" w:rsidR="00AB559D" w:rsidRPr="00A06955" w:rsidRDefault="00AB559D" w:rsidP="005B59ED">
            <w:pPr>
              <w:jc w:val="left"/>
              <w:rPr>
                <w:color w:val="auto"/>
              </w:rPr>
            </w:pPr>
            <w:r w:rsidRPr="00A06955">
              <w:rPr>
                <w:color w:val="auto"/>
              </w:rPr>
              <w:t>Interest Received</w:t>
            </w:r>
          </w:p>
        </w:tc>
        <w:tc>
          <w:tcPr>
            <w:tcW w:w="797" w:type="pct"/>
            <w:tcBorders>
              <w:top w:val="nil"/>
              <w:bottom w:val="nil"/>
            </w:tcBorders>
            <w:shd w:val="clear" w:color="auto" w:fill="auto"/>
            <w:vAlign w:val="bottom"/>
          </w:tcPr>
          <w:p w14:paraId="137FCF1B" w14:textId="252762C1" w:rsidR="00AB559D" w:rsidRPr="00A06955" w:rsidRDefault="00A71A6A" w:rsidP="005B59ED">
            <w:pPr>
              <w:tabs>
                <w:tab w:val="decimal" w:pos="1026"/>
              </w:tabs>
              <w:rPr>
                <w:color w:val="auto"/>
              </w:rPr>
            </w:pPr>
            <w:r w:rsidRPr="00A06955">
              <w:rPr>
                <w:color w:val="auto"/>
              </w:rPr>
              <w:t>(83</w:t>
            </w:r>
            <w:r w:rsidR="009C09EC" w:rsidRPr="00A06955">
              <w:rPr>
                <w:color w:val="auto"/>
              </w:rPr>
              <w:t>.9)</w:t>
            </w:r>
          </w:p>
        </w:tc>
        <w:tc>
          <w:tcPr>
            <w:tcW w:w="833" w:type="pct"/>
            <w:tcBorders>
              <w:top w:val="nil"/>
              <w:bottom w:val="nil"/>
            </w:tcBorders>
            <w:shd w:val="clear" w:color="auto" w:fill="auto"/>
          </w:tcPr>
          <w:p w14:paraId="2938F548" w14:textId="77777777" w:rsidR="00AB559D" w:rsidRPr="00A06955" w:rsidRDefault="00AB559D" w:rsidP="008D0533">
            <w:pPr>
              <w:jc w:val="center"/>
              <w:rPr>
                <w:color w:val="auto"/>
              </w:rPr>
            </w:pPr>
            <w:r w:rsidRPr="00A06955">
              <w:rPr>
                <w:color w:val="auto"/>
              </w:rPr>
              <w:t>(18.5)</w:t>
            </w:r>
          </w:p>
        </w:tc>
      </w:tr>
      <w:tr w:rsidR="009C09EC" w:rsidRPr="009C09EC" w14:paraId="100D7D31" w14:textId="77777777" w:rsidTr="008D0533">
        <w:trPr>
          <w:trHeight w:val="369"/>
        </w:trPr>
        <w:tc>
          <w:tcPr>
            <w:tcW w:w="3370" w:type="pct"/>
            <w:shd w:val="clear" w:color="auto" w:fill="auto"/>
            <w:vAlign w:val="bottom"/>
          </w:tcPr>
          <w:p w14:paraId="6E1BE68D" w14:textId="27ACD615" w:rsidR="009C09EC" w:rsidRPr="00A06955" w:rsidRDefault="009C09EC" w:rsidP="009C09EC">
            <w:pPr>
              <w:jc w:val="left"/>
              <w:rPr>
                <w:color w:val="auto"/>
                <w:u w:val="single"/>
              </w:rPr>
            </w:pPr>
            <w:r w:rsidRPr="00A06955">
              <w:rPr>
                <w:color w:val="auto"/>
              </w:rPr>
              <w:t>Interest Paid</w:t>
            </w:r>
          </w:p>
        </w:tc>
        <w:tc>
          <w:tcPr>
            <w:tcW w:w="797" w:type="pct"/>
            <w:tcBorders>
              <w:top w:val="nil"/>
              <w:bottom w:val="single" w:sz="4" w:space="0" w:color="auto"/>
            </w:tcBorders>
            <w:shd w:val="clear" w:color="auto" w:fill="auto"/>
            <w:vAlign w:val="bottom"/>
          </w:tcPr>
          <w:p w14:paraId="3F68920E" w14:textId="2B76855A" w:rsidR="009C09EC" w:rsidRPr="00A06955" w:rsidRDefault="009C09EC">
            <w:pPr>
              <w:tabs>
                <w:tab w:val="decimal" w:pos="1026"/>
              </w:tabs>
              <w:rPr>
                <w:color w:val="auto"/>
              </w:rPr>
            </w:pPr>
            <w:r w:rsidRPr="00A06955">
              <w:rPr>
                <w:color w:val="auto"/>
              </w:rPr>
              <w:t>4</w:t>
            </w:r>
            <w:r w:rsidR="00A71A6A" w:rsidRPr="00A06955">
              <w:rPr>
                <w:color w:val="auto"/>
              </w:rPr>
              <w:t>1.2</w:t>
            </w:r>
          </w:p>
        </w:tc>
        <w:tc>
          <w:tcPr>
            <w:tcW w:w="833" w:type="pct"/>
            <w:tcBorders>
              <w:top w:val="nil"/>
              <w:bottom w:val="single" w:sz="4" w:space="0" w:color="auto"/>
            </w:tcBorders>
            <w:shd w:val="clear" w:color="auto" w:fill="auto"/>
          </w:tcPr>
          <w:p w14:paraId="29B7ED0B" w14:textId="3608297B" w:rsidR="009C09EC" w:rsidRPr="00A06955" w:rsidRDefault="009C09EC" w:rsidP="008D0533">
            <w:pPr>
              <w:jc w:val="center"/>
              <w:rPr>
                <w:color w:val="auto"/>
              </w:rPr>
            </w:pPr>
            <w:r w:rsidRPr="00A06955">
              <w:rPr>
                <w:color w:val="auto"/>
              </w:rPr>
              <w:t>63.9</w:t>
            </w:r>
          </w:p>
        </w:tc>
      </w:tr>
    </w:tbl>
    <w:p w14:paraId="4AC5DAC1" w14:textId="77777777" w:rsidR="00AB559D" w:rsidRDefault="00AB559D" w:rsidP="00AD7422">
      <w:pPr>
        <w:rPr>
          <w:highlight w:val="yellow"/>
          <w:u w:val="single"/>
          <w:lang w:eastAsia="en-GB"/>
        </w:rPr>
      </w:pPr>
    </w:p>
    <w:p w14:paraId="249CC5E9" w14:textId="77777777" w:rsidR="001706B1" w:rsidRDefault="001706B1" w:rsidP="00AD7422">
      <w:pPr>
        <w:rPr>
          <w:highlight w:val="yellow"/>
          <w:u w:val="single"/>
          <w:lang w:eastAsia="en-GB"/>
        </w:rPr>
      </w:pPr>
    </w:p>
    <w:p w14:paraId="2D613497" w14:textId="77777777" w:rsidR="001706B1" w:rsidRDefault="001706B1" w:rsidP="00AD7422">
      <w:pPr>
        <w:rPr>
          <w:highlight w:val="yellow"/>
          <w:u w:val="single"/>
          <w:lang w:eastAsia="en-GB"/>
        </w:rPr>
      </w:pPr>
    </w:p>
    <w:p w14:paraId="052B607F" w14:textId="77777777" w:rsidR="001706B1" w:rsidRDefault="001706B1" w:rsidP="00AD7422">
      <w:pPr>
        <w:rPr>
          <w:highlight w:val="yellow"/>
          <w:u w:val="single"/>
          <w:lang w:eastAsia="en-GB"/>
        </w:rPr>
      </w:pPr>
    </w:p>
    <w:p w14:paraId="6C21A13B" w14:textId="77777777" w:rsidR="001706B1" w:rsidRDefault="001706B1" w:rsidP="00AD7422">
      <w:pPr>
        <w:rPr>
          <w:highlight w:val="yellow"/>
          <w:u w:val="single"/>
          <w:lang w:eastAsia="en-GB"/>
        </w:rPr>
      </w:pPr>
    </w:p>
    <w:p w14:paraId="61333E02" w14:textId="77777777" w:rsidR="001706B1" w:rsidRDefault="001706B1" w:rsidP="00AD7422">
      <w:pPr>
        <w:rPr>
          <w:highlight w:val="yellow"/>
          <w:u w:val="single"/>
          <w:lang w:eastAsia="en-GB"/>
        </w:rPr>
      </w:pPr>
    </w:p>
    <w:p w14:paraId="05DEAA06" w14:textId="77777777" w:rsidR="001706B1" w:rsidRDefault="001706B1" w:rsidP="00AD7422">
      <w:pPr>
        <w:rPr>
          <w:highlight w:val="yellow"/>
          <w:u w:val="single"/>
          <w:lang w:eastAsia="en-GB"/>
        </w:rPr>
      </w:pPr>
    </w:p>
    <w:p w14:paraId="4A2D4CBF" w14:textId="77777777" w:rsidR="001706B1" w:rsidRDefault="001706B1" w:rsidP="00AD7422">
      <w:pPr>
        <w:rPr>
          <w:highlight w:val="yellow"/>
          <w:u w:val="single"/>
          <w:lang w:eastAsia="en-GB"/>
        </w:rPr>
      </w:pPr>
    </w:p>
    <w:p w14:paraId="46E60770" w14:textId="77777777" w:rsidR="001706B1" w:rsidRDefault="001706B1" w:rsidP="00AD7422">
      <w:pPr>
        <w:rPr>
          <w:highlight w:val="yellow"/>
          <w:u w:val="single"/>
          <w:lang w:eastAsia="en-GB"/>
        </w:rPr>
      </w:pPr>
    </w:p>
    <w:p w14:paraId="01B83B8B" w14:textId="77777777" w:rsidR="001706B1" w:rsidRDefault="001706B1" w:rsidP="00AD7422">
      <w:pPr>
        <w:rPr>
          <w:highlight w:val="yellow"/>
          <w:u w:val="single"/>
          <w:lang w:eastAsia="en-GB"/>
        </w:rPr>
      </w:pPr>
    </w:p>
    <w:p w14:paraId="13D0ED89" w14:textId="77777777" w:rsidR="001706B1" w:rsidRDefault="001706B1" w:rsidP="00AD7422">
      <w:pPr>
        <w:rPr>
          <w:highlight w:val="yellow"/>
          <w:u w:val="single"/>
          <w:lang w:eastAsia="en-GB"/>
        </w:rPr>
      </w:pPr>
    </w:p>
    <w:p w14:paraId="5135506D" w14:textId="77777777" w:rsidR="001706B1" w:rsidRDefault="001706B1" w:rsidP="00AD7422">
      <w:pPr>
        <w:rPr>
          <w:highlight w:val="yellow"/>
          <w:u w:val="single"/>
          <w:lang w:eastAsia="en-GB"/>
        </w:rPr>
      </w:pPr>
    </w:p>
    <w:p w14:paraId="055B4429" w14:textId="77777777" w:rsidR="001706B1" w:rsidRDefault="001706B1" w:rsidP="00AD7422">
      <w:pPr>
        <w:rPr>
          <w:highlight w:val="yellow"/>
          <w:u w:val="single"/>
          <w:lang w:eastAsia="en-GB"/>
        </w:rPr>
      </w:pPr>
    </w:p>
    <w:p w14:paraId="19529537" w14:textId="77777777" w:rsidR="001706B1" w:rsidRDefault="001706B1" w:rsidP="00AD7422">
      <w:pPr>
        <w:rPr>
          <w:highlight w:val="yellow"/>
          <w:u w:val="single"/>
          <w:lang w:eastAsia="en-GB"/>
        </w:rPr>
      </w:pPr>
    </w:p>
    <w:p w14:paraId="1568FD39" w14:textId="77777777" w:rsidR="00021254" w:rsidRPr="00A06955" w:rsidRDefault="00021254" w:rsidP="00AD7422">
      <w:pPr>
        <w:rPr>
          <w:highlight w:val="yellow"/>
          <w:u w:val="single"/>
          <w:lang w:eastAsia="en-GB"/>
        </w:rPr>
      </w:pPr>
    </w:p>
    <w:p w14:paraId="2366067E" w14:textId="43BF7F9D" w:rsidR="004B2A7E" w:rsidRDefault="004B2A7E" w:rsidP="004B2A7E">
      <w:pPr>
        <w:pStyle w:val="Heading2"/>
      </w:pPr>
      <w:r w:rsidRPr="00A06955">
        <w:t>3</w:t>
      </w:r>
      <w:r w:rsidR="005B4833">
        <w:t>5</w:t>
      </w:r>
      <w:r w:rsidRPr="00A06955">
        <w:t xml:space="preserve">. </w:t>
      </w:r>
      <w:r w:rsidR="00AC2E64">
        <w:t xml:space="preserve">Cash </w:t>
      </w:r>
      <w:r w:rsidR="00311222">
        <w:t>f</w:t>
      </w:r>
      <w:r w:rsidR="00AC2E64">
        <w:t>lows</w:t>
      </w:r>
      <w:r w:rsidRPr="00A06955">
        <w:t xml:space="preserve"> from </w:t>
      </w:r>
      <w:r w:rsidR="00311222">
        <w:t>o</w:t>
      </w:r>
      <w:r w:rsidRPr="00A06955">
        <w:t xml:space="preserve">perating </w:t>
      </w:r>
      <w:r w:rsidR="00311222">
        <w:t>a</w:t>
      </w:r>
      <w:r w:rsidRPr="00A06955">
        <w:t>ctivities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43"/>
        <w:gridCol w:w="1666"/>
        <w:gridCol w:w="1741"/>
      </w:tblGrid>
      <w:tr w:rsidR="0048314D" w:rsidRPr="00052104" w14:paraId="6BBA1E7C" w14:textId="77777777" w:rsidTr="00A06955">
        <w:trPr>
          <w:trHeight w:val="369"/>
          <w:tblHeader/>
        </w:trPr>
        <w:tc>
          <w:tcPr>
            <w:tcW w:w="3370" w:type="pct"/>
            <w:shd w:val="clear" w:color="auto" w:fill="D0CECE"/>
            <w:vAlign w:val="bottom"/>
          </w:tcPr>
          <w:p w14:paraId="1C13C43A" w14:textId="77777777" w:rsidR="0048314D" w:rsidRPr="003C0F16" w:rsidRDefault="0048314D" w:rsidP="00411CCE">
            <w:pPr>
              <w:jc w:val="left"/>
              <w:rPr>
                <w:color w:val="auto"/>
                <w:highlight w:val="yellow"/>
              </w:rPr>
            </w:pPr>
          </w:p>
        </w:tc>
        <w:tc>
          <w:tcPr>
            <w:tcW w:w="797" w:type="pct"/>
            <w:shd w:val="clear" w:color="auto" w:fill="D0CECE"/>
            <w:vAlign w:val="bottom"/>
          </w:tcPr>
          <w:p w14:paraId="3D5B9E3E" w14:textId="77777777" w:rsidR="0048314D" w:rsidRPr="00A06955" w:rsidRDefault="0048314D" w:rsidP="00411CCE">
            <w:pPr>
              <w:jc w:val="center"/>
              <w:rPr>
                <w:b/>
                <w:color w:val="auto"/>
              </w:rPr>
            </w:pPr>
            <w:r w:rsidRPr="00A06955">
              <w:rPr>
                <w:b/>
                <w:color w:val="auto"/>
              </w:rPr>
              <w:t>2014/15</w:t>
            </w:r>
          </w:p>
        </w:tc>
        <w:tc>
          <w:tcPr>
            <w:tcW w:w="833" w:type="pct"/>
            <w:shd w:val="clear" w:color="auto" w:fill="D0CECE"/>
            <w:vAlign w:val="bottom"/>
          </w:tcPr>
          <w:p w14:paraId="7ED27AB3" w14:textId="77777777" w:rsidR="0048314D" w:rsidRPr="00052104" w:rsidRDefault="0048314D" w:rsidP="00411CCE">
            <w:pPr>
              <w:jc w:val="center"/>
              <w:rPr>
                <w:b/>
                <w:color w:val="auto"/>
              </w:rPr>
            </w:pPr>
            <w:r w:rsidRPr="00052104">
              <w:rPr>
                <w:b/>
                <w:color w:val="auto"/>
              </w:rPr>
              <w:t>2013/14</w:t>
            </w:r>
          </w:p>
        </w:tc>
      </w:tr>
      <w:tr w:rsidR="0048314D" w:rsidRPr="00052104" w14:paraId="622E73C0" w14:textId="77777777" w:rsidTr="00A06955">
        <w:trPr>
          <w:trHeight w:val="369"/>
          <w:tblHeader/>
        </w:trPr>
        <w:tc>
          <w:tcPr>
            <w:tcW w:w="3370" w:type="pct"/>
            <w:shd w:val="clear" w:color="auto" w:fill="D0CECE"/>
            <w:vAlign w:val="bottom"/>
          </w:tcPr>
          <w:p w14:paraId="5E3065D1" w14:textId="77777777" w:rsidR="0048314D" w:rsidRPr="003C0F16" w:rsidRDefault="0048314D" w:rsidP="00411CCE">
            <w:pPr>
              <w:jc w:val="left"/>
              <w:rPr>
                <w:color w:val="auto"/>
                <w:highlight w:val="yellow"/>
              </w:rPr>
            </w:pPr>
          </w:p>
        </w:tc>
        <w:tc>
          <w:tcPr>
            <w:tcW w:w="797" w:type="pct"/>
            <w:shd w:val="clear" w:color="auto" w:fill="D0CECE"/>
            <w:vAlign w:val="bottom"/>
          </w:tcPr>
          <w:p w14:paraId="01BEFCFD" w14:textId="77777777" w:rsidR="0048314D" w:rsidRPr="00A06955" w:rsidRDefault="0048314D" w:rsidP="00411CCE">
            <w:pPr>
              <w:jc w:val="center"/>
              <w:rPr>
                <w:b/>
                <w:color w:val="auto"/>
              </w:rPr>
            </w:pPr>
            <w:r w:rsidRPr="00A06955">
              <w:rPr>
                <w:b/>
                <w:color w:val="auto"/>
              </w:rPr>
              <w:t>£m</w:t>
            </w:r>
          </w:p>
        </w:tc>
        <w:tc>
          <w:tcPr>
            <w:tcW w:w="833" w:type="pct"/>
            <w:shd w:val="clear" w:color="auto" w:fill="D0CECE"/>
            <w:vAlign w:val="bottom"/>
          </w:tcPr>
          <w:p w14:paraId="16FC2545" w14:textId="77777777" w:rsidR="0048314D" w:rsidRPr="00052104" w:rsidRDefault="0048314D" w:rsidP="00411CCE">
            <w:pPr>
              <w:jc w:val="center"/>
              <w:rPr>
                <w:b/>
                <w:color w:val="auto"/>
              </w:rPr>
            </w:pPr>
            <w:r w:rsidRPr="00052104">
              <w:rPr>
                <w:b/>
                <w:color w:val="auto"/>
              </w:rPr>
              <w:t>£m</w:t>
            </w:r>
          </w:p>
        </w:tc>
      </w:tr>
      <w:tr w:rsidR="0048314D" w:rsidRPr="00052104" w14:paraId="7E08C80C" w14:textId="77777777" w:rsidTr="00411CCE">
        <w:trPr>
          <w:trHeight w:val="369"/>
        </w:trPr>
        <w:tc>
          <w:tcPr>
            <w:tcW w:w="3370" w:type="pct"/>
            <w:shd w:val="clear" w:color="auto" w:fill="auto"/>
            <w:vAlign w:val="bottom"/>
          </w:tcPr>
          <w:p w14:paraId="2B1B799F" w14:textId="77777777" w:rsidR="0048314D" w:rsidRPr="00A06955" w:rsidRDefault="0048314D" w:rsidP="00411CCE">
            <w:pPr>
              <w:jc w:val="left"/>
              <w:rPr>
                <w:b/>
                <w:color w:val="auto"/>
              </w:rPr>
            </w:pPr>
            <w:r w:rsidRPr="00A06955">
              <w:rPr>
                <w:b/>
                <w:color w:val="auto"/>
              </w:rPr>
              <w:t>Net (surplus) or deficit on the provision of services</w:t>
            </w:r>
          </w:p>
        </w:tc>
        <w:tc>
          <w:tcPr>
            <w:tcW w:w="797" w:type="pct"/>
            <w:tcBorders>
              <w:bottom w:val="nil"/>
            </w:tcBorders>
            <w:shd w:val="clear" w:color="auto" w:fill="auto"/>
            <w:vAlign w:val="bottom"/>
          </w:tcPr>
          <w:p w14:paraId="58159FAD" w14:textId="45BA3D17" w:rsidR="0048314D" w:rsidRPr="00A06955" w:rsidRDefault="009C09EC" w:rsidP="00C269A4">
            <w:pPr>
              <w:tabs>
                <w:tab w:val="decimal" w:pos="1026"/>
              </w:tabs>
              <w:rPr>
                <w:b/>
                <w:color w:val="auto"/>
              </w:rPr>
            </w:pPr>
            <w:r w:rsidRPr="00A06955">
              <w:rPr>
                <w:b/>
                <w:color w:val="auto"/>
              </w:rPr>
              <w:t>(</w:t>
            </w:r>
            <w:r w:rsidR="00C269A4">
              <w:rPr>
                <w:b/>
                <w:color w:val="auto"/>
              </w:rPr>
              <w:t>48.6</w:t>
            </w:r>
            <w:r w:rsidRPr="00A06955">
              <w:rPr>
                <w:b/>
                <w:color w:val="auto"/>
              </w:rPr>
              <w:t>)</w:t>
            </w:r>
          </w:p>
        </w:tc>
        <w:tc>
          <w:tcPr>
            <w:tcW w:w="833" w:type="pct"/>
            <w:tcBorders>
              <w:bottom w:val="nil"/>
            </w:tcBorders>
            <w:shd w:val="clear" w:color="auto" w:fill="auto"/>
            <w:vAlign w:val="bottom"/>
          </w:tcPr>
          <w:p w14:paraId="509BA4A9" w14:textId="77777777" w:rsidR="0048314D" w:rsidRPr="00235001" w:rsidRDefault="0048314D" w:rsidP="0048314D">
            <w:pPr>
              <w:tabs>
                <w:tab w:val="decimal" w:pos="1026"/>
              </w:tabs>
              <w:rPr>
                <w:b/>
                <w:color w:val="auto"/>
              </w:rPr>
            </w:pPr>
            <w:r w:rsidRPr="00235001">
              <w:rPr>
                <w:b/>
                <w:color w:val="auto"/>
              </w:rPr>
              <w:t>19.9</w:t>
            </w:r>
          </w:p>
        </w:tc>
      </w:tr>
      <w:tr w:rsidR="0048314D" w:rsidRPr="00052104" w14:paraId="3A2C2D27" w14:textId="77777777" w:rsidTr="00411CCE">
        <w:trPr>
          <w:trHeight w:val="369"/>
        </w:trPr>
        <w:tc>
          <w:tcPr>
            <w:tcW w:w="3370" w:type="pct"/>
            <w:shd w:val="clear" w:color="auto" w:fill="auto"/>
            <w:vAlign w:val="bottom"/>
          </w:tcPr>
          <w:p w14:paraId="31EF80B4" w14:textId="460CD46A" w:rsidR="0048314D" w:rsidRPr="00A06955" w:rsidRDefault="0048314D">
            <w:pPr>
              <w:jc w:val="left"/>
              <w:rPr>
                <w:color w:val="auto"/>
                <w:u w:val="single"/>
              </w:rPr>
            </w:pPr>
            <w:r w:rsidRPr="00A06955">
              <w:rPr>
                <w:color w:val="auto"/>
                <w:u w:val="single"/>
              </w:rPr>
              <w:t>Adjustment to surplus or deficit on the provision of services for non</w:t>
            </w:r>
            <w:r w:rsidR="006C5A66" w:rsidRPr="00A06955">
              <w:rPr>
                <w:color w:val="auto"/>
                <w:u w:val="single"/>
              </w:rPr>
              <w:t>-</w:t>
            </w:r>
            <w:r w:rsidRPr="00A06955">
              <w:rPr>
                <w:color w:val="auto"/>
                <w:u w:val="single"/>
              </w:rPr>
              <w:t>cash movements</w:t>
            </w:r>
          </w:p>
        </w:tc>
        <w:tc>
          <w:tcPr>
            <w:tcW w:w="797" w:type="pct"/>
            <w:tcBorders>
              <w:bottom w:val="nil"/>
            </w:tcBorders>
            <w:shd w:val="clear" w:color="auto" w:fill="auto"/>
            <w:vAlign w:val="bottom"/>
          </w:tcPr>
          <w:p w14:paraId="4C29351C" w14:textId="77777777" w:rsidR="0048314D" w:rsidRPr="003C0F16" w:rsidRDefault="0048314D" w:rsidP="00411CCE">
            <w:pPr>
              <w:tabs>
                <w:tab w:val="decimal" w:pos="1026"/>
              </w:tabs>
              <w:rPr>
                <w:color w:val="auto"/>
                <w:highlight w:val="yellow"/>
              </w:rPr>
            </w:pPr>
          </w:p>
        </w:tc>
        <w:tc>
          <w:tcPr>
            <w:tcW w:w="833" w:type="pct"/>
            <w:tcBorders>
              <w:bottom w:val="nil"/>
            </w:tcBorders>
            <w:shd w:val="clear" w:color="auto" w:fill="auto"/>
            <w:vAlign w:val="bottom"/>
          </w:tcPr>
          <w:p w14:paraId="63E74418" w14:textId="77777777" w:rsidR="0048314D" w:rsidRPr="00052104" w:rsidRDefault="0048314D" w:rsidP="00411CCE">
            <w:pPr>
              <w:tabs>
                <w:tab w:val="decimal" w:pos="1026"/>
              </w:tabs>
              <w:rPr>
                <w:color w:val="auto"/>
              </w:rPr>
            </w:pPr>
          </w:p>
        </w:tc>
      </w:tr>
      <w:tr w:rsidR="0048314D" w:rsidRPr="00052104" w14:paraId="2A8D5AEB" w14:textId="77777777" w:rsidTr="00411CCE">
        <w:trPr>
          <w:trHeight w:val="369"/>
        </w:trPr>
        <w:tc>
          <w:tcPr>
            <w:tcW w:w="3370" w:type="pct"/>
            <w:shd w:val="clear" w:color="auto" w:fill="auto"/>
            <w:vAlign w:val="bottom"/>
          </w:tcPr>
          <w:p w14:paraId="4BCD023D" w14:textId="77777777" w:rsidR="0048314D" w:rsidRPr="00A06955" w:rsidRDefault="0048314D" w:rsidP="00411CCE">
            <w:pPr>
              <w:jc w:val="left"/>
              <w:rPr>
                <w:color w:val="auto"/>
              </w:rPr>
            </w:pPr>
            <w:r w:rsidRPr="00A06955">
              <w:rPr>
                <w:color w:val="auto"/>
              </w:rPr>
              <w:t>Depreciation</w:t>
            </w:r>
          </w:p>
        </w:tc>
        <w:tc>
          <w:tcPr>
            <w:tcW w:w="797" w:type="pct"/>
            <w:tcBorders>
              <w:bottom w:val="nil"/>
            </w:tcBorders>
            <w:shd w:val="clear" w:color="auto" w:fill="auto"/>
            <w:vAlign w:val="bottom"/>
          </w:tcPr>
          <w:p w14:paraId="12DBCC88" w14:textId="1B586731" w:rsidR="0048314D" w:rsidRPr="00A06955" w:rsidRDefault="009C09EC">
            <w:pPr>
              <w:tabs>
                <w:tab w:val="decimal" w:pos="1026"/>
              </w:tabs>
              <w:rPr>
                <w:color w:val="auto"/>
              </w:rPr>
            </w:pPr>
            <w:r w:rsidRPr="00A06955">
              <w:rPr>
                <w:color w:val="auto"/>
              </w:rPr>
              <w:t>(4</w:t>
            </w:r>
            <w:r w:rsidR="00E55436">
              <w:rPr>
                <w:color w:val="auto"/>
              </w:rPr>
              <w:t>8</w:t>
            </w:r>
            <w:r w:rsidR="0088319C">
              <w:rPr>
                <w:color w:val="auto"/>
              </w:rPr>
              <w:t>.0</w:t>
            </w:r>
            <w:r w:rsidRPr="00A06955">
              <w:rPr>
                <w:color w:val="auto"/>
              </w:rPr>
              <w:t>)</w:t>
            </w:r>
          </w:p>
        </w:tc>
        <w:tc>
          <w:tcPr>
            <w:tcW w:w="833" w:type="pct"/>
            <w:tcBorders>
              <w:bottom w:val="nil"/>
            </w:tcBorders>
            <w:shd w:val="clear" w:color="auto" w:fill="auto"/>
            <w:vAlign w:val="bottom"/>
          </w:tcPr>
          <w:p w14:paraId="1542463D" w14:textId="77777777" w:rsidR="0048314D" w:rsidRPr="00235001" w:rsidRDefault="0048314D" w:rsidP="00411CCE">
            <w:pPr>
              <w:tabs>
                <w:tab w:val="decimal" w:pos="1026"/>
              </w:tabs>
              <w:rPr>
                <w:color w:val="auto"/>
              </w:rPr>
            </w:pPr>
            <w:r w:rsidRPr="00235001">
              <w:rPr>
                <w:color w:val="auto"/>
              </w:rPr>
              <w:t>(47.2)</w:t>
            </w:r>
          </w:p>
        </w:tc>
      </w:tr>
      <w:tr w:rsidR="0048314D" w:rsidRPr="00052104" w14:paraId="5CFDAA91" w14:textId="77777777" w:rsidTr="00411CCE">
        <w:trPr>
          <w:trHeight w:val="369"/>
        </w:trPr>
        <w:tc>
          <w:tcPr>
            <w:tcW w:w="3370" w:type="pct"/>
            <w:shd w:val="clear" w:color="auto" w:fill="auto"/>
            <w:vAlign w:val="bottom"/>
          </w:tcPr>
          <w:p w14:paraId="0BE5AB29" w14:textId="77777777" w:rsidR="0048314D" w:rsidRPr="00A06955" w:rsidRDefault="0048314D" w:rsidP="00411CCE">
            <w:pPr>
              <w:jc w:val="left"/>
              <w:rPr>
                <w:color w:val="auto"/>
              </w:rPr>
            </w:pPr>
            <w:r w:rsidRPr="00A06955">
              <w:rPr>
                <w:color w:val="auto"/>
              </w:rPr>
              <w:t>Impairment and downward valuations</w:t>
            </w:r>
          </w:p>
        </w:tc>
        <w:tc>
          <w:tcPr>
            <w:tcW w:w="797" w:type="pct"/>
            <w:tcBorders>
              <w:bottom w:val="nil"/>
            </w:tcBorders>
            <w:shd w:val="clear" w:color="auto" w:fill="auto"/>
            <w:vAlign w:val="bottom"/>
          </w:tcPr>
          <w:p w14:paraId="04E409CE" w14:textId="4C96B389" w:rsidR="0048314D" w:rsidRPr="00A06955" w:rsidRDefault="009C09EC" w:rsidP="00D24D58">
            <w:pPr>
              <w:tabs>
                <w:tab w:val="decimal" w:pos="1026"/>
              </w:tabs>
              <w:rPr>
                <w:color w:val="auto"/>
              </w:rPr>
            </w:pPr>
            <w:r w:rsidRPr="00A06955">
              <w:rPr>
                <w:color w:val="auto"/>
              </w:rPr>
              <w:t>(1</w:t>
            </w:r>
            <w:r w:rsidR="00D24D58">
              <w:rPr>
                <w:color w:val="auto"/>
              </w:rPr>
              <w:t>28.8</w:t>
            </w:r>
            <w:r w:rsidRPr="00A06955">
              <w:rPr>
                <w:color w:val="auto"/>
              </w:rPr>
              <w:t>)</w:t>
            </w:r>
          </w:p>
        </w:tc>
        <w:tc>
          <w:tcPr>
            <w:tcW w:w="833" w:type="pct"/>
            <w:tcBorders>
              <w:bottom w:val="nil"/>
            </w:tcBorders>
            <w:shd w:val="clear" w:color="auto" w:fill="auto"/>
            <w:vAlign w:val="bottom"/>
          </w:tcPr>
          <w:p w14:paraId="3B58E95F" w14:textId="77777777" w:rsidR="0048314D" w:rsidRPr="00235001" w:rsidRDefault="0048314D" w:rsidP="00411CCE">
            <w:pPr>
              <w:tabs>
                <w:tab w:val="decimal" w:pos="1026"/>
              </w:tabs>
              <w:rPr>
                <w:color w:val="auto"/>
              </w:rPr>
            </w:pPr>
            <w:r w:rsidRPr="00235001">
              <w:rPr>
                <w:color w:val="auto"/>
              </w:rPr>
              <w:t>(39.9)</w:t>
            </w:r>
          </w:p>
        </w:tc>
      </w:tr>
      <w:tr w:rsidR="0048314D" w:rsidRPr="00052104" w14:paraId="5D5F0685" w14:textId="77777777" w:rsidTr="00411CCE">
        <w:trPr>
          <w:trHeight w:val="369"/>
        </w:trPr>
        <w:tc>
          <w:tcPr>
            <w:tcW w:w="3370" w:type="pct"/>
            <w:shd w:val="clear" w:color="auto" w:fill="auto"/>
            <w:vAlign w:val="bottom"/>
          </w:tcPr>
          <w:p w14:paraId="0A855A57" w14:textId="77777777" w:rsidR="0048314D" w:rsidRPr="009C1D66" w:rsidRDefault="0048314D" w:rsidP="00411CCE">
            <w:pPr>
              <w:jc w:val="left"/>
              <w:rPr>
                <w:color w:val="auto"/>
              </w:rPr>
            </w:pPr>
            <w:r w:rsidRPr="009C1D66">
              <w:rPr>
                <w:color w:val="auto"/>
              </w:rPr>
              <w:t>Amortisation of intangible assets</w:t>
            </w:r>
          </w:p>
        </w:tc>
        <w:tc>
          <w:tcPr>
            <w:tcW w:w="797" w:type="pct"/>
            <w:tcBorders>
              <w:top w:val="nil"/>
              <w:bottom w:val="nil"/>
            </w:tcBorders>
            <w:shd w:val="clear" w:color="auto" w:fill="auto"/>
            <w:vAlign w:val="bottom"/>
          </w:tcPr>
          <w:p w14:paraId="38E77108" w14:textId="5BC7FE7B" w:rsidR="0048314D" w:rsidRPr="009C1D66" w:rsidRDefault="009C09EC" w:rsidP="00411CCE">
            <w:pPr>
              <w:tabs>
                <w:tab w:val="decimal" w:pos="1026"/>
              </w:tabs>
              <w:rPr>
                <w:color w:val="auto"/>
              </w:rPr>
            </w:pPr>
            <w:r w:rsidRPr="009C1D66">
              <w:rPr>
                <w:color w:val="auto"/>
              </w:rPr>
              <w:t>(</w:t>
            </w:r>
            <w:r w:rsidR="00D24D58">
              <w:rPr>
                <w:color w:val="auto"/>
              </w:rPr>
              <w:t>3.9</w:t>
            </w:r>
            <w:r w:rsidRPr="009C1D66">
              <w:rPr>
                <w:color w:val="auto"/>
              </w:rPr>
              <w:t>)</w:t>
            </w:r>
          </w:p>
        </w:tc>
        <w:tc>
          <w:tcPr>
            <w:tcW w:w="833" w:type="pct"/>
            <w:tcBorders>
              <w:top w:val="nil"/>
              <w:bottom w:val="nil"/>
            </w:tcBorders>
            <w:shd w:val="clear" w:color="auto" w:fill="auto"/>
            <w:vAlign w:val="bottom"/>
          </w:tcPr>
          <w:p w14:paraId="21E806F1" w14:textId="77777777" w:rsidR="0048314D" w:rsidRPr="009C1D66" w:rsidRDefault="0048314D" w:rsidP="00411CCE">
            <w:pPr>
              <w:tabs>
                <w:tab w:val="decimal" w:pos="1026"/>
              </w:tabs>
              <w:rPr>
                <w:color w:val="auto"/>
              </w:rPr>
            </w:pPr>
            <w:r w:rsidRPr="009C1D66">
              <w:rPr>
                <w:color w:val="auto"/>
              </w:rPr>
              <w:t>(2.8)</w:t>
            </w:r>
          </w:p>
        </w:tc>
      </w:tr>
      <w:tr w:rsidR="0048314D" w:rsidRPr="008E4793" w14:paraId="36B27550" w14:textId="77777777" w:rsidTr="00411CCE">
        <w:trPr>
          <w:trHeight w:val="369"/>
        </w:trPr>
        <w:tc>
          <w:tcPr>
            <w:tcW w:w="3370" w:type="pct"/>
            <w:shd w:val="clear" w:color="auto" w:fill="auto"/>
            <w:vAlign w:val="bottom"/>
          </w:tcPr>
          <w:p w14:paraId="2189F449" w14:textId="1591AA59" w:rsidR="0048314D" w:rsidRPr="00A06955" w:rsidRDefault="0048314D" w:rsidP="00411CCE">
            <w:pPr>
              <w:jc w:val="left"/>
              <w:rPr>
                <w:color w:val="auto"/>
              </w:rPr>
            </w:pPr>
            <w:r w:rsidRPr="00A06955">
              <w:rPr>
                <w:color w:val="auto"/>
              </w:rPr>
              <w:t>Increase/(Decrease) in impairment</w:t>
            </w:r>
            <w:r w:rsidR="00CA3E1D">
              <w:rPr>
                <w:color w:val="auto"/>
              </w:rPr>
              <w:t xml:space="preserve"> provision</w:t>
            </w:r>
            <w:r w:rsidRPr="00A06955">
              <w:rPr>
                <w:color w:val="auto"/>
              </w:rPr>
              <w:t xml:space="preserve"> for bad debts</w:t>
            </w:r>
          </w:p>
        </w:tc>
        <w:tc>
          <w:tcPr>
            <w:tcW w:w="797" w:type="pct"/>
            <w:tcBorders>
              <w:top w:val="nil"/>
              <w:bottom w:val="nil"/>
            </w:tcBorders>
            <w:shd w:val="clear" w:color="auto" w:fill="auto"/>
            <w:vAlign w:val="bottom"/>
          </w:tcPr>
          <w:p w14:paraId="446D5170" w14:textId="38CED409" w:rsidR="0048314D" w:rsidRPr="00A06955" w:rsidRDefault="00A03562" w:rsidP="00A03562">
            <w:pPr>
              <w:tabs>
                <w:tab w:val="decimal" w:pos="1026"/>
              </w:tabs>
              <w:rPr>
                <w:color w:val="auto"/>
              </w:rPr>
            </w:pPr>
            <w:r>
              <w:rPr>
                <w:color w:val="auto"/>
              </w:rPr>
              <w:t>3.8</w:t>
            </w:r>
          </w:p>
        </w:tc>
        <w:tc>
          <w:tcPr>
            <w:tcW w:w="833" w:type="pct"/>
            <w:tcBorders>
              <w:top w:val="nil"/>
              <w:bottom w:val="nil"/>
            </w:tcBorders>
            <w:shd w:val="clear" w:color="auto" w:fill="auto"/>
            <w:vAlign w:val="bottom"/>
          </w:tcPr>
          <w:p w14:paraId="30DA0304" w14:textId="77777777" w:rsidR="0048314D" w:rsidRPr="00235001" w:rsidRDefault="0048314D" w:rsidP="00411CCE">
            <w:pPr>
              <w:tabs>
                <w:tab w:val="decimal" w:pos="1026"/>
              </w:tabs>
              <w:rPr>
                <w:color w:val="auto"/>
              </w:rPr>
            </w:pPr>
            <w:r w:rsidRPr="00235001">
              <w:rPr>
                <w:color w:val="auto"/>
              </w:rPr>
              <w:t>5.5</w:t>
            </w:r>
          </w:p>
        </w:tc>
      </w:tr>
      <w:tr w:rsidR="0048314D" w:rsidRPr="008E4793" w14:paraId="54B2B37B" w14:textId="77777777" w:rsidTr="00411CCE">
        <w:trPr>
          <w:trHeight w:val="369"/>
        </w:trPr>
        <w:tc>
          <w:tcPr>
            <w:tcW w:w="3370" w:type="pct"/>
            <w:shd w:val="clear" w:color="auto" w:fill="auto"/>
            <w:vAlign w:val="bottom"/>
          </w:tcPr>
          <w:p w14:paraId="774B5520" w14:textId="241EF01C" w:rsidR="0048314D" w:rsidRPr="00A06955" w:rsidRDefault="00CA3E1D" w:rsidP="00411CCE">
            <w:pPr>
              <w:jc w:val="left"/>
              <w:rPr>
                <w:color w:val="auto"/>
              </w:rPr>
            </w:pPr>
            <w:r>
              <w:rPr>
                <w:color w:val="auto"/>
              </w:rPr>
              <w:t>(Increase)/Decrease in c</w:t>
            </w:r>
            <w:r w:rsidR="0048314D" w:rsidRPr="00A06955">
              <w:rPr>
                <w:color w:val="auto"/>
              </w:rPr>
              <w:t>reditors</w:t>
            </w:r>
          </w:p>
        </w:tc>
        <w:tc>
          <w:tcPr>
            <w:tcW w:w="797" w:type="pct"/>
            <w:tcBorders>
              <w:bottom w:val="nil"/>
            </w:tcBorders>
            <w:shd w:val="clear" w:color="auto" w:fill="auto"/>
            <w:vAlign w:val="bottom"/>
          </w:tcPr>
          <w:p w14:paraId="200DAF61" w14:textId="49498F82" w:rsidR="0048314D" w:rsidRPr="00A06955" w:rsidRDefault="009C09EC" w:rsidP="00411CCE">
            <w:pPr>
              <w:tabs>
                <w:tab w:val="decimal" w:pos="1026"/>
              </w:tabs>
              <w:rPr>
                <w:color w:val="auto"/>
              </w:rPr>
            </w:pPr>
            <w:r w:rsidRPr="00A06955">
              <w:rPr>
                <w:color w:val="auto"/>
              </w:rPr>
              <w:t>21.1</w:t>
            </w:r>
          </w:p>
        </w:tc>
        <w:tc>
          <w:tcPr>
            <w:tcW w:w="833" w:type="pct"/>
            <w:tcBorders>
              <w:bottom w:val="nil"/>
            </w:tcBorders>
            <w:shd w:val="clear" w:color="auto" w:fill="auto"/>
            <w:vAlign w:val="bottom"/>
          </w:tcPr>
          <w:p w14:paraId="480DCE5D" w14:textId="77777777" w:rsidR="0048314D" w:rsidRPr="00235001" w:rsidRDefault="0048314D" w:rsidP="00411CCE">
            <w:pPr>
              <w:tabs>
                <w:tab w:val="decimal" w:pos="1026"/>
              </w:tabs>
              <w:rPr>
                <w:color w:val="auto"/>
              </w:rPr>
            </w:pPr>
            <w:r w:rsidRPr="00235001">
              <w:rPr>
                <w:color w:val="auto"/>
              </w:rPr>
              <w:t>(1.3)</w:t>
            </w:r>
          </w:p>
        </w:tc>
      </w:tr>
      <w:tr w:rsidR="0048314D" w:rsidRPr="00052104" w14:paraId="44E0F11B" w14:textId="77777777" w:rsidTr="00411CCE">
        <w:trPr>
          <w:trHeight w:val="369"/>
        </w:trPr>
        <w:tc>
          <w:tcPr>
            <w:tcW w:w="3370" w:type="pct"/>
            <w:shd w:val="clear" w:color="auto" w:fill="auto"/>
            <w:vAlign w:val="bottom"/>
          </w:tcPr>
          <w:p w14:paraId="669C4C86" w14:textId="395369DA" w:rsidR="0048314D" w:rsidRPr="00A06955" w:rsidRDefault="00CA3E1D" w:rsidP="00411CCE">
            <w:pPr>
              <w:jc w:val="left"/>
              <w:rPr>
                <w:color w:val="auto"/>
              </w:rPr>
            </w:pPr>
            <w:r>
              <w:rPr>
                <w:color w:val="auto"/>
              </w:rPr>
              <w:t>Increase/(Decrease) in d</w:t>
            </w:r>
            <w:r w:rsidR="0048314D" w:rsidRPr="00A06955">
              <w:rPr>
                <w:color w:val="auto"/>
              </w:rPr>
              <w:t>ebtors</w:t>
            </w:r>
          </w:p>
        </w:tc>
        <w:tc>
          <w:tcPr>
            <w:tcW w:w="797" w:type="pct"/>
            <w:tcBorders>
              <w:bottom w:val="nil"/>
            </w:tcBorders>
            <w:shd w:val="clear" w:color="auto" w:fill="auto"/>
            <w:vAlign w:val="bottom"/>
          </w:tcPr>
          <w:p w14:paraId="15309E87" w14:textId="71A92426" w:rsidR="0048314D" w:rsidRPr="00A06955" w:rsidRDefault="00A03562" w:rsidP="00A03562">
            <w:pPr>
              <w:tabs>
                <w:tab w:val="decimal" w:pos="1026"/>
              </w:tabs>
              <w:rPr>
                <w:color w:val="auto"/>
              </w:rPr>
            </w:pPr>
            <w:r>
              <w:rPr>
                <w:color w:val="auto"/>
              </w:rPr>
              <w:t>15.0</w:t>
            </w:r>
          </w:p>
        </w:tc>
        <w:tc>
          <w:tcPr>
            <w:tcW w:w="833" w:type="pct"/>
            <w:tcBorders>
              <w:bottom w:val="nil"/>
            </w:tcBorders>
            <w:shd w:val="clear" w:color="auto" w:fill="auto"/>
            <w:vAlign w:val="bottom"/>
          </w:tcPr>
          <w:p w14:paraId="053E5F76" w14:textId="77777777" w:rsidR="0048314D" w:rsidRPr="00235001" w:rsidRDefault="0048314D" w:rsidP="00411CCE">
            <w:pPr>
              <w:tabs>
                <w:tab w:val="decimal" w:pos="1026"/>
              </w:tabs>
              <w:rPr>
                <w:color w:val="auto"/>
              </w:rPr>
            </w:pPr>
            <w:r w:rsidRPr="00235001">
              <w:rPr>
                <w:color w:val="auto"/>
              </w:rPr>
              <w:t>(8.4)</w:t>
            </w:r>
          </w:p>
        </w:tc>
      </w:tr>
      <w:tr w:rsidR="0048314D" w:rsidRPr="00052104" w14:paraId="7FDA0878" w14:textId="77777777" w:rsidTr="00411CCE">
        <w:trPr>
          <w:trHeight w:val="369"/>
        </w:trPr>
        <w:tc>
          <w:tcPr>
            <w:tcW w:w="3370" w:type="pct"/>
            <w:shd w:val="clear" w:color="auto" w:fill="auto"/>
            <w:vAlign w:val="bottom"/>
          </w:tcPr>
          <w:p w14:paraId="048E7E57" w14:textId="295AF853" w:rsidR="0048314D" w:rsidRPr="00A06955" w:rsidRDefault="0048314D" w:rsidP="00411CCE">
            <w:pPr>
              <w:jc w:val="left"/>
              <w:rPr>
                <w:color w:val="auto"/>
              </w:rPr>
            </w:pPr>
            <w:r w:rsidRPr="00A06955">
              <w:rPr>
                <w:color w:val="auto"/>
              </w:rPr>
              <w:t xml:space="preserve">Increase/(Decrease) in </w:t>
            </w:r>
            <w:r w:rsidR="00CA3E1D">
              <w:rPr>
                <w:color w:val="auto"/>
              </w:rPr>
              <w:t>i</w:t>
            </w:r>
            <w:r w:rsidRPr="00A06955">
              <w:rPr>
                <w:color w:val="auto"/>
              </w:rPr>
              <w:t>nventories</w:t>
            </w:r>
          </w:p>
        </w:tc>
        <w:tc>
          <w:tcPr>
            <w:tcW w:w="797" w:type="pct"/>
            <w:tcBorders>
              <w:bottom w:val="nil"/>
            </w:tcBorders>
            <w:shd w:val="clear" w:color="auto" w:fill="auto"/>
            <w:vAlign w:val="bottom"/>
          </w:tcPr>
          <w:p w14:paraId="699187CD" w14:textId="4DAF1B1D" w:rsidR="0048314D" w:rsidRPr="00A06955" w:rsidRDefault="009C09EC" w:rsidP="00411CCE">
            <w:pPr>
              <w:tabs>
                <w:tab w:val="decimal" w:pos="1026"/>
              </w:tabs>
              <w:rPr>
                <w:color w:val="auto"/>
              </w:rPr>
            </w:pPr>
            <w:r w:rsidRPr="00A06955">
              <w:rPr>
                <w:color w:val="auto"/>
              </w:rPr>
              <w:t>(0.2)</w:t>
            </w:r>
          </w:p>
        </w:tc>
        <w:tc>
          <w:tcPr>
            <w:tcW w:w="833" w:type="pct"/>
            <w:tcBorders>
              <w:bottom w:val="nil"/>
            </w:tcBorders>
            <w:shd w:val="clear" w:color="auto" w:fill="auto"/>
            <w:vAlign w:val="bottom"/>
          </w:tcPr>
          <w:p w14:paraId="0F13A628" w14:textId="77777777" w:rsidR="0048314D" w:rsidRPr="00235001" w:rsidRDefault="0048314D" w:rsidP="00411CCE">
            <w:pPr>
              <w:tabs>
                <w:tab w:val="decimal" w:pos="1026"/>
              </w:tabs>
              <w:rPr>
                <w:color w:val="auto"/>
              </w:rPr>
            </w:pPr>
            <w:r w:rsidRPr="00235001">
              <w:rPr>
                <w:color w:val="auto"/>
              </w:rPr>
              <w:t>0.5</w:t>
            </w:r>
          </w:p>
        </w:tc>
      </w:tr>
      <w:tr w:rsidR="0048314D" w:rsidRPr="00052104" w14:paraId="43D498EB" w14:textId="77777777" w:rsidTr="00411CCE">
        <w:trPr>
          <w:trHeight w:val="369"/>
        </w:trPr>
        <w:tc>
          <w:tcPr>
            <w:tcW w:w="3370" w:type="pct"/>
            <w:shd w:val="clear" w:color="auto" w:fill="auto"/>
            <w:vAlign w:val="bottom"/>
          </w:tcPr>
          <w:p w14:paraId="6A83EFC8" w14:textId="319EFB92" w:rsidR="0048314D" w:rsidRPr="00A06955" w:rsidRDefault="0048314D" w:rsidP="00CA3E1D">
            <w:pPr>
              <w:jc w:val="left"/>
              <w:rPr>
                <w:color w:val="auto"/>
              </w:rPr>
            </w:pPr>
            <w:r w:rsidRPr="00A06955">
              <w:rPr>
                <w:color w:val="auto"/>
              </w:rPr>
              <w:t xml:space="preserve">Movement in </w:t>
            </w:r>
            <w:r w:rsidR="00CA3E1D">
              <w:rPr>
                <w:color w:val="auto"/>
              </w:rPr>
              <w:t>pension l</w:t>
            </w:r>
            <w:r w:rsidRPr="00A06955">
              <w:rPr>
                <w:color w:val="auto"/>
              </w:rPr>
              <w:t>iability</w:t>
            </w:r>
          </w:p>
        </w:tc>
        <w:tc>
          <w:tcPr>
            <w:tcW w:w="797" w:type="pct"/>
            <w:tcBorders>
              <w:bottom w:val="nil"/>
            </w:tcBorders>
            <w:shd w:val="clear" w:color="auto" w:fill="auto"/>
            <w:vAlign w:val="bottom"/>
          </w:tcPr>
          <w:p w14:paraId="6292C62A" w14:textId="51B00425" w:rsidR="0048314D" w:rsidRPr="00A06955" w:rsidRDefault="009C09EC" w:rsidP="00411CCE">
            <w:pPr>
              <w:tabs>
                <w:tab w:val="decimal" w:pos="1026"/>
              </w:tabs>
              <w:rPr>
                <w:color w:val="auto"/>
              </w:rPr>
            </w:pPr>
            <w:r w:rsidRPr="00A06955">
              <w:rPr>
                <w:color w:val="auto"/>
              </w:rPr>
              <w:t>(31.2)</w:t>
            </w:r>
          </w:p>
        </w:tc>
        <w:tc>
          <w:tcPr>
            <w:tcW w:w="833" w:type="pct"/>
            <w:tcBorders>
              <w:bottom w:val="nil"/>
            </w:tcBorders>
            <w:shd w:val="clear" w:color="auto" w:fill="auto"/>
            <w:vAlign w:val="bottom"/>
          </w:tcPr>
          <w:p w14:paraId="33C9126C" w14:textId="77777777" w:rsidR="0048314D" w:rsidRPr="00235001" w:rsidRDefault="0048314D" w:rsidP="00411CCE">
            <w:pPr>
              <w:tabs>
                <w:tab w:val="decimal" w:pos="1026"/>
              </w:tabs>
              <w:rPr>
                <w:color w:val="auto"/>
              </w:rPr>
            </w:pPr>
            <w:r w:rsidRPr="00235001">
              <w:rPr>
                <w:color w:val="auto"/>
              </w:rPr>
              <w:t>(51.8)</w:t>
            </w:r>
          </w:p>
        </w:tc>
      </w:tr>
      <w:tr w:rsidR="0048314D" w:rsidRPr="00052104" w14:paraId="40EEA4FE" w14:textId="77777777" w:rsidTr="00411CCE">
        <w:trPr>
          <w:trHeight w:val="369"/>
        </w:trPr>
        <w:tc>
          <w:tcPr>
            <w:tcW w:w="3370" w:type="pct"/>
            <w:shd w:val="clear" w:color="auto" w:fill="auto"/>
            <w:vAlign w:val="bottom"/>
          </w:tcPr>
          <w:p w14:paraId="4DFB477C" w14:textId="40D6CF34" w:rsidR="0048314D" w:rsidRPr="00A06955" w:rsidRDefault="0048314D">
            <w:pPr>
              <w:jc w:val="left"/>
              <w:rPr>
                <w:color w:val="auto"/>
              </w:rPr>
            </w:pPr>
            <w:r w:rsidRPr="00A06955">
              <w:rPr>
                <w:color w:val="auto"/>
              </w:rPr>
              <w:t xml:space="preserve">Carrying amount of non-current assets sold </w:t>
            </w:r>
            <w:r w:rsidR="006C5A66" w:rsidRPr="00A06955">
              <w:rPr>
                <w:color w:val="auto"/>
              </w:rPr>
              <w:t>(</w:t>
            </w:r>
            <w:r w:rsidRPr="00A06955">
              <w:rPr>
                <w:color w:val="auto"/>
              </w:rPr>
              <w:t>property plant and equipment, investment property and intangible assets</w:t>
            </w:r>
            <w:r w:rsidR="006C5A66" w:rsidRPr="00A06955">
              <w:rPr>
                <w:color w:val="auto"/>
              </w:rPr>
              <w:t>)</w:t>
            </w:r>
          </w:p>
        </w:tc>
        <w:tc>
          <w:tcPr>
            <w:tcW w:w="797" w:type="pct"/>
            <w:tcBorders>
              <w:bottom w:val="nil"/>
            </w:tcBorders>
            <w:shd w:val="clear" w:color="auto" w:fill="auto"/>
            <w:vAlign w:val="bottom"/>
          </w:tcPr>
          <w:p w14:paraId="3BF25144" w14:textId="0BD7D9FB" w:rsidR="0048314D" w:rsidRPr="00A06955" w:rsidRDefault="009C09EC" w:rsidP="00411CCE">
            <w:pPr>
              <w:tabs>
                <w:tab w:val="decimal" w:pos="1026"/>
              </w:tabs>
              <w:rPr>
                <w:color w:val="auto"/>
              </w:rPr>
            </w:pPr>
            <w:r w:rsidRPr="00A06955">
              <w:rPr>
                <w:color w:val="auto"/>
              </w:rPr>
              <w:t>(6.0)</w:t>
            </w:r>
          </w:p>
        </w:tc>
        <w:tc>
          <w:tcPr>
            <w:tcW w:w="833" w:type="pct"/>
            <w:tcBorders>
              <w:bottom w:val="nil"/>
            </w:tcBorders>
            <w:shd w:val="clear" w:color="auto" w:fill="auto"/>
            <w:vAlign w:val="bottom"/>
          </w:tcPr>
          <w:p w14:paraId="5A2462C9" w14:textId="77777777" w:rsidR="0048314D" w:rsidRPr="00235001" w:rsidRDefault="0048314D" w:rsidP="00411CCE">
            <w:pPr>
              <w:tabs>
                <w:tab w:val="decimal" w:pos="1026"/>
              </w:tabs>
              <w:rPr>
                <w:color w:val="auto"/>
              </w:rPr>
            </w:pPr>
            <w:r w:rsidRPr="00235001">
              <w:rPr>
                <w:color w:val="auto"/>
              </w:rPr>
              <w:t>(36.0)</w:t>
            </w:r>
          </w:p>
        </w:tc>
      </w:tr>
      <w:tr w:rsidR="0048314D" w:rsidRPr="00052104" w14:paraId="4DBC4F9B" w14:textId="77777777" w:rsidTr="00411CCE">
        <w:trPr>
          <w:trHeight w:val="369"/>
        </w:trPr>
        <w:tc>
          <w:tcPr>
            <w:tcW w:w="3370" w:type="pct"/>
            <w:shd w:val="clear" w:color="auto" w:fill="auto"/>
            <w:vAlign w:val="bottom"/>
          </w:tcPr>
          <w:p w14:paraId="1E3C744D" w14:textId="71A6D457" w:rsidR="0048314D" w:rsidRPr="009C1D66" w:rsidRDefault="0048314D" w:rsidP="009C1D66">
            <w:pPr>
              <w:jc w:val="left"/>
              <w:rPr>
                <w:color w:val="auto"/>
              </w:rPr>
            </w:pPr>
            <w:r w:rsidRPr="009C1D66">
              <w:rPr>
                <w:color w:val="auto"/>
              </w:rPr>
              <w:t>Other non-cash items charged to the net surplus on the provision of services</w:t>
            </w:r>
          </w:p>
        </w:tc>
        <w:tc>
          <w:tcPr>
            <w:tcW w:w="797" w:type="pct"/>
            <w:tcBorders>
              <w:top w:val="nil"/>
              <w:bottom w:val="single" w:sz="4" w:space="0" w:color="auto"/>
            </w:tcBorders>
            <w:shd w:val="clear" w:color="auto" w:fill="auto"/>
            <w:vAlign w:val="bottom"/>
          </w:tcPr>
          <w:p w14:paraId="10466127" w14:textId="552D2028" w:rsidR="0048314D" w:rsidRPr="00A06955" w:rsidRDefault="001B77FA">
            <w:pPr>
              <w:tabs>
                <w:tab w:val="decimal" w:pos="1026"/>
              </w:tabs>
              <w:rPr>
                <w:color w:val="auto"/>
              </w:rPr>
            </w:pPr>
            <w:r>
              <w:rPr>
                <w:color w:val="auto"/>
              </w:rPr>
              <w:t>(5.</w:t>
            </w:r>
            <w:r w:rsidR="00D24D58">
              <w:rPr>
                <w:color w:val="auto"/>
              </w:rPr>
              <w:t>3</w:t>
            </w:r>
            <w:r w:rsidR="009C09EC" w:rsidRPr="00A06955">
              <w:rPr>
                <w:color w:val="auto"/>
              </w:rPr>
              <w:t>)</w:t>
            </w:r>
          </w:p>
        </w:tc>
        <w:tc>
          <w:tcPr>
            <w:tcW w:w="833" w:type="pct"/>
            <w:tcBorders>
              <w:top w:val="nil"/>
              <w:bottom w:val="single" w:sz="4" w:space="0" w:color="auto"/>
            </w:tcBorders>
            <w:shd w:val="clear" w:color="auto" w:fill="auto"/>
            <w:vAlign w:val="bottom"/>
          </w:tcPr>
          <w:p w14:paraId="7709CAF7" w14:textId="77777777" w:rsidR="0048314D" w:rsidRPr="00235001" w:rsidRDefault="0048314D" w:rsidP="00411CCE">
            <w:pPr>
              <w:tabs>
                <w:tab w:val="decimal" w:pos="1026"/>
              </w:tabs>
              <w:rPr>
                <w:color w:val="auto"/>
              </w:rPr>
            </w:pPr>
            <w:r w:rsidRPr="00235001">
              <w:rPr>
                <w:color w:val="auto"/>
              </w:rPr>
              <w:t>3.1</w:t>
            </w:r>
          </w:p>
        </w:tc>
      </w:tr>
      <w:tr w:rsidR="0048314D" w:rsidRPr="008E4793" w14:paraId="4D984C0F" w14:textId="77777777" w:rsidTr="00411CCE">
        <w:trPr>
          <w:trHeight w:val="369"/>
        </w:trPr>
        <w:tc>
          <w:tcPr>
            <w:tcW w:w="3370" w:type="pct"/>
            <w:shd w:val="clear" w:color="auto" w:fill="auto"/>
            <w:vAlign w:val="bottom"/>
          </w:tcPr>
          <w:p w14:paraId="4C46BA1C" w14:textId="77777777" w:rsidR="0048314D" w:rsidRPr="009C1D66" w:rsidRDefault="0048314D" w:rsidP="00411CCE">
            <w:pPr>
              <w:jc w:val="left"/>
              <w:rPr>
                <w:b/>
                <w:color w:val="auto"/>
              </w:rPr>
            </w:pPr>
          </w:p>
        </w:tc>
        <w:tc>
          <w:tcPr>
            <w:tcW w:w="797" w:type="pct"/>
            <w:tcBorders>
              <w:top w:val="single" w:sz="4" w:space="0" w:color="auto"/>
              <w:bottom w:val="nil"/>
            </w:tcBorders>
            <w:shd w:val="clear" w:color="auto" w:fill="auto"/>
            <w:vAlign w:val="bottom"/>
          </w:tcPr>
          <w:p w14:paraId="505EA4FB" w14:textId="5159006B" w:rsidR="0048314D" w:rsidRPr="00A06955" w:rsidRDefault="00BA2DD1" w:rsidP="00C269A4">
            <w:pPr>
              <w:tabs>
                <w:tab w:val="decimal" w:pos="1026"/>
              </w:tabs>
              <w:rPr>
                <w:b/>
                <w:color w:val="auto"/>
              </w:rPr>
            </w:pPr>
            <w:r w:rsidRPr="00992FC6">
              <w:rPr>
                <w:b/>
                <w:color w:val="auto"/>
              </w:rPr>
              <w:t>(</w:t>
            </w:r>
            <w:r w:rsidR="00D24D58" w:rsidRPr="00990D1C">
              <w:rPr>
                <w:b/>
                <w:color w:val="auto"/>
              </w:rPr>
              <w:t>183.5</w:t>
            </w:r>
            <w:r w:rsidR="00F87055" w:rsidRPr="00990D1C">
              <w:rPr>
                <w:b/>
                <w:color w:val="auto"/>
              </w:rPr>
              <w:t>)</w:t>
            </w:r>
          </w:p>
        </w:tc>
        <w:tc>
          <w:tcPr>
            <w:tcW w:w="833" w:type="pct"/>
            <w:tcBorders>
              <w:top w:val="single" w:sz="4" w:space="0" w:color="auto"/>
              <w:bottom w:val="nil"/>
            </w:tcBorders>
            <w:shd w:val="clear" w:color="auto" w:fill="auto"/>
            <w:vAlign w:val="bottom"/>
          </w:tcPr>
          <w:p w14:paraId="59EBFEBC" w14:textId="77777777" w:rsidR="0048314D" w:rsidRPr="00235001" w:rsidRDefault="0048314D" w:rsidP="0048314D">
            <w:pPr>
              <w:tabs>
                <w:tab w:val="decimal" w:pos="1026"/>
              </w:tabs>
              <w:rPr>
                <w:b/>
                <w:color w:val="auto"/>
              </w:rPr>
            </w:pPr>
            <w:r w:rsidRPr="00235001">
              <w:rPr>
                <w:b/>
                <w:color w:val="auto"/>
              </w:rPr>
              <w:t>(178.3)</w:t>
            </w:r>
          </w:p>
        </w:tc>
      </w:tr>
      <w:tr w:rsidR="0048314D" w:rsidRPr="008E4793" w14:paraId="178BB4E8" w14:textId="77777777" w:rsidTr="00411CCE">
        <w:trPr>
          <w:trHeight w:val="369"/>
        </w:trPr>
        <w:tc>
          <w:tcPr>
            <w:tcW w:w="3370" w:type="pct"/>
            <w:shd w:val="clear" w:color="auto" w:fill="auto"/>
            <w:vAlign w:val="bottom"/>
          </w:tcPr>
          <w:p w14:paraId="66AACC84" w14:textId="282D04D1" w:rsidR="0048314D" w:rsidRPr="009C1D66" w:rsidRDefault="0048314D" w:rsidP="009C1D66">
            <w:pPr>
              <w:jc w:val="left"/>
              <w:rPr>
                <w:color w:val="auto"/>
                <w:u w:val="single"/>
              </w:rPr>
            </w:pPr>
            <w:r w:rsidRPr="009C1D66">
              <w:rPr>
                <w:color w:val="auto"/>
                <w:u w:val="single"/>
              </w:rPr>
              <w:t>Adjust for items included in the net surplus on the provision of services that are investing or financing activities</w:t>
            </w:r>
          </w:p>
        </w:tc>
        <w:tc>
          <w:tcPr>
            <w:tcW w:w="797" w:type="pct"/>
            <w:tcBorders>
              <w:bottom w:val="nil"/>
            </w:tcBorders>
            <w:shd w:val="clear" w:color="auto" w:fill="auto"/>
            <w:vAlign w:val="bottom"/>
          </w:tcPr>
          <w:p w14:paraId="4174C177" w14:textId="77777777" w:rsidR="0048314D" w:rsidRPr="00A06955" w:rsidRDefault="0048314D" w:rsidP="00411CCE">
            <w:pPr>
              <w:tabs>
                <w:tab w:val="decimal" w:pos="1026"/>
              </w:tabs>
              <w:rPr>
                <w:color w:val="auto"/>
              </w:rPr>
            </w:pPr>
          </w:p>
        </w:tc>
        <w:tc>
          <w:tcPr>
            <w:tcW w:w="833" w:type="pct"/>
            <w:tcBorders>
              <w:bottom w:val="nil"/>
            </w:tcBorders>
            <w:shd w:val="clear" w:color="auto" w:fill="auto"/>
            <w:vAlign w:val="bottom"/>
          </w:tcPr>
          <w:p w14:paraId="372EC015" w14:textId="77777777" w:rsidR="0048314D" w:rsidRPr="00235001" w:rsidRDefault="0048314D" w:rsidP="00411CCE">
            <w:pPr>
              <w:tabs>
                <w:tab w:val="decimal" w:pos="1026"/>
              </w:tabs>
              <w:rPr>
                <w:color w:val="auto"/>
              </w:rPr>
            </w:pPr>
          </w:p>
        </w:tc>
      </w:tr>
      <w:tr w:rsidR="0048314D" w:rsidRPr="008E4793" w14:paraId="57DE48B6" w14:textId="77777777" w:rsidTr="00411CCE">
        <w:trPr>
          <w:trHeight w:val="369"/>
        </w:trPr>
        <w:tc>
          <w:tcPr>
            <w:tcW w:w="3370" w:type="pct"/>
            <w:shd w:val="clear" w:color="auto" w:fill="auto"/>
            <w:vAlign w:val="bottom"/>
          </w:tcPr>
          <w:p w14:paraId="65A7E280" w14:textId="7EF2399D" w:rsidR="0048314D" w:rsidRPr="009C1D66" w:rsidRDefault="0048314D" w:rsidP="009C1D66">
            <w:pPr>
              <w:jc w:val="left"/>
              <w:rPr>
                <w:color w:val="auto"/>
              </w:rPr>
            </w:pPr>
            <w:r w:rsidRPr="009C1D66">
              <w:rPr>
                <w:color w:val="auto"/>
              </w:rPr>
              <w:lastRenderedPageBreak/>
              <w:t xml:space="preserve">Capital Grants credited to </w:t>
            </w:r>
            <w:r w:rsidR="009C1D66" w:rsidRPr="009C1D66">
              <w:rPr>
                <w:color w:val="auto"/>
              </w:rPr>
              <w:t xml:space="preserve">the </w:t>
            </w:r>
            <w:r w:rsidRPr="009C1D66">
              <w:rPr>
                <w:color w:val="auto"/>
              </w:rPr>
              <w:t>surplus on the provision of services</w:t>
            </w:r>
          </w:p>
        </w:tc>
        <w:tc>
          <w:tcPr>
            <w:tcW w:w="797" w:type="pct"/>
            <w:tcBorders>
              <w:bottom w:val="nil"/>
            </w:tcBorders>
            <w:shd w:val="clear" w:color="auto" w:fill="auto"/>
            <w:vAlign w:val="bottom"/>
          </w:tcPr>
          <w:p w14:paraId="74A92782" w14:textId="2F5526FB" w:rsidR="0048314D" w:rsidRPr="00A06955" w:rsidRDefault="00F87055">
            <w:pPr>
              <w:tabs>
                <w:tab w:val="decimal" w:pos="1026"/>
              </w:tabs>
              <w:rPr>
                <w:color w:val="auto"/>
              </w:rPr>
            </w:pPr>
            <w:r w:rsidRPr="00A06955">
              <w:rPr>
                <w:color w:val="auto"/>
              </w:rPr>
              <w:t>152.</w:t>
            </w:r>
            <w:r w:rsidR="00E55436">
              <w:rPr>
                <w:color w:val="auto"/>
              </w:rPr>
              <w:t>2</w:t>
            </w:r>
          </w:p>
        </w:tc>
        <w:tc>
          <w:tcPr>
            <w:tcW w:w="833" w:type="pct"/>
            <w:tcBorders>
              <w:bottom w:val="nil"/>
            </w:tcBorders>
            <w:shd w:val="clear" w:color="auto" w:fill="auto"/>
            <w:vAlign w:val="bottom"/>
          </w:tcPr>
          <w:p w14:paraId="185D8C5B" w14:textId="77777777" w:rsidR="0048314D" w:rsidRPr="00235001" w:rsidRDefault="0048314D" w:rsidP="00411CCE">
            <w:pPr>
              <w:tabs>
                <w:tab w:val="decimal" w:pos="1026"/>
              </w:tabs>
              <w:rPr>
                <w:color w:val="auto"/>
              </w:rPr>
            </w:pPr>
            <w:r w:rsidRPr="00235001">
              <w:rPr>
                <w:color w:val="auto"/>
              </w:rPr>
              <w:t>98.1</w:t>
            </w:r>
          </w:p>
        </w:tc>
      </w:tr>
      <w:tr w:rsidR="0048314D" w:rsidRPr="008E4793" w14:paraId="5AA9B4C4" w14:textId="77777777" w:rsidTr="00411CCE">
        <w:trPr>
          <w:trHeight w:val="369"/>
        </w:trPr>
        <w:tc>
          <w:tcPr>
            <w:tcW w:w="3370" w:type="pct"/>
            <w:shd w:val="clear" w:color="auto" w:fill="auto"/>
            <w:vAlign w:val="bottom"/>
          </w:tcPr>
          <w:p w14:paraId="05985D2A" w14:textId="77777777" w:rsidR="0048314D" w:rsidRPr="00A06955" w:rsidRDefault="0048314D" w:rsidP="00411CCE">
            <w:pPr>
              <w:jc w:val="left"/>
              <w:rPr>
                <w:color w:val="auto"/>
              </w:rPr>
            </w:pPr>
            <w:r w:rsidRPr="00A06955">
              <w:rPr>
                <w:color w:val="auto"/>
              </w:rPr>
              <w:t>Net proceeds from the sale of short and long term investments</w:t>
            </w:r>
          </w:p>
        </w:tc>
        <w:tc>
          <w:tcPr>
            <w:tcW w:w="797" w:type="pct"/>
            <w:tcBorders>
              <w:bottom w:val="nil"/>
            </w:tcBorders>
            <w:shd w:val="clear" w:color="auto" w:fill="auto"/>
            <w:vAlign w:val="bottom"/>
          </w:tcPr>
          <w:p w14:paraId="413ACF14" w14:textId="4713C84E" w:rsidR="0048314D" w:rsidRPr="00A06955" w:rsidRDefault="00F87055" w:rsidP="00411CCE">
            <w:pPr>
              <w:tabs>
                <w:tab w:val="decimal" w:pos="1026"/>
              </w:tabs>
              <w:rPr>
                <w:color w:val="auto"/>
              </w:rPr>
            </w:pPr>
            <w:r w:rsidRPr="00A06955">
              <w:rPr>
                <w:color w:val="auto"/>
              </w:rPr>
              <w:t>71.9</w:t>
            </w:r>
          </w:p>
        </w:tc>
        <w:tc>
          <w:tcPr>
            <w:tcW w:w="833" w:type="pct"/>
            <w:tcBorders>
              <w:bottom w:val="nil"/>
            </w:tcBorders>
            <w:shd w:val="clear" w:color="auto" w:fill="auto"/>
            <w:vAlign w:val="bottom"/>
          </w:tcPr>
          <w:p w14:paraId="0826FC4C" w14:textId="77777777" w:rsidR="0048314D" w:rsidRPr="00235001" w:rsidRDefault="0048314D" w:rsidP="00411CCE">
            <w:pPr>
              <w:tabs>
                <w:tab w:val="decimal" w:pos="1026"/>
              </w:tabs>
              <w:rPr>
                <w:color w:val="auto"/>
              </w:rPr>
            </w:pPr>
            <w:r w:rsidRPr="00235001">
              <w:rPr>
                <w:color w:val="auto"/>
              </w:rPr>
              <w:t>0.8</w:t>
            </w:r>
          </w:p>
        </w:tc>
      </w:tr>
      <w:tr w:rsidR="0048314D" w:rsidRPr="00052104" w14:paraId="7F76D8BD" w14:textId="77777777" w:rsidTr="00411CCE">
        <w:trPr>
          <w:trHeight w:val="369"/>
        </w:trPr>
        <w:tc>
          <w:tcPr>
            <w:tcW w:w="3370" w:type="pct"/>
            <w:shd w:val="clear" w:color="auto" w:fill="auto"/>
            <w:vAlign w:val="bottom"/>
          </w:tcPr>
          <w:p w14:paraId="3B88B625" w14:textId="77777777" w:rsidR="0048314D" w:rsidRPr="00A06955" w:rsidRDefault="0048314D" w:rsidP="00411CCE">
            <w:pPr>
              <w:jc w:val="left"/>
              <w:rPr>
                <w:color w:val="auto"/>
              </w:rPr>
            </w:pPr>
            <w:r w:rsidRPr="00A06955">
              <w:rPr>
                <w:color w:val="auto"/>
              </w:rPr>
              <w:t>Proceeds from the sale of property plant and equipment, investment property and intangible assets</w:t>
            </w:r>
          </w:p>
        </w:tc>
        <w:tc>
          <w:tcPr>
            <w:tcW w:w="797" w:type="pct"/>
            <w:tcBorders>
              <w:top w:val="nil"/>
              <w:bottom w:val="single" w:sz="4" w:space="0" w:color="auto"/>
            </w:tcBorders>
            <w:shd w:val="clear" w:color="auto" w:fill="auto"/>
            <w:vAlign w:val="bottom"/>
          </w:tcPr>
          <w:p w14:paraId="06C07559" w14:textId="5CF84235" w:rsidR="0048314D" w:rsidRPr="00A06955" w:rsidRDefault="00F87055" w:rsidP="00411CCE">
            <w:pPr>
              <w:tabs>
                <w:tab w:val="decimal" w:pos="1026"/>
              </w:tabs>
              <w:rPr>
                <w:color w:val="auto"/>
              </w:rPr>
            </w:pPr>
            <w:r w:rsidRPr="00A06955">
              <w:rPr>
                <w:color w:val="auto"/>
              </w:rPr>
              <w:t>13.1</w:t>
            </w:r>
          </w:p>
        </w:tc>
        <w:tc>
          <w:tcPr>
            <w:tcW w:w="833" w:type="pct"/>
            <w:tcBorders>
              <w:top w:val="nil"/>
              <w:bottom w:val="single" w:sz="4" w:space="0" w:color="auto"/>
            </w:tcBorders>
            <w:shd w:val="clear" w:color="auto" w:fill="auto"/>
            <w:vAlign w:val="bottom"/>
          </w:tcPr>
          <w:p w14:paraId="20628AE3" w14:textId="77777777" w:rsidR="0048314D" w:rsidRPr="00235001" w:rsidRDefault="0048314D" w:rsidP="00411CCE">
            <w:pPr>
              <w:tabs>
                <w:tab w:val="decimal" w:pos="1026"/>
              </w:tabs>
              <w:rPr>
                <w:color w:val="auto"/>
              </w:rPr>
            </w:pPr>
            <w:r w:rsidRPr="00235001">
              <w:rPr>
                <w:color w:val="auto"/>
              </w:rPr>
              <w:t>4.7</w:t>
            </w:r>
          </w:p>
        </w:tc>
      </w:tr>
      <w:tr w:rsidR="0048314D" w:rsidRPr="00052104" w14:paraId="432B9154" w14:textId="77777777" w:rsidTr="00411CCE">
        <w:trPr>
          <w:trHeight w:val="369"/>
        </w:trPr>
        <w:tc>
          <w:tcPr>
            <w:tcW w:w="3370" w:type="pct"/>
            <w:shd w:val="clear" w:color="auto" w:fill="auto"/>
            <w:vAlign w:val="bottom"/>
          </w:tcPr>
          <w:p w14:paraId="0D65C64C" w14:textId="77777777" w:rsidR="0048314D" w:rsidRPr="00A06955" w:rsidRDefault="0048314D" w:rsidP="00411CCE">
            <w:pPr>
              <w:jc w:val="left"/>
              <w:rPr>
                <w:b/>
                <w:color w:val="auto"/>
              </w:rPr>
            </w:pPr>
          </w:p>
        </w:tc>
        <w:tc>
          <w:tcPr>
            <w:tcW w:w="797" w:type="pct"/>
            <w:tcBorders>
              <w:top w:val="single" w:sz="4" w:space="0" w:color="auto"/>
              <w:bottom w:val="nil"/>
            </w:tcBorders>
            <w:shd w:val="clear" w:color="auto" w:fill="auto"/>
            <w:vAlign w:val="bottom"/>
          </w:tcPr>
          <w:p w14:paraId="1474FA00" w14:textId="3B10DE58" w:rsidR="0048314D" w:rsidRPr="00A06955" w:rsidRDefault="00F87055" w:rsidP="00411CCE">
            <w:pPr>
              <w:tabs>
                <w:tab w:val="decimal" w:pos="1026"/>
              </w:tabs>
              <w:rPr>
                <w:b/>
                <w:color w:val="auto"/>
              </w:rPr>
            </w:pPr>
            <w:r w:rsidRPr="00A06955">
              <w:rPr>
                <w:b/>
                <w:color w:val="auto"/>
              </w:rPr>
              <w:t>237.2</w:t>
            </w:r>
          </w:p>
        </w:tc>
        <w:tc>
          <w:tcPr>
            <w:tcW w:w="833" w:type="pct"/>
            <w:tcBorders>
              <w:top w:val="single" w:sz="4" w:space="0" w:color="auto"/>
              <w:bottom w:val="nil"/>
            </w:tcBorders>
            <w:shd w:val="clear" w:color="auto" w:fill="auto"/>
            <w:vAlign w:val="bottom"/>
          </w:tcPr>
          <w:p w14:paraId="66A781CD" w14:textId="77777777" w:rsidR="0048314D" w:rsidRPr="00235001" w:rsidRDefault="0048314D" w:rsidP="00411CCE">
            <w:pPr>
              <w:tabs>
                <w:tab w:val="decimal" w:pos="1026"/>
              </w:tabs>
              <w:rPr>
                <w:b/>
                <w:color w:val="auto"/>
              </w:rPr>
            </w:pPr>
            <w:r w:rsidRPr="00235001">
              <w:rPr>
                <w:b/>
                <w:color w:val="auto"/>
              </w:rPr>
              <w:t>103.6</w:t>
            </w:r>
          </w:p>
        </w:tc>
      </w:tr>
      <w:tr w:rsidR="0048314D" w:rsidRPr="00052104" w14:paraId="43D43068" w14:textId="77777777" w:rsidTr="00411CCE">
        <w:trPr>
          <w:trHeight w:val="369"/>
        </w:trPr>
        <w:tc>
          <w:tcPr>
            <w:tcW w:w="3370" w:type="pct"/>
            <w:shd w:val="clear" w:color="auto" w:fill="auto"/>
            <w:vAlign w:val="bottom"/>
          </w:tcPr>
          <w:p w14:paraId="79732704" w14:textId="70C53210" w:rsidR="0048314D" w:rsidRPr="00A06955" w:rsidRDefault="0048314D">
            <w:pPr>
              <w:jc w:val="left"/>
              <w:rPr>
                <w:b/>
                <w:color w:val="auto"/>
              </w:rPr>
            </w:pPr>
            <w:r w:rsidRPr="00A06955">
              <w:rPr>
                <w:b/>
                <w:color w:val="auto"/>
              </w:rPr>
              <w:t>Net Cash</w:t>
            </w:r>
            <w:r w:rsidR="000E2EE7">
              <w:rPr>
                <w:b/>
                <w:color w:val="auto"/>
              </w:rPr>
              <w:t xml:space="preserve"> F</w:t>
            </w:r>
            <w:r w:rsidRPr="00A06955">
              <w:rPr>
                <w:b/>
                <w:color w:val="auto"/>
              </w:rPr>
              <w:t>lows from Operating Activities</w:t>
            </w:r>
          </w:p>
        </w:tc>
        <w:tc>
          <w:tcPr>
            <w:tcW w:w="797" w:type="pct"/>
            <w:tcBorders>
              <w:top w:val="single" w:sz="4" w:space="0" w:color="auto"/>
              <w:bottom w:val="single" w:sz="4" w:space="0" w:color="auto"/>
            </w:tcBorders>
            <w:shd w:val="clear" w:color="auto" w:fill="auto"/>
            <w:vAlign w:val="bottom"/>
          </w:tcPr>
          <w:p w14:paraId="51ACCD0C" w14:textId="01994A30" w:rsidR="0048314D" w:rsidRPr="00A06955" w:rsidRDefault="009C53FE">
            <w:pPr>
              <w:tabs>
                <w:tab w:val="decimal" w:pos="1026"/>
              </w:tabs>
              <w:rPr>
                <w:b/>
                <w:color w:val="auto"/>
              </w:rPr>
            </w:pPr>
            <w:r>
              <w:rPr>
                <w:b/>
                <w:color w:val="auto"/>
              </w:rPr>
              <w:t>5.1</w:t>
            </w:r>
          </w:p>
        </w:tc>
        <w:tc>
          <w:tcPr>
            <w:tcW w:w="833" w:type="pct"/>
            <w:tcBorders>
              <w:top w:val="single" w:sz="4" w:space="0" w:color="auto"/>
              <w:bottom w:val="single" w:sz="4" w:space="0" w:color="auto"/>
            </w:tcBorders>
            <w:shd w:val="clear" w:color="auto" w:fill="auto"/>
            <w:vAlign w:val="bottom"/>
          </w:tcPr>
          <w:p w14:paraId="6D43244B" w14:textId="77777777" w:rsidR="0048314D" w:rsidRPr="00235001" w:rsidRDefault="0048314D" w:rsidP="0048314D">
            <w:pPr>
              <w:tabs>
                <w:tab w:val="decimal" w:pos="1026"/>
              </w:tabs>
              <w:rPr>
                <w:b/>
                <w:color w:val="auto"/>
              </w:rPr>
            </w:pPr>
            <w:r w:rsidRPr="00235001">
              <w:rPr>
                <w:b/>
                <w:color w:val="auto"/>
              </w:rPr>
              <w:t>(54.8)</w:t>
            </w:r>
          </w:p>
        </w:tc>
      </w:tr>
    </w:tbl>
    <w:p w14:paraId="3E51D3A2" w14:textId="77777777" w:rsidR="004B2A7E" w:rsidRDefault="004B2A7E" w:rsidP="004B2A7E">
      <w:pPr>
        <w:rPr>
          <w:lang w:eastAsia="en-GB"/>
        </w:rPr>
      </w:pPr>
    </w:p>
    <w:p w14:paraId="10331AED" w14:textId="77777777" w:rsidR="001706B1" w:rsidRDefault="001706B1" w:rsidP="004B2A7E">
      <w:pPr>
        <w:rPr>
          <w:lang w:eastAsia="en-GB"/>
        </w:rPr>
      </w:pPr>
    </w:p>
    <w:p w14:paraId="139CB591" w14:textId="77777777" w:rsidR="001706B1" w:rsidRDefault="001706B1" w:rsidP="004B2A7E">
      <w:pPr>
        <w:rPr>
          <w:lang w:eastAsia="en-GB"/>
        </w:rPr>
      </w:pPr>
    </w:p>
    <w:p w14:paraId="7DEE2961" w14:textId="77777777" w:rsidR="001706B1" w:rsidRDefault="001706B1" w:rsidP="004B2A7E">
      <w:pPr>
        <w:rPr>
          <w:lang w:eastAsia="en-GB"/>
        </w:rPr>
      </w:pPr>
    </w:p>
    <w:p w14:paraId="34B666CD" w14:textId="77777777" w:rsidR="001706B1" w:rsidRDefault="001706B1" w:rsidP="004B2A7E">
      <w:pPr>
        <w:rPr>
          <w:lang w:eastAsia="en-GB"/>
        </w:rPr>
      </w:pPr>
    </w:p>
    <w:p w14:paraId="549283FD" w14:textId="77777777" w:rsidR="001706B1" w:rsidRDefault="001706B1" w:rsidP="004B2A7E">
      <w:pPr>
        <w:rPr>
          <w:lang w:eastAsia="en-GB"/>
        </w:rPr>
      </w:pPr>
    </w:p>
    <w:p w14:paraId="13DE5F9F" w14:textId="77777777" w:rsidR="001706B1" w:rsidRDefault="001706B1" w:rsidP="004B2A7E">
      <w:pPr>
        <w:rPr>
          <w:lang w:eastAsia="en-GB"/>
        </w:rPr>
      </w:pPr>
    </w:p>
    <w:p w14:paraId="5D3AA077" w14:textId="69BBF73E" w:rsidR="00871A44" w:rsidRPr="009C09EC" w:rsidRDefault="00871A44" w:rsidP="00871A44">
      <w:pPr>
        <w:pStyle w:val="Heading2"/>
      </w:pPr>
      <w:r w:rsidRPr="00A06955">
        <w:t>3</w:t>
      </w:r>
      <w:r w:rsidR="005B4833">
        <w:t>6</w:t>
      </w:r>
      <w:r w:rsidRPr="00A06955">
        <w:t xml:space="preserve">. Cash </w:t>
      </w:r>
      <w:r w:rsidR="00311222">
        <w:t>f</w:t>
      </w:r>
      <w:r w:rsidRPr="00A06955">
        <w:t xml:space="preserve">lows from </w:t>
      </w:r>
      <w:r w:rsidR="00311222">
        <w:t>i</w:t>
      </w:r>
      <w:r w:rsidRPr="00A06955">
        <w:t xml:space="preserve">nvesting </w:t>
      </w:r>
      <w:r w:rsidR="00311222">
        <w:t>a</w:t>
      </w:r>
      <w:r w:rsidRPr="00A06955">
        <w:t>ctivities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43"/>
        <w:gridCol w:w="1666"/>
        <w:gridCol w:w="1741"/>
      </w:tblGrid>
      <w:tr w:rsidR="007F24A4" w:rsidRPr="009C09EC" w14:paraId="5DAC6183" w14:textId="77777777" w:rsidTr="00A06955">
        <w:trPr>
          <w:trHeight w:val="369"/>
          <w:tblHeader/>
        </w:trPr>
        <w:tc>
          <w:tcPr>
            <w:tcW w:w="3370" w:type="pct"/>
            <w:shd w:val="clear" w:color="auto" w:fill="D0CECE"/>
            <w:vAlign w:val="bottom"/>
          </w:tcPr>
          <w:p w14:paraId="2D2AD8E3" w14:textId="77777777" w:rsidR="007F24A4" w:rsidRPr="00A06955" w:rsidRDefault="007F24A4" w:rsidP="00411CCE">
            <w:pPr>
              <w:jc w:val="left"/>
              <w:rPr>
                <w:color w:val="auto"/>
              </w:rPr>
            </w:pPr>
          </w:p>
        </w:tc>
        <w:tc>
          <w:tcPr>
            <w:tcW w:w="797" w:type="pct"/>
            <w:shd w:val="clear" w:color="auto" w:fill="D0CECE"/>
            <w:vAlign w:val="bottom"/>
          </w:tcPr>
          <w:p w14:paraId="5FCF4645" w14:textId="77777777" w:rsidR="007F24A4" w:rsidRPr="00A06955" w:rsidRDefault="007F24A4" w:rsidP="00411CCE">
            <w:pPr>
              <w:jc w:val="center"/>
              <w:rPr>
                <w:b/>
                <w:color w:val="auto"/>
              </w:rPr>
            </w:pPr>
            <w:r w:rsidRPr="00A06955">
              <w:rPr>
                <w:b/>
                <w:color w:val="auto"/>
              </w:rPr>
              <w:t>2014/15</w:t>
            </w:r>
          </w:p>
        </w:tc>
        <w:tc>
          <w:tcPr>
            <w:tcW w:w="833" w:type="pct"/>
            <w:shd w:val="clear" w:color="auto" w:fill="D0CECE"/>
            <w:vAlign w:val="bottom"/>
          </w:tcPr>
          <w:p w14:paraId="2DC79BAF" w14:textId="77777777" w:rsidR="007F24A4" w:rsidRPr="009C09EC" w:rsidRDefault="007F24A4" w:rsidP="00411CCE">
            <w:pPr>
              <w:jc w:val="center"/>
              <w:rPr>
                <w:b/>
                <w:color w:val="auto"/>
              </w:rPr>
            </w:pPr>
            <w:r w:rsidRPr="009C09EC">
              <w:rPr>
                <w:b/>
                <w:color w:val="auto"/>
              </w:rPr>
              <w:t>2013/14</w:t>
            </w:r>
          </w:p>
        </w:tc>
      </w:tr>
      <w:tr w:rsidR="007F24A4" w:rsidRPr="009C09EC" w14:paraId="185F34D0" w14:textId="77777777" w:rsidTr="00A06955">
        <w:trPr>
          <w:trHeight w:val="369"/>
          <w:tblHeader/>
        </w:trPr>
        <w:tc>
          <w:tcPr>
            <w:tcW w:w="3370" w:type="pct"/>
            <w:shd w:val="clear" w:color="auto" w:fill="D0CECE"/>
            <w:vAlign w:val="bottom"/>
          </w:tcPr>
          <w:p w14:paraId="3925CFBB" w14:textId="77777777" w:rsidR="007F24A4" w:rsidRPr="00A06955" w:rsidRDefault="007F24A4" w:rsidP="00411CCE">
            <w:pPr>
              <w:jc w:val="left"/>
              <w:rPr>
                <w:color w:val="auto"/>
              </w:rPr>
            </w:pPr>
          </w:p>
        </w:tc>
        <w:tc>
          <w:tcPr>
            <w:tcW w:w="797" w:type="pct"/>
            <w:shd w:val="clear" w:color="auto" w:fill="D0CECE"/>
            <w:vAlign w:val="bottom"/>
          </w:tcPr>
          <w:p w14:paraId="7A9F1D69" w14:textId="77777777" w:rsidR="007F24A4" w:rsidRPr="00A06955" w:rsidRDefault="007F24A4" w:rsidP="00411CCE">
            <w:pPr>
              <w:jc w:val="center"/>
              <w:rPr>
                <w:b/>
                <w:color w:val="auto"/>
              </w:rPr>
            </w:pPr>
            <w:r w:rsidRPr="00A06955">
              <w:rPr>
                <w:b/>
                <w:color w:val="auto"/>
              </w:rPr>
              <w:t>£m</w:t>
            </w:r>
          </w:p>
        </w:tc>
        <w:tc>
          <w:tcPr>
            <w:tcW w:w="833" w:type="pct"/>
            <w:shd w:val="clear" w:color="auto" w:fill="D0CECE"/>
            <w:vAlign w:val="bottom"/>
          </w:tcPr>
          <w:p w14:paraId="4538353D" w14:textId="77777777" w:rsidR="007F24A4" w:rsidRPr="009C09EC" w:rsidRDefault="007F24A4" w:rsidP="00411CCE">
            <w:pPr>
              <w:jc w:val="center"/>
              <w:rPr>
                <w:b/>
                <w:color w:val="auto"/>
              </w:rPr>
            </w:pPr>
            <w:r w:rsidRPr="009C09EC">
              <w:rPr>
                <w:b/>
                <w:color w:val="auto"/>
              </w:rPr>
              <w:t>£m</w:t>
            </w:r>
          </w:p>
        </w:tc>
      </w:tr>
      <w:tr w:rsidR="007F24A4" w:rsidRPr="009C09EC" w14:paraId="32FD5384" w14:textId="77777777" w:rsidTr="00411CCE">
        <w:trPr>
          <w:trHeight w:val="369"/>
        </w:trPr>
        <w:tc>
          <w:tcPr>
            <w:tcW w:w="3370" w:type="pct"/>
            <w:shd w:val="clear" w:color="auto" w:fill="auto"/>
            <w:vAlign w:val="bottom"/>
          </w:tcPr>
          <w:p w14:paraId="1779C643" w14:textId="77777777" w:rsidR="007F24A4" w:rsidRPr="00A06955" w:rsidRDefault="007F24A4" w:rsidP="00411CCE">
            <w:pPr>
              <w:jc w:val="left"/>
              <w:rPr>
                <w:color w:val="auto"/>
              </w:rPr>
            </w:pPr>
            <w:r w:rsidRPr="00A06955">
              <w:rPr>
                <w:color w:val="auto"/>
              </w:rPr>
              <w:t>Purchase of Property, Plant and Equipment, investment property and intangible assets</w:t>
            </w:r>
          </w:p>
        </w:tc>
        <w:tc>
          <w:tcPr>
            <w:tcW w:w="797" w:type="pct"/>
            <w:tcBorders>
              <w:bottom w:val="nil"/>
            </w:tcBorders>
            <w:shd w:val="clear" w:color="auto" w:fill="auto"/>
            <w:vAlign w:val="bottom"/>
          </w:tcPr>
          <w:p w14:paraId="35B7C2BF" w14:textId="1C62D2A6" w:rsidR="007F24A4" w:rsidRPr="00A06955" w:rsidRDefault="009C09EC" w:rsidP="00411CCE">
            <w:pPr>
              <w:tabs>
                <w:tab w:val="decimal" w:pos="1026"/>
              </w:tabs>
              <w:rPr>
                <w:color w:val="auto"/>
              </w:rPr>
            </w:pPr>
            <w:r w:rsidRPr="00A06955">
              <w:rPr>
                <w:color w:val="auto"/>
              </w:rPr>
              <w:t>166.3</w:t>
            </w:r>
          </w:p>
        </w:tc>
        <w:tc>
          <w:tcPr>
            <w:tcW w:w="833" w:type="pct"/>
            <w:tcBorders>
              <w:bottom w:val="nil"/>
            </w:tcBorders>
            <w:shd w:val="clear" w:color="auto" w:fill="auto"/>
            <w:vAlign w:val="bottom"/>
          </w:tcPr>
          <w:p w14:paraId="65B6DB06" w14:textId="77777777" w:rsidR="007F24A4" w:rsidRPr="009C09EC" w:rsidRDefault="007F24A4" w:rsidP="00411CCE">
            <w:pPr>
              <w:tabs>
                <w:tab w:val="decimal" w:pos="1026"/>
              </w:tabs>
              <w:rPr>
                <w:color w:val="auto"/>
              </w:rPr>
            </w:pPr>
            <w:r w:rsidRPr="009C09EC">
              <w:rPr>
                <w:color w:val="auto"/>
              </w:rPr>
              <w:t>134.3</w:t>
            </w:r>
          </w:p>
        </w:tc>
      </w:tr>
      <w:tr w:rsidR="007F24A4" w:rsidRPr="009C09EC" w14:paraId="14BF4EEC" w14:textId="77777777" w:rsidTr="00411CCE">
        <w:trPr>
          <w:trHeight w:val="369"/>
        </w:trPr>
        <w:tc>
          <w:tcPr>
            <w:tcW w:w="3370" w:type="pct"/>
            <w:shd w:val="clear" w:color="auto" w:fill="auto"/>
            <w:vAlign w:val="bottom"/>
          </w:tcPr>
          <w:p w14:paraId="3B79BCBB" w14:textId="77777777" w:rsidR="007F24A4" w:rsidRPr="00A06955" w:rsidRDefault="007F24A4" w:rsidP="00411CCE">
            <w:pPr>
              <w:jc w:val="left"/>
              <w:rPr>
                <w:color w:val="auto"/>
              </w:rPr>
            </w:pPr>
            <w:r w:rsidRPr="00A06955">
              <w:rPr>
                <w:color w:val="auto"/>
              </w:rPr>
              <w:t>Purchase of investments</w:t>
            </w:r>
          </w:p>
        </w:tc>
        <w:tc>
          <w:tcPr>
            <w:tcW w:w="797" w:type="pct"/>
            <w:tcBorders>
              <w:top w:val="nil"/>
              <w:bottom w:val="nil"/>
            </w:tcBorders>
            <w:shd w:val="clear" w:color="auto" w:fill="auto"/>
            <w:vAlign w:val="bottom"/>
          </w:tcPr>
          <w:p w14:paraId="484A1A3D" w14:textId="1637DBC3" w:rsidR="007F24A4" w:rsidRPr="00A06955" w:rsidRDefault="009C09EC" w:rsidP="00411CCE">
            <w:pPr>
              <w:tabs>
                <w:tab w:val="decimal" w:pos="1026"/>
              </w:tabs>
              <w:rPr>
                <w:color w:val="auto"/>
              </w:rPr>
            </w:pPr>
            <w:r w:rsidRPr="00A06955">
              <w:rPr>
                <w:color w:val="auto"/>
              </w:rPr>
              <w:t>12,186.0</w:t>
            </w:r>
          </w:p>
        </w:tc>
        <w:tc>
          <w:tcPr>
            <w:tcW w:w="833" w:type="pct"/>
            <w:tcBorders>
              <w:top w:val="nil"/>
              <w:bottom w:val="nil"/>
            </w:tcBorders>
            <w:shd w:val="clear" w:color="auto" w:fill="auto"/>
            <w:vAlign w:val="bottom"/>
          </w:tcPr>
          <w:p w14:paraId="5DDD7ADD" w14:textId="77777777" w:rsidR="007F24A4" w:rsidRPr="009C09EC" w:rsidRDefault="007F24A4" w:rsidP="00411CCE">
            <w:pPr>
              <w:tabs>
                <w:tab w:val="decimal" w:pos="1026"/>
              </w:tabs>
              <w:rPr>
                <w:color w:val="auto"/>
              </w:rPr>
            </w:pPr>
            <w:r w:rsidRPr="009C09EC">
              <w:rPr>
                <w:color w:val="auto"/>
              </w:rPr>
              <w:t>877.2</w:t>
            </w:r>
          </w:p>
        </w:tc>
      </w:tr>
      <w:tr w:rsidR="007F24A4" w:rsidRPr="009C09EC" w14:paraId="03888A71" w14:textId="77777777" w:rsidTr="00411CCE">
        <w:trPr>
          <w:trHeight w:val="369"/>
        </w:trPr>
        <w:tc>
          <w:tcPr>
            <w:tcW w:w="3370" w:type="pct"/>
            <w:shd w:val="clear" w:color="auto" w:fill="auto"/>
            <w:vAlign w:val="bottom"/>
          </w:tcPr>
          <w:p w14:paraId="0A437706" w14:textId="77777777" w:rsidR="007F24A4" w:rsidRPr="00A06955" w:rsidRDefault="007F24A4" w:rsidP="00411CCE">
            <w:pPr>
              <w:jc w:val="left"/>
              <w:rPr>
                <w:color w:val="auto"/>
              </w:rPr>
            </w:pPr>
            <w:r w:rsidRPr="00A06955">
              <w:rPr>
                <w:color w:val="auto"/>
              </w:rPr>
              <w:t>Other payments for investing activities</w:t>
            </w:r>
          </w:p>
        </w:tc>
        <w:tc>
          <w:tcPr>
            <w:tcW w:w="797" w:type="pct"/>
            <w:tcBorders>
              <w:bottom w:val="nil"/>
            </w:tcBorders>
            <w:shd w:val="clear" w:color="auto" w:fill="auto"/>
            <w:vAlign w:val="bottom"/>
          </w:tcPr>
          <w:p w14:paraId="5939D900" w14:textId="77F676D1" w:rsidR="007F24A4" w:rsidRPr="00A06955" w:rsidRDefault="009C09EC" w:rsidP="00411CCE">
            <w:pPr>
              <w:tabs>
                <w:tab w:val="decimal" w:pos="1026"/>
              </w:tabs>
              <w:rPr>
                <w:color w:val="auto"/>
              </w:rPr>
            </w:pPr>
            <w:r w:rsidRPr="00A06955">
              <w:rPr>
                <w:color w:val="auto"/>
              </w:rPr>
              <w:t>35.5</w:t>
            </w:r>
          </w:p>
        </w:tc>
        <w:tc>
          <w:tcPr>
            <w:tcW w:w="833" w:type="pct"/>
            <w:tcBorders>
              <w:bottom w:val="nil"/>
            </w:tcBorders>
            <w:shd w:val="clear" w:color="auto" w:fill="auto"/>
            <w:vAlign w:val="bottom"/>
          </w:tcPr>
          <w:p w14:paraId="1B46BB34" w14:textId="77777777" w:rsidR="007F24A4" w:rsidRPr="009C09EC" w:rsidRDefault="007F24A4" w:rsidP="00411CCE">
            <w:pPr>
              <w:tabs>
                <w:tab w:val="decimal" w:pos="1026"/>
              </w:tabs>
              <w:rPr>
                <w:color w:val="auto"/>
              </w:rPr>
            </w:pPr>
            <w:r w:rsidRPr="009C09EC">
              <w:rPr>
                <w:color w:val="auto"/>
              </w:rPr>
              <w:t>0.7</w:t>
            </w:r>
          </w:p>
        </w:tc>
      </w:tr>
      <w:tr w:rsidR="007F24A4" w:rsidRPr="009C09EC" w14:paraId="1D3CD59D" w14:textId="77777777" w:rsidTr="00411CCE">
        <w:trPr>
          <w:trHeight w:val="369"/>
        </w:trPr>
        <w:tc>
          <w:tcPr>
            <w:tcW w:w="3370" w:type="pct"/>
            <w:shd w:val="clear" w:color="auto" w:fill="auto"/>
            <w:vAlign w:val="bottom"/>
          </w:tcPr>
          <w:p w14:paraId="2833CEA5" w14:textId="77777777" w:rsidR="007F24A4" w:rsidRPr="00A06955" w:rsidRDefault="007F24A4" w:rsidP="00411CCE">
            <w:pPr>
              <w:jc w:val="left"/>
              <w:rPr>
                <w:color w:val="auto"/>
              </w:rPr>
            </w:pPr>
            <w:r w:rsidRPr="00A06955">
              <w:rPr>
                <w:color w:val="auto"/>
              </w:rPr>
              <w:t>Proceeds from the sale of property plant and equipment, investment property and intangible assets</w:t>
            </w:r>
          </w:p>
        </w:tc>
        <w:tc>
          <w:tcPr>
            <w:tcW w:w="797" w:type="pct"/>
            <w:tcBorders>
              <w:bottom w:val="nil"/>
            </w:tcBorders>
            <w:shd w:val="clear" w:color="auto" w:fill="auto"/>
            <w:vAlign w:val="bottom"/>
          </w:tcPr>
          <w:p w14:paraId="668B4F41" w14:textId="00DCBF91" w:rsidR="007F24A4" w:rsidRPr="00A06955" w:rsidRDefault="009D65B8" w:rsidP="00411CCE">
            <w:pPr>
              <w:tabs>
                <w:tab w:val="decimal" w:pos="1026"/>
              </w:tabs>
              <w:rPr>
                <w:color w:val="auto"/>
              </w:rPr>
            </w:pPr>
            <w:r>
              <w:rPr>
                <w:color w:val="auto"/>
              </w:rPr>
              <w:t>(</w:t>
            </w:r>
            <w:r w:rsidR="009502D8">
              <w:rPr>
                <w:color w:val="auto"/>
              </w:rPr>
              <w:t>13.1</w:t>
            </w:r>
            <w:r>
              <w:rPr>
                <w:color w:val="auto"/>
              </w:rPr>
              <w:t>)</w:t>
            </w:r>
          </w:p>
        </w:tc>
        <w:tc>
          <w:tcPr>
            <w:tcW w:w="833" w:type="pct"/>
            <w:tcBorders>
              <w:bottom w:val="nil"/>
            </w:tcBorders>
            <w:shd w:val="clear" w:color="auto" w:fill="auto"/>
            <w:vAlign w:val="bottom"/>
          </w:tcPr>
          <w:p w14:paraId="096C5D1D" w14:textId="77777777" w:rsidR="007F24A4" w:rsidRPr="009C09EC" w:rsidRDefault="007F24A4" w:rsidP="00411CCE">
            <w:pPr>
              <w:tabs>
                <w:tab w:val="decimal" w:pos="1026"/>
              </w:tabs>
              <w:rPr>
                <w:color w:val="auto"/>
              </w:rPr>
            </w:pPr>
            <w:r w:rsidRPr="009C09EC">
              <w:rPr>
                <w:color w:val="auto"/>
              </w:rPr>
              <w:t>(4.7)</w:t>
            </w:r>
          </w:p>
        </w:tc>
      </w:tr>
      <w:tr w:rsidR="007F24A4" w:rsidRPr="009C09EC" w14:paraId="1799261A" w14:textId="77777777" w:rsidTr="00411CCE">
        <w:trPr>
          <w:trHeight w:val="369"/>
        </w:trPr>
        <w:tc>
          <w:tcPr>
            <w:tcW w:w="3370" w:type="pct"/>
            <w:shd w:val="clear" w:color="auto" w:fill="auto"/>
            <w:vAlign w:val="bottom"/>
          </w:tcPr>
          <w:p w14:paraId="41DBA4BA" w14:textId="73FD10E5" w:rsidR="007F24A4" w:rsidRPr="00DB52CA" w:rsidRDefault="007F24A4" w:rsidP="004A7AA5">
            <w:pPr>
              <w:jc w:val="left"/>
              <w:rPr>
                <w:color w:val="auto"/>
                <w:vertAlign w:val="superscript"/>
              </w:rPr>
            </w:pPr>
            <w:r w:rsidRPr="00A06955">
              <w:rPr>
                <w:color w:val="auto"/>
              </w:rPr>
              <w:lastRenderedPageBreak/>
              <w:t>Proceeds from the sale of investments</w:t>
            </w:r>
          </w:p>
        </w:tc>
        <w:tc>
          <w:tcPr>
            <w:tcW w:w="797" w:type="pct"/>
            <w:tcBorders>
              <w:top w:val="nil"/>
              <w:bottom w:val="nil"/>
            </w:tcBorders>
            <w:shd w:val="clear" w:color="auto" w:fill="auto"/>
            <w:vAlign w:val="bottom"/>
          </w:tcPr>
          <w:p w14:paraId="224B525B" w14:textId="3D545B2F" w:rsidR="007F24A4" w:rsidRPr="00A06955" w:rsidRDefault="009C09EC" w:rsidP="00411CCE">
            <w:pPr>
              <w:tabs>
                <w:tab w:val="decimal" w:pos="1026"/>
              </w:tabs>
              <w:rPr>
                <w:color w:val="auto"/>
              </w:rPr>
            </w:pPr>
            <w:r w:rsidRPr="00A06955">
              <w:rPr>
                <w:color w:val="auto"/>
              </w:rPr>
              <w:t>(12,282.0)</w:t>
            </w:r>
          </w:p>
        </w:tc>
        <w:tc>
          <w:tcPr>
            <w:tcW w:w="833" w:type="pct"/>
            <w:tcBorders>
              <w:top w:val="nil"/>
              <w:bottom w:val="nil"/>
            </w:tcBorders>
            <w:shd w:val="clear" w:color="auto" w:fill="auto"/>
            <w:vAlign w:val="bottom"/>
          </w:tcPr>
          <w:p w14:paraId="3EA33E48" w14:textId="77777777" w:rsidR="007F24A4" w:rsidRPr="009C09EC" w:rsidRDefault="007F24A4" w:rsidP="00411CCE">
            <w:pPr>
              <w:tabs>
                <w:tab w:val="decimal" w:pos="1026"/>
              </w:tabs>
              <w:rPr>
                <w:color w:val="auto"/>
              </w:rPr>
            </w:pPr>
            <w:r w:rsidRPr="009C09EC">
              <w:rPr>
                <w:color w:val="auto"/>
              </w:rPr>
              <w:t>(827.4)</w:t>
            </w:r>
          </w:p>
        </w:tc>
      </w:tr>
      <w:tr w:rsidR="007F24A4" w:rsidRPr="009C09EC" w14:paraId="52F971B1" w14:textId="77777777" w:rsidTr="00411CCE">
        <w:trPr>
          <w:trHeight w:val="369"/>
        </w:trPr>
        <w:tc>
          <w:tcPr>
            <w:tcW w:w="3370" w:type="pct"/>
            <w:shd w:val="clear" w:color="auto" w:fill="auto"/>
            <w:vAlign w:val="bottom"/>
          </w:tcPr>
          <w:p w14:paraId="69577408" w14:textId="77777777" w:rsidR="007F24A4" w:rsidRPr="00A06955" w:rsidRDefault="007F24A4" w:rsidP="00411CCE">
            <w:pPr>
              <w:jc w:val="left"/>
              <w:rPr>
                <w:color w:val="auto"/>
              </w:rPr>
            </w:pPr>
            <w:r w:rsidRPr="00A06955">
              <w:rPr>
                <w:color w:val="auto"/>
              </w:rPr>
              <w:t>Other capital grants and receipts from investment activities</w:t>
            </w:r>
          </w:p>
        </w:tc>
        <w:tc>
          <w:tcPr>
            <w:tcW w:w="797" w:type="pct"/>
            <w:tcBorders>
              <w:top w:val="nil"/>
              <w:bottom w:val="single" w:sz="4" w:space="0" w:color="auto"/>
            </w:tcBorders>
            <w:shd w:val="clear" w:color="auto" w:fill="auto"/>
            <w:vAlign w:val="bottom"/>
          </w:tcPr>
          <w:p w14:paraId="5B0B46C6" w14:textId="2FADD799" w:rsidR="007F24A4" w:rsidRPr="00A06955" w:rsidRDefault="009C09EC" w:rsidP="00411CCE">
            <w:pPr>
              <w:tabs>
                <w:tab w:val="decimal" w:pos="1026"/>
              </w:tabs>
              <w:rPr>
                <w:color w:val="auto"/>
              </w:rPr>
            </w:pPr>
            <w:r w:rsidRPr="00A06955">
              <w:rPr>
                <w:color w:val="auto"/>
              </w:rPr>
              <w:t>(15</w:t>
            </w:r>
            <w:r w:rsidR="00027E0F">
              <w:rPr>
                <w:color w:val="auto"/>
              </w:rPr>
              <w:t>1.6</w:t>
            </w:r>
            <w:r w:rsidRPr="00A06955">
              <w:rPr>
                <w:color w:val="auto"/>
              </w:rPr>
              <w:t>)</w:t>
            </w:r>
          </w:p>
        </w:tc>
        <w:tc>
          <w:tcPr>
            <w:tcW w:w="833" w:type="pct"/>
            <w:tcBorders>
              <w:top w:val="nil"/>
              <w:bottom w:val="single" w:sz="4" w:space="0" w:color="auto"/>
            </w:tcBorders>
            <w:shd w:val="clear" w:color="auto" w:fill="auto"/>
            <w:vAlign w:val="bottom"/>
          </w:tcPr>
          <w:p w14:paraId="5AA6FB09" w14:textId="77777777" w:rsidR="007F24A4" w:rsidRPr="009C09EC" w:rsidRDefault="007F24A4" w:rsidP="00411CCE">
            <w:pPr>
              <w:tabs>
                <w:tab w:val="decimal" w:pos="1026"/>
              </w:tabs>
              <w:rPr>
                <w:color w:val="auto"/>
              </w:rPr>
            </w:pPr>
            <w:r w:rsidRPr="009C09EC">
              <w:rPr>
                <w:color w:val="auto"/>
              </w:rPr>
              <w:t>(86.2)</w:t>
            </w:r>
          </w:p>
        </w:tc>
      </w:tr>
      <w:tr w:rsidR="007F24A4" w:rsidRPr="00052104" w14:paraId="0895A850" w14:textId="77777777" w:rsidTr="00411CCE">
        <w:trPr>
          <w:trHeight w:val="369"/>
        </w:trPr>
        <w:tc>
          <w:tcPr>
            <w:tcW w:w="3370" w:type="pct"/>
            <w:shd w:val="clear" w:color="auto" w:fill="auto"/>
            <w:vAlign w:val="bottom"/>
          </w:tcPr>
          <w:p w14:paraId="468B82F2" w14:textId="77777777" w:rsidR="007F24A4" w:rsidRPr="00A06955" w:rsidRDefault="007F24A4" w:rsidP="00411CCE">
            <w:pPr>
              <w:jc w:val="left"/>
              <w:rPr>
                <w:b/>
                <w:color w:val="auto"/>
              </w:rPr>
            </w:pPr>
            <w:r w:rsidRPr="00A06955">
              <w:rPr>
                <w:b/>
                <w:color w:val="auto"/>
              </w:rPr>
              <w:t>Net Cash Flows from Investing Activities</w:t>
            </w:r>
          </w:p>
        </w:tc>
        <w:tc>
          <w:tcPr>
            <w:tcW w:w="797" w:type="pct"/>
            <w:tcBorders>
              <w:top w:val="single" w:sz="4" w:space="0" w:color="auto"/>
              <w:bottom w:val="single" w:sz="4" w:space="0" w:color="auto"/>
            </w:tcBorders>
            <w:shd w:val="clear" w:color="auto" w:fill="auto"/>
            <w:vAlign w:val="bottom"/>
          </w:tcPr>
          <w:p w14:paraId="712B4A1D" w14:textId="35A6EC78" w:rsidR="007F24A4" w:rsidRPr="00A06955" w:rsidRDefault="009C09EC" w:rsidP="00411CCE">
            <w:pPr>
              <w:tabs>
                <w:tab w:val="decimal" w:pos="1026"/>
              </w:tabs>
              <w:rPr>
                <w:b/>
                <w:color w:val="auto"/>
              </w:rPr>
            </w:pPr>
            <w:r w:rsidRPr="00A06955">
              <w:rPr>
                <w:b/>
                <w:color w:val="auto"/>
              </w:rPr>
              <w:t>(58.9)</w:t>
            </w:r>
          </w:p>
        </w:tc>
        <w:tc>
          <w:tcPr>
            <w:tcW w:w="833" w:type="pct"/>
            <w:tcBorders>
              <w:top w:val="single" w:sz="4" w:space="0" w:color="auto"/>
              <w:bottom w:val="single" w:sz="4" w:space="0" w:color="auto"/>
            </w:tcBorders>
            <w:shd w:val="clear" w:color="auto" w:fill="auto"/>
            <w:vAlign w:val="bottom"/>
          </w:tcPr>
          <w:p w14:paraId="24C73053" w14:textId="77777777" w:rsidR="007F24A4" w:rsidRDefault="007F24A4" w:rsidP="00411CCE">
            <w:pPr>
              <w:tabs>
                <w:tab w:val="decimal" w:pos="1026"/>
              </w:tabs>
              <w:rPr>
                <w:b/>
                <w:color w:val="auto"/>
              </w:rPr>
            </w:pPr>
            <w:r w:rsidRPr="009C09EC">
              <w:rPr>
                <w:b/>
                <w:color w:val="auto"/>
              </w:rPr>
              <w:t>93.9</w:t>
            </w:r>
          </w:p>
        </w:tc>
      </w:tr>
    </w:tbl>
    <w:p w14:paraId="65C1953C" w14:textId="77777777" w:rsidR="00ED1F92" w:rsidRPr="00413839" w:rsidRDefault="00ED1F92" w:rsidP="00413839">
      <w:pPr>
        <w:rPr>
          <w:lang w:eastAsia="en-GB"/>
        </w:rPr>
      </w:pPr>
    </w:p>
    <w:p w14:paraId="24685DC9" w14:textId="5CE0DD09" w:rsidR="007F24A4" w:rsidRPr="001B77FA" w:rsidRDefault="007F24A4" w:rsidP="007F24A4">
      <w:pPr>
        <w:pStyle w:val="Heading2"/>
      </w:pPr>
      <w:r w:rsidRPr="00A06955">
        <w:t>3</w:t>
      </w:r>
      <w:r w:rsidR="005B4833">
        <w:t>7</w:t>
      </w:r>
      <w:r w:rsidRPr="00A06955">
        <w:t xml:space="preserve">. Cash </w:t>
      </w:r>
      <w:r w:rsidR="00311222">
        <w:t>f</w:t>
      </w:r>
      <w:r w:rsidRPr="00A06955">
        <w:t xml:space="preserve">lows from </w:t>
      </w:r>
      <w:r w:rsidR="00311222">
        <w:t>f</w:t>
      </w:r>
      <w:r w:rsidRPr="00A06955">
        <w:t xml:space="preserve">inancing </w:t>
      </w:r>
      <w:r w:rsidR="00311222">
        <w:t>a</w:t>
      </w:r>
      <w:r w:rsidRPr="00A06955">
        <w:t>ctivities</w:t>
      </w:r>
      <w:r w:rsidR="000A4272" w:rsidRPr="001B77FA">
        <w:t xml:space="preserve">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43"/>
        <w:gridCol w:w="1666"/>
        <w:gridCol w:w="1741"/>
      </w:tblGrid>
      <w:tr w:rsidR="007F24A4" w:rsidRPr="001B77FA" w14:paraId="43CB3EC2" w14:textId="77777777" w:rsidTr="00A06955">
        <w:trPr>
          <w:trHeight w:val="369"/>
          <w:tblHeader/>
        </w:trPr>
        <w:tc>
          <w:tcPr>
            <w:tcW w:w="3370" w:type="pct"/>
            <w:shd w:val="clear" w:color="auto" w:fill="D0CECE"/>
            <w:vAlign w:val="bottom"/>
          </w:tcPr>
          <w:p w14:paraId="52E2ADDA" w14:textId="77777777" w:rsidR="007F24A4" w:rsidRPr="00A06955" w:rsidRDefault="007F24A4" w:rsidP="00411CCE">
            <w:pPr>
              <w:jc w:val="left"/>
              <w:rPr>
                <w:color w:val="auto"/>
              </w:rPr>
            </w:pPr>
          </w:p>
        </w:tc>
        <w:tc>
          <w:tcPr>
            <w:tcW w:w="797" w:type="pct"/>
            <w:shd w:val="clear" w:color="auto" w:fill="D0CECE"/>
            <w:vAlign w:val="bottom"/>
          </w:tcPr>
          <w:p w14:paraId="5D34691F" w14:textId="77777777" w:rsidR="007F24A4" w:rsidRPr="00A06955" w:rsidRDefault="007F24A4" w:rsidP="00411CCE">
            <w:pPr>
              <w:jc w:val="center"/>
              <w:rPr>
                <w:b/>
                <w:color w:val="auto"/>
              </w:rPr>
            </w:pPr>
            <w:r w:rsidRPr="00A06955">
              <w:rPr>
                <w:b/>
                <w:color w:val="auto"/>
              </w:rPr>
              <w:t>2014/15</w:t>
            </w:r>
          </w:p>
        </w:tc>
        <w:tc>
          <w:tcPr>
            <w:tcW w:w="833" w:type="pct"/>
            <w:shd w:val="clear" w:color="auto" w:fill="D0CECE"/>
            <w:vAlign w:val="bottom"/>
          </w:tcPr>
          <w:p w14:paraId="3EB1BDCD" w14:textId="77777777" w:rsidR="007F24A4" w:rsidRPr="001B77FA" w:rsidRDefault="007F24A4" w:rsidP="00411CCE">
            <w:pPr>
              <w:jc w:val="center"/>
              <w:rPr>
                <w:b/>
                <w:color w:val="auto"/>
              </w:rPr>
            </w:pPr>
            <w:r w:rsidRPr="001B77FA">
              <w:rPr>
                <w:b/>
                <w:color w:val="auto"/>
              </w:rPr>
              <w:t>2013/14</w:t>
            </w:r>
          </w:p>
        </w:tc>
      </w:tr>
      <w:tr w:rsidR="007F24A4" w:rsidRPr="001B77FA" w14:paraId="01039DFD" w14:textId="77777777" w:rsidTr="00A06955">
        <w:trPr>
          <w:trHeight w:val="369"/>
          <w:tblHeader/>
        </w:trPr>
        <w:tc>
          <w:tcPr>
            <w:tcW w:w="3370" w:type="pct"/>
            <w:shd w:val="clear" w:color="auto" w:fill="D0CECE"/>
            <w:vAlign w:val="bottom"/>
          </w:tcPr>
          <w:p w14:paraId="673377C9" w14:textId="77777777" w:rsidR="007F24A4" w:rsidRPr="00A06955" w:rsidRDefault="007F24A4" w:rsidP="00411CCE">
            <w:pPr>
              <w:jc w:val="left"/>
              <w:rPr>
                <w:color w:val="auto"/>
              </w:rPr>
            </w:pPr>
          </w:p>
        </w:tc>
        <w:tc>
          <w:tcPr>
            <w:tcW w:w="797" w:type="pct"/>
            <w:shd w:val="clear" w:color="auto" w:fill="D0CECE"/>
            <w:vAlign w:val="bottom"/>
          </w:tcPr>
          <w:p w14:paraId="3C8735A8" w14:textId="77777777" w:rsidR="007F24A4" w:rsidRPr="00A06955" w:rsidRDefault="007F24A4" w:rsidP="00411CCE">
            <w:pPr>
              <w:jc w:val="center"/>
              <w:rPr>
                <w:b/>
                <w:color w:val="auto"/>
              </w:rPr>
            </w:pPr>
            <w:r w:rsidRPr="00A06955">
              <w:rPr>
                <w:b/>
                <w:color w:val="auto"/>
              </w:rPr>
              <w:t>£m</w:t>
            </w:r>
          </w:p>
        </w:tc>
        <w:tc>
          <w:tcPr>
            <w:tcW w:w="833" w:type="pct"/>
            <w:shd w:val="clear" w:color="auto" w:fill="D0CECE"/>
            <w:vAlign w:val="bottom"/>
          </w:tcPr>
          <w:p w14:paraId="2A224D7E" w14:textId="77777777" w:rsidR="007F24A4" w:rsidRPr="001B77FA" w:rsidRDefault="007F24A4" w:rsidP="00411CCE">
            <w:pPr>
              <w:jc w:val="center"/>
              <w:rPr>
                <w:b/>
                <w:color w:val="auto"/>
              </w:rPr>
            </w:pPr>
            <w:r w:rsidRPr="001B77FA">
              <w:rPr>
                <w:b/>
                <w:color w:val="auto"/>
              </w:rPr>
              <w:t>£m</w:t>
            </w:r>
          </w:p>
        </w:tc>
      </w:tr>
      <w:tr w:rsidR="007F24A4" w:rsidRPr="001B77FA" w14:paraId="3C210195" w14:textId="77777777" w:rsidTr="00411CCE">
        <w:trPr>
          <w:trHeight w:val="369"/>
        </w:trPr>
        <w:tc>
          <w:tcPr>
            <w:tcW w:w="3370" w:type="pct"/>
            <w:shd w:val="clear" w:color="auto" w:fill="auto"/>
            <w:vAlign w:val="bottom"/>
          </w:tcPr>
          <w:p w14:paraId="02D0A3C4" w14:textId="77777777" w:rsidR="007F24A4" w:rsidRPr="00A06955" w:rsidRDefault="007F24A4" w:rsidP="00411CCE">
            <w:pPr>
              <w:jc w:val="left"/>
              <w:rPr>
                <w:color w:val="auto"/>
              </w:rPr>
            </w:pPr>
            <w:r w:rsidRPr="00A06955">
              <w:rPr>
                <w:color w:val="auto"/>
              </w:rPr>
              <w:t>Cash receipts from borrowing</w:t>
            </w:r>
          </w:p>
        </w:tc>
        <w:tc>
          <w:tcPr>
            <w:tcW w:w="797" w:type="pct"/>
            <w:tcBorders>
              <w:bottom w:val="nil"/>
            </w:tcBorders>
            <w:shd w:val="clear" w:color="auto" w:fill="auto"/>
            <w:vAlign w:val="bottom"/>
          </w:tcPr>
          <w:p w14:paraId="19275A2B" w14:textId="5BD6487A" w:rsidR="007F24A4" w:rsidRPr="00A06955" w:rsidRDefault="00AA2702" w:rsidP="00411CCE">
            <w:pPr>
              <w:tabs>
                <w:tab w:val="decimal" w:pos="1026"/>
              </w:tabs>
              <w:rPr>
                <w:color w:val="auto"/>
              </w:rPr>
            </w:pPr>
            <w:r w:rsidRPr="00A06955">
              <w:rPr>
                <w:color w:val="auto"/>
              </w:rPr>
              <w:t>(1</w:t>
            </w:r>
            <w:r w:rsidR="00425C6E">
              <w:rPr>
                <w:color w:val="auto"/>
              </w:rPr>
              <w:t>,</w:t>
            </w:r>
            <w:r w:rsidRPr="00A06955">
              <w:rPr>
                <w:color w:val="auto"/>
              </w:rPr>
              <w:t>275.5)</w:t>
            </w:r>
          </w:p>
        </w:tc>
        <w:tc>
          <w:tcPr>
            <w:tcW w:w="833" w:type="pct"/>
            <w:tcBorders>
              <w:bottom w:val="nil"/>
            </w:tcBorders>
            <w:shd w:val="clear" w:color="auto" w:fill="auto"/>
            <w:vAlign w:val="bottom"/>
          </w:tcPr>
          <w:p w14:paraId="15BAD8EF" w14:textId="77777777" w:rsidR="007F24A4" w:rsidRPr="001B77FA" w:rsidRDefault="007F24A4" w:rsidP="00411CCE">
            <w:pPr>
              <w:tabs>
                <w:tab w:val="decimal" w:pos="1026"/>
              </w:tabs>
              <w:rPr>
                <w:color w:val="auto"/>
              </w:rPr>
            </w:pPr>
            <w:r w:rsidRPr="001B77FA">
              <w:rPr>
                <w:color w:val="auto"/>
              </w:rPr>
              <w:t>(1,260.5)</w:t>
            </w:r>
          </w:p>
        </w:tc>
      </w:tr>
      <w:tr w:rsidR="007F24A4" w:rsidRPr="001B77FA" w14:paraId="6F53C905" w14:textId="77777777" w:rsidTr="00411CCE">
        <w:trPr>
          <w:trHeight w:val="369"/>
        </w:trPr>
        <w:tc>
          <w:tcPr>
            <w:tcW w:w="3370" w:type="pct"/>
            <w:shd w:val="clear" w:color="auto" w:fill="auto"/>
            <w:vAlign w:val="bottom"/>
          </w:tcPr>
          <w:p w14:paraId="59468E87" w14:textId="77777777" w:rsidR="007F24A4" w:rsidRPr="00A06955" w:rsidRDefault="007F24A4" w:rsidP="00411CCE">
            <w:pPr>
              <w:jc w:val="left"/>
              <w:rPr>
                <w:color w:val="auto"/>
              </w:rPr>
            </w:pPr>
            <w:r w:rsidRPr="00A06955">
              <w:rPr>
                <w:color w:val="auto"/>
              </w:rPr>
              <w:t>Appropriation to/from Collection Fund Adjustment Account</w:t>
            </w:r>
          </w:p>
        </w:tc>
        <w:tc>
          <w:tcPr>
            <w:tcW w:w="797" w:type="pct"/>
            <w:tcBorders>
              <w:top w:val="nil"/>
              <w:bottom w:val="nil"/>
            </w:tcBorders>
            <w:shd w:val="clear" w:color="auto" w:fill="auto"/>
            <w:vAlign w:val="bottom"/>
          </w:tcPr>
          <w:p w14:paraId="02D6A7AA" w14:textId="46A74EF4" w:rsidR="007F24A4" w:rsidRPr="00A06955" w:rsidRDefault="001B77FA" w:rsidP="00411CCE">
            <w:pPr>
              <w:tabs>
                <w:tab w:val="decimal" w:pos="1026"/>
              </w:tabs>
              <w:rPr>
                <w:color w:val="auto"/>
              </w:rPr>
            </w:pPr>
            <w:r w:rsidRPr="00A06955">
              <w:rPr>
                <w:color w:val="auto"/>
              </w:rPr>
              <w:t>3.7</w:t>
            </w:r>
          </w:p>
        </w:tc>
        <w:tc>
          <w:tcPr>
            <w:tcW w:w="833" w:type="pct"/>
            <w:tcBorders>
              <w:top w:val="nil"/>
              <w:bottom w:val="nil"/>
            </w:tcBorders>
            <w:shd w:val="clear" w:color="auto" w:fill="auto"/>
            <w:vAlign w:val="bottom"/>
          </w:tcPr>
          <w:p w14:paraId="7FEAD755" w14:textId="77777777" w:rsidR="007F24A4" w:rsidRPr="001B77FA" w:rsidRDefault="007F24A4" w:rsidP="00411CCE">
            <w:pPr>
              <w:tabs>
                <w:tab w:val="decimal" w:pos="1026"/>
              </w:tabs>
              <w:rPr>
                <w:color w:val="auto"/>
              </w:rPr>
            </w:pPr>
            <w:r w:rsidRPr="001B77FA">
              <w:rPr>
                <w:color w:val="auto"/>
              </w:rPr>
              <w:t>2.6</w:t>
            </w:r>
          </w:p>
        </w:tc>
      </w:tr>
      <w:tr w:rsidR="007F24A4" w:rsidRPr="001B77FA" w14:paraId="76A8D9E2" w14:textId="77777777" w:rsidTr="00411CCE">
        <w:trPr>
          <w:trHeight w:val="369"/>
        </w:trPr>
        <w:tc>
          <w:tcPr>
            <w:tcW w:w="3370" w:type="pct"/>
            <w:shd w:val="clear" w:color="auto" w:fill="auto"/>
            <w:vAlign w:val="bottom"/>
          </w:tcPr>
          <w:p w14:paraId="7C53C05F" w14:textId="77777777" w:rsidR="007F24A4" w:rsidRPr="00A06955" w:rsidRDefault="007F24A4" w:rsidP="00411CCE">
            <w:pPr>
              <w:jc w:val="left"/>
              <w:rPr>
                <w:color w:val="auto"/>
              </w:rPr>
            </w:pPr>
            <w:r w:rsidRPr="00A06955">
              <w:rPr>
                <w:color w:val="auto"/>
              </w:rPr>
              <w:t>Repayment of borrowing</w:t>
            </w:r>
          </w:p>
        </w:tc>
        <w:tc>
          <w:tcPr>
            <w:tcW w:w="797" w:type="pct"/>
            <w:tcBorders>
              <w:bottom w:val="nil"/>
            </w:tcBorders>
            <w:shd w:val="clear" w:color="auto" w:fill="auto"/>
            <w:vAlign w:val="bottom"/>
          </w:tcPr>
          <w:p w14:paraId="3407EA95" w14:textId="0D540E43" w:rsidR="007F24A4" w:rsidRPr="00A06955" w:rsidRDefault="00AA2702" w:rsidP="009C1D66">
            <w:pPr>
              <w:tabs>
                <w:tab w:val="decimal" w:pos="1026"/>
              </w:tabs>
              <w:rPr>
                <w:color w:val="auto"/>
              </w:rPr>
            </w:pPr>
            <w:r w:rsidRPr="00A06955">
              <w:rPr>
                <w:color w:val="auto"/>
              </w:rPr>
              <w:t>1</w:t>
            </w:r>
            <w:r w:rsidR="00425C6E">
              <w:rPr>
                <w:color w:val="auto"/>
              </w:rPr>
              <w:t>,</w:t>
            </w:r>
            <w:r w:rsidRPr="00A06955">
              <w:rPr>
                <w:color w:val="auto"/>
              </w:rPr>
              <w:t>059.</w:t>
            </w:r>
            <w:r w:rsidR="00A465A2">
              <w:rPr>
                <w:color w:val="auto"/>
              </w:rPr>
              <w:t>1</w:t>
            </w:r>
          </w:p>
        </w:tc>
        <w:tc>
          <w:tcPr>
            <w:tcW w:w="833" w:type="pct"/>
            <w:tcBorders>
              <w:bottom w:val="nil"/>
            </w:tcBorders>
            <w:shd w:val="clear" w:color="auto" w:fill="auto"/>
            <w:vAlign w:val="bottom"/>
          </w:tcPr>
          <w:p w14:paraId="2EBF2987" w14:textId="77777777" w:rsidR="007F24A4" w:rsidRPr="001B77FA" w:rsidRDefault="007F24A4" w:rsidP="00411CCE">
            <w:pPr>
              <w:tabs>
                <w:tab w:val="decimal" w:pos="1026"/>
              </w:tabs>
              <w:rPr>
                <w:color w:val="auto"/>
              </w:rPr>
            </w:pPr>
            <w:r w:rsidRPr="001B77FA">
              <w:rPr>
                <w:color w:val="auto"/>
              </w:rPr>
              <w:t>1,185.4</w:t>
            </w:r>
          </w:p>
        </w:tc>
      </w:tr>
      <w:tr w:rsidR="007F24A4" w:rsidRPr="001B77FA" w14:paraId="3A116D89" w14:textId="77777777" w:rsidTr="00411CCE">
        <w:trPr>
          <w:trHeight w:val="369"/>
        </w:trPr>
        <w:tc>
          <w:tcPr>
            <w:tcW w:w="3370" w:type="pct"/>
            <w:shd w:val="clear" w:color="auto" w:fill="auto"/>
            <w:vAlign w:val="bottom"/>
          </w:tcPr>
          <w:p w14:paraId="46BBBBFF" w14:textId="77777777" w:rsidR="007F24A4" w:rsidRPr="00A06955" w:rsidRDefault="007F24A4" w:rsidP="00411CCE">
            <w:pPr>
              <w:jc w:val="left"/>
              <w:rPr>
                <w:color w:val="auto"/>
              </w:rPr>
            </w:pPr>
            <w:r w:rsidRPr="00A06955">
              <w:rPr>
                <w:color w:val="auto"/>
              </w:rPr>
              <w:t>Cash payments for the reduction of the outstanding liabilities relating to finance leases and on-balance sheet PFI contracts</w:t>
            </w:r>
          </w:p>
        </w:tc>
        <w:tc>
          <w:tcPr>
            <w:tcW w:w="797" w:type="pct"/>
            <w:tcBorders>
              <w:top w:val="nil"/>
              <w:bottom w:val="single" w:sz="4" w:space="0" w:color="auto"/>
            </w:tcBorders>
            <w:shd w:val="clear" w:color="auto" w:fill="auto"/>
            <w:vAlign w:val="bottom"/>
          </w:tcPr>
          <w:p w14:paraId="2B27FA15" w14:textId="5AE1CE2A" w:rsidR="007F24A4" w:rsidRPr="00A06955" w:rsidRDefault="00A465A2" w:rsidP="009C1D66">
            <w:pPr>
              <w:tabs>
                <w:tab w:val="decimal" w:pos="1026"/>
              </w:tabs>
              <w:rPr>
                <w:color w:val="auto"/>
              </w:rPr>
            </w:pPr>
            <w:r w:rsidRPr="00A06955">
              <w:rPr>
                <w:color w:val="auto"/>
              </w:rPr>
              <w:t>2</w:t>
            </w:r>
            <w:r>
              <w:rPr>
                <w:color w:val="auto"/>
              </w:rPr>
              <w:t>27</w:t>
            </w:r>
            <w:r w:rsidR="00AA2702" w:rsidRPr="00A06955">
              <w:rPr>
                <w:color w:val="auto"/>
              </w:rPr>
              <w:t>.</w:t>
            </w:r>
            <w:r>
              <w:rPr>
                <w:color w:val="auto"/>
              </w:rPr>
              <w:t>6</w:t>
            </w:r>
          </w:p>
        </w:tc>
        <w:tc>
          <w:tcPr>
            <w:tcW w:w="833" w:type="pct"/>
            <w:tcBorders>
              <w:top w:val="nil"/>
              <w:bottom w:val="single" w:sz="4" w:space="0" w:color="auto"/>
            </w:tcBorders>
            <w:shd w:val="clear" w:color="auto" w:fill="auto"/>
            <w:vAlign w:val="bottom"/>
          </w:tcPr>
          <w:p w14:paraId="37B1C64E" w14:textId="77777777" w:rsidR="007F24A4" w:rsidRPr="001B77FA" w:rsidRDefault="007F24A4" w:rsidP="00411CCE">
            <w:pPr>
              <w:tabs>
                <w:tab w:val="decimal" w:pos="1026"/>
              </w:tabs>
              <w:rPr>
                <w:color w:val="auto"/>
              </w:rPr>
            </w:pPr>
            <w:r w:rsidRPr="001B77FA">
              <w:rPr>
                <w:color w:val="auto"/>
              </w:rPr>
              <w:t>7.6</w:t>
            </w:r>
          </w:p>
        </w:tc>
      </w:tr>
      <w:tr w:rsidR="007F24A4" w:rsidRPr="00052104" w14:paraId="36DA100A" w14:textId="77777777" w:rsidTr="00411CCE">
        <w:trPr>
          <w:trHeight w:val="369"/>
        </w:trPr>
        <w:tc>
          <w:tcPr>
            <w:tcW w:w="3370" w:type="pct"/>
            <w:shd w:val="clear" w:color="auto" w:fill="auto"/>
            <w:vAlign w:val="bottom"/>
          </w:tcPr>
          <w:p w14:paraId="49A3FA62" w14:textId="77777777" w:rsidR="007F24A4" w:rsidRPr="00A06955" w:rsidRDefault="007F24A4" w:rsidP="00411CCE">
            <w:pPr>
              <w:jc w:val="left"/>
              <w:rPr>
                <w:b/>
                <w:color w:val="auto"/>
              </w:rPr>
            </w:pPr>
            <w:r w:rsidRPr="00A06955">
              <w:rPr>
                <w:b/>
                <w:color w:val="auto"/>
              </w:rPr>
              <w:t>Net Cash Flows from Financing Activities</w:t>
            </w:r>
          </w:p>
        </w:tc>
        <w:tc>
          <w:tcPr>
            <w:tcW w:w="797" w:type="pct"/>
            <w:tcBorders>
              <w:top w:val="single" w:sz="4" w:space="0" w:color="auto"/>
              <w:bottom w:val="single" w:sz="4" w:space="0" w:color="auto"/>
            </w:tcBorders>
            <w:shd w:val="clear" w:color="auto" w:fill="auto"/>
            <w:vAlign w:val="bottom"/>
          </w:tcPr>
          <w:p w14:paraId="32C964BC" w14:textId="0D5C234E" w:rsidR="007F24A4" w:rsidRPr="00A06955" w:rsidRDefault="00A465A2" w:rsidP="009C1D66">
            <w:pPr>
              <w:tabs>
                <w:tab w:val="decimal" w:pos="1026"/>
              </w:tabs>
              <w:rPr>
                <w:b/>
                <w:color w:val="auto"/>
              </w:rPr>
            </w:pPr>
            <w:r>
              <w:rPr>
                <w:b/>
                <w:color w:val="auto"/>
              </w:rPr>
              <w:t>14</w:t>
            </w:r>
            <w:r w:rsidR="001B77FA" w:rsidRPr="00A06955">
              <w:rPr>
                <w:b/>
                <w:color w:val="auto"/>
              </w:rPr>
              <w:t>.</w:t>
            </w:r>
            <w:r>
              <w:rPr>
                <w:b/>
                <w:color w:val="auto"/>
              </w:rPr>
              <w:t>9</w:t>
            </w:r>
          </w:p>
        </w:tc>
        <w:tc>
          <w:tcPr>
            <w:tcW w:w="833" w:type="pct"/>
            <w:tcBorders>
              <w:top w:val="single" w:sz="4" w:space="0" w:color="auto"/>
              <w:bottom w:val="single" w:sz="4" w:space="0" w:color="auto"/>
            </w:tcBorders>
            <w:shd w:val="clear" w:color="auto" w:fill="auto"/>
            <w:vAlign w:val="bottom"/>
          </w:tcPr>
          <w:p w14:paraId="732A3FAF" w14:textId="77777777" w:rsidR="007F24A4" w:rsidRDefault="007F24A4" w:rsidP="00411CCE">
            <w:pPr>
              <w:tabs>
                <w:tab w:val="decimal" w:pos="1026"/>
              </w:tabs>
              <w:rPr>
                <w:b/>
                <w:color w:val="auto"/>
              </w:rPr>
            </w:pPr>
            <w:r w:rsidRPr="001B77FA">
              <w:rPr>
                <w:b/>
                <w:color w:val="auto"/>
              </w:rPr>
              <w:t>(64.9)</w:t>
            </w:r>
          </w:p>
        </w:tc>
      </w:tr>
    </w:tbl>
    <w:p w14:paraId="1D1E2B48" w14:textId="77777777" w:rsidR="001E2463" w:rsidRDefault="001E2463" w:rsidP="007F24A4">
      <w:pPr>
        <w:rPr>
          <w:lang w:eastAsia="en-GB"/>
        </w:rPr>
      </w:pPr>
    </w:p>
    <w:p w14:paraId="7AC0930F" w14:textId="3B34CBB8" w:rsidR="0047699E" w:rsidRDefault="001E2463" w:rsidP="008D0533">
      <w:pPr>
        <w:pStyle w:val="Heading2"/>
        <w:rPr>
          <w:rFonts w:eastAsiaTheme="minorHAnsi" w:cs="Arial"/>
          <w:color w:val="auto"/>
        </w:rPr>
      </w:pPr>
      <w:r>
        <w:t>38. Acquired operations</w:t>
      </w:r>
    </w:p>
    <w:p w14:paraId="48D6A574" w14:textId="06150A52" w:rsidR="0047699E" w:rsidRDefault="0047699E" w:rsidP="0047699E">
      <w:pPr>
        <w:rPr>
          <w:rFonts w:cs="Arial"/>
        </w:rPr>
      </w:pPr>
      <w:r>
        <w:rPr>
          <w:rFonts w:cs="Arial"/>
        </w:rPr>
        <w:t>On 31 July 2014 LCC acquired Global Renewables Lancashire Operations Limited (GRLOL), a company which operates facilities for the processing of municipal waste on behalf of L</w:t>
      </w:r>
      <w:r w:rsidRPr="008D0533">
        <w:rPr>
          <w:rFonts w:cs="Arial"/>
          <w:color w:val="000000" w:themeColor="text1"/>
        </w:rPr>
        <w:t>CC</w:t>
      </w:r>
      <w:r>
        <w:rPr>
          <w:rFonts w:cs="Arial"/>
        </w:rPr>
        <w:t xml:space="preserve">.  Prior to acquisition by LCC the company was a special purpose company established to fulfil the operating commitments of the LCC Waste PFI contract.  LCC acquired 100% of the company for the nominal sum of £1 on termination of the PFI contract.  The effective share of ownership of the operating company is 87.5% LCC and 12.5% </w:t>
      </w:r>
      <w:r>
        <w:rPr>
          <w:rFonts w:cs="Arial"/>
        </w:rPr>
        <w:lastRenderedPageBreak/>
        <w:t xml:space="preserve">Blackpool Council.  The proportionate ownership is in line with joint working arrangements between LCC and Blackpool Council and in line with the previous PFI contract.  </w:t>
      </w:r>
    </w:p>
    <w:p w14:paraId="6D96287B" w14:textId="77777777" w:rsidR="0047699E" w:rsidRDefault="0047699E" w:rsidP="0047699E">
      <w:pPr>
        <w:rPr>
          <w:rFonts w:cs="Arial"/>
        </w:rPr>
      </w:pPr>
    </w:p>
    <w:p w14:paraId="349BF29E" w14:textId="77777777" w:rsidR="0047699E" w:rsidRDefault="0047699E" w:rsidP="0047699E">
      <w:pPr>
        <w:rPr>
          <w:rFonts w:cs="Arial"/>
        </w:rPr>
      </w:pPr>
      <w:r>
        <w:rPr>
          <w:rFonts w:cs="Arial"/>
        </w:rPr>
        <w:t>The assets acquired on termination of the PFI agreement are the shares in GRLOL, at a nominal value of £1.   The net assets of GRLOL, measured under IFRS, amount to £nil at both the acquisition and balance sheet dates and hence the difference between the consideration of £1 and the net identifiable assets acquired, measured at acquisition-date fair values does not result in the recognition of goodwill on acquisition.   </w:t>
      </w:r>
    </w:p>
    <w:p w14:paraId="3ED88AE4" w14:textId="77777777" w:rsidR="0047699E" w:rsidRDefault="0047699E" w:rsidP="007F24A4">
      <w:pPr>
        <w:rPr>
          <w:lang w:eastAsia="en-GB"/>
        </w:rPr>
      </w:pPr>
    </w:p>
    <w:p w14:paraId="55072104" w14:textId="77777777" w:rsidR="001706B1" w:rsidRDefault="001706B1" w:rsidP="007F24A4">
      <w:pPr>
        <w:rPr>
          <w:lang w:eastAsia="en-GB"/>
        </w:rPr>
      </w:pPr>
    </w:p>
    <w:p w14:paraId="6AD729A2" w14:textId="6479F6FC" w:rsidR="000D067E" w:rsidRPr="00A06955" w:rsidRDefault="0047699E" w:rsidP="000D067E">
      <w:pPr>
        <w:pStyle w:val="Heading2"/>
      </w:pPr>
      <w:r w:rsidRPr="00A06955">
        <w:t>3</w:t>
      </w:r>
      <w:r>
        <w:t>9</w:t>
      </w:r>
      <w:r w:rsidR="000D067E" w:rsidRPr="00A06955">
        <w:t xml:space="preserve">. Related </w:t>
      </w:r>
      <w:r w:rsidR="00311222">
        <w:t>p</w:t>
      </w:r>
      <w:r w:rsidR="000D067E" w:rsidRPr="00A06955">
        <w:t>arties</w:t>
      </w:r>
    </w:p>
    <w:p w14:paraId="6F75FF13" w14:textId="36050893" w:rsidR="00BA41AE" w:rsidRPr="00A06955" w:rsidRDefault="00BA41AE" w:rsidP="00BA41AE">
      <w:pPr>
        <w:rPr>
          <w:lang w:eastAsia="en-GB"/>
        </w:rPr>
      </w:pPr>
      <w:r w:rsidRPr="00A06955">
        <w:rPr>
          <w:lang w:eastAsia="en-GB"/>
        </w:rPr>
        <w:t xml:space="preserve">We are required to disclose material transactions with related parties – bodies or individuals that have the potential to control or influence the council or to be controlled or influenced by the council. Disclosure of these transactions allows readers to assess the extent to which the council might have been constrained in its ability to operate independently or might have secured the ability to limit another party’s ability to bargain freely with the </w:t>
      </w:r>
      <w:r w:rsidR="00E820B6">
        <w:rPr>
          <w:lang w:eastAsia="en-GB"/>
        </w:rPr>
        <w:t>council</w:t>
      </w:r>
      <w:r w:rsidRPr="00A06955">
        <w:rPr>
          <w:lang w:eastAsia="en-GB"/>
        </w:rPr>
        <w:t>.</w:t>
      </w:r>
    </w:p>
    <w:p w14:paraId="1CC77297" w14:textId="77777777" w:rsidR="00BA41AE" w:rsidRPr="00A06955" w:rsidRDefault="00BA41AE" w:rsidP="00BA41AE">
      <w:pPr>
        <w:rPr>
          <w:b/>
          <w:lang w:eastAsia="en-GB"/>
        </w:rPr>
      </w:pPr>
      <w:r w:rsidRPr="00A06955">
        <w:rPr>
          <w:b/>
          <w:lang w:eastAsia="en-GB"/>
        </w:rPr>
        <w:t>Central Government</w:t>
      </w:r>
    </w:p>
    <w:p w14:paraId="2A83D9E8" w14:textId="63BBA04B" w:rsidR="00BA41AE" w:rsidRPr="00A06955" w:rsidRDefault="00BA41AE" w:rsidP="00BA41AE">
      <w:pPr>
        <w:rPr>
          <w:lang w:eastAsia="en-GB"/>
        </w:rPr>
      </w:pPr>
      <w:r w:rsidRPr="00A06955">
        <w:rPr>
          <w:lang w:eastAsia="en-GB"/>
        </w:rPr>
        <w:lastRenderedPageBreak/>
        <w:t xml:space="preserve">Central government has significant influence over the general operations of the </w:t>
      </w:r>
      <w:r w:rsidR="00E820B6">
        <w:rPr>
          <w:lang w:eastAsia="en-GB"/>
        </w:rPr>
        <w:t>council</w:t>
      </w:r>
      <w:r w:rsidR="00E820B6" w:rsidRPr="00A06955">
        <w:rPr>
          <w:lang w:eastAsia="en-GB"/>
        </w:rPr>
        <w:t xml:space="preserve"> </w:t>
      </w:r>
      <w:r w:rsidRPr="00A06955">
        <w:rPr>
          <w:lang w:eastAsia="en-GB"/>
        </w:rPr>
        <w:t xml:space="preserve">– it is responsible for providing the statutory framework within which the </w:t>
      </w:r>
      <w:r w:rsidR="00E820B6">
        <w:rPr>
          <w:lang w:eastAsia="en-GB"/>
        </w:rPr>
        <w:t>council</w:t>
      </w:r>
      <w:r w:rsidR="00E820B6" w:rsidRPr="00A06955">
        <w:rPr>
          <w:lang w:eastAsia="en-GB"/>
        </w:rPr>
        <w:t xml:space="preserve"> </w:t>
      </w:r>
      <w:r w:rsidRPr="00A06955">
        <w:rPr>
          <w:lang w:eastAsia="en-GB"/>
        </w:rPr>
        <w:t xml:space="preserve">operates, provides the majority of its funding in the form of grants and prescribes the terms of many of the transactions that the </w:t>
      </w:r>
      <w:r w:rsidR="00E820B6">
        <w:rPr>
          <w:lang w:eastAsia="en-GB"/>
        </w:rPr>
        <w:t>council</w:t>
      </w:r>
      <w:r w:rsidR="00E820B6" w:rsidRPr="00A06955">
        <w:rPr>
          <w:lang w:eastAsia="en-GB"/>
        </w:rPr>
        <w:t xml:space="preserve"> </w:t>
      </w:r>
      <w:r w:rsidRPr="00A06955">
        <w:rPr>
          <w:lang w:eastAsia="en-GB"/>
        </w:rPr>
        <w:t xml:space="preserve">has with other parties (e.g. council tax bills, housing benefits). </w:t>
      </w:r>
    </w:p>
    <w:p w14:paraId="1F4B64F6" w14:textId="77777777" w:rsidR="00BA41AE" w:rsidRPr="00A06955" w:rsidRDefault="00BA41AE" w:rsidP="00BA41AE">
      <w:pPr>
        <w:rPr>
          <w:lang w:eastAsia="en-GB"/>
        </w:rPr>
      </w:pPr>
      <w:r w:rsidRPr="00A06955">
        <w:rPr>
          <w:lang w:eastAsia="en-GB"/>
        </w:rPr>
        <w:t>Grants received from government departments are set out in note 13 on reporting for resources allocation decisions.</w:t>
      </w:r>
    </w:p>
    <w:p w14:paraId="2A6CF661" w14:textId="77777777" w:rsidR="00BA41AE" w:rsidRPr="00A06955" w:rsidRDefault="00BA41AE" w:rsidP="00BA41AE">
      <w:pPr>
        <w:rPr>
          <w:b/>
          <w:lang w:eastAsia="en-GB"/>
        </w:rPr>
      </w:pPr>
      <w:r w:rsidRPr="00A06955">
        <w:rPr>
          <w:b/>
          <w:lang w:eastAsia="en-GB"/>
        </w:rPr>
        <w:t>Members</w:t>
      </w:r>
    </w:p>
    <w:p w14:paraId="3134A5E1" w14:textId="77777777" w:rsidR="00BA41AE" w:rsidRPr="00A06955" w:rsidRDefault="00BA41AE" w:rsidP="00BA41AE">
      <w:pPr>
        <w:rPr>
          <w:lang w:eastAsia="en-GB"/>
        </w:rPr>
      </w:pPr>
      <w:r w:rsidRPr="00A06955">
        <w:rPr>
          <w:lang w:eastAsia="en-GB"/>
        </w:rPr>
        <w:t>Members of the county council have direct control over the council's financial and operating policies. Under section 81 the Local Government act 2000, their outside interest</w:t>
      </w:r>
      <w:r>
        <w:rPr>
          <w:lang w:eastAsia="en-GB"/>
        </w:rPr>
        <w:t>s</w:t>
      </w:r>
      <w:r w:rsidRPr="00A06955">
        <w:rPr>
          <w:lang w:eastAsia="en-GB"/>
        </w:rPr>
        <w:t xml:space="preserve"> are recorded in a formal register, The Register of Interest, which is available for inspection at the office of the Chief Executive, County Hall, Preston. The details of how to view the register can also be found on the council's website at:</w:t>
      </w:r>
    </w:p>
    <w:p w14:paraId="4BCC7CE2" w14:textId="77777777" w:rsidR="00BA41AE" w:rsidRPr="000C181B" w:rsidRDefault="00081119" w:rsidP="00BA41AE">
      <w:hyperlink r:id="rId25" w:history="1">
        <w:r w:rsidR="00BA41AE" w:rsidRPr="000C181B">
          <w:t>http://www.lancashire.gov.uk/council/transparency/registers/county-councillors-register-of-interests/</w:t>
        </w:r>
      </w:hyperlink>
    </w:p>
    <w:p w14:paraId="7EDFC343" w14:textId="77777777" w:rsidR="00BA41AE" w:rsidRPr="00A06955" w:rsidRDefault="00BA41AE" w:rsidP="00BA41AE">
      <w:pPr>
        <w:rPr>
          <w:lang w:eastAsia="en-GB"/>
        </w:rPr>
      </w:pPr>
      <w:r w:rsidRPr="00A06955">
        <w:rPr>
          <w:lang w:eastAsia="en-GB"/>
        </w:rPr>
        <w:t xml:space="preserve">Our code of conduct requires county councillors to declare any related interests they have and to take no part in meeting or decisions on issues involving those interests. </w:t>
      </w:r>
    </w:p>
    <w:p w14:paraId="6952E762" w14:textId="77777777" w:rsidR="00BA41AE" w:rsidRPr="00A06955" w:rsidRDefault="00BA41AE" w:rsidP="00BA41AE">
      <w:pPr>
        <w:rPr>
          <w:lang w:eastAsia="en-GB"/>
        </w:rPr>
      </w:pPr>
      <w:r w:rsidRPr="00A06955">
        <w:rPr>
          <w:lang w:eastAsia="en-GB"/>
        </w:rPr>
        <w:t xml:space="preserve">In preparing this statement of accounts we have asked all councillors to fill in a declaration about any interests which they or their </w:t>
      </w:r>
      <w:r w:rsidRPr="00A06955">
        <w:rPr>
          <w:lang w:eastAsia="en-GB"/>
        </w:rPr>
        <w:lastRenderedPageBreak/>
        <w:t>family may have in organisations that we deal with. These interests include:</w:t>
      </w:r>
    </w:p>
    <w:p w14:paraId="2C839928" w14:textId="77777777" w:rsidR="00BA41AE" w:rsidRPr="00A06955" w:rsidRDefault="00BA41AE" w:rsidP="00EC401F">
      <w:pPr>
        <w:numPr>
          <w:ilvl w:val="0"/>
          <w:numId w:val="41"/>
        </w:numPr>
        <w:rPr>
          <w:lang w:eastAsia="en-GB"/>
        </w:rPr>
      </w:pPr>
      <w:r w:rsidRPr="00A06955">
        <w:rPr>
          <w:lang w:eastAsia="en-GB"/>
        </w:rPr>
        <w:t>Roles with voluntary organisation</w:t>
      </w:r>
      <w:r>
        <w:rPr>
          <w:lang w:eastAsia="en-GB"/>
        </w:rPr>
        <w:t>s</w:t>
      </w:r>
      <w:r w:rsidRPr="00A06955">
        <w:rPr>
          <w:lang w:eastAsia="en-GB"/>
        </w:rPr>
        <w:t xml:space="preserve"> and charities which may receive grants from the council.</w:t>
      </w:r>
    </w:p>
    <w:p w14:paraId="4F97655A" w14:textId="77777777" w:rsidR="00BA41AE" w:rsidRPr="00A06955" w:rsidRDefault="00BA41AE" w:rsidP="00EC401F">
      <w:pPr>
        <w:numPr>
          <w:ilvl w:val="0"/>
          <w:numId w:val="41"/>
        </w:numPr>
        <w:rPr>
          <w:lang w:eastAsia="en-GB"/>
        </w:rPr>
      </w:pPr>
      <w:r w:rsidRPr="00A06955">
        <w:rPr>
          <w:lang w:eastAsia="en-GB"/>
        </w:rPr>
        <w:t>Roles where they have significant influence/control within Limited Companies that has a contract with the council</w:t>
      </w:r>
    </w:p>
    <w:p w14:paraId="7E181505" w14:textId="77777777" w:rsidR="00BA41AE" w:rsidRPr="00A06955" w:rsidRDefault="00BA41AE" w:rsidP="00EC401F">
      <w:pPr>
        <w:numPr>
          <w:ilvl w:val="0"/>
          <w:numId w:val="41"/>
        </w:numPr>
        <w:rPr>
          <w:lang w:eastAsia="en-GB"/>
        </w:rPr>
      </w:pPr>
      <w:r w:rsidRPr="00A06955">
        <w:rPr>
          <w:lang w:eastAsia="en-GB"/>
        </w:rPr>
        <w:t>Family members that have significant influence/control within any organisation that has dealings with the council.</w:t>
      </w:r>
    </w:p>
    <w:p w14:paraId="7CEB4D29" w14:textId="77777777" w:rsidR="00BA41AE" w:rsidRPr="00A06955" w:rsidRDefault="00BA41AE" w:rsidP="00BA41AE">
      <w:pPr>
        <w:rPr>
          <w:lang w:eastAsia="en-GB"/>
        </w:rPr>
      </w:pPr>
      <w:r w:rsidRPr="00A06955">
        <w:rPr>
          <w:lang w:eastAsia="en-GB"/>
        </w:rPr>
        <w:t>Revealed below is a list where councillors or a member of their family are involved and ha</w:t>
      </w:r>
      <w:r>
        <w:rPr>
          <w:lang w:eastAsia="en-GB"/>
        </w:rPr>
        <w:t>ve</w:t>
      </w:r>
      <w:r w:rsidRPr="00A06955">
        <w:rPr>
          <w:lang w:eastAsia="en-GB"/>
        </w:rPr>
        <w:t xml:space="preserve"> significant control with an organisation. </w:t>
      </w:r>
    </w:p>
    <w:p w14:paraId="69FC10E8" w14:textId="77777777" w:rsidR="00BA41AE" w:rsidRPr="00A06955" w:rsidRDefault="00BA41AE" w:rsidP="00BA41AE">
      <w:pPr>
        <w:rPr>
          <w:lang w:eastAsia="en-GB"/>
        </w:rPr>
      </w:pPr>
      <w:r w:rsidRPr="00A06955">
        <w:rPr>
          <w:lang w:eastAsia="en-GB"/>
        </w:rPr>
        <w:t xml:space="preserve">There were a number of transactions that were </w:t>
      </w:r>
      <w:r>
        <w:rPr>
          <w:lang w:eastAsia="en-GB"/>
        </w:rPr>
        <w:t>identified</w:t>
      </w:r>
      <w:r w:rsidRPr="00A06955">
        <w:rPr>
          <w:lang w:eastAsia="en-GB"/>
        </w:rPr>
        <w:t xml:space="preserve"> between Lancashire County Council and </w:t>
      </w:r>
      <w:r>
        <w:rPr>
          <w:lang w:eastAsia="en-GB"/>
        </w:rPr>
        <w:t xml:space="preserve">these </w:t>
      </w:r>
      <w:r w:rsidRPr="00A06955">
        <w:rPr>
          <w:lang w:eastAsia="en-GB"/>
        </w:rPr>
        <w:t>organisations</w:t>
      </w:r>
      <w:r>
        <w:rPr>
          <w:lang w:eastAsia="en-GB"/>
        </w:rPr>
        <w:t>.</w:t>
      </w:r>
    </w:p>
    <w:p w14:paraId="06218D98" w14:textId="77777777" w:rsidR="00BA41AE" w:rsidRPr="00A06955" w:rsidRDefault="00BA41AE" w:rsidP="00BA41AE">
      <w:pPr>
        <w:rPr>
          <w:lang w:eastAsia="en-GB"/>
        </w:rPr>
      </w:pPr>
      <w:r w:rsidRPr="00A06955">
        <w:rPr>
          <w:lang w:eastAsia="en-GB"/>
        </w:rPr>
        <w:t>None of the transactions were classed as significant to Lancashire County Council.</w:t>
      </w:r>
    </w:p>
    <w:p w14:paraId="5041B69E" w14:textId="53D8634D" w:rsidR="00BA41AE" w:rsidRDefault="00BA41AE" w:rsidP="00EC401F">
      <w:pPr>
        <w:numPr>
          <w:ilvl w:val="0"/>
          <w:numId w:val="42"/>
        </w:numPr>
        <w:rPr>
          <w:lang w:eastAsia="en-GB"/>
        </w:rPr>
      </w:pPr>
      <w:r>
        <w:rPr>
          <w:lang w:eastAsia="en-GB"/>
        </w:rPr>
        <w:t>CC Barrie Yates is a board member of New Progress Housing, the organisation received payments totalling £941,644.</w:t>
      </w:r>
    </w:p>
    <w:p w14:paraId="0407A04C" w14:textId="208E2A2D" w:rsidR="00BA41AE" w:rsidRDefault="00BA41AE" w:rsidP="00EC401F">
      <w:pPr>
        <w:numPr>
          <w:ilvl w:val="0"/>
          <w:numId w:val="42"/>
        </w:numPr>
        <w:rPr>
          <w:lang w:eastAsia="en-GB"/>
        </w:rPr>
      </w:pPr>
      <w:r>
        <w:rPr>
          <w:lang w:eastAsia="en-GB"/>
        </w:rPr>
        <w:t>CC Steven Holgate is a non-executive director for Adactus Housing Group, the organisation received payments totalling £355,610.</w:t>
      </w:r>
    </w:p>
    <w:p w14:paraId="339D2F5E" w14:textId="0127276D" w:rsidR="00BA41AE" w:rsidRDefault="00BA41AE" w:rsidP="00EC401F">
      <w:pPr>
        <w:numPr>
          <w:ilvl w:val="0"/>
          <w:numId w:val="42"/>
        </w:numPr>
        <w:rPr>
          <w:lang w:eastAsia="en-GB"/>
        </w:rPr>
      </w:pPr>
      <w:r>
        <w:rPr>
          <w:lang w:eastAsia="en-GB"/>
        </w:rPr>
        <w:lastRenderedPageBreak/>
        <w:t>CC Ian Brown is a board member of Ribble Valley Homes, the organisation received payments totalling £133,833.</w:t>
      </w:r>
    </w:p>
    <w:p w14:paraId="302F05FC" w14:textId="05906E9A" w:rsidR="00BA41AE" w:rsidRDefault="00BA41AE" w:rsidP="00EC401F">
      <w:pPr>
        <w:numPr>
          <w:ilvl w:val="0"/>
          <w:numId w:val="42"/>
        </w:numPr>
        <w:rPr>
          <w:lang w:eastAsia="en-GB"/>
        </w:rPr>
      </w:pPr>
      <w:r>
        <w:rPr>
          <w:lang w:eastAsia="en-GB"/>
        </w:rPr>
        <w:t>CC Jennifer Mein is a trustee at Emmaus Preston, the charity received payments totalling £69,129.</w:t>
      </w:r>
    </w:p>
    <w:p w14:paraId="17057069" w14:textId="2EC7F902" w:rsidR="00BA41AE" w:rsidRDefault="00BA41AE" w:rsidP="00EC401F">
      <w:pPr>
        <w:numPr>
          <w:ilvl w:val="0"/>
          <w:numId w:val="42"/>
        </w:numPr>
        <w:rPr>
          <w:lang w:eastAsia="en-GB"/>
        </w:rPr>
      </w:pPr>
      <w:r>
        <w:rPr>
          <w:lang w:eastAsia="en-GB"/>
        </w:rPr>
        <w:t>CC Mike Otter is a trustee at Community Futures and Lancashire West Citizens Advice Bureau. Community Futures received payments totalling £6,312 and Lancashire West Citizens Advice Bureau received payments totalling £53,262.</w:t>
      </w:r>
    </w:p>
    <w:p w14:paraId="46B63A25" w14:textId="40F596F2" w:rsidR="00BA41AE" w:rsidRDefault="00BA41AE" w:rsidP="00EC401F">
      <w:pPr>
        <w:numPr>
          <w:ilvl w:val="0"/>
          <w:numId w:val="42"/>
        </w:numPr>
        <w:rPr>
          <w:lang w:eastAsia="en-GB"/>
        </w:rPr>
      </w:pPr>
      <w:r>
        <w:rPr>
          <w:lang w:eastAsia="en-GB"/>
        </w:rPr>
        <w:t>CC Alan Schofield is a trustee director at Ribble Valley Citizens Advice Bureau, the organisation received payments totalling £25,000.</w:t>
      </w:r>
    </w:p>
    <w:p w14:paraId="57E17AA7" w14:textId="0E16603D" w:rsidR="00BA41AE" w:rsidRDefault="00BA41AE" w:rsidP="00EC401F">
      <w:pPr>
        <w:numPr>
          <w:ilvl w:val="0"/>
          <w:numId w:val="42"/>
        </w:numPr>
        <w:rPr>
          <w:lang w:eastAsia="en-GB"/>
        </w:rPr>
      </w:pPr>
      <w:r>
        <w:rPr>
          <w:lang w:eastAsia="en-GB"/>
        </w:rPr>
        <w:t>CC Carl Crompton is a board member of Gift 92, the charity rece</w:t>
      </w:r>
      <w:r w:rsidR="0025058C">
        <w:rPr>
          <w:lang w:eastAsia="en-GB"/>
        </w:rPr>
        <w:t>ived payments totalling £20,832</w:t>
      </w:r>
      <w:r>
        <w:rPr>
          <w:lang w:eastAsia="en-GB"/>
        </w:rPr>
        <w:t>.</w:t>
      </w:r>
    </w:p>
    <w:p w14:paraId="06115D9B" w14:textId="77777777" w:rsidR="00BA41AE" w:rsidRPr="00A06955" w:rsidRDefault="00BA41AE" w:rsidP="00BA41AE">
      <w:pPr>
        <w:rPr>
          <w:lang w:eastAsia="en-GB"/>
        </w:rPr>
      </w:pPr>
      <w:r w:rsidRPr="00A06955">
        <w:rPr>
          <w:lang w:eastAsia="en-GB"/>
        </w:rPr>
        <w:t>Some county councillors hold positions on companies referred to in the companies section of this note, therefore any transactions between the two entities are referred to in that section.</w:t>
      </w:r>
    </w:p>
    <w:p w14:paraId="6340AB18" w14:textId="77777777" w:rsidR="00BA41AE" w:rsidRPr="00A06955" w:rsidRDefault="00BA41AE" w:rsidP="00BA41AE">
      <w:pPr>
        <w:rPr>
          <w:b/>
          <w:lang w:eastAsia="en-GB"/>
        </w:rPr>
      </w:pPr>
      <w:r w:rsidRPr="00A06955">
        <w:rPr>
          <w:b/>
          <w:lang w:eastAsia="en-GB"/>
        </w:rPr>
        <w:t>Officers</w:t>
      </w:r>
    </w:p>
    <w:p w14:paraId="42F0A2DE" w14:textId="77777777" w:rsidR="00BA41AE" w:rsidRPr="00FE1058" w:rsidRDefault="00BA41AE" w:rsidP="00BA41AE">
      <w:pPr>
        <w:rPr>
          <w:lang w:eastAsia="en-GB"/>
        </w:rPr>
      </w:pPr>
      <w:r w:rsidRPr="00FE1058">
        <w:rPr>
          <w:lang w:eastAsia="en-GB"/>
        </w:rPr>
        <w:t>Our senior officers may influence our financial and operating policies. The officers of the Management Team have filled in a declaration about their related interest and those of their family. This has revealed that the Management Team officers had roles in the following organisations during 2014/15.</w:t>
      </w:r>
    </w:p>
    <w:p w14:paraId="24A4EEC0" w14:textId="77777777" w:rsidR="00BA41AE" w:rsidRPr="00FE1058" w:rsidRDefault="00BA41AE" w:rsidP="00EC401F">
      <w:pPr>
        <w:numPr>
          <w:ilvl w:val="0"/>
          <w:numId w:val="43"/>
        </w:numPr>
        <w:rPr>
          <w:lang w:eastAsia="en-GB"/>
        </w:rPr>
      </w:pPr>
      <w:r w:rsidRPr="00FE1058">
        <w:rPr>
          <w:lang w:eastAsia="en-GB"/>
        </w:rPr>
        <w:lastRenderedPageBreak/>
        <w:t>Gill Kilpatrick, the county treasurer was treasurer to the Lancashire County Pension fund until 27th March 2015.</w:t>
      </w:r>
    </w:p>
    <w:p w14:paraId="6667F5E4" w14:textId="7BB0A294" w:rsidR="00BA41AE" w:rsidRPr="00B535C8" w:rsidRDefault="00BA41AE" w:rsidP="00EC401F">
      <w:pPr>
        <w:numPr>
          <w:ilvl w:val="0"/>
          <w:numId w:val="43"/>
        </w:numPr>
        <w:rPr>
          <w:lang w:eastAsia="en-GB"/>
        </w:rPr>
      </w:pPr>
      <w:r w:rsidRPr="00FE1058">
        <w:rPr>
          <w:lang w:eastAsia="en-GB"/>
        </w:rPr>
        <w:t xml:space="preserve">Steve Browne, interim executive director for environment is also chairman of </w:t>
      </w:r>
      <w:r>
        <w:rPr>
          <w:lang w:eastAsia="en-GB"/>
        </w:rPr>
        <w:t>the board of Preston's College.</w:t>
      </w:r>
      <w:r w:rsidRPr="00FE1058">
        <w:rPr>
          <w:lang w:eastAsia="en-GB"/>
        </w:rPr>
        <w:t xml:space="preserve"> The College received payments totalling £654,595.</w:t>
      </w:r>
    </w:p>
    <w:p w14:paraId="3D512A3C" w14:textId="77777777" w:rsidR="00BA41AE" w:rsidRPr="0044554C" w:rsidRDefault="00BA41AE" w:rsidP="00BA41AE">
      <w:pPr>
        <w:rPr>
          <w:b/>
          <w:lang w:eastAsia="en-GB"/>
        </w:rPr>
      </w:pPr>
      <w:r w:rsidRPr="0044554C">
        <w:rPr>
          <w:b/>
          <w:lang w:eastAsia="en-GB"/>
        </w:rPr>
        <w:t>Lancashire County Pension Fund</w:t>
      </w:r>
    </w:p>
    <w:p w14:paraId="6DCE03AE" w14:textId="77777777" w:rsidR="00BA41AE" w:rsidRPr="0044554C" w:rsidRDefault="00BA41AE" w:rsidP="00BA41AE">
      <w:pPr>
        <w:rPr>
          <w:lang w:eastAsia="en-GB"/>
        </w:rPr>
      </w:pPr>
      <w:r w:rsidRPr="0044554C">
        <w:rPr>
          <w:lang w:eastAsia="en-GB"/>
        </w:rPr>
        <w:t xml:space="preserve">The Lancashire County Pension Fund is administered by Lancashire County Council. Consequently there is a strong relationship between the council and the </w:t>
      </w:r>
      <w:r>
        <w:rPr>
          <w:lang w:eastAsia="en-GB"/>
        </w:rPr>
        <w:t>P</w:t>
      </w:r>
      <w:r w:rsidRPr="0044554C">
        <w:rPr>
          <w:lang w:eastAsia="en-GB"/>
        </w:rPr>
        <w:t xml:space="preserve">ension </w:t>
      </w:r>
      <w:r>
        <w:rPr>
          <w:lang w:eastAsia="en-GB"/>
        </w:rPr>
        <w:t>F</w:t>
      </w:r>
      <w:r w:rsidRPr="0044554C">
        <w:rPr>
          <w:lang w:eastAsia="en-GB"/>
        </w:rPr>
        <w:t>und.</w:t>
      </w:r>
    </w:p>
    <w:p w14:paraId="137019C8" w14:textId="0D07483B" w:rsidR="00BA41AE" w:rsidRPr="0044554C" w:rsidRDefault="00BA41AE" w:rsidP="00BA41AE">
      <w:pPr>
        <w:rPr>
          <w:lang w:eastAsia="en-GB"/>
        </w:rPr>
      </w:pPr>
      <w:r w:rsidRPr="0044554C">
        <w:rPr>
          <w:lang w:eastAsia="en-GB"/>
        </w:rPr>
        <w:t>T</w:t>
      </w:r>
      <w:r>
        <w:rPr>
          <w:lang w:eastAsia="en-GB"/>
        </w:rPr>
        <w:t>he council incurred costs of £4,533,986</w:t>
      </w:r>
      <w:r w:rsidRPr="0044554C">
        <w:rPr>
          <w:lang w:eastAsia="en-GB"/>
        </w:rPr>
        <w:t xml:space="preserve"> (201</w:t>
      </w:r>
      <w:r>
        <w:rPr>
          <w:lang w:eastAsia="en-GB"/>
        </w:rPr>
        <w:t>3</w:t>
      </w:r>
      <w:r w:rsidRPr="0044554C">
        <w:rPr>
          <w:lang w:eastAsia="en-GB"/>
        </w:rPr>
        <w:t>/1</w:t>
      </w:r>
      <w:r>
        <w:rPr>
          <w:lang w:eastAsia="en-GB"/>
        </w:rPr>
        <w:t>4</w:t>
      </w:r>
      <w:r w:rsidRPr="0044554C">
        <w:rPr>
          <w:lang w:eastAsia="en-GB"/>
        </w:rPr>
        <w:t>: £</w:t>
      </w:r>
      <w:r>
        <w:rPr>
          <w:lang w:eastAsia="en-GB"/>
        </w:rPr>
        <w:t>4,246,713</w:t>
      </w:r>
      <w:r w:rsidRPr="0044554C">
        <w:rPr>
          <w:lang w:eastAsia="en-GB"/>
        </w:rPr>
        <w:t xml:space="preserve">) in relation to the administration of the </w:t>
      </w:r>
      <w:r>
        <w:rPr>
          <w:lang w:eastAsia="en-GB"/>
        </w:rPr>
        <w:t>Fund.</w:t>
      </w:r>
      <w:r w:rsidRPr="0044554C">
        <w:rPr>
          <w:lang w:eastAsia="en-GB"/>
        </w:rPr>
        <w:t xml:space="preserve"> This includes a proportion of relevant officers' salaries in respect of time allocated to </w:t>
      </w:r>
      <w:r>
        <w:rPr>
          <w:lang w:eastAsia="en-GB"/>
        </w:rPr>
        <w:t>p</w:t>
      </w:r>
      <w:r w:rsidRPr="0044554C">
        <w:rPr>
          <w:lang w:eastAsia="en-GB"/>
        </w:rPr>
        <w:t xml:space="preserve">ension and </w:t>
      </w:r>
      <w:r>
        <w:rPr>
          <w:lang w:eastAsia="en-GB"/>
        </w:rPr>
        <w:t>investment issues.</w:t>
      </w:r>
      <w:r w:rsidRPr="0044554C">
        <w:rPr>
          <w:lang w:eastAsia="en-GB"/>
        </w:rPr>
        <w:t xml:space="preserve"> The council was subsequently reimbursed by the </w:t>
      </w:r>
      <w:r>
        <w:rPr>
          <w:lang w:eastAsia="en-GB"/>
        </w:rPr>
        <w:t>F</w:t>
      </w:r>
      <w:r w:rsidRPr="0044554C">
        <w:rPr>
          <w:lang w:eastAsia="en-GB"/>
        </w:rPr>
        <w:t xml:space="preserve">und for these expenses. The council is also the single largest employer of the members of the </w:t>
      </w:r>
      <w:r>
        <w:rPr>
          <w:lang w:eastAsia="en-GB"/>
        </w:rPr>
        <w:t>P</w:t>
      </w:r>
      <w:r w:rsidRPr="0044554C">
        <w:rPr>
          <w:lang w:eastAsia="en-GB"/>
        </w:rPr>
        <w:t xml:space="preserve">ension </w:t>
      </w:r>
      <w:r>
        <w:rPr>
          <w:lang w:eastAsia="en-GB"/>
        </w:rPr>
        <w:t>F</w:t>
      </w:r>
      <w:r w:rsidRPr="0044554C">
        <w:rPr>
          <w:lang w:eastAsia="en-GB"/>
        </w:rPr>
        <w:t>und and contributed £</w:t>
      </w:r>
      <w:r>
        <w:rPr>
          <w:lang w:eastAsia="en-GB"/>
        </w:rPr>
        <w:t>79,496,428</w:t>
      </w:r>
      <w:r w:rsidRPr="0044554C">
        <w:rPr>
          <w:lang w:eastAsia="en-GB"/>
        </w:rPr>
        <w:t xml:space="preserve"> to the fund in 201</w:t>
      </w:r>
      <w:r>
        <w:rPr>
          <w:lang w:eastAsia="en-GB"/>
        </w:rPr>
        <w:t>4</w:t>
      </w:r>
      <w:r w:rsidRPr="0044554C">
        <w:rPr>
          <w:lang w:eastAsia="en-GB"/>
        </w:rPr>
        <w:t>/1</w:t>
      </w:r>
      <w:r>
        <w:rPr>
          <w:lang w:eastAsia="en-GB"/>
        </w:rPr>
        <w:t>5</w:t>
      </w:r>
      <w:r w:rsidRPr="0044554C">
        <w:rPr>
          <w:lang w:eastAsia="en-GB"/>
        </w:rPr>
        <w:t xml:space="preserve"> (201</w:t>
      </w:r>
      <w:r>
        <w:rPr>
          <w:lang w:eastAsia="en-GB"/>
        </w:rPr>
        <w:t>3</w:t>
      </w:r>
      <w:r w:rsidRPr="0044554C">
        <w:rPr>
          <w:lang w:eastAsia="en-GB"/>
        </w:rPr>
        <w:t>/1</w:t>
      </w:r>
      <w:r>
        <w:rPr>
          <w:lang w:eastAsia="en-GB"/>
        </w:rPr>
        <w:t>4</w:t>
      </w:r>
      <w:r w:rsidRPr="0044554C">
        <w:rPr>
          <w:lang w:eastAsia="en-GB"/>
        </w:rPr>
        <w:t>:</w:t>
      </w:r>
      <w:r>
        <w:rPr>
          <w:lang w:eastAsia="en-GB"/>
        </w:rPr>
        <w:t xml:space="preserve"> </w:t>
      </w:r>
      <w:r w:rsidRPr="0044554C">
        <w:rPr>
          <w:lang w:eastAsia="en-GB"/>
        </w:rPr>
        <w:t>£</w:t>
      </w:r>
      <w:r>
        <w:rPr>
          <w:lang w:eastAsia="en-GB"/>
        </w:rPr>
        <w:t>69,121,159</w:t>
      </w:r>
      <w:r w:rsidRPr="0044554C">
        <w:rPr>
          <w:lang w:eastAsia="en-GB"/>
        </w:rPr>
        <w:t xml:space="preserve">). All monies owing to and due from the </w:t>
      </w:r>
      <w:r>
        <w:rPr>
          <w:lang w:eastAsia="en-GB"/>
        </w:rPr>
        <w:t>F</w:t>
      </w:r>
      <w:r w:rsidRPr="0044554C">
        <w:rPr>
          <w:lang w:eastAsia="en-GB"/>
        </w:rPr>
        <w:t>und were paid in year.</w:t>
      </w:r>
    </w:p>
    <w:p w14:paraId="4E99D2F7" w14:textId="77777777" w:rsidR="00BA41AE" w:rsidRDefault="00BA41AE" w:rsidP="00BA41AE">
      <w:pPr>
        <w:rPr>
          <w:lang w:eastAsia="en-GB"/>
        </w:rPr>
      </w:pPr>
      <w:r w:rsidRPr="0044554C">
        <w:rPr>
          <w:lang w:eastAsia="en-GB"/>
        </w:rPr>
        <w:t>Part of the pension fund cash holdings are invested on the money markets by the treasury management operations of Lancashire Council County.</w:t>
      </w:r>
    </w:p>
    <w:p w14:paraId="7E3F283E" w14:textId="77777777" w:rsidR="00BA41AE" w:rsidRPr="00B535C8" w:rsidRDefault="00BA41AE" w:rsidP="00BA41AE">
      <w:pPr>
        <w:rPr>
          <w:b/>
          <w:lang w:eastAsia="en-GB"/>
        </w:rPr>
      </w:pPr>
      <w:r w:rsidRPr="00B535C8">
        <w:rPr>
          <w:b/>
          <w:lang w:eastAsia="en-GB"/>
        </w:rPr>
        <w:t>Global Renewables Lancashire Operations Limited</w:t>
      </w:r>
    </w:p>
    <w:p w14:paraId="5219A693" w14:textId="65771C92" w:rsidR="001E2463" w:rsidRDefault="001E2463" w:rsidP="001E2463">
      <w:pPr>
        <w:rPr>
          <w:rFonts w:eastAsiaTheme="minorHAnsi" w:cs="Arial"/>
          <w:color w:val="000000" w:themeColor="text1"/>
          <w:lang w:eastAsia="en-GB"/>
        </w:rPr>
      </w:pPr>
      <w:r>
        <w:rPr>
          <w:rFonts w:cs="Arial"/>
          <w:color w:val="000000" w:themeColor="text1"/>
          <w:lang w:eastAsia="en-GB"/>
        </w:rPr>
        <w:lastRenderedPageBreak/>
        <w:t>This company was acquired by LCC on 31 July 2014.  Please refer to note 38 above for more details of the acquisition.  The company's board of directors currently comprises five County Councillors and one Blackpool Councillor.   LCC and Blackpool make quarterly payments to fund the running of the company and reimburse monthly payments to third party specialist waste disposal companies.  Payments to GRLOL from 1st August 2014 to 31st March 2015 were £18,822,655 for the running and lifecycle costs and £6,070,163 for the reimbursed costs. Unspent waste minimisation and local market development funds totalling £1,463,148 were transferred back to Lancashire County Council. At 31st March 2015 the amount owed by LCC to GRLOL is £148,202. The amount owed to LCC from GLROL at 31st March 2015 is £87,500. These all exclude Blackpool's 12.5% share.</w:t>
      </w:r>
    </w:p>
    <w:p w14:paraId="3D183A08" w14:textId="77777777" w:rsidR="001E2463" w:rsidRDefault="001E2463" w:rsidP="001E2463">
      <w:pPr>
        <w:rPr>
          <w:rFonts w:cs="Arial"/>
          <w:color w:val="000000" w:themeColor="text1"/>
          <w:lang w:eastAsia="en-GB"/>
        </w:rPr>
      </w:pPr>
      <w:r>
        <w:rPr>
          <w:rFonts w:cs="Arial"/>
          <w:color w:val="000000" w:themeColor="text1"/>
          <w:lang w:eastAsia="en-GB"/>
        </w:rPr>
        <w:t>A copy of the statement of accounts is available from the GRLOL registered office: PO Box 78, County Hall, Fishergate, Preston, Lancashire PR1 8XJ.</w:t>
      </w:r>
    </w:p>
    <w:p w14:paraId="6340AB94" w14:textId="77777777" w:rsidR="00BA41AE" w:rsidRPr="00E22B66" w:rsidRDefault="00BA41AE" w:rsidP="00BA41AE">
      <w:pPr>
        <w:rPr>
          <w:b/>
          <w:lang w:eastAsia="en-GB"/>
        </w:rPr>
      </w:pPr>
      <w:r w:rsidRPr="00E22B66">
        <w:rPr>
          <w:b/>
          <w:lang w:eastAsia="en-GB"/>
        </w:rPr>
        <w:t>BT Lancashire Services Limited.</w:t>
      </w:r>
    </w:p>
    <w:p w14:paraId="4303342B" w14:textId="77777777" w:rsidR="00BA41AE" w:rsidRDefault="00BA41AE" w:rsidP="00BA41AE">
      <w:pPr>
        <w:rPr>
          <w:lang w:eastAsia="en-GB"/>
        </w:rPr>
      </w:pPr>
      <w:r w:rsidRPr="00E22B66">
        <w:rPr>
          <w:lang w:eastAsia="en-GB"/>
        </w:rPr>
        <w:t>From 1st April 2014 the partnership between BT and Lancashire County Council (One Connect Limited) was terminated. The company became a wholly owned BT subsidiary and was renamed BT Lancashire Services Limited.</w:t>
      </w:r>
    </w:p>
    <w:p w14:paraId="0D8A7085" w14:textId="77777777" w:rsidR="001706B1" w:rsidRPr="002A3820" w:rsidRDefault="001706B1" w:rsidP="00BA41AE">
      <w:pPr>
        <w:rPr>
          <w:b/>
          <w:lang w:eastAsia="en-GB"/>
        </w:rPr>
      </w:pPr>
    </w:p>
    <w:p w14:paraId="6CF52292" w14:textId="77777777" w:rsidR="00BA41AE" w:rsidRPr="00B535C8" w:rsidRDefault="00BA41AE" w:rsidP="00BA41AE">
      <w:pPr>
        <w:rPr>
          <w:b/>
          <w:lang w:eastAsia="en-GB"/>
        </w:rPr>
      </w:pPr>
      <w:r w:rsidRPr="00B535C8">
        <w:rPr>
          <w:b/>
          <w:lang w:eastAsia="en-GB"/>
        </w:rPr>
        <w:t>Lancashire County Developments Ltd</w:t>
      </w:r>
    </w:p>
    <w:p w14:paraId="133C29C9" w14:textId="2B71EE4D" w:rsidR="00BA41AE" w:rsidRPr="00B535C8" w:rsidRDefault="00BA41AE" w:rsidP="00BA41AE">
      <w:pPr>
        <w:rPr>
          <w:lang w:eastAsia="en-GB"/>
        </w:rPr>
      </w:pPr>
      <w:r w:rsidRPr="00B535C8">
        <w:rPr>
          <w:lang w:eastAsia="en-GB"/>
        </w:rPr>
        <w:lastRenderedPageBreak/>
        <w:t>Lancashire County Developments Ltd (LCDL) acts as an economic and job creation agency for the county. It is a company limited by guarantee and has no issued share capital. The liability of</w:t>
      </w:r>
      <w:r w:rsidR="005A628F">
        <w:rPr>
          <w:lang w:eastAsia="en-GB"/>
        </w:rPr>
        <w:t xml:space="preserve"> members is limited to £1. The c</w:t>
      </w:r>
      <w:r w:rsidRPr="00B535C8">
        <w:rPr>
          <w:lang w:eastAsia="en-GB"/>
        </w:rPr>
        <w:t>ouncil controls 80% of the members’ voting rights and it is classed as a subsidiary of the county council.</w:t>
      </w:r>
    </w:p>
    <w:p w14:paraId="061BC97B" w14:textId="77777777" w:rsidR="00BA41AE" w:rsidRPr="00B535C8" w:rsidRDefault="00BA41AE" w:rsidP="00BA41AE">
      <w:pPr>
        <w:rPr>
          <w:lang w:eastAsia="en-GB"/>
        </w:rPr>
      </w:pPr>
      <w:r w:rsidRPr="00B535C8">
        <w:rPr>
          <w:lang w:eastAsia="en-GB"/>
        </w:rPr>
        <w:t>County councillors and county council senior officers are represented on the board. The county council’s interest in LCDL is based on its contributions to the company’s capital funding reserve, loans to the company and rights to appoint members of the company. As a limited company, LCDL must use its profits and income to further its business objectives. It is not allowed to distribute profits as dividends.</w:t>
      </w:r>
    </w:p>
    <w:p w14:paraId="730D35C4" w14:textId="449187CB" w:rsidR="00BA41AE" w:rsidRPr="00B535C8" w:rsidRDefault="00BA41AE" w:rsidP="00BA41AE">
      <w:pPr>
        <w:rPr>
          <w:lang w:eastAsia="en-GB"/>
        </w:rPr>
      </w:pPr>
      <w:r w:rsidRPr="00B535C8">
        <w:rPr>
          <w:lang w:eastAsia="en-GB"/>
        </w:rPr>
        <w:t xml:space="preserve">Sales to Lancashire County Council during </w:t>
      </w:r>
      <w:r>
        <w:rPr>
          <w:lang w:eastAsia="en-GB"/>
        </w:rPr>
        <w:t>the year amount to £4,133,019</w:t>
      </w:r>
      <w:r w:rsidRPr="00B535C8">
        <w:rPr>
          <w:lang w:eastAsia="en-GB"/>
        </w:rPr>
        <w:t xml:space="preserve"> (20</w:t>
      </w:r>
      <w:r>
        <w:rPr>
          <w:lang w:eastAsia="en-GB"/>
        </w:rPr>
        <w:t>13/</w:t>
      </w:r>
      <w:r w:rsidRPr="00B535C8">
        <w:rPr>
          <w:lang w:eastAsia="en-GB"/>
        </w:rPr>
        <w:t>14: 3,329,345). Purchases from Lancashire County</w:t>
      </w:r>
      <w:r>
        <w:rPr>
          <w:lang w:eastAsia="en-GB"/>
        </w:rPr>
        <w:t xml:space="preserve"> Council amount to £1,801,952</w:t>
      </w:r>
      <w:r w:rsidRPr="00B535C8">
        <w:rPr>
          <w:lang w:eastAsia="en-GB"/>
        </w:rPr>
        <w:t xml:space="preserve"> (20</w:t>
      </w:r>
      <w:r>
        <w:rPr>
          <w:lang w:eastAsia="en-GB"/>
        </w:rPr>
        <w:t>13/</w:t>
      </w:r>
      <w:r w:rsidRPr="00B535C8">
        <w:rPr>
          <w:lang w:eastAsia="en-GB"/>
        </w:rPr>
        <w:t>14: £3,254,488). The amount owed by Lancashire County Council to this related party</w:t>
      </w:r>
      <w:r>
        <w:rPr>
          <w:lang w:eastAsia="en-GB"/>
        </w:rPr>
        <w:t xml:space="preserve"> at 31 March 201</w:t>
      </w:r>
      <w:r w:rsidR="00EE3747">
        <w:rPr>
          <w:lang w:eastAsia="en-GB"/>
        </w:rPr>
        <w:t>5</w:t>
      </w:r>
      <w:r>
        <w:rPr>
          <w:lang w:eastAsia="en-GB"/>
        </w:rPr>
        <w:t xml:space="preserve"> is £923,790</w:t>
      </w:r>
      <w:r w:rsidRPr="00B535C8">
        <w:rPr>
          <w:lang w:eastAsia="en-GB"/>
        </w:rPr>
        <w:t xml:space="preserve"> (20</w:t>
      </w:r>
      <w:r>
        <w:rPr>
          <w:lang w:eastAsia="en-GB"/>
        </w:rPr>
        <w:t>13/</w:t>
      </w:r>
      <w:r w:rsidRPr="00B535C8">
        <w:rPr>
          <w:lang w:eastAsia="en-GB"/>
        </w:rPr>
        <w:t>14: £3,006,955). The amount owed to Lancashire County Council from this related party at 31 March 201</w:t>
      </w:r>
      <w:r w:rsidR="002A61A5">
        <w:rPr>
          <w:lang w:eastAsia="en-GB"/>
        </w:rPr>
        <w:t>5</w:t>
      </w:r>
      <w:r w:rsidRPr="00B535C8">
        <w:rPr>
          <w:lang w:eastAsia="en-GB"/>
        </w:rPr>
        <w:t xml:space="preserve"> is £</w:t>
      </w:r>
      <w:r>
        <w:rPr>
          <w:lang w:eastAsia="en-GB"/>
        </w:rPr>
        <w:t>n</w:t>
      </w:r>
      <w:r w:rsidRPr="00B535C8">
        <w:rPr>
          <w:lang w:eastAsia="en-GB"/>
        </w:rPr>
        <w:t>il (20</w:t>
      </w:r>
      <w:r>
        <w:rPr>
          <w:lang w:eastAsia="en-GB"/>
        </w:rPr>
        <w:t>13/</w:t>
      </w:r>
      <w:r w:rsidRPr="00B535C8">
        <w:rPr>
          <w:lang w:eastAsia="en-GB"/>
        </w:rPr>
        <w:t>14: £31,647).</w:t>
      </w:r>
    </w:p>
    <w:p w14:paraId="5CD4A859" w14:textId="77777777" w:rsidR="00BA41AE" w:rsidRDefault="00BA41AE" w:rsidP="00BA41AE">
      <w:pPr>
        <w:rPr>
          <w:lang w:eastAsia="en-GB"/>
        </w:rPr>
      </w:pPr>
      <w:r w:rsidRPr="00B535C8">
        <w:rPr>
          <w:lang w:eastAsia="en-GB"/>
        </w:rPr>
        <w:t>A copy of the statement of accounts is available from the LCDL registered office: PO Box 78, County Hall, Preston, Lancashire PR1 8XJ.</w:t>
      </w:r>
    </w:p>
    <w:p w14:paraId="654B39D1" w14:textId="77777777" w:rsidR="00BA41AE" w:rsidRPr="00A06955" w:rsidRDefault="00BA41AE" w:rsidP="00BA41AE">
      <w:pPr>
        <w:rPr>
          <w:b/>
          <w:lang w:eastAsia="en-GB"/>
        </w:rPr>
      </w:pPr>
      <w:r w:rsidRPr="00A06955">
        <w:rPr>
          <w:b/>
          <w:lang w:eastAsia="en-GB"/>
        </w:rPr>
        <w:t>The Via Partnership (formerly CXL)</w:t>
      </w:r>
    </w:p>
    <w:p w14:paraId="11F5FED0" w14:textId="77777777" w:rsidR="00BA41AE" w:rsidRPr="00A06955" w:rsidRDefault="00BA41AE" w:rsidP="00BA41AE">
      <w:pPr>
        <w:rPr>
          <w:lang w:eastAsia="en-GB"/>
        </w:rPr>
      </w:pPr>
      <w:r w:rsidRPr="00A06955">
        <w:rPr>
          <w:lang w:eastAsia="en-GB"/>
        </w:rPr>
        <w:lastRenderedPageBreak/>
        <w:t>CXL was incorporated on 11th January 2007 to support, advance and promote the education and training of children, young people and adults in the Lancashire, Blackpool and Blackburn with Darwen areas in order to equip them for further education, employment and training. CXL changed its name to The Via Partnership Limited on the 4 April 2013.</w:t>
      </w:r>
    </w:p>
    <w:p w14:paraId="253D3D04" w14:textId="77777777" w:rsidR="00BA41AE" w:rsidRPr="00A06955" w:rsidRDefault="00BA41AE" w:rsidP="00BA41AE">
      <w:pPr>
        <w:rPr>
          <w:lang w:eastAsia="en-GB"/>
        </w:rPr>
      </w:pPr>
      <w:r w:rsidRPr="00A06955">
        <w:rPr>
          <w:lang w:eastAsia="en-GB"/>
        </w:rPr>
        <w:t xml:space="preserve">The Via Partnership is owned by Lancashire County Council with 40% shares; Blackburn with Darwen Borough Council with 30% shares; and Blackpool Borough Council with 30% shares. The voting rights of each council in general meetings of the company directly reflect their shareholdings. </w:t>
      </w:r>
      <w:r>
        <w:rPr>
          <w:lang w:eastAsia="en-GB"/>
        </w:rPr>
        <w:t>Senior representatives of the three councils are members of the board.</w:t>
      </w:r>
    </w:p>
    <w:p w14:paraId="395A98EC" w14:textId="77777777" w:rsidR="00BA41AE" w:rsidRDefault="00BA41AE" w:rsidP="00BA41AE">
      <w:pPr>
        <w:rPr>
          <w:lang w:eastAsia="en-GB"/>
        </w:rPr>
      </w:pPr>
      <w:r w:rsidRPr="00A06955">
        <w:rPr>
          <w:lang w:eastAsia="en-GB"/>
        </w:rPr>
        <w:t>In 2013/14 Financial Year the three shareholders of Via Partnership Limited provided an interest bearing commercial loan of £1million for working capital purposes to be repaid over the next eight to ten years, based on their respective shareholding. (Lancashire County Council £400,000, Blackburn with Darwen Council £300,000 and Blackpool Council £300,000).</w:t>
      </w:r>
    </w:p>
    <w:p w14:paraId="63A960BC" w14:textId="77777777" w:rsidR="00BA41AE" w:rsidRPr="00A06955" w:rsidRDefault="00BA41AE" w:rsidP="00BA41AE">
      <w:pPr>
        <w:rPr>
          <w:lang w:eastAsia="en-GB"/>
        </w:rPr>
      </w:pPr>
      <w:r w:rsidRPr="00044C9F">
        <w:rPr>
          <w:lang w:eastAsia="en-GB"/>
        </w:rPr>
        <w:t>During the year, the compa</w:t>
      </w:r>
      <w:r>
        <w:rPr>
          <w:lang w:eastAsia="en-GB"/>
        </w:rPr>
        <w:t xml:space="preserve">ny declared purchases of £50,631 </w:t>
      </w:r>
      <w:r w:rsidRPr="00044C9F">
        <w:rPr>
          <w:lang w:eastAsia="en-GB"/>
        </w:rPr>
        <w:t xml:space="preserve">from Lancashire County Council and </w:t>
      </w:r>
      <w:r>
        <w:rPr>
          <w:lang w:eastAsia="en-GB"/>
        </w:rPr>
        <w:t>a creditor balance of £90,536</w:t>
      </w:r>
      <w:r w:rsidRPr="00044C9F">
        <w:rPr>
          <w:lang w:eastAsia="en-GB"/>
        </w:rPr>
        <w:t xml:space="preserve"> due to Lancashire County Council. Sales for the year to Lancashir</w:t>
      </w:r>
      <w:r>
        <w:rPr>
          <w:lang w:eastAsia="en-GB"/>
        </w:rPr>
        <w:t>e County Council are £472,743</w:t>
      </w:r>
      <w:r w:rsidRPr="00044C9F">
        <w:rPr>
          <w:lang w:eastAsia="en-GB"/>
        </w:rPr>
        <w:t xml:space="preserve"> and the amount owed by Lancashire County Council to The Via Partnership as at 31st </w:t>
      </w:r>
      <w:r>
        <w:rPr>
          <w:lang w:eastAsia="en-GB"/>
        </w:rPr>
        <w:t>March 2015 amounts to £65,007</w:t>
      </w:r>
      <w:r w:rsidRPr="00044C9F">
        <w:rPr>
          <w:lang w:eastAsia="en-GB"/>
        </w:rPr>
        <w:t>.</w:t>
      </w:r>
    </w:p>
    <w:p w14:paraId="73F105AE" w14:textId="77777777" w:rsidR="00BA41AE" w:rsidRDefault="00BA41AE" w:rsidP="00BA41AE">
      <w:pPr>
        <w:rPr>
          <w:lang w:eastAsia="en-GB"/>
        </w:rPr>
      </w:pPr>
      <w:r w:rsidRPr="00A06955">
        <w:rPr>
          <w:lang w:eastAsia="en-GB"/>
        </w:rPr>
        <w:lastRenderedPageBreak/>
        <w:t>Due to timing this information is based on unaudited accounts. A copy of the accounts can be obtained from The Via Partnership Ltd registered office: County Hall, Preston, Lancashire, PR1 8XJ.</w:t>
      </w:r>
    </w:p>
    <w:p w14:paraId="0073C7F2" w14:textId="77777777" w:rsidR="00BA41AE" w:rsidRPr="00B535C8" w:rsidRDefault="00BA41AE" w:rsidP="00BA41AE">
      <w:pPr>
        <w:rPr>
          <w:b/>
          <w:lang w:eastAsia="en-GB"/>
        </w:rPr>
      </w:pPr>
      <w:r w:rsidRPr="00B535C8">
        <w:rPr>
          <w:b/>
          <w:lang w:eastAsia="en-GB"/>
        </w:rPr>
        <w:t>Marketing Lancashire Limited</w:t>
      </w:r>
    </w:p>
    <w:p w14:paraId="74CA3965" w14:textId="77777777" w:rsidR="00BA41AE" w:rsidRDefault="00BA41AE" w:rsidP="00BA41AE">
      <w:pPr>
        <w:rPr>
          <w:lang w:eastAsia="en-GB"/>
        </w:rPr>
      </w:pPr>
      <w:r>
        <w:rPr>
          <w:lang w:eastAsia="en-GB"/>
        </w:rPr>
        <w:t>Marketing Lancashire Ltd was created in 2004. It is one of four tourist boards that succeeded the North West Tourist Board. It is a company limited by guarantee and has no issued share capital. The liability of members is limited to £1. County councillors are represented on the board.</w:t>
      </w:r>
    </w:p>
    <w:p w14:paraId="0D08D786" w14:textId="77777777" w:rsidR="00BA41AE" w:rsidRDefault="00BA41AE" w:rsidP="00BA41AE">
      <w:pPr>
        <w:rPr>
          <w:lang w:eastAsia="en-GB"/>
        </w:rPr>
      </w:pPr>
      <w:r>
        <w:rPr>
          <w:lang w:eastAsia="en-GB"/>
        </w:rPr>
        <w:t>During the year, the company declared purchases of £22,085 (2013/14: £nil) from Lancashire County Council and a creditor balance of £nil (2013/14: £nil) due to its member Lancashire County Council. Sales for the year to Lancashire County Council are £82,766 (2013/14: £37,170) and the amount owed by Lancashire County Council to Marketing Lancashire as at 31st March 2015 amounts to £1,382 (2013/14: £1,902).</w:t>
      </w:r>
    </w:p>
    <w:p w14:paraId="2740EA0D" w14:textId="77777777" w:rsidR="00BA41AE" w:rsidRDefault="00BA41AE" w:rsidP="00BA41AE">
      <w:pPr>
        <w:rPr>
          <w:lang w:eastAsia="en-GB"/>
        </w:rPr>
      </w:pPr>
      <w:r>
        <w:rPr>
          <w:lang w:eastAsia="en-GB"/>
        </w:rPr>
        <w:t>A copy of the accounts can be obtained from PO Box 78, County Hall, Preston, Lancashire, PR1 8XJ.</w:t>
      </w:r>
    </w:p>
    <w:p w14:paraId="005FBB4F" w14:textId="77777777" w:rsidR="00BA41AE" w:rsidRPr="00AF785F" w:rsidRDefault="00BA41AE" w:rsidP="00BA41AE">
      <w:pPr>
        <w:rPr>
          <w:highlight w:val="yellow"/>
          <w:lang w:eastAsia="en-GB"/>
        </w:rPr>
      </w:pPr>
      <w:r>
        <w:rPr>
          <w:lang w:eastAsia="en-GB"/>
        </w:rPr>
        <w:t>Due to timing this information is based on unaudited accounts, however there have been no audit qualifications to the accounts of Marketing Lancashire Ltd (formerly Lancashire and Blackpool Tourist Board Ltd) in the past.</w:t>
      </w:r>
    </w:p>
    <w:p w14:paraId="73A17D38" w14:textId="77777777" w:rsidR="00BA41AE" w:rsidRPr="00AF785F" w:rsidRDefault="00BA41AE" w:rsidP="00BA41AE">
      <w:pPr>
        <w:rPr>
          <w:b/>
          <w:lang w:eastAsia="en-GB"/>
        </w:rPr>
      </w:pPr>
      <w:r w:rsidRPr="00AF785F">
        <w:rPr>
          <w:b/>
          <w:lang w:eastAsia="en-GB"/>
        </w:rPr>
        <w:t>Lancashire Sports Partnership Ltd</w:t>
      </w:r>
    </w:p>
    <w:p w14:paraId="154DBE0A" w14:textId="77777777" w:rsidR="00BA41AE" w:rsidRDefault="00BA41AE" w:rsidP="00BA41AE">
      <w:pPr>
        <w:rPr>
          <w:lang w:eastAsia="en-GB"/>
        </w:rPr>
      </w:pPr>
      <w:r>
        <w:rPr>
          <w:lang w:eastAsia="en-GB"/>
        </w:rPr>
        <w:lastRenderedPageBreak/>
        <w:t>Lancashire Sports Partnership Ltd exists to increase participation in sport and physical activity across the 15 local authorities of the sub region in Lancashire. Since being established in 2000 the company has been hosted by Myerscough College. In April 2010 the company became a separate legal entity from the college as a company limited by guarantee with a Board of Trustees.</w:t>
      </w:r>
    </w:p>
    <w:p w14:paraId="62804EB0" w14:textId="3B864C61" w:rsidR="00BA41AE" w:rsidRDefault="00BA41AE" w:rsidP="00BA41AE">
      <w:pPr>
        <w:rPr>
          <w:lang w:eastAsia="en-GB"/>
        </w:rPr>
      </w:pPr>
      <w:r>
        <w:rPr>
          <w:lang w:eastAsia="en-GB"/>
        </w:rPr>
        <w:t>During the year, the company receive</w:t>
      </w:r>
      <w:r w:rsidR="00523D9B">
        <w:rPr>
          <w:lang w:eastAsia="en-GB"/>
        </w:rPr>
        <w:t>d</w:t>
      </w:r>
      <w:r>
        <w:rPr>
          <w:lang w:eastAsia="en-GB"/>
        </w:rPr>
        <w:t xml:space="preserve"> funding </w:t>
      </w:r>
      <w:r w:rsidR="00523D9B">
        <w:rPr>
          <w:lang w:eastAsia="en-GB"/>
        </w:rPr>
        <w:t xml:space="preserve">of £15,000 </w:t>
      </w:r>
      <w:r>
        <w:rPr>
          <w:lang w:eastAsia="en-GB"/>
        </w:rPr>
        <w:t>(2013/14: £21,577) from its member, Lancashire County Council. The company paid £6,106 (2013/14: £9,629) to Lancashire County Council for the use of conferencing facilities and for the recharge of other services.</w:t>
      </w:r>
    </w:p>
    <w:p w14:paraId="6F579398" w14:textId="2A2CFC88" w:rsidR="00BA41AE" w:rsidRDefault="00BA41AE" w:rsidP="00BA41AE">
      <w:pPr>
        <w:rPr>
          <w:highlight w:val="yellow"/>
          <w:lang w:eastAsia="en-GB"/>
        </w:rPr>
      </w:pPr>
      <w:r>
        <w:rPr>
          <w:lang w:eastAsia="en-GB"/>
        </w:rPr>
        <w:t>Due to timing this information is based on unaudited accounts. A copy of the accounts can be obtained from PO Box 78, County Hall, Preston,</w:t>
      </w:r>
      <w:r w:rsidR="003C0D03">
        <w:rPr>
          <w:lang w:eastAsia="en-GB"/>
        </w:rPr>
        <w:t xml:space="preserve"> </w:t>
      </w:r>
      <w:r>
        <w:rPr>
          <w:lang w:eastAsia="en-GB"/>
        </w:rPr>
        <w:t>Lancashire, PR1 8XJ.</w:t>
      </w:r>
    </w:p>
    <w:p w14:paraId="6EEFD8AA" w14:textId="77777777" w:rsidR="00BA41AE" w:rsidRPr="00AF785F" w:rsidRDefault="00BA41AE" w:rsidP="00BA41AE">
      <w:pPr>
        <w:rPr>
          <w:b/>
          <w:lang w:eastAsia="en-GB"/>
        </w:rPr>
      </w:pPr>
      <w:r w:rsidRPr="00AF785F">
        <w:rPr>
          <w:b/>
          <w:lang w:eastAsia="en-GB"/>
        </w:rPr>
        <w:t>Lancashire Workforce Development Partnership Limited</w:t>
      </w:r>
    </w:p>
    <w:p w14:paraId="0257E1EE" w14:textId="77777777" w:rsidR="00BA41AE" w:rsidRDefault="00BA41AE" w:rsidP="00BA41AE">
      <w:pPr>
        <w:rPr>
          <w:lang w:eastAsia="en-GB"/>
        </w:rPr>
      </w:pPr>
      <w:r>
        <w:rPr>
          <w:lang w:eastAsia="en-GB"/>
        </w:rPr>
        <w:t>This organisation is a Company Limited by Guarantee providing support through products and services designed to improve the skills and knowledge of the independent and private social care sector workforce within the Lancashire County Council boundaries. It is controlled by Lancashire County Council within the meaning of Part V of the Government and Housing Act (1989) with a liability limited to £1.</w:t>
      </w:r>
    </w:p>
    <w:p w14:paraId="008317CB" w14:textId="77777777" w:rsidR="00BA41AE" w:rsidRDefault="00BA41AE" w:rsidP="00BA41AE">
      <w:pPr>
        <w:rPr>
          <w:lang w:eastAsia="en-GB"/>
        </w:rPr>
      </w:pPr>
      <w:r>
        <w:rPr>
          <w:lang w:eastAsia="en-GB"/>
        </w:rPr>
        <w:t xml:space="preserve">An amount of £700,000 (2013/14: £1,200,000) was received in the year under a service agreement with Lancashire County </w:t>
      </w:r>
      <w:r>
        <w:rPr>
          <w:lang w:eastAsia="en-GB"/>
        </w:rPr>
        <w:lastRenderedPageBreak/>
        <w:t>Council. In addition Lancashire Workforce Development Partnership invoiced Lancashire County Council for room hire of £nil (2013/14: £134). Lancashire Workforce Development Partnership also paid £45,446 in contributions (2013/14: £58,366) to the Local Government Pension Scheme administered by Lancashire County Council.</w:t>
      </w:r>
    </w:p>
    <w:p w14:paraId="4034804B" w14:textId="77777777" w:rsidR="00BA41AE" w:rsidRDefault="00BA41AE" w:rsidP="00BA41AE">
      <w:pPr>
        <w:rPr>
          <w:lang w:eastAsia="en-GB"/>
        </w:rPr>
      </w:pPr>
      <w:r>
        <w:rPr>
          <w:lang w:eastAsia="en-GB"/>
        </w:rPr>
        <w:t>A copy of the accounts can be obtained from Lancashire County Council, PO Box 78, County Hall, Preston, Lancashire PR1 8XJ.</w:t>
      </w:r>
    </w:p>
    <w:p w14:paraId="392A9AE7" w14:textId="77777777" w:rsidR="00BA41AE" w:rsidRPr="00A06955" w:rsidRDefault="00BA41AE" w:rsidP="00BA41AE">
      <w:pPr>
        <w:rPr>
          <w:b/>
          <w:lang w:eastAsia="en-GB"/>
        </w:rPr>
      </w:pPr>
      <w:r w:rsidRPr="00A06955">
        <w:rPr>
          <w:b/>
          <w:lang w:eastAsia="en-GB"/>
        </w:rPr>
        <w:t>Public Transport Information Ltd</w:t>
      </w:r>
    </w:p>
    <w:p w14:paraId="32855899" w14:textId="77777777" w:rsidR="00BA41AE" w:rsidRPr="00A06955" w:rsidRDefault="00BA41AE" w:rsidP="00BA41AE">
      <w:pPr>
        <w:rPr>
          <w:lang w:eastAsia="en-GB"/>
        </w:rPr>
      </w:pPr>
      <w:r w:rsidRPr="00A06955">
        <w:rPr>
          <w:lang w:eastAsia="en-GB"/>
        </w:rPr>
        <w:t>Public Transport Information (PTI) Ltd provides a public transport information service. It is part of the national Traveline network. PTI Ltd is a company limited by guarantee and has no issued share capital. The liability of a member is limited to £1.</w:t>
      </w:r>
    </w:p>
    <w:p w14:paraId="40A4C6C4" w14:textId="77777777" w:rsidR="00BA41AE" w:rsidRPr="00A06955" w:rsidRDefault="00BA41AE" w:rsidP="00BA41AE">
      <w:pPr>
        <w:rPr>
          <w:lang w:eastAsia="en-GB"/>
        </w:rPr>
      </w:pPr>
      <w:r w:rsidRPr="00A06955">
        <w:rPr>
          <w:lang w:eastAsia="en-GB"/>
        </w:rPr>
        <w:t xml:space="preserve">Lancashire County Council made contributions to the company of </w:t>
      </w:r>
      <w:r w:rsidRPr="00DE4A34">
        <w:rPr>
          <w:lang w:eastAsia="en-GB"/>
        </w:rPr>
        <w:t>£47,778 (2013: £102,521)</w:t>
      </w:r>
      <w:r w:rsidRPr="00A06955">
        <w:rPr>
          <w:lang w:eastAsia="en-GB"/>
        </w:rPr>
        <w:t xml:space="preserve"> during the year. During the year, Public Transport Information Limited acquired licenses with a total cost of </w:t>
      </w:r>
      <w:r w:rsidRPr="00DE4A34">
        <w:rPr>
          <w:lang w:eastAsia="en-GB"/>
        </w:rPr>
        <w:t>£3,400 (2013: £2,355)</w:t>
      </w:r>
      <w:r w:rsidRPr="00A06955">
        <w:rPr>
          <w:lang w:eastAsia="en-GB"/>
        </w:rPr>
        <w:t xml:space="preserve"> on behalf of Lancashire County Council which were subsequently recharged at cost. At the year end, Lancashire County Council were owed £</w:t>
      </w:r>
      <w:r>
        <w:rPr>
          <w:lang w:eastAsia="en-GB"/>
        </w:rPr>
        <w:t>n</w:t>
      </w:r>
      <w:r w:rsidRPr="00A06955">
        <w:rPr>
          <w:lang w:eastAsia="en-GB"/>
        </w:rPr>
        <w:t>il (201</w:t>
      </w:r>
      <w:r>
        <w:rPr>
          <w:lang w:eastAsia="en-GB"/>
        </w:rPr>
        <w:t>3</w:t>
      </w:r>
      <w:r w:rsidRPr="00A06955">
        <w:rPr>
          <w:lang w:eastAsia="en-GB"/>
        </w:rPr>
        <w:t>: £</w:t>
      </w:r>
      <w:r>
        <w:rPr>
          <w:lang w:eastAsia="en-GB"/>
        </w:rPr>
        <w:t>n</w:t>
      </w:r>
      <w:r w:rsidRPr="00A06955">
        <w:rPr>
          <w:lang w:eastAsia="en-GB"/>
        </w:rPr>
        <w:t>il) by Public Transport Information Limited, and owed £</w:t>
      </w:r>
      <w:r>
        <w:rPr>
          <w:lang w:eastAsia="en-GB"/>
        </w:rPr>
        <w:t>n</w:t>
      </w:r>
      <w:r w:rsidRPr="00A06955">
        <w:rPr>
          <w:lang w:eastAsia="en-GB"/>
        </w:rPr>
        <w:t>il (201</w:t>
      </w:r>
      <w:r>
        <w:rPr>
          <w:lang w:eastAsia="en-GB"/>
        </w:rPr>
        <w:t>3</w:t>
      </w:r>
      <w:r w:rsidRPr="00A06955">
        <w:rPr>
          <w:lang w:eastAsia="en-GB"/>
        </w:rPr>
        <w:t>: £</w:t>
      </w:r>
      <w:r>
        <w:rPr>
          <w:lang w:eastAsia="en-GB"/>
        </w:rPr>
        <w:t>n</w:t>
      </w:r>
      <w:r w:rsidRPr="00A06955">
        <w:rPr>
          <w:lang w:eastAsia="en-GB"/>
        </w:rPr>
        <w:t>il) to the company.</w:t>
      </w:r>
    </w:p>
    <w:p w14:paraId="0C6A173C" w14:textId="77777777" w:rsidR="00BA41AE" w:rsidRDefault="00BA41AE" w:rsidP="00BA41AE">
      <w:r w:rsidRPr="00A06955">
        <w:rPr>
          <w:lang w:eastAsia="en-GB"/>
        </w:rPr>
        <w:t xml:space="preserve">A copy of the accounts can be obtained from </w:t>
      </w:r>
      <w:r>
        <w:rPr>
          <w:lang w:eastAsia="en-GB"/>
        </w:rPr>
        <w:t>C</w:t>
      </w:r>
      <w:r w:rsidRPr="00A06955">
        <w:rPr>
          <w:lang w:eastAsia="en-GB"/>
        </w:rPr>
        <w:t xml:space="preserve">ompanies' </w:t>
      </w:r>
      <w:r>
        <w:rPr>
          <w:lang w:eastAsia="en-GB"/>
        </w:rPr>
        <w:t>H</w:t>
      </w:r>
      <w:r w:rsidRPr="00A06955">
        <w:rPr>
          <w:lang w:eastAsia="en-GB"/>
        </w:rPr>
        <w:t xml:space="preserve">ouse, </w:t>
      </w:r>
      <w:hyperlink r:id="rId26" w:history="1">
        <w:r w:rsidRPr="00A06955">
          <w:t>www.companieshouse.gov.uk</w:t>
        </w:r>
      </w:hyperlink>
      <w:r w:rsidRPr="00A06955">
        <w:t>.</w:t>
      </w:r>
    </w:p>
    <w:p w14:paraId="787F08ED" w14:textId="77777777" w:rsidR="00BA41AE" w:rsidRPr="00044C9F" w:rsidRDefault="00BA41AE" w:rsidP="00BA41AE">
      <w:pPr>
        <w:rPr>
          <w:b/>
          <w:lang w:eastAsia="en-GB"/>
        </w:rPr>
      </w:pPr>
      <w:r w:rsidRPr="00044C9F">
        <w:rPr>
          <w:b/>
          <w:lang w:eastAsia="en-GB"/>
        </w:rPr>
        <w:t>Healthwatch Lancashire Limited</w:t>
      </w:r>
    </w:p>
    <w:p w14:paraId="3C8667CE" w14:textId="05190F8D" w:rsidR="00BA41AE" w:rsidRDefault="00BA41AE" w:rsidP="00BA41AE">
      <w:pPr>
        <w:rPr>
          <w:lang w:eastAsia="en-GB"/>
        </w:rPr>
      </w:pPr>
      <w:r>
        <w:rPr>
          <w:lang w:eastAsia="en-GB"/>
        </w:rPr>
        <w:lastRenderedPageBreak/>
        <w:t>Healthwatch Lancashire Limited commenced operations on 1st April 2013 a</w:t>
      </w:r>
      <w:r w:rsidR="005A628F">
        <w:rPr>
          <w:lang w:eastAsia="en-GB"/>
        </w:rPr>
        <w:t xml:space="preserve">nd </w:t>
      </w:r>
      <w:r w:rsidR="00385AB1">
        <w:rPr>
          <w:lang w:eastAsia="en-GB"/>
        </w:rPr>
        <w:t>is</w:t>
      </w:r>
      <w:r w:rsidR="005A628F">
        <w:rPr>
          <w:lang w:eastAsia="en-GB"/>
        </w:rPr>
        <w:t xml:space="preserve"> commissioned by the county c</w:t>
      </w:r>
      <w:r>
        <w:rPr>
          <w:lang w:eastAsia="en-GB"/>
        </w:rPr>
        <w:t xml:space="preserve">ouncil to undertake statutory functions on the </w:t>
      </w:r>
      <w:r w:rsidR="00E820B6">
        <w:rPr>
          <w:lang w:eastAsia="en-GB"/>
        </w:rPr>
        <w:t xml:space="preserve">council's </w:t>
      </w:r>
      <w:r>
        <w:rPr>
          <w:lang w:eastAsia="en-GB"/>
        </w:rPr>
        <w:t>behalf.</w:t>
      </w:r>
    </w:p>
    <w:p w14:paraId="0B491F7C" w14:textId="296920B3" w:rsidR="00BA41AE" w:rsidRDefault="00BA41AE" w:rsidP="00BA41AE">
      <w:pPr>
        <w:rPr>
          <w:lang w:eastAsia="en-GB"/>
        </w:rPr>
      </w:pPr>
      <w:r>
        <w:rPr>
          <w:lang w:eastAsia="en-GB"/>
        </w:rPr>
        <w:t>Healthwatch is the independent consumer champion for both health and social care. It exist</w:t>
      </w:r>
      <w:r w:rsidR="00385AB1">
        <w:rPr>
          <w:lang w:eastAsia="en-GB"/>
        </w:rPr>
        <w:t>s</w:t>
      </w:r>
      <w:r>
        <w:rPr>
          <w:lang w:eastAsia="en-GB"/>
        </w:rPr>
        <w:t xml:space="preserve"> in two distinct forms – local Healthwatch, at local level, and Healthwatch England at national level. The aim of Healthwatch Lancashire </w:t>
      </w:r>
      <w:r w:rsidR="00385AB1">
        <w:rPr>
          <w:lang w:eastAsia="en-GB"/>
        </w:rPr>
        <w:t>is</w:t>
      </w:r>
      <w:r>
        <w:rPr>
          <w:lang w:eastAsia="en-GB"/>
        </w:rPr>
        <w:t xml:space="preserve"> to give citizens and communities a stronger voice to influence and challenge how health and social care services are provided within their locality. Healthwatch Lancashire also provide</w:t>
      </w:r>
      <w:r w:rsidR="00385AB1">
        <w:rPr>
          <w:lang w:eastAsia="en-GB"/>
        </w:rPr>
        <w:t>s</w:t>
      </w:r>
      <w:r>
        <w:rPr>
          <w:lang w:eastAsia="en-GB"/>
        </w:rPr>
        <w:t xml:space="preserve"> or signpost</w:t>
      </w:r>
      <w:r w:rsidR="00385AB1">
        <w:rPr>
          <w:lang w:eastAsia="en-GB"/>
        </w:rPr>
        <w:t>s</w:t>
      </w:r>
      <w:r>
        <w:rPr>
          <w:lang w:eastAsia="en-GB"/>
        </w:rPr>
        <w:t xml:space="preserve"> people to information to help them make choice</w:t>
      </w:r>
      <w:r w:rsidR="00385AB1">
        <w:rPr>
          <w:lang w:eastAsia="en-GB"/>
        </w:rPr>
        <w:t>s</w:t>
      </w:r>
      <w:r>
        <w:rPr>
          <w:lang w:eastAsia="en-GB"/>
        </w:rPr>
        <w:t xml:space="preserve"> about health and care services.</w:t>
      </w:r>
    </w:p>
    <w:p w14:paraId="0F497CC4" w14:textId="77777777" w:rsidR="00BA41AE" w:rsidRDefault="00BA41AE" w:rsidP="00BA41AE">
      <w:pPr>
        <w:rPr>
          <w:lang w:eastAsia="en-GB"/>
        </w:rPr>
      </w:pPr>
      <w:r>
        <w:rPr>
          <w:lang w:eastAsia="en-GB"/>
        </w:rPr>
        <w:t>During the year, the company has declared purchases of £109 (2013/14: £7,200) from Lancashire County Council. Funding received during the year from Lancashire County Council amounts to £788,000 (2013/14: £305,000).</w:t>
      </w:r>
    </w:p>
    <w:p w14:paraId="451499AA" w14:textId="11441ED5" w:rsidR="00044C9F" w:rsidRDefault="00BA41AE" w:rsidP="00BA41AE">
      <w:pPr>
        <w:rPr>
          <w:lang w:eastAsia="en-GB"/>
        </w:rPr>
      </w:pPr>
      <w:r>
        <w:rPr>
          <w:lang w:eastAsia="en-GB"/>
        </w:rPr>
        <w:t>A copy of the accounts can be obtained from PO Box 78, County Hall, Preston, Lancashire, PR1 8XJ.</w:t>
      </w:r>
    </w:p>
    <w:p w14:paraId="7D5F8A9F" w14:textId="77777777" w:rsidR="00BA41AE" w:rsidRPr="003C0F16" w:rsidRDefault="00BA41AE" w:rsidP="00BA41AE">
      <w:pPr>
        <w:rPr>
          <w:highlight w:val="yellow"/>
          <w:lang w:eastAsia="en-GB"/>
        </w:rPr>
      </w:pPr>
    </w:p>
    <w:p w14:paraId="6EC703EE" w14:textId="2F5B7C2C" w:rsidR="00AE6ADB" w:rsidRPr="00A06955" w:rsidRDefault="0047699E" w:rsidP="00AE6ADB">
      <w:pPr>
        <w:pStyle w:val="Heading2"/>
      </w:pPr>
      <w:r>
        <w:t>40</w:t>
      </w:r>
      <w:r w:rsidR="00AE6ADB" w:rsidRPr="00A06955">
        <w:t xml:space="preserve">. Contingent </w:t>
      </w:r>
      <w:r w:rsidR="00311222">
        <w:t>l</w:t>
      </w:r>
      <w:r w:rsidR="00AE6ADB" w:rsidRPr="00A06955">
        <w:t>iabilities</w:t>
      </w:r>
    </w:p>
    <w:p w14:paraId="584956C9" w14:textId="0558B52F" w:rsidR="00221002" w:rsidRPr="00F902DE" w:rsidRDefault="00221002" w:rsidP="008D0533">
      <w:pPr>
        <w:pStyle w:val="NormalWeb"/>
        <w:jc w:val="both"/>
        <w:rPr>
          <w:rFonts w:cs="Arial"/>
        </w:rPr>
      </w:pPr>
      <w:r w:rsidRPr="008D0533">
        <w:rPr>
          <w:rFonts w:ascii="Arial" w:hAnsi="Arial" w:cs="Arial"/>
        </w:rPr>
        <w:t xml:space="preserve">There may be a contingent liability flowing from a recent decision in the Employment Appeal Tribunal that ‘non-guaranteed’ overtime (overtime that the employer does not guarantee to provide) </w:t>
      </w:r>
      <w:r w:rsidRPr="008D0533">
        <w:rPr>
          <w:rFonts w:ascii="Arial" w:hAnsi="Arial" w:cs="Arial"/>
        </w:rPr>
        <w:lastRenderedPageBreak/>
        <w:t>is to be included in the calculation of holiday pay in certain circumstances.</w:t>
      </w:r>
      <w:r w:rsidR="00ED6E00" w:rsidRPr="008D0533">
        <w:rPr>
          <w:rFonts w:ascii="Arial" w:hAnsi="Arial" w:cs="Arial"/>
        </w:rPr>
        <w:t xml:space="preserve">  </w:t>
      </w:r>
      <w:r w:rsidRPr="008D0533">
        <w:rPr>
          <w:rFonts w:ascii="Arial" w:hAnsi="Arial" w:cs="Arial"/>
        </w:rPr>
        <w:t>This only applies to the four weeks' holiday pay entitlement which derives from the EU working time directive (referred to as Regulation 13 holiday entitlement under the Working Time Regulations 1998). As regards to the payment of back pay, this is limited. If there is a gap of more than three months, during which there is no underpayment of holiday pay, then an employee cannot argue that a further underpayment forms part of the same series of deductions.</w:t>
      </w:r>
      <w:r w:rsidR="00B12067" w:rsidRPr="008D0533">
        <w:rPr>
          <w:rFonts w:ascii="Arial" w:hAnsi="Arial" w:cs="Arial"/>
        </w:rPr>
        <w:t xml:space="preserve"> Furthermore, The </w:t>
      </w:r>
      <w:hyperlink r:id="rId27" w:history="1">
        <w:r w:rsidR="00B12067" w:rsidRPr="008D0533">
          <w:rPr>
            <w:rFonts w:ascii="Arial" w:hAnsi="Arial" w:cs="Arial"/>
          </w:rPr>
          <w:t>Deductions from Wages (Limitation) Regulations 2014</w:t>
        </w:r>
      </w:hyperlink>
      <w:r w:rsidR="00B12067" w:rsidRPr="008D0533">
        <w:rPr>
          <w:rFonts w:ascii="Arial" w:hAnsi="Arial" w:cs="Arial"/>
        </w:rPr>
        <w:t xml:space="preserve"> were brought into force on the 1st July 2015 and limit claims for deductions from wages to two years from the date of the deduction.  </w:t>
      </w:r>
    </w:p>
    <w:p w14:paraId="7A2B0D69" w14:textId="77777777" w:rsidR="00220AA6" w:rsidRPr="003C0F16" w:rsidRDefault="00220AA6" w:rsidP="00AE6ADB">
      <w:pPr>
        <w:rPr>
          <w:highlight w:val="yellow"/>
          <w:lang w:eastAsia="en-GB"/>
        </w:rPr>
      </w:pPr>
    </w:p>
    <w:p w14:paraId="60AE6E87" w14:textId="63B774E8" w:rsidR="003B081D" w:rsidRPr="00A06955" w:rsidRDefault="0047699E" w:rsidP="003B081D">
      <w:pPr>
        <w:pStyle w:val="Heading2"/>
      </w:pPr>
      <w:r>
        <w:t>41</w:t>
      </w:r>
      <w:r w:rsidR="003B081D" w:rsidRPr="00A06955">
        <w:t xml:space="preserve">. Defined Benefit Pension </w:t>
      </w:r>
      <w:r w:rsidR="008E7863">
        <w:t>s</w:t>
      </w:r>
      <w:r w:rsidR="003B081D" w:rsidRPr="00A06955">
        <w:t>chemes</w:t>
      </w:r>
    </w:p>
    <w:p w14:paraId="1ED314C6" w14:textId="3E9C99B9" w:rsidR="003B081D" w:rsidRPr="00F93893" w:rsidRDefault="003B081D" w:rsidP="003B081D">
      <w:pPr>
        <w:rPr>
          <w:lang w:eastAsia="en-GB"/>
        </w:rPr>
      </w:pPr>
      <w:r w:rsidRPr="00F93893">
        <w:rPr>
          <w:lang w:eastAsia="en-GB"/>
        </w:rPr>
        <w:t>As part of the terms and conditions of employment of its officers and other employees, the council offers retirement benefits. Although these benefits will not actually be payable until employees retire, the council has a commitment to make the payments that need to be disclosed at the time that employees earn their future entitlement. The amount of pension depends on how long employees are active members of the scheme and their salary when they leave the scheme (a “final salary” scheme) for service up to 31 March 201</w:t>
      </w:r>
      <w:r w:rsidR="00DB3093">
        <w:rPr>
          <w:lang w:eastAsia="en-GB"/>
        </w:rPr>
        <w:t>4</w:t>
      </w:r>
      <w:r w:rsidRPr="00F93893">
        <w:rPr>
          <w:lang w:eastAsia="en-GB"/>
        </w:rPr>
        <w:t xml:space="preserve"> and on revalued average salary (a “career average” schem</w:t>
      </w:r>
      <w:r w:rsidR="00F93893" w:rsidRPr="00F93893">
        <w:rPr>
          <w:lang w:eastAsia="en-GB"/>
        </w:rPr>
        <w:t>e) for service from 1 April 2014</w:t>
      </w:r>
      <w:r w:rsidRPr="00F93893">
        <w:rPr>
          <w:lang w:eastAsia="en-GB"/>
        </w:rPr>
        <w:t xml:space="preserve"> onwards.</w:t>
      </w:r>
    </w:p>
    <w:p w14:paraId="22D0C0B4" w14:textId="100CC8B8" w:rsidR="003B081D" w:rsidRPr="005F2D5F" w:rsidRDefault="00F93893" w:rsidP="003B081D">
      <w:pPr>
        <w:rPr>
          <w:lang w:eastAsia="en-GB"/>
        </w:rPr>
      </w:pPr>
      <w:r w:rsidRPr="005F2D5F">
        <w:rPr>
          <w:lang w:eastAsia="en-GB"/>
        </w:rPr>
        <w:t>At 31 March 2015</w:t>
      </w:r>
      <w:r w:rsidR="003B081D" w:rsidRPr="005F2D5F">
        <w:rPr>
          <w:lang w:eastAsia="en-GB"/>
        </w:rPr>
        <w:t xml:space="preserve"> the </w:t>
      </w:r>
      <w:r w:rsidR="00E820B6">
        <w:rPr>
          <w:lang w:eastAsia="en-GB"/>
        </w:rPr>
        <w:t>council</w:t>
      </w:r>
      <w:r w:rsidR="00E820B6" w:rsidRPr="005F2D5F">
        <w:rPr>
          <w:lang w:eastAsia="en-GB"/>
        </w:rPr>
        <w:t xml:space="preserve">’s </w:t>
      </w:r>
      <w:r w:rsidR="003B081D" w:rsidRPr="005F2D5F">
        <w:rPr>
          <w:lang w:eastAsia="en-GB"/>
        </w:rPr>
        <w:t>principal pension arrangement for its employees was the Lancashire County Pension Fund, which is part of the Local Government Pension Scheme (LGPS). The LGPS is a funded defined benefit pension arrangement for local authorities and related employers, and is governed by statute (principally now the Local Government Pension Scheme Regulations 2013).</w:t>
      </w:r>
    </w:p>
    <w:p w14:paraId="3D7D8BE3" w14:textId="77777777" w:rsidR="003B081D" w:rsidRPr="00F93893" w:rsidRDefault="003B081D" w:rsidP="003B081D">
      <w:pPr>
        <w:rPr>
          <w:lang w:eastAsia="en-GB"/>
        </w:rPr>
      </w:pPr>
      <w:r w:rsidRPr="005F2D5F">
        <w:rPr>
          <w:lang w:eastAsia="en-GB"/>
        </w:rPr>
        <w:t>The Lancashire County Pension Fund is a multi-employer arrangement, under which each employer is responsible for the pension costs, liabilities and funding risks relating to its own employees and former employees.  Each employer’s contributions to the Fund are calculated in accordance with the LGPS Regulations, which require an actuarial valuation to be carried out every three years.  The latest actuarial valuation of the Fund was carried out at 31 March 2014, and at that date showed a funding level of 78% (assets of £5.0bn against accrued liabilities of about £6.4bn). The weighted average duration of the liabilities of the Fund as a whole is 18 years, measured on the IAS19 actuarial assumptions.  The duration of the liabilities for the individual employers which participate in the scheme can be significantly different from this, reflecting the profile of its employees and former employees.</w:t>
      </w:r>
    </w:p>
    <w:p w14:paraId="146C5CC8" w14:textId="557CE58D" w:rsidR="003B081D" w:rsidRPr="00F93893" w:rsidRDefault="003B081D" w:rsidP="003B081D">
      <w:pPr>
        <w:rPr>
          <w:lang w:eastAsia="en-GB"/>
        </w:rPr>
      </w:pPr>
      <w:r w:rsidRPr="00F93893">
        <w:rPr>
          <w:lang w:eastAsia="en-GB"/>
        </w:rPr>
        <w:t xml:space="preserve">In addition, the </w:t>
      </w:r>
      <w:r w:rsidR="00E820B6">
        <w:rPr>
          <w:lang w:eastAsia="en-GB"/>
        </w:rPr>
        <w:t>council</w:t>
      </w:r>
      <w:r w:rsidR="00E820B6" w:rsidRPr="00F93893">
        <w:rPr>
          <w:lang w:eastAsia="en-GB"/>
        </w:rPr>
        <w:t xml:space="preserve"> </w:t>
      </w:r>
      <w:r w:rsidRPr="00F93893">
        <w:rPr>
          <w:lang w:eastAsia="en-GB"/>
        </w:rPr>
        <w:t>also participates in some other defined benefit pension arrangements, also governed under statute, but these other schemes are unfunded.</w:t>
      </w:r>
    </w:p>
    <w:p w14:paraId="1C302BEA" w14:textId="77777777" w:rsidR="003B081D" w:rsidRPr="00F93893" w:rsidRDefault="003B081D" w:rsidP="003B081D">
      <w:pPr>
        <w:rPr>
          <w:lang w:eastAsia="en-GB"/>
        </w:rPr>
      </w:pPr>
      <w:r w:rsidRPr="00F93893">
        <w:rPr>
          <w:lang w:eastAsia="en-GB"/>
        </w:rPr>
        <w:t>These other arrangements relate to:</w:t>
      </w:r>
    </w:p>
    <w:p w14:paraId="7F117FE1" w14:textId="77777777" w:rsidR="003B081D" w:rsidRPr="00F93893" w:rsidRDefault="003B081D" w:rsidP="003B081D">
      <w:pPr>
        <w:rPr>
          <w:b/>
          <w:lang w:eastAsia="en-GB"/>
        </w:rPr>
      </w:pPr>
      <w:r w:rsidRPr="00F93893">
        <w:rPr>
          <w:b/>
          <w:lang w:eastAsia="en-GB"/>
        </w:rPr>
        <w:t>Teachers</w:t>
      </w:r>
    </w:p>
    <w:p w14:paraId="5D63CCB4" w14:textId="33DDD00D" w:rsidR="003B081D" w:rsidRDefault="003B081D" w:rsidP="003B081D">
      <w:r w:rsidRPr="00F93893">
        <w:t xml:space="preserve">The </w:t>
      </w:r>
      <w:r w:rsidR="00E820B6">
        <w:t>council</w:t>
      </w:r>
      <w:r w:rsidR="00E820B6" w:rsidRPr="00F93893">
        <w:t xml:space="preserve">’s </w:t>
      </w:r>
      <w:r w:rsidRPr="00F93893">
        <w:t xml:space="preserve">costs in relation to this arrangement are set by central government as a percentage of contributing members’ pay.  The related funding risks are borne by central government.  The </w:t>
      </w:r>
      <w:r w:rsidR="00E820B6">
        <w:t>council</w:t>
      </w:r>
      <w:r w:rsidR="00E820B6" w:rsidRPr="00F93893">
        <w:t xml:space="preserve"> </w:t>
      </w:r>
      <w:r w:rsidRPr="00F93893">
        <w:t>is, however, responsible for paying some additional pensions to retired teachers which were awarded at the point of retirement.</w:t>
      </w:r>
    </w:p>
    <w:p w14:paraId="130B5E88" w14:textId="77777777" w:rsidR="001706B1" w:rsidRPr="00F93893" w:rsidRDefault="001706B1" w:rsidP="003B081D"/>
    <w:p w14:paraId="58B0F9DE" w14:textId="406EEC62" w:rsidR="003B081D" w:rsidRPr="00F93893" w:rsidRDefault="003B081D" w:rsidP="003B081D">
      <w:pPr>
        <w:rPr>
          <w:b/>
        </w:rPr>
      </w:pPr>
      <w:r w:rsidRPr="00F93893">
        <w:rPr>
          <w:b/>
        </w:rPr>
        <w:t xml:space="preserve">Health </w:t>
      </w:r>
      <w:r w:rsidR="008E7863">
        <w:rPr>
          <w:b/>
        </w:rPr>
        <w:t>w</w:t>
      </w:r>
      <w:r w:rsidRPr="00F93893">
        <w:rPr>
          <w:b/>
        </w:rPr>
        <w:t>orkers</w:t>
      </w:r>
    </w:p>
    <w:p w14:paraId="186EA9BE" w14:textId="5F834B7A" w:rsidR="003B081D" w:rsidRPr="00F93893" w:rsidRDefault="003B081D" w:rsidP="003B081D">
      <w:r w:rsidRPr="00F93893">
        <w:t xml:space="preserve">Again, the </w:t>
      </w:r>
      <w:r w:rsidR="00E820B6">
        <w:t>council</w:t>
      </w:r>
      <w:r w:rsidR="00E820B6" w:rsidRPr="00F93893">
        <w:t xml:space="preserve">’s </w:t>
      </w:r>
      <w:r w:rsidRPr="00F93893">
        <w:t>costs in relation to this scheme are set by central government as a percentage of contributing members’ pay.  The related funding risks are borne by central government.</w:t>
      </w:r>
    </w:p>
    <w:p w14:paraId="6872ADAC" w14:textId="43BE2F53" w:rsidR="003B081D" w:rsidRPr="00F93893" w:rsidRDefault="003B081D" w:rsidP="003B081D">
      <w:pPr>
        <w:rPr>
          <w:b/>
        </w:rPr>
      </w:pPr>
      <w:r w:rsidRPr="00F93893">
        <w:rPr>
          <w:b/>
        </w:rPr>
        <w:t xml:space="preserve">Government and </w:t>
      </w:r>
      <w:r w:rsidR="008E7863">
        <w:rPr>
          <w:b/>
        </w:rPr>
        <w:t>r</w:t>
      </w:r>
      <w:r w:rsidRPr="00F93893">
        <w:rPr>
          <w:b/>
        </w:rPr>
        <w:t xml:space="preserve">isk </w:t>
      </w:r>
      <w:r w:rsidR="008E7863">
        <w:rPr>
          <w:b/>
        </w:rPr>
        <w:t>m</w:t>
      </w:r>
      <w:r w:rsidRPr="00F93893">
        <w:rPr>
          <w:b/>
        </w:rPr>
        <w:t>anagement</w:t>
      </w:r>
    </w:p>
    <w:p w14:paraId="127D7C8C" w14:textId="67910021" w:rsidR="003B081D" w:rsidRDefault="003B081D" w:rsidP="003B081D">
      <w:pPr>
        <w:rPr>
          <w:lang w:eastAsia="en-GB"/>
        </w:rPr>
      </w:pPr>
      <w:r w:rsidRPr="00F93893">
        <w:rPr>
          <w:lang w:eastAsia="en-GB"/>
        </w:rPr>
        <w:t xml:space="preserve">The liability associated with the </w:t>
      </w:r>
      <w:r w:rsidR="00E820B6">
        <w:rPr>
          <w:lang w:eastAsia="en-GB"/>
        </w:rPr>
        <w:t>council</w:t>
      </w:r>
      <w:r w:rsidR="00E820B6" w:rsidRPr="00F93893">
        <w:rPr>
          <w:lang w:eastAsia="en-GB"/>
        </w:rPr>
        <w:t xml:space="preserve">’s </w:t>
      </w:r>
      <w:r w:rsidRPr="00F93893">
        <w:rPr>
          <w:lang w:eastAsia="en-GB"/>
        </w:rPr>
        <w:t xml:space="preserve">pension arrangements is material to the </w:t>
      </w:r>
      <w:r w:rsidR="00E820B6">
        <w:rPr>
          <w:lang w:eastAsia="en-GB"/>
        </w:rPr>
        <w:t>council</w:t>
      </w:r>
      <w:r w:rsidRPr="00F93893">
        <w:rPr>
          <w:lang w:eastAsia="en-GB"/>
        </w:rPr>
        <w:t>, as is the cash funding required. The details in relation to each arrangement, including the relevant provisions for governance and risk management, are set out below.</w:t>
      </w:r>
    </w:p>
    <w:p w14:paraId="3636546F" w14:textId="77777777" w:rsidR="001706B1" w:rsidRDefault="001706B1" w:rsidP="003B081D">
      <w:pPr>
        <w:rPr>
          <w:b/>
          <w:u w:val="single"/>
          <w:lang w:eastAsia="en-GB"/>
        </w:rPr>
      </w:pPr>
    </w:p>
    <w:p w14:paraId="2AA3EAF1" w14:textId="77777777" w:rsidR="003B081D" w:rsidRPr="00F93893" w:rsidRDefault="00E45E58" w:rsidP="003B081D">
      <w:pPr>
        <w:rPr>
          <w:b/>
          <w:u w:val="single"/>
          <w:lang w:eastAsia="en-GB"/>
        </w:rPr>
      </w:pPr>
      <w:r w:rsidRPr="00F93893">
        <w:rPr>
          <w:b/>
          <w:u w:val="single"/>
          <w:lang w:eastAsia="en-GB"/>
        </w:rPr>
        <w:t>Lancashire County Pension Fund</w:t>
      </w:r>
    </w:p>
    <w:p w14:paraId="6D78ED53" w14:textId="77777777" w:rsidR="00E45E58" w:rsidRPr="00F93893" w:rsidRDefault="00E45E58" w:rsidP="003B081D">
      <w:pPr>
        <w:rPr>
          <w:b/>
          <w:lang w:eastAsia="en-GB"/>
        </w:rPr>
      </w:pPr>
      <w:r w:rsidRPr="00F93893">
        <w:rPr>
          <w:b/>
          <w:lang w:eastAsia="en-GB"/>
        </w:rPr>
        <w:t>Governance</w:t>
      </w:r>
    </w:p>
    <w:p w14:paraId="533577D2" w14:textId="77777777" w:rsidR="00E45E58" w:rsidRPr="00F93893" w:rsidRDefault="00E45E58" w:rsidP="003B081D">
      <w:pPr>
        <w:rPr>
          <w:lang w:eastAsia="en-GB"/>
        </w:rPr>
      </w:pPr>
      <w:r w:rsidRPr="00F93893">
        <w:rPr>
          <w:lang w:eastAsia="en-GB"/>
        </w:rPr>
        <w:t>Management of the Fund is vested in Lancashire County Council as Administering Authority of the Fund.  Lancashire County Council has appointed a Pension Fund Committee (comprised of a mixture of County Councillors and representatives from other employers) to manage the Fund.  The Committee is assisted by an investment panel which advises the Committee on its investment strategy and risk management provisions.</w:t>
      </w:r>
    </w:p>
    <w:p w14:paraId="45429811" w14:textId="5CCE5E7F" w:rsidR="00E45E58" w:rsidRPr="00F93893" w:rsidRDefault="00E45E58" w:rsidP="003B081D">
      <w:pPr>
        <w:rPr>
          <w:b/>
          <w:lang w:eastAsia="en-GB"/>
        </w:rPr>
      </w:pPr>
      <w:r w:rsidRPr="00F93893">
        <w:rPr>
          <w:b/>
          <w:lang w:eastAsia="en-GB"/>
        </w:rPr>
        <w:t xml:space="preserve">Funding the </w:t>
      </w:r>
      <w:r w:rsidR="008E7863">
        <w:rPr>
          <w:b/>
          <w:lang w:eastAsia="en-GB"/>
        </w:rPr>
        <w:t>l</w:t>
      </w:r>
      <w:r w:rsidRPr="00F93893">
        <w:rPr>
          <w:b/>
          <w:lang w:eastAsia="en-GB"/>
        </w:rPr>
        <w:t>iabilities</w:t>
      </w:r>
    </w:p>
    <w:p w14:paraId="26D0A9C8" w14:textId="77777777" w:rsidR="00E45E58" w:rsidRPr="00F93893" w:rsidRDefault="00E45E58" w:rsidP="00E45E58">
      <w:pPr>
        <w:rPr>
          <w:lang w:eastAsia="en-GB"/>
        </w:rPr>
      </w:pPr>
      <w:r w:rsidRPr="001456E0">
        <w:rPr>
          <w:lang w:eastAsia="en-GB"/>
        </w:rPr>
        <w:t>Regulations governing the Fund require actuarial v</w:t>
      </w:r>
      <w:r w:rsidRPr="00F93893">
        <w:rPr>
          <w:lang w:eastAsia="en-GB"/>
        </w:rPr>
        <w:t xml:space="preserve">aluations to be carried out every three years.  Contributions for each employer are set having regard to their individual circumstances.  The Regulations require the contributions to be set with a view to targeting the Fund’s solvency, and the detailed provisions are set out in the Fund’s Funding Strategy Statement.  The most recent valuation was carried out </w:t>
      </w:r>
      <w:r w:rsidR="00F93893" w:rsidRPr="00F93893">
        <w:rPr>
          <w:lang w:eastAsia="en-GB"/>
        </w:rPr>
        <w:t>as at 31 March 2014</w:t>
      </w:r>
      <w:r w:rsidRPr="00F93893">
        <w:rPr>
          <w:lang w:eastAsia="en-GB"/>
        </w:rPr>
        <w:t>, which showed a shortfall of assets against liabilities of £1.38 billion as at that date, equivalent to a funding level of 78%.  The fund’s employers are paying additional contributions over a period of 19 years in order to meet the shortfall.</w:t>
      </w:r>
    </w:p>
    <w:p w14:paraId="2E0E1CD2" w14:textId="7333CEF6" w:rsidR="00E45E58" w:rsidRPr="00F93893" w:rsidRDefault="00E45E58" w:rsidP="00E45E58">
      <w:pPr>
        <w:rPr>
          <w:lang w:eastAsia="en-GB"/>
        </w:rPr>
      </w:pPr>
      <w:r w:rsidRPr="00F93893">
        <w:rPr>
          <w:lang w:eastAsia="en-GB"/>
        </w:rPr>
        <w:t xml:space="preserve">The weighted average duration of the </w:t>
      </w:r>
      <w:r w:rsidR="00E820B6">
        <w:rPr>
          <w:lang w:eastAsia="en-GB"/>
        </w:rPr>
        <w:t>council</w:t>
      </w:r>
      <w:r w:rsidR="00E820B6" w:rsidRPr="00F93893">
        <w:rPr>
          <w:lang w:eastAsia="en-GB"/>
        </w:rPr>
        <w:t xml:space="preserve">’s </w:t>
      </w:r>
      <w:r w:rsidRPr="00F93893">
        <w:rPr>
          <w:lang w:eastAsia="en-GB"/>
        </w:rPr>
        <w:t>defined benefit obligation is 18 years, measured on the actuarial assumptions used for IAS19 purposes.</w:t>
      </w:r>
    </w:p>
    <w:p w14:paraId="6E7482D9" w14:textId="10DF225A" w:rsidR="00E45E58" w:rsidRPr="00F93893" w:rsidRDefault="00E45E58" w:rsidP="00E45E58">
      <w:pPr>
        <w:rPr>
          <w:b/>
          <w:lang w:eastAsia="en-GB"/>
        </w:rPr>
      </w:pPr>
      <w:r w:rsidRPr="00F93893">
        <w:rPr>
          <w:b/>
          <w:lang w:eastAsia="en-GB"/>
        </w:rPr>
        <w:t xml:space="preserve">Risks and </w:t>
      </w:r>
      <w:r w:rsidR="008E7863">
        <w:rPr>
          <w:b/>
          <w:lang w:eastAsia="en-GB"/>
        </w:rPr>
        <w:t>I</w:t>
      </w:r>
      <w:r w:rsidRPr="00F93893">
        <w:rPr>
          <w:b/>
          <w:lang w:eastAsia="en-GB"/>
        </w:rPr>
        <w:t>nvestment Strategy</w:t>
      </w:r>
    </w:p>
    <w:p w14:paraId="06CCA184" w14:textId="77777777" w:rsidR="00E45E58" w:rsidRPr="00F93893" w:rsidRDefault="00E45E58" w:rsidP="00E45E58">
      <w:pPr>
        <w:rPr>
          <w:lang w:eastAsia="en-GB"/>
        </w:rPr>
      </w:pPr>
      <w:r w:rsidRPr="00F93893">
        <w:rPr>
          <w:lang w:eastAsia="en-GB"/>
        </w:rPr>
        <w:t>The Fund’s primary long-term risk is that the Fund’s assets will fall short of its liabilities (i.e. promised benefits payable to members). The aim of investment risk management is to balance the minimisation of the risk of an overall reduction in the value of the Fund with maximising the opportunity for gains across the whole Fund portfolio. The Fund achieves this through asset diversification to reduce exposure to market risk (price risk, currency risk and interest rate risk) and keep credit risk to an acceptable level. In addition, the Fund manages its liquidity risk to ensure there is sufficient liquidity to meet the Fund’s forecast cash flow.</w:t>
      </w:r>
    </w:p>
    <w:p w14:paraId="735D00F8" w14:textId="30FF8047" w:rsidR="00AB0D5A" w:rsidRPr="00F93893" w:rsidRDefault="00AB0D5A" w:rsidP="00E45E58">
      <w:pPr>
        <w:rPr>
          <w:b/>
          <w:lang w:eastAsia="en-GB"/>
        </w:rPr>
      </w:pPr>
      <w:r w:rsidRPr="00F93893">
        <w:rPr>
          <w:b/>
          <w:lang w:eastAsia="en-GB"/>
        </w:rPr>
        <w:t xml:space="preserve">Market </w:t>
      </w:r>
      <w:r w:rsidR="008E7863">
        <w:rPr>
          <w:b/>
          <w:lang w:eastAsia="en-GB"/>
        </w:rPr>
        <w:t>r</w:t>
      </w:r>
      <w:r w:rsidRPr="00F93893">
        <w:rPr>
          <w:b/>
          <w:lang w:eastAsia="en-GB"/>
        </w:rPr>
        <w:t>isk</w:t>
      </w:r>
    </w:p>
    <w:p w14:paraId="51FB16E4" w14:textId="77777777" w:rsidR="00AB0D5A" w:rsidRPr="00F93893" w:rsidRDefault="00AB0D5A" w:rsidP="00E45E58">
      <w:pPr>
        <w:rPr>
          <w:lang w:eastAsia="en-GB"/>
        </w:rPr>
      </w:pPr>
      <w:r w:rsidRPr="00F93893">
        <w:rPr>
          <w:lang w:eastAsia="en-GB"/>
        </w:rPr>
        <w:t>Market risk is the risk of loss from fluctuations in equity and commodity prices, interest and foreign exchange rates and credit spreads. To mitigate market risk, the Fund and its investment advisors undertake appropriate monitoring of market conditions and benchmarking analysis.</w:t>
      </w:r>
    </w:p>
    <w:p w14:paraId="28A9F8C7" w14:textId="18742F82" w:rsidR="00AB0D5A" w:rsidRPr="00F93893" w:rsidRDefault="00AB0D5A" w:rsidP="00E45E58">
      <w:pPr>
        <w:rPr>
          <w:b/>
          <w:lang w:eastAsia="en-GB"/>
        </w:rPr>
      </w:pPr>
      <w:r w:rsidRPr="00F93893">
        <w:rPr>
          <w:b/>
          <w:lang w:eastAsia="en-GB"/>
        </w:rPr>
        <w:t xml:space="preserve">Other </w:t>
      </w:r>
      <w:r w:rsidR="008E7863">
        <w:rPr>
          <w:b/>
          <w:lang w:eastAsia="en-GB"/>
        </w:rPr>
        <w:t>p</w:t>
      </w:r>
      <w:r w:rsidRPr="00F93893">
        <w:rPr>
          <w:b/>
          <w:lang w:eastAsia="en-GB"/>
        </w:rPr>
        <w:t xml:space="preserve">rice </w:t>
      </w:r>
      <w:r w:rsidR="008E7863">
        <w:rPr>
          <w:b/>
          <w:lang w:eastAsia="en-GB"/>
        </w:rPr>
        <w:t>r</w:t>
      </w:r>
      <w:r w:rsidRPr="00F93893">
        <w:rPr>
          <w:b/>
          <w:lang w:eastAsia="en-GB"/>
        </w:rPr>
        <w:t>isk</w:t>
      </w:r>
    </w:p>
    <w:p w14:paraId="1BB9BCDE" w14:textId="77777777" w:rsidR="00AB0D5A" w:rsidRPr="00F93893" w:rsidRDefault="00AB0D5A" w:rsidP="00E45E58">
      <w:pPr>
        <w:rPr>
          <w:lang w:eastAsia="en-GB"/>
        </w:rPr>
      </w:pPr>
      <w:r w:rsidRPr="00F93893">
        <w:rPr>
          <w:lang w:eastAsia="en-GB"/>
        </w:rPr>
        <w:t>Other price risk represents the risk that the value of a financial instrument will fluctuate as a result of changes in market prices (other than those arising from interest rate risk or foreign exchange risk). The Fund’s investment managers mitigate this price risk through diversification. The selection of securities and other financial instruments is monitored by the Fund to ensure it is within limits specified in the fund investment strategy.</w:t>
      </w:r>
    </w:p>
    <w:p w14:paraId="3F8F4A92" w14:textId="31BF35FF" w:rsidR="00AB0D5A" w:rsidRPr="00F93893" w:rsidRDefault="00AB0D5A" w:rsidP="00E45E58">
      <w:pPr>
        <w:rPr>
          <w:b/>
          <w:lang w:eastAsia="en-GB"/>
        </w:rPr>
      </w:pPr>
      <w:r w:rsidRPr="00F93893">
        <w:rPr>
          <w:b/>
          <w:lang w:eastAsia="en-GB"/>
        </w:rPr>
        <w:t xml:space="preserve">Interest </w:t>
      </w:r>
      <w:r w:rsidR="008E7863">
        <w:rPr>
          <w:b/>
          <w:lang w:eastAsia="en-GB"/>
        </w:rPr>
        <w:t>r</w:t>
      </w:r>
      <w:r w:rsidRPr="00F93893">
        <w:rPr>
          <w:b/>
          <w:lang w:eastAsia="en-GB"/>
        </w:rPr>
        <w:t xml:space="preserve">ate </w:t>
      </w:r>
      <w:r w:rsidR="008E7863">
        <w:rPr>
          <w:b/>
          <w:lang w:eastAsia="en-GB"/>
        </w:rPr>
        <w:t>r</w:t>
      </w:r>
      <w:r w:rsidRPr="00F93893">
        <w:rPr>
          <w:b/>
          <w:lang w:eastAsia="en-GB"/>
        </w:rPr>
        <w:t>isk</w:t>
      </w:r>
    </w:p>
    <w:p w14:paraId="772C862C" w14:textId="77777777" w:rsidR="00AB0D5A" w:rsidRPr="00F93893" w:rsidRDefault="00AB0D5A" w:rsidP="00E45E58">
      <w:pPr>
        <w:rPr>
          <w:rFonts w:cs="Arial"/>
          <w:lang w:eastAsia="en-GB"/>
        </w:rPr>
      </w:pPr>
      <w:r w:rsidRPr="00F93893">
        <w:rPr>
          <w:rFonts w:cs="Arial"/>
          <w:lang w:eastAsia="en-GB"/>
        </w:rPr>
        <w:t>The Fund invests in financial assets for the primary purpose of obtaining a return on investments. These investments are subject to interest rate risks, which represent the risks that the fair value of future cash flow of a financial instrument will fluctuate because of changes in market interest rates. The Fund’s interest rate risk is routinely monitored by the Investment Panel and its investment advisors.</w:t>
      </w:r>
    </w:p>
    <w:p w14:paraId="02243C9A" w14:textId="559843A1" w:rsidR="00AB0D5A" w:rsidRPr="00F93893" w:rsidRDefault="00AB0D5A" w:rsidP="00E45E58">
      <w:pPr>
        <w:rPr>
          <w:rFonts w:cs="Arial"/>
          <w:b/>
          <w:lang w:eastAsia="en-GB"/>
        </w:rPr>
      </w:pPr>
      <w:r w:rsidRPr="00F93893">
        <w:rPr>
          <w:rFonts w:cs="Arial"/>
          <w:b/>
          <w:lang w:eastAsia="en-GB"/>
        </w:rPr>
        <w:t xml:space="preserve">Currency </w:t>
      </w:r>
      <w:r w:rsidR="008E7863">
        <w:rPr>
          <w:rFonts w:cs="Arial"/>
          <w:b/>
          <w:lang w:eastAsia="en-GB"/>
        </w:rPr>
        <w:t>r</w:t>
      </w:r>
      <w:r w:rsidRPr="00F93893">
        <w:rPr>
          <w:rFonts w:cs="Arial"/>
          <w:b/>
          <w:lang w:eastAsia="en-GB"/>
        </w:rPr>
        <w:t>isk</w:t>
      </w:r>
    </w:p>
    <w:p w14:paraId="433581BD" w14:textId="77777777" w:rsidR="00AB0D5A" w:rsidRPr="00F93893" w:rsidRDefault="00AB0D5A" w:rsidP="00E45E58">
      <w:pPr>
        <w:rPr>
          <w:lang w:eastAsia="en-GB"/>
        </w:rPr>
      </w:pPr>
      <w:r w:rsidRPr="00F93893">
        <w:rPr>
          <w:lang w:eastAsia="en-GB"/>
        </w:rPr>
        <w:t>Currency risk represents the risk that the fair value cash flow of a financial instrument will fluctuate because of changes in foreign exchange rates. The Fund’s currency rate risk is routinely monitored by the Fund and its investment advisors in accordance with the Fund’s risk management strategy.</w:t>
      </w:r>
    </w:p>
    <w:p w14:paraId="76BF066D" w14:textId="10C74842" w:rsidR="00AB0D5A" w:rsidRPr="00F93893" w:rsidRDefault="00AB0D5A" w:rsidP="00E45E58">
      <w:pPr>
        <w:rPr>
          <w:b/>
          <w:lang w:eastAsia="en-GB"/>
        </w:rPr>
      </w:pPr>
      <w:r w:rsidRPr="00F93893">
        <w:rPr>
          <w:b/>
          <w:lang w:eastAsia="en-GB"/>
        </w:rPr>
        <w:t xml:space="preserve">Credit </w:t>
      </w:r>
      <w:r w:rsidR="008E7863">
        <w:rPr>
          <w:b/>
          <w:lang w:eastAsia="en-GB"/>
        </w:rPr>
        <w:t>r</w:t>
      </w:r>
      <w:r w:rsidRPr="00F93893">
        <w:rPr>
          <w:b/>
          <w:lang w:eastAsia="en-GB"/>
        </w:rPr>
        <w:t>isk</w:t>
      </w:r>
    </w:p>
    <w:p w14:paraId="1966817B" w14:textId="77777777" w:rsidR="00AB0D5A" w:rsidRPr="00F93893" w:rsidRDefault="00AB0D5A" w:rsidP="00E45E58">
      <w:pPr>
        <w:rPr>
          <w:lang w:eastAsia="en-GB"/>
        </w:rPr>
      </w:pPr>
      <w:r w:rsidRPr="00F93893">
        <w:rPr>
          <w:lang w:eastAsia="en-GB"/>
        </w:rPr>
        <w:t>Credit risk represents the risk that the counterparty to a transaction or a financial instrument will fail to discharge an obligation and cause the Fund to incur financial loss. Credit risk is minimised by ensuring that counterparties meet the Fund’s credit criteria. The Fund has also set limits as to the maximum percentage of the deposits placed with any class of financial institution.</w:t>
      </w:r>
    </w:p>
    <w:p w14:paraId="0C820528" w14:textId="52C6C684" w:rsidR="00AB0D5A" w:rsidRPr="00F93893" w:rsidRDefault="00AB0D5A" w:rsidP="00E45E58">
      <w:pPr>
        <w:rPr>
          <w:b/>
          <w:lang w:eastAsia="en-GB"/>
        </w:rPr>
      </w:pPr>
      <w:r w:rsidRPr="00F93893">
        <w:rPr>
          <w:b/>
          <w:lang w:eastAsia="en-GB"/>
        </w:rPr>
        <w:t xml:space="preserve">Liquidity </w:t>
      </w:r>
      <w:r w:rsidR="008E7863">
        <w:rPr>
          <w:b/>
          <w:lang w:eastAsia="en-GB"/>
        </w:rPr>
        <w:t>r</w:t>
      </w:r>
      <w:r w:rsidRPr="00F93893">
        <w:rPr>
          <w:b/>
          <w:lang w:eastAsia="en-GB"/>
        </w:rPr>
        <w:t>isks</w:t>
      </w:r>
    </w:p>
    <w:p w14:paraId="730C8F38" w14:textId="77777777" w:rsidR="00AB0D5A" w:rsidRPr="00F93893" w:rsidRDefault="00AB0D5A" w:rsidP="00E45E58">
      <w:pPr>
        <w:rPr>
          <w:lang w:eastAsia="en-GB"/>
        </w:rPr>
      </w:pPr>
      <w:r w:rsidRPr="00F93893">
        <w:rPr>
          <w:lang w:eastAsia="en-GB"/>
        </w:rPr>
        <w:t>Liquidity risk represents the risk that the Fund will not be able to meet its financial obligations as they fall due. The Fund therefore takes steps to ensure that there are adequate cash resources to meet its commitments, and the Fund has immediate access to its cash holdings.</w:t>
      </w:r>
    </w:p>
    <w:p w14:paraId="43DF4052" w14:textId="48C6126A" w:rsidR="00AB0D5A" w:rsidRPr="00F93893" w:rsidRDefault="00AB0D5A" w:rsidP="00E45E58">
      <w:pPr>
        <w:rPr>
          <w:b/>
          <w:lang w:eastAsia="en-GB"/>
        </w:rPr>
      </w:pPr>
      <w:r w:rsidRPr="00F93893">
        <w:rPr>
          <w:b/>
          <w:lang w:eastAsia="en-GB"/>
        </w:rPr>
        <w:t xml:space="preserve">Other </w:t>
      </w:r>
      <w:r w:rsidR="008E7863">
        <w:rPr>
          <w:b/>
          <w:lang w:eastAsia="en-GB"/>
        </w:rPr>
        <w:t>r</w:t>
      </w:r>
      <w:r w:rsidRPr="00F93893">
        <w:rPr>
          <w:b/>
          <w:lang w:eastAsia="en-GB"/>
        </w:rPr>
        <w:t>isks</w:t>
      </w:r>
    </w:p>
    <w:p w14:paraId="66B34FB2" w14:textId="25979CA5" w:rsidR="00AB0D5A" w:rsidRPr="00F93893" w:rsidRDefault="00AB0D5A" w:rsidP="00AB0D5A">
      <w:pPr>
        <w:rPr>
          <w:lang w:eastAsia="en-GB"/>
        </w:rPr>
      </w:pPr>
      <w:r w:rsidRPr="00F93893">
        <w:rPr>
          <w:lang w:eastAsia="en-GB"/>
        </w:rPr>
        <w:t xml:space="preserve">Actions taken by the government, or changes to European legislation, could result in stronger local funding standards, which could materially affect the </w:t>
      </w:r>
      <w:r w:rsidR="00E820B6">
        <w:rPr>
          <w:lang w:eastAsia="en-GB"/>
        </w:rPr>
        <w:t>council</w:t>
      </w:r>
      <w:r w:rsidR="00E820B6" w:rsidRPr="00F93893">
        <w:rPr>
          <w:lang w:eastAsia="en-GB"/>
        </w:rPr>
        <w:t xml:space="preserve">’s </w:t>
      </w:r>
      <w:r w:rsidRPr="00F93893">
        <w:rPr>
          <w:lang w:eastAsia="en-GB"/>
        </w:rPr>
        <w:t xml:space="preserve">cash flow. </w:t>
      </w:r>
    </w:p>
    <w:p w14:paraId="08054B91" w14:textId="77777777" w:rsidR="00AB0D5A" w:rsidRPr="00F93893" w:rsidRDefault="00AB0D5A" w:rsidP="00AB0D5A">
      <w:pPr>
        <w:rPr>
          <w:lang w:eastAsia="en-GB"/>
        </w:rPr>
      </w:pPr>
      <w:r w:rsidRPr="00F93893">
        <w:rPr>
          <w:lang w:eastAsia="en-GB"/>
        </w:rPr>
        <w:t>There is a risk that changes in the assumptions (e.g. life expectancy, price inflation, discount rate) could increase the defined benefit obligation and/or the liabilities for actuarial valuation purposes. Other assumptions used to value the defined benefit obligation are also uncertain, although their effect is less material.  The sensitivity analysis below indicates the change in the defined benefit obligation for changes in the key assumptions.</w:t>
      </w:r>
    </w:p>
    <w:p w14:paraId="4E309C5E" w14:textId="0552CA3D" w:rsidR="00AB0D5A" w:rsidRPr="00F93893" w:rsidRDefault="00AB0D5A" w:rsidP="00AB0D5A">
      <w:pPr>
        <w:rPr>
          <w:b/>
          <w:lang w:eastAsia="en-GB"/>
        </w:rPr>
      </w:pPr>
      <w:r w:rsidRPr="00F93893">
        <w:rPr>
          <w:b/>
          <w:lang w:eastAsia="en-GB"/>
        </w:rPr>
        <w:t xml:space="preserve">Amendments, </w:t>
      </w:r>
      <w:r w:rsidR="008E7863">
        <w:rPr>
          <w:b/>
          <w:lang w:eastAsia="en-GB"/>
        </w:rPr>
        <w:t>c</w:t>
      </w:r>
      <w:r w:rsidRPr="00F93893">
        <w:rPr>
          <w:b/>
          <w:lang w:eastAsia="en-GB"/>
        </w:rPr>
        <w:t xml:space="preserve">urtailments and </w:t>
      </w:r>
      <w:r w:rsidR="008E7863">
        <w:rPr>
          <w:b/>
          <w:lang w:eastAsia="en-GB"/>
        </w:rPr>
        <w:t>s</w:t>
      </w:r>
      <w:r w:rsidRPr="00F93893">
        <w:rPr>
          <w:b/>
          <w:lang w:eastAsia="en-GB"/>
        </w:rPr>
        <w:t>ettlements</w:t>
      </w:r>
    </w:p>
    <w:p w14:paraId="39EB9FCF" w14:textId="18C2317D" w:rsidR="00AB0D5A" w:rsidRPr="00F93893" w:rsidRDefault="00AB0D5A" w:rsidP="00AB0D5A">
      <w:pPr>
        <w:rPr>
          <w:lang w:eastAsia="en-GB"/>
        </w:rPr>
      </w:pPr>
      <w:r w:rsidRPr="00F93893">
        <w:rPr>
          <w:lang w:eastAsia="en-GB"/>
        </w:rPr>
        <w:t>The provisions of the Fund were amended with effect from 1 April 2014.  As explained above for service up to 31 March 201</w:t>
      </w:r>
      <w:r w:rsidR="009F22E0">
        <w:rPr>
          <w:lang w:eastAsia="en-GB"/>
        </w:rPr>
        <w:t>4</w:t>
      </w:r>
      <w:r w:rsidRPr="00F93893">
        <w:rPr>
          <w:lang w:eastAsia="en-GB"/>
        </w:rPr>
        <w:t xml:space="preserve"> benefits were based on salaries when members leave the scheme, whereas for service after that date benefits are based on career average salary.  Further details of the changes are available from the Fund’s administering authority.</w:t>
      </w:r>
    </w:p>
    <w:p w14:paraId="1F5EA3FD" w14:textId="77777777" w:rsidR="00AB0D5A" w:rsidRPr="00F93893" w:rsidRDefault="00AB0D5A" w:rsidP="00AB0D5A">
      <w:pPr>
        <w:rPr>
          <w:lang w:eastAsia="en-GB"/>
        </w:rPr>
      </w:pPr>
      <w:r w:rsidRPr="00F93893">
        <w:rPr>
          <w:lang w:eastAsia="en-GB"/>
        </w:rPr>
        <w:t>Curtailments shown in the accounting figures relate to the cost of providing retirement benefits for members who retire early, to the extent that provision has not already been made for the relevant defined benefit obligations.</w:t>
      </w:r>
    </w:p>
    <w:p w14:paraId="0CC5E7F2" w14:textId="5D49A1D5" w:rsidR="00AB0D5A" w:rsidRPr="00F93893" w:rsidRDefault="00AB0D5A" w:rsidP="00AB0D5A">
      <w:pPr>
        <w:rPr>
          <w:lang w:eastAsia="en-GB"/>
        </w:rPr>
      </w:pPr>
      <w:r w:rsidRPr="00F93893">
        <w:rPr>
          <w:lang w:eastAsia="en-GB"/>
        </w:rPr>
        <w:t xml:space="preserve">Settlements shown in the accounting figures relate to the admission of new employers into the Fund, and who take on part of the </w:t>
      </w:r>
      <w:r w:rsidR="00E820B6">
        <w:rPr>
          <w:lang w:eastAsia="en-GB"/>
        </w:rPr>
        <w:t>council</w:t>
      </w:r>
      <w:r w:rsidR="00E820B6" w:rsidRPr="00F93893">
        <w:rPr>
          <w:lang w:eastAsia="en-GB"/>
        </w:rPr>
        <w:t xml:space="preserve">’s </w:t>
      </w:r>
      <w:r w:rsidRPr="00F93893">
        <w:rPr>
          <w:lang w:eastAsia="en-GB"/>
        </w:rPr>
        <w:t xml:space="preserve">assets and liabilities as a result of employing members who have accrued benefits with the </w:t>
      </w:r>
      <w:r w:rsidR="00E820B6">
        <w:rPr>
          <w:lang w:eastAsia="en-GB"/>
        </w:rPr>
        <w:t>council</w:t>
      </w:r>
      <w:r w:rsidRPr="00F93893">
        <w:rPr>
          <w:lang w:eastAsia="en-GB"/>
        </w:rPr>
        <w:t>.</w:t>
      </w:r>
    </w:p>
    <w:p w14:paraId="2CE079C7" w14:textId="77777777" w:rsidR="00ED1F92" w:rsidRDefault="00ED1F92" w:rsidP="00AB0D5A">
      <w:pPr>
        <w:rPr>
          <w:b/>
          <w:u w:val="single"/>
          <w:lang w:eastAsia="en-GB"/>
        </w:rPr>
      </w:pPr>
    </w:p>
    <w:p w14:paraId="3D9C5B11" w14:textId="7612AE5E" w:rsidR="00AB0D5A" w:rsidRPr="00F93893" w:rsidRDefault="00AB0D5A" w:rsidP="00AB0D5A">
      <w:pPr>
        <w:rPr>
          <w:b/>
          <w:u w:val="single"/>
          <w:lang w:eastAsia="en-GB"/>
        </w:rPr>
      </w:pPr>
      <w:r w:rsidRPr="00F93893">
        <w:rPr>
          <w:b/>
          <w:u w:val="single"/>
          <w:lang w:eastAsia="en-GB"/>
        </w:rPr>
        <w:t xml:space="preserve">Schemes for </w:t>
      </w:r>
      <w:r w:rsidR="008E7863">
        <w:rPr>
          <w:b/>
          <w:u w:val="single"/>
          <w:lang w:eastAsia="en-GB"/>
        </w:rPr>
        <w:t>t</w:t>
      </w:r>
      <w:r w:rsidRPr="00F93893">
        <w:rPr>
          <w:b/>
          <w:u w:val="single"/>
          <w:lang w:eastAsia="en-GB"/>
        </w:rPr>
        <w:t xml:space="preserve">eachers and </w:t>
      </w:r>
      <w:r w:rsidR="008E7863">
        <w:rPr>
          <w:b/>
          <w:u w:val="single"/>
          <w:lang w:eastAsia="en-GB"/>
        </w:rPr>
        <w:t>t</w:t>
      </w:r>
      <w:r w:rsidRPr="00F93893">
        <w:rPr>
          <w:b/>
          <w:u w:val="single"/>
          <w:lang w:eastAsia="en-GB"/>
        </w:rPr>
        <w:t xml:space="preserve">ransferred NHS </w:t>
      </w:r>
      <w:r w:rsidR="008E7863">
        <w:rPr>
          <w:b/>
          <w:u w:val="single"/>
          <w:lang w:eastAsia="en-GB"/>
        </w:rPr>
        <w:t>s</w:t>
      </w:r>
      <w:r w:rsidRPr="00F93893">
        <w:rPr>
          <w:b/>
          <w:u w:val="single"/>
          <w:lang w:eastAsia="en-GB"/>
        </w:rPr>
        <w:t>taff</w:t>
      </w:r>
    </w:p>
    <w:p w14:paraId="325E7E75" w14:textId="77777777" w:rsidR="00AB0D5A" w:rsidRPr="00F93893" w:rsidRDefault="00AB0D5A" w:rsidP="00AB0D5A">
      <w:pPr>
        <w:rPr>
          <w:b/>
          <w:lang w:eastAsia="en-GB"/>
        </w:rPr>
      </w:pPr>
      <w:r w:rsidRPr="00F93893">
        <w:rPr>
          <w:b/>
          <w:lang w:eastAsia="en-GB"/>
        </w:rPr>
        <w:t>Governance</w:t>
      </w:r>
    </w:p>
    <w:p w14:paraId="6E261BD4" w14:textId="5CB8882F" w:rsidR="00AB0D5A" w:rsidRPr="00F93893" w:rsidRDefault="00AB0D5A" w:rsidP="00AB0D5A">
      <w:pPr>
        <w:rPr>
          <w:lang w:eastAsia="en-GB"/>
        </w:rPr>
      </w:pPr>
      <w:r w:rsidRPr="00F93893">
        <w:rPr>
          <w:lang w:eastAsia="en-GB"/>
        </w:rPr>
        <w:t xml:space="preserve">These arrangements are managed centrally by government departments/agencies, and there is no material involvement for the </w:t>
      </w:r>
      <w:r w:rsidR="00E820B6">
        <w:rPr>
          <w:lang w:eastAsia="en-GB"/>
        </w:rPr>
        <w:t>council</w:t>
      </w:r>
      <w:r w:rsidRPr="00F93893">
        <w:rPr>
          <w:lang w:eastAsia="en-GB"/>
        </w:rPr>
        <w:t xml:space="preserve">. Again, the </w:t>
      </w:r>
      <w:r w:rsidR="00E820B6">
        <w:rPr>
          <w:lang w:eastAsia="en-GB"/>
        </w:rPr>
        <w:t>council</w:t>
      </w:r>
      <w:r w:rsidR="00E820B6" w:rsidRPr="00F93893">
        <w:rPr>
          <w:lang w:eastAsia="en-GB"/>
        </w:rPr>
        <w:t xml:space="preserve"> </w:t>
      </w:r>
      <w:r w:rsidRPr="00F93893">
        <w:rPr>
          <w:lang w:eastAsia="en-GB"/>
        </w:rPr>
        <w:t>has no material involvement in this process.</w:t>
      </w:r>
    </w:p>
    <w:p w14:paraId="47067F3D" w14:textId="4B3EBFE4" w:rsidR="00AB0D5A" w:rsidRPr="00F93893" w:rsidRDefault="00AB0D5A" w:rsidP="00AB0D5A">
      <w:pPr>
        <w:rPr>
          <w:b/>
          <w:lang w:eastAsia="en-GB"/>
        </w:rPr>
      </w:pPr>
      <w:r w:rsidRPr="00F93893">
        <w:rPr>
          <w:b/>
          <w:lang w:eastAsia="en-GB"/>
        </w:rPr>
        <w:t xml:space="preserve">Funding the </w:t>
      </w:r>
      <w:r w:rsidR="008E7863">
        <w:rPr>
          <w:b/>
          <w:lang w:eastAsia="en-GB"/>
        </w:rPr>
        <w:t>l</w:t>
      </w:r>
      <w:r w:rsidRPr="00F93893">
        <w:rPr>
          <w:b/>
          <w:lang w:eastAsia="en-GB"/>
        </w:rPr>
        <w:t>iabilities</w:t>
      </w:r>
    </w:p>
    <w:p w14:paraId="5F4C1E4D" w14:textId="2E4D4951" w:rsidR="00AB0D5A" w:rsidRPr="00F93893" w:rsidRDefault="00AB0D5A" w:rsidP="00AB0D5A">
      <w:pPr>
        <w:rPr>
          <w:lang w:eastAsia="en-GB"/>
        </w:rPr>
      </w:pPr>
      <w:r w:rsidRPr="00F93893">
        <w:rPr>
          <w:lang w:eastAsia="en-GB"/>
        </w:rPr>
        <w:t xml:space="preserve">Contributions to the arrangements are set by the government for these Teachers and NHS staff pension schemes, having taken advice from the government actuary, so no liability is reflected in the council's balance sheet.  The exception to this is the additional pensions to retired teachers which were awarded at the point of retirement, and for which the </w:t>
      </w:r>
      <w:r w:rsidR="00E820B6">
        <w:rPr>
          <w:lang w:eastAsia="en-GB"/>
        </w:rPr>
        <w:t>council</w:t>
      </w:r>
      <w:r w:rsidR="00E820B6" w:rsidRPr="00F93893">
        <w:rPr>
          <w:lang w:eastAsia="en-GB"/>
        </w:rPr>
        <w:t xml:space="preserve"> </w:t>
      </w:r>
      <w:r w:rsidRPr="00F93893">
        <w:rPr>
          <w:lang w:eastAsia="en-GB"/>
        </w:rPr>
        <w:t xml:space="preserve">is responsible.  </w:t>
      </w:r>
    </w:p>
    <w:p w14:paraId="06335355" w14:textId="77777777" w:rsidR="00AB0D5A" w:rsidRDefault="00AB0D5A" w:rsidP="00AB0D5A">
      <w:pPr>
        <w:rPr>
          <w:lang w:eastAsia="en-GB"/>
        </w:rPr>
      </w:pPr>
      <w:r w:rsidRPr="00F93893">
        <w:rPr>
          <w:lang w:eastAsia="en-GB"/>
        </w:rPr>
        <w:t>Only this additional pensions to retired teachers</w:t>
      </w:r>
      <w:r w:rsidR="009F22E0">
        <w:rPr>
          <w:lang w:eastAsia="en-GB"/>
        </w:rPr>
        <w:t>'</w:t>
      </w:r>
      <w:r w:rsidRPr="00F93893">
        <w:rPr>
          <w:lang w:eastAsia="en-GB"/>
        </w:rPr>
        <w:t xml:space="preserve"> part of the liability which directly falls to the council is recognised within the council's balance sheet and these liabilities are shown under teachers</w:t>
      </w:r>
      <w:r w:rsidR="009F22E0">
        <w:rPr>
          <w:lang w:eastAsia="en-GB"/>
        </w:rPr>
        <w:t>'</w:t>
      </w:r>
      <w:r w:rsidRPr="00F93893">
        <w:rPr>
          <w:lang w:eastAsia="en-GB"/>
        </w:rPr>
        <w:t xml:space="preserve"> pension scheme figures within the tables below. The weighted average duration of these particular liabilities is 9 years, measured on the actuarial assumptions used for IAS19 purposes.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79"/>
        <w:gridCol w:w="1250"/>
        <w:gridCol w:w="1250"/>
        <w:gridCol w:w="1279"/>
        <w:gridCol w:w="1292"/>
      </w:tblGrid>
      <w:tr w:rsidR="00BD0148" w:rsidRPr="00C615DA" w14:paraId="4C830E60" w14:textId="77777777" w:rsidTr="00A06955">
        <w:trPr>
          <w:trHeight w:val="369"/>
          <w:tblHeader/>
        </w:trPr>
        <w:tc>
          <w:tcPr>
            <w:tcW w:w="2574" w:type="pct"/>
            <w:shd w:val="clear" w:color="auto" w:fill="D0CECE"/>
            <w:vAlign w:val="bottom"/>
          </w:tcPr>
          <w:p w14:paraId="75860F55" w14:textId="77777777" w:rsidR="00BD0148" w:rsidRPr="00F93893" w:rsidRDefault="00BD0148" w:rsidP="003F1F7C">
            <w:pPr>
              <w:jc w:val="left"/>
              <w:rPr>
                <w:color w:val="auto"/>
                <w:sz w:val="20"/>
                <w:szCs w:val="20"/>
              </w:rPr>
            </w:pPr>
          </w:p>
        </w:tc>
        <w:tc>
          <w:tcPr>
            <w:tcW w:w="1196" w:type="pct"/>
            <w:gridSpan w:val="2"/>
            <w:shd w:val="clear" w:color="auto" w:fill="D0CECE"/>
            <w:vAlign w:val="bottom"/>
          </w:tcPr>
          <w:p w14:paraId="33072BF6" w14:textId="77777777" w:rsidR="00BD0148" w:rsidRPr="00F93893" w:rsidRDefault="00BD0148" w:rsidP="00BD0148">
            <w:pPr>
              <w:jc w:val="center"/>
              <w:rPr>
                <w:b/>
                <w:color w:val="auto"/>
                <w:sz w:val="20"/>
                <w:szCs w:val="20"/>
              </w:rPr>
            </w:pPr>
            <w:r w:rsidRPr="00F93893">
              <w:rPr>
                <w:b/>
                <w:color w:val="auto"/>
                <w:sz w:val="20"/>
                <w:szCs w:val="20"/>
              </w:rPr>
              <w:t>Local Government Pension Scheme</w:t>
            </w:r>
          </w:p>
        </w:tc>
        <w:tc>
          <w:tcPr>
            <w:tcW w:w="1230" w:type="pct"/>
            <w:gridSpan w:val="2"/>
            <w:shd w:val="clear" w:color="auto" w:fill="D0CECE"/>
            <w:vAlign w:val="bottom"/>
          </w:tcPr>
          <w:p w14:paraId="352E4E6A" w14:textId="77777777" w:rsidR="00BD0148" w:rsidRPr="00F93893" w:rsidRDefault="00BD0148" w:rsidP="003F1F7C">
            <w:pPr>
              <w:jc w:val="center"/>
              <w:rPr>
                <w:b/>
                <w:color w:val="auto"/>
                <w:sz w:val="20"/>
                <w:szCs w:val="20"/>
              </w:rPr>
            </w:pPr>
            <w:r w:rsidRPr="00F93893">
              <w:rPr>
                <w:b/>
                <w:color w:val="auto"/>
                <w:sz w:val="20"/>
                <w:szCs w:val="20"/>
              </w:rPr>
              <w:t>Teachers</w:t>
            </w:r>
            <w:r w:rsidR="009F22E0">
              <w:rPr>
                <w:b/>
                <w:color w:val="auto"/>
                <w:sz w:val="20"/>
                <w:szCs w:val="20"/>
              </w:rPr>
              <w:t>'</w:t>
            </w:r>
            <w:r w:rsidRPr="00F93893">
              <w:rPr>
                <w:b/>
                <w:color w:val="auto"/>
                <w:sz w:val="20"/>
                <w:szCs w:val="20"/>
              </w:rPr>
              <w:t xml:space="preserve"> Pension Scheme</w:t>
            </w:r>
          </w:p>
        </w:tc>
      </w:tr>
      <w:tr w:rsidR="00373964" w:rsidRPr="00C615DA" w14:paraId="1C795AC1" w14:textId="77777777" w:rsidTr="00A06955">
        <w:trPr>
          <w:trHeight w:val="369"/>
          <w:tblHeader/>
        </w:trPr>
        <w:tc>
          <w:tcPr>
            <w:tcW w:w="2574" w:type="pct"/>
            <w:shd w:val="clear" w:color="auto" w:fill="D0CECE"/>
            <w:vAlign w:val="bottom"/>
          </w:tcPr>
          <w:p w14:paraId="5ACB58DB" w14:textId="77777777" w:rsidR="00BD0148" w:rsidRPr="00F93893" w:rsidRDefault="00BD0148" w:rsidP="003F1F7C">
            <w:pPr>
              <w:jc w:val="left"/>
              <w:rPr>
                <w:color w:val="auto"/>
                <w:sz w:val="20"/>
                <w:szCs w:val="20"/>
              </w:rPr>
            </w:pPr>
          </w:p>
        </w:tc>
        <w:tc>
          <w:tcPr>
            <w:tcW w:w="598" w:type="pct"/>
            <w:shd w:val="clear" w:color="auto" w:fill="D0CECE"/>
            <w:vAlign w:val="bottom"/>
          </w:tcPr>
          <w:p w14:paraId="461CBD8C" w14:textId="77777777" w:rsidR="00BD0148" w:rsidRPr="00F93893" w:rsidRDefault="00BD0148" w:rsidP="003F1F7C">
            <w:pPr>
              <w:jc w:val="center"/>
              <w:rPr>
                <w:b/>
                <w:color w:val="auto"/>
                <w:sz w:val="20"/>
                <w:szCs w:val="20"/>
              </w:rPr>
            </w:pPr>
            <w:r w:rsidRPr="00F93893">
              <w:rPr>
                <w:b/>
                <w:color w:val="auto"/>
                <w:sz w:val="20"/>
                <w:szCs w:val="20"/>
              </w:rPr>
              <w:t>2014/15</w:t>
            </w:r>
          </w:p>
        </w:tc>
        <w:tc>
          <w:tcPr>
            <w:tcW w:w="598" w:type="pct"/>
            <w:shd w:val="clear" w:color="auto" w:fill="D0CECE"/>
            <w:vAlign w:val="bottom"/>
          </w:tcPr>
          <w:p w14:paraId="57A08497" w14:textId="77777777" w:rsidR="00BD0148" w:rsidRPr="00F93893" w:rsidRDefault="00BD0148" w:rsidP="003F1F7C">
            <w:pPr>
              <w:jc w:val="center"/>
              <w:rPr>
                <w:b/>
                <w:color w:val="auto"/>
                <w:sz w:val="20"/>
                <w:szCs w:val="20"/>
              </w:rPr>
            </w:pPr>
            <w:r w:rsidRPr="00F93893">
              <w:rPr>
                <w:b/>
                <w:color w:val="auto"/>
                <w:sz w:val="20"/>
                <w:szCs w:val="20"/>
              </w:rPr>
              <w:t>2013/14</w:t>
            </w:r>
          </w:p>
        </w:tc>
        <w:tc>
          <w:tcPr>
            <w:tcW w:w="612" w:type="pct"/>
            <w:shd w:val="clear" w:color="auto" w:fill="D0CECE"/>
            <w:vAlign w:val="bottom"/>
          </w:tcPr>
          <w:p w14:paraId="440B81CD" w14:textId="77777777" w:rsidR="00BD0148" w:rsidRPr="00F93893" w:rsidRDefault="00BD0148" w:rsidP="003F1F7C">
            <w:pPr>
              <w:jc w:val="center"/>
              <w:rPr>
                <w:b/>
                <w:color w:val="auto"/>
                <w:sz w:val="20"/>
                <w:szCs w:val="20"/>
              </w:rPr>
            </w:pPr>
            <w:r w:rsidRPr="00F93893">
              <w:rPr>
                <w:b/>
                <w:color w:val="auto"/>
                <w:sz w:val="20"/>
                <w:szCs w:val="20"/>
              </w:rPr>
              <w:t>2014/15</w:t>
            </w:r>
          </w:p>
        </w:tc>
        <w:tc>
          <w:tcPr>
            <w:tcW w:w="618" w:type="pct"/>
            <w:shd w:val="clear" w:color="auto" w:fill="D0CECE"/>
            <w:vAlign w:val="bottom"/>
          </w:tcPr>
          <w:p w14:paraId="087F735D" w14:textId="77777777" w:rsidR="00BD0148" w:rsidRPr="00F93893" w:rsidRDefault="00BD0148" w:rsidP="003F1F7C">
            <w:pPr>
              <w:jc w:val="center"/>
              <w:rPr>
                <w:b/>
                <w:color w:val="auto"/>
                <w:sz w:val="20"/>
                <w:szCs w:val="20"/>
              </w:rPr>
            </w:pPr>
            <w:r w:rsidRPr="00F93893">
              <w:rPr>
                <w:b/>
                <w:color w:val="auto"/>
                <w:sz w:val="20"/>
                <w:szCs w:val="20"/>
              </w:rPr>
              <w:t>2013/14</w:t>
            </w:r>
          </w:p>
        </w:tc>
      </w:tr>
      <w:tr w:rsidR="00373964" w:rsidRPr="00C615DA" w14:paraId="33A51939" w14:textId="77777777" w:rsidTr="00A06955">
        <w:trPr>
          <w:trHeight w:val="369"/>
          <w:tblHeader/>
        </w:trPr>
        <w:tc>
          <w:tcPr>
            <w:tcW w:w="2574" w:type="pct"/>
            <w:shd w:val="clear" w:color="auto" w:fill="D0CECE"/>
            <w:vAlign w:val="bottom"/>
          </w:tcPr>
          <w:p w14:paraId="769B58C7" w14:textId="77777777" w:rsidR="00BD0148" w:rsidRPr="00F93893" w:rsidRDefault="00BD0148" w:rsidP="003F1F7C">
            <w:pPr>
              <w:jc w:val="left"/>
              <w:rPr>
                <w:b/>
                <w:color w:val="auto"/>
                <w:sz w:val="20"/>
                <w:szCs w:val="20"/>
              </w:rPr>
            </w:pPr>
          </w:p>
        </w:tc>
        <w:tc>
          <w:tcPr>
            <w:tcW w:w="598" w:type="pct"/>
            <w:shd w:val="clear" w:color="auto" w:fill="D0CECE"/>
            <w:vAlign w:val="bottom"/>
          </w:tcPr>
          <w:p w14:paraId="40A9D31D" w14:textId="77777777" w:rsidR="00BD0148" w:rsidRPr="00F93893" w:rsidRDefault="00BD0148" w:rsidP="003F1F7C">
            <w:pPr>
              <w:jc w:val="center"/>
              <w:rPr>
                <w:b/>
                <w:color w:val="auto"/>
                <w:sz w:val="20"/>
                <w:szCs w:val="20"/>
              </w:rPr>
            </w:pPr>
            <w:r w:rsidRPr="00F93893">
              <w:rPr>
                <w:b/>
                <w:color w:val="auto"/>
                <w:sz w:val="20"/>
                <w:szCs w:val="20"/>
              </w:rPr>
              <w:t>£m</w:t>
            </w:r>
          </w:p>
        </w:tc>
        <w:tc>
          <w:tcPr>
            <w:tcW w:w="598" w:type="pct"/>
            <w:shd w:val="clear" w:color="auto" w:fill="D0CECE"/>
            <w:vAlign w:val="bottom"/>
          </w:tcPr>
          <w:p w14:paraId="4E14CD16" w14:textId="77777777" w:rsidR="00BD0148" w:rsidRPr="00F93893" w:rsidRDefault="00BD0148" w:rsidP="003F1F7C">
            <w:pPr>
              <w:jc w:val="center"/>
              <w:rPr>
                <w:b/>
                <w:color w:val="auto"/>
                <w:sz w:val="20"/>
                <w:szCs w:val="20"/>
              </w:rPr>
            </w:pPr>
            <w:r w:rsidRPr="00F93893">
              <w:rPr>
                <w:b/>
                <w:color w:val="auto"/>
                <w:sz w:val="20"/>
                <w:szCs w:val="20"/>
              </w:rPr>
              <w:t>£m</w:t>
            </w:r>
          </w:p>
        </w:tc>
        <w:tc>
          <w:tcPr>
            <w:tcW w:w="612" w:type="pct"/>
            <w:shd w:val="clear" w:color="auto" w:fill="D0CECE"/>
            <w:vAlign w:val="bottom"/>
          </w:tcPr>
          <w:p w14:paraId="0F0C9EC2" w14:textId="77777777" w:rsidR="00BD0148" w:rsidRPr="00F93893" w:rsidRDefault="00BD0148" w:rsidP="003F1F7C">
            <w:pPr>
              <w:jc w:val="center"/>
              <w:rPr>
                <w:b/>
                <w:color w:val="auto"/>
                <w:sz w:val="20"/>
                <w:szCs w:val="20"/>
              </w:rPr>
            </w:pPr>
            <w:r w:rsidRPr="00F93893">
              <w:rPr>
                <w:b/>
                <w:color w:val="auto"/>
                <w:sz w:val="20"/>
                <w:szCs w:val="20"/>
              </w:rPr>
              <w:t>£m</w:t>
            </w:r>
          </w:p>
        </w:tc>
        <w:tc>
          <w:tcPr>
            <w:tcW w:w="618" w:type="pct"/>
            <w:shd w:val="clear" w:color="auto" w:fill="D0CECE"/>
            <w:vAlign w:val="bottom"/>
          </w:tcPr>
          <w:p w14:paraId="7233432D" w14:textId="77777777" w:rsidR="00BD0148" w:rsidRPr="00F93893" w:rsidRDefault="00BD0148" w:rsidP="003F1F7C">
            <w:pPr>
              <w:jc w:val="center"/>
              <w:rPr>
                <w:b/>
                <w:color w:val="auto"/>
                <w:sz w:val="20"/>
                <w:szCs w:val="20"/>
              </w:rPr>
            </w:pPr>
            <w:r w:rsidRPr="00F93893">
              <w:rPr>
                <w:b/>
                <w:color w:val="auto"/>
                <w:sz w:val="20"/>
                <w:szCs w:val="20"/>
              </w:rPr>
              <w:t>£m</w:t>
            </w:r>
          </w:p>
        </w:tc>
      </w:tr>
      <w:tr w:rsidR="00373964" w:rsidRPr="00C615DA" w14:paraId="75AE7A95" w14:textId="77777777" w:rsidTr="00373964">
        <w:trPr>
          <w:trHeight w:val="369"/>
        </w:trPr>
        <w:tc>
          <w:tcPr>
            <w:tcW w:w="2574" w:type="pct"/>
            <w:shd w:val="clear" w:color="auto" w:fill="auto"/>
            <w:vAlign w:val="bottom"/>
          </w:tcPr>
          <w:p w14:paraId="5FC56D8E" w14:textId="77777777" w:rsidR="00BD0148" w:rsidRPr="00F93893" w:rsidRDefault="00433837" w:rsidP="003F1F7C">
            <w:pPr>
              <w:jc w:val="left"/>
              <w:rPr>
                <w:color w:val="auto"/>
                <w:sz w:val="20"/>
                <w:szCs w:val="20"/>
                <w:u w:val="single"/>
              </w:rPr>
            </w:pPr>
            <w:r w:rsidRPr="00F93893">
              <w:rPr>
                <w:color w:val="auto"/>
                <w:sz w:val="20"/>
                <w:szCs w:val="20"/>
                <w:u w:val="single"/>
              </w:rPr>
              <w:t>Comprehensive Income and Expenditure Statement</w:t>
            </w:r>
          </w:p>
        </w:tc>
        <w:tc>
          <w:tcPr>
            <w:tcW w:w="598" w:type="pct"/>
            <w:shd w:val="clear" w:color="auto" w:fill="auto"/>
            <w:vAlign w:val="bottom"/>
          </w:tcPr>
          <w:p w14:paraId="3408D639" w14:textId="77777777" w:rsidR="00BD0148" w:rsidRPr="00F93893" w:rsidRDefault="00BD0148" w:rsidP="003F1F7C">
            <w:pPr>
              <w:tabs>
                <w:tab w:val="decimal" w:pos="602"/>
              </w:tabs>
              <w:rPr>
                <w:color w:val="auto"/>
                <w:sz w:val="20"/>
                <w:szCs w:val="20"/>
              </w:rPr>
            </w:pPr>
          </w:p>
        </w:tc>
        <w:tc>
          <w:tcPr>
            <w:tcW w:w="598" w:type="pct"/>
            <w:vAlign w:val="bottom"/>
          </w:tcPr>
          <w:p w14:paraId="520F294A" w14:textId="77777777" w:rsidR="00BD0148" w:rsidRPr="00F93893" w:rsidRDefault="00BD0148" w:rsidP="00433837">
            <w:pPr>
              <w:tabs>
                <w:tab w:val="decimal" w:pos="599"/>
              </w:tabs>
              <w:jc w:val="center"/>
              <w:rPr>
                <w:color w:val="auto"/>
                <w:sz w:val="20"/>
                <w:szCs w:val="20"/>
              </w:rPr>
            </w:pPr>
          </w:p>
        </w:tc>
        <w:tc>
          <w:tcPr>
            <w:tcW w:w="612" w:type="pct"/>
            <w:shd w:val="clear" w:color="auto" w:fill="auto"/>
            <w:vAlign w:val="bottom"/>
          </w:tcPr>
          <w:p w14:paraId="2AAFDAE5" w14:textId="77777777" w:rsidR="00BD0148" w:rsidRPr="00F93893" w:rsidRDefault="00BD0148" w:rsidP="003F1F7C">
            <w:pPr>
              <w:tabs>
                <w:tab w:val="decimal" w:pos="632"/>
              </w:tabs>
              <w:rPr>
                <w:color w:val="auto"/>
                <w:sz w:val="20"/>
                <w:szCs w:val="20"/>
              </w:rPr>
            </w:pPr>
          </w:p>
        </w:tc>
        <w:tc>
          <w:tcPr>
            <w:tcW w:w="618" w:type="pct"/>
            <w:shd w:val="clear" w:color="auto" w:fill="auto"/>
            <w:vAlign w:val="bottom"/>
          </w:tcPr>
          <w:p w14:paraId="376D42F5" w14:textId="77777777" w:rsidR="00BD0148" w:rsidRPr="00F93893" w:rsidRDefault="00BD0148" w:rsidP="003F1F7C">
            <w:pPr>
              <w:tabs>
                <w:tab w:val="decimal" w:pos="599"/>
              </w:tabs>
              <w:rPr>
                <w:color w:val="auto"/>
                <w:sz w:val="20"/>
                <w:szCs w:val="20"/>
              </w:rPr>
            </w:pPr>
          </w:p>
        </w:tc>
      </w:tr>
      <w:tr w:rsidR="00B7145A" w:rsidRPr="00C615DA" w14:paraId="6EF00D30" w14:textId="77777777" w:rsidTr="00373964">
        <w:trPr>
          <w:trHeight w:val="369"/>
        </w:trPr>
        <w:tc>
          <w:tcPr>
            <w:tcW w:w="2574" w:type="pct"/>
            <w:shd w:val="clear" w:color="auto" w:fill="auto"/>
            <w:vAlign w:val="bottom"/>
          </w:tcPr>
          <w:p w14:paraId="41A18E34" w14:textId="77777777" w:rsidR="00B7145A" w:rsidRPr="00F93893" w:rsidRDefault="00B7145A" w:rsidP="003F1F7C">
            <w:pPr>
              <w:jc w:val="left"/>
              <w:rPr>
                <w:color w:val="auto"/>
                <w:sz w:val="20"/>
                <w:szCs w:val="20"/>
              </w:rPr>
            </w:pPr>
            <w:r w:rsidRPr="00F93893">
              <w:rPr>
                <w:color w:val="auto"/>
                <w:sz w:val="20"/>
                <w:szCs w:val="20"/>
              </w:rPr>
              <w:t>Cost of Services</w:t>
            </w:r>
            <w:r w:rsidR="00433837" w:rsidRPr="00F93893">
              <w:rPr>
                <w:color w:val="auto"/>
                <w:sz w:val="20"/>
                <w:szCs w:val="20"/>
              </w:rPr>
              <w:t>:</w:t>
            </w:r>
          </w:p>
        </w:tc>
        <w:tc>
          <w:tcPr>
            <w:tcW w:w="598" w:type="pct"/>
            <w:shd w:val="clear" w:color="auto" w:fill="auto"/>
            <w:vAlign w:val="bottom"/>
          </w:tcPr>
          <w:p w14:paraId="6DD94644" w14:textId="77777777" w:rsidR="00B7145A" w:rsidRPr="00F93893" w:rsidRDefault="00B7145A" w:rsidP="003F1F7C">
            <w:pPr>
              <w:tabs>
                <w:tab w:val="decimal" w:pos="602"/>
              </w:tabs>
              <w:rPr>
                <w:color w:val="auto"/>
                <w:sz w:val="20"/>
                <w:szCs w:val="20"/>
              </w:rPr>
            </w:pPr>
          </w:p>
        </w:tc>
        <w:tc>
          <w:tcPr>
            <w:tcW w:w="598" w:type="pct"/>
            <w:vAlign w:val="bottom"/>
          </w:tcPr>
          <w:p w14:paraId="436995B0" w14:textId="77777777" w:rsidR="00B7145A" w:rsidRPr="00F93893" w:rsidRDefault="00B7145A" w:rsidP="00433837">
            <w:pPr>
              <w:tabs>
                <w:tab w:val="decimal" w:pos="599"/>
              </w:tabs>
              <w:jc w:val="center"/>
              <w:rPr>
                <w:color w:val="auto"/>
                <w:sz w:val="20"/>
                <w:szCs w:val="20"/>
              </w:rPr>
            </w:pPr>
          </w:p>
        </w:tc>
        <w:tc>
          <w:tcPr>
            <w:tcW w:w="612" w:type="pct"/>
            <w:shd w:val="clear" w:color="auto" w:fill="auto"/>
            <w:vAlign w:val="bottom"/>
          </w:tcPr>
          <w:p w14:paraId="44A06BDC" w14:textId="77777777" w:rsidR="00B7145A" w:rsidRPr="00F93893" w:rsidRDefault="00B7145A" w:rsidP="003F1F7C">
            <w:pPr>
              <w:tabs>
                <w:tab w:val="decimal" w:pos="632"/>
              </w:tabs>
              <w:rPr>
                <w:color w:val="auto"/>
                <w:sz w:val="20"/>
                <w:szCs w:val="20"/>
              </w:rPr>
            </w:pPr>
          </w:p>
        </w:tc>
        <w:tc>
          <w:tcPr>
            <w:tcW w:w="618" w:type="pct"/>
            <w:shd w:val="clear" w:color="auto" w:fill="auto"/>
            <w:vAlign w:val="bottom"/>
          </w:tcPr>
          <w:p w14:paraId="5956B87A" w14:textId="77777777" w:rsidR="00B7145A" w:rsidRPr="00F93893" w:rsidRDefault="00B7145A" w:rsidP="003F1F7C">
            <w:pPr>
              <w:tabs>
                <w:tab w:val="decimal" w:pos="599"/>
              </w:tabs>
              <w:rPr>
                <w:color w:val="auto"/>
                <w:sz w:val="20"/>
                <w:szCs w:val="20"/>
              </w:rPr>
            </w:pPr>
          </w:p>
        </w:tc>
      </w:tr>
      <w:tr w:rsidR="00373964" w:rsidRPr="00C615DA" w14:paraId="1AF44144" w14:textId="77777777" w:rsidTr="00373964">
        <w:trPr>
          <w:trHeight w:val="369"/>
        </w:trPr>
        <w:tc>
          <w:tcPr>
            <w:tcW w:w="2574" w:type="pct"/>
            <w:shd w:val="clear" w:color="auto" w:fill="auto"/>
            <w:vAlign w:val="bottom"/>
          </w:tcPr>
          <w:p w14:paraId="0A36E7B9" w14:textId="77777777" w:rsidR="00BD0148" w:rsidRPr="00F93893" w:rsidRDefault="00373964" w:rsidP="003F1F7C">
            <w:pPr>
              <w:jc w:val="left"/>
              <w:rPr>
                <w:color w:val="auto"/>
                <w:sz w:val="20"/>
                <w:szCs w:val="20"/>
              </w:rPr>
            </w:pPr>
            <w:r w:rsidRPr="00F93893">
              <w:rPr>
                <w:rFonts w:eastAsia="Times New Roman" w:cs="Arial"/>
                <w:sz w:val="20"/>
                <w:szCs w:val="20"/>
                <w:lang w:eastAsia="en-GB"/>
              </w:rPr>
              <w:t>Current service cost</w:t>
            </w:r>
          </w:p>
        </w:tc>
        <w:tc>
          <w:tcPr>
            <w:tcW w:w="598" w:type="pct"/>
            <w:tcBorders>
              <w:bottom w:val="nil"/>
            </w:tcBorders>
            <w:shd w:val="clear" w:color="auto" w:fill="auto"/>
            <w:vAlign w:val="bottom"/>
          </w:tcPr>
          <w:p w14:paraId="77644C4A" w14:textId="77777777" w:rsidR="00BD0148" w:rsidRPr="00F93893" w:rsidRDefault="00F93893" w:rsidP="003F1F7C">
            <w:pPr>
              <w:tabs>
                <w:tab w:val="decimal" w:pos="602"/>
              </w:tabs>
              <w:rPr>
                <w:color w:val="auto"/>
                <w:sz w:val="20"/>
                <w:szCs w:val="20"/>
              </w:rPr>
            </w:pPr>
            <w:r w:rsidRPr="00F93893">
              <w:rPr>
                <w:color w:val="auto"/>
                <w:sz w:val="20"/>
                <w:szCs w:val="20"/>
              </w:rPr>
              <w:t>73.0</w:t>
            </w:r>
          </w:p>
        </w:tc>
        <w:tc>
          <w:tcPr>
            <w:tcW w:w="598" w:type="pct"/>
            <w:tcBorders>
              <w:bottom w:val="nil"/>
            </w:tcBorders>
            <w:vAlign w:val="bottom"/>
          </w:tcPr>
          <w:p w14:paraId="5DCFB9E7" w14:textId="77777777" w:rsidR="00BD0148" w:rsidRPr="00F93893" w:rsidRDefault="00433837" w:rsidP="00433837">
            <w:pPr>
              <w:tabs>
                <w:tab w:val="decimal" w:pos="599"/>
              </w:tabs>
              <w:rPr>
                <w:color w:val="auto"/>
                <w:sz w:val="20"/>
                <w:szCs w:val="20"/>
              </w:rPr>
            </w:pPr>
            <w:r w:rsidRPr="00F93893">
              <w:rPr>
                <w:color w:val="auto"/>
                <w:sz w:val="20"/>
                <w:szCs w:val="20"/>
              </w:rPr>
              <w:t>87.7</w:t>
            </w:r>
          </w:p>
        </w:tc>
        <w:tc>
          <w:tcPr>
            <w:tcW w:w="612" w:type="pct"/>
            <w:tcBorders>
              <w:bottom w:val="nil"/>
            </w:tcBorders>
            <w:shd w:val="clear" w:color="auto" w:fill="auto"/>
            <w:vAlign w:val="bottom"/>
          </w:tcPr>
          <w:p w14:paraId="051BB90D" w14:textId="77777777" w:rsidR="00BD0148" w:rsidRPr="00F93893" w:rsidRDefault="00BD0148" w:rsidP="003F1F7C">
            <w:pPr>
              <w:tabs>
                <w:tab w:val="decimal" w:pos="632"/>
              </w:tabs>
              <w:rPr>
                <w:color w:val="auto"/>
                <w:sz w:val="20"/>
                <w:szCs w:val="20"/>
              </w:rPr>
            </w:pPr>
            <w:r w:rsidRPr="00F93893">
              <w:rPr>
                <w:color w:val="auto"/>
                <w:sz w:val="20"/>
                <w:szCs w:val="20"/>
              </w:rPr>
              <w:t>-</w:t>
            </w:r>
          </w:p>
        </w:tc>
        <w:tc>
          <w:tcPr>
            <w:tcW w:w="618" w:type="pct"/>
            <w:tcBorders>
              <w:bottom w:val="nil"/>
            </w:tcBorders>
            <w:shd w:val="clear" w:color="auto" w:fill="auto"/>
            <w:vAlign w:val="bottom"/>
          </w:tcPr>
          <w:p w14:paraId="1396CAF1" w14:textId="77777777" w:rsidR="00BD0148" w:rsidRPr="00F93893" w:rsidRDefault="00BD0148" w:rsidP="003F1F7C">
            <w:pPr>
              <w:tabs>
                <w:tab w:val="decimal" w:pos="599"/>
              </w:tabs>
              <w:rPr>
                <w:color w:val="auto"/>
                <w:sz w:val="20"/>
                <w:szCs w:val="20"/>
              </w:rPr>
            </w:pPr>
            <w:r w:rsidRPr="00F93893">
              <w:rPr>
                <w:color w:val="auto"/>
                <w:sz w:val="20"/>
                <w:szCs w:val="20"/>
              </w:rPr>
              <w:t>-</w:t>
            </w:r>
          </w:p>
        </w:tc>
      </w:tr>
      <w:tr w:rsidR="00373964" w:rsidRPr="00C615DA" w14:paraId="272E3126" w14:textId="77777777" w:rsidTr="00373964">
        <w:trPr>
          <w:trHeight w:val="369"/>
        </w:trPr>
        <w:tc>
          <w:tcPr>
            <w:tcW w:w="2574" w:type="pct"/>
            <w:shd w:val="clear" w:color="auto" w:fill="auto"/>
            <w:vAlign w:val="bottom"/>
          </w:tcPr>
          <w:p w14:paraId="27788CA5" w14:textId="77777777" w:rsidR="00BD0148" w:rsidRPr="00F93893" w:rsidRDefault="00373964" w:rsidP="003F1F7C">
            <w:pPr>
              <w:jc w:val="left"/>
              <w:rPr>
                <w:color w:val="auto"/>
                <w:sz w:val="20"/>
                <w:szCs w:val="20"/>
              </w:rPr>
            </w:pPr>
            <w:r w:rsidRPr="00F93893">
              <w:rPr>
                <w:rFonts w:eastAsia="Times New Roman" w:cs="Arial"/>
                <w:sz w:val="20"/>
                <w:szCs w:val="20"/>
                <w:lang w:eastAsia="en-GB"/>
              </w:rPr>
              <w:t>Past service cost</w:t>
            </w:r>
          </w:p>
        </w:tc>
        <w:tc>
          <w:tcPr>
            <w:tcW w:w="598" w:type="pct"/>
            <w:tcBorders>
              <w:top w:val="nil"/>
              <w:bottom w:val="nil"/>
            </w:tcBorders>
            <w:shd w:val="clear" w:color="auto" w:fill="auto"/>
            <w:vAlign w:val="bottom"/>
          </w:tcPr>
          <w:p w14:paraId="56B85F98" w14:textId="77777777" w:rsidR="00BD0148" w:rsidRPr="00F93893" w:rsidRDefault="00F93893" w:rsidP="003F1F7C">
            <w:pPr>
              <w:tabs>
                <w:tab w:val="decimal" w:pos="602"/>
              </w:tabs>
              <w:rPr>
                <w:color w:val="auto"/>
                <w:sz w:val="20"/>
                <w:szCs w:val="20"/>
              </w:rPr>
            </w:pPr>
            <w:r w:rsidRPr="00F93893">
              <w:rPr>
                <w:color w:val="auto"/>
                <w:sz w:val="20"/>
                <w:szCs w:val="20"/>
              </w:rPr>
              <w:t>0.1</w:t>
            </w:r>
          </w:p>
        </w:tc>
        <w:tc>
          <w:tcPr>
            <w:tcW w:w="598" w:type="pct"/>
            <w:tcBorders>
              <w:top w:val="nil"/>
              <w:bottom w:val="nil"/>
            </w:tcBorders>
            <w:vAlign w:val="bottom"/>
          </w:tcPr>
          <w:p w14:paraId="7A383942" w14:textId="77777777" w:rsidR="00BD0148" w:rsidRPr="00F93893" w:rsidRDefault="00433837" w:rsidP="00433837">
            <w:pPr>
              <w:tabs>
                <w:tab w:val="decimal" w:pos="599"/>
              </w:tabs>
              <w:rPr>
                <w:color w:val="auto"/>
                <w:sz w:val="20"/>
                <w:szCs w:val="20"/>
              </w:rPr>
            </w:pPr>
            <w:r w:rsidRPr="00F93893">
              <w:rPr>
                <w:color w:val="auto"/>
                <w:sz w:val="20"/>
                <w:szCs w:val="20"/>
              </w:rPr>
              <w:t>0.2</w:t>
            </w:r>
          </w:p>
        </w:tc>
        <w:tc>
          <w:tcPr>
            <w:tcW w:w="612" w:type="pct"/>
            <w:tcBorders>
              <w:top w:val="nil"/>
              <w:bottom w:val="nil"/>
            </w:tcBorders>
            <w:shd w:val="clear" w:color="auto" w:fill="auto"/>
            <w:vAlign w:val="bottom"/>
          </w:tcPr>
          <w:p w14:paraId="59F9A085" w14:textId="77777777" w:rsidR="00BD0148" w:rsidRPr="00F93893" w:rsidRDefault="00BD0148" w:rsidP="003F1F7C">
            <w:pPr>
              <w:tabs>
                <w:tab w:val="decimal" w:pos="632"/>
              </w:tabs>
              <w:rPr>
                <w:color w:val="auto"/>
                <w:sz w:val="20"/>
                <w:szCs w:val="20"/>
              </w:rPr>
            </w:pPr>
            <w:r w:rsidRPr="00F93893">
              <w:rPr>
                <w:color w:val="auto"/>
                <w:sz w:val="20"/>
                <w:szCs w:val="20"/>
              </w:rPr>
              <w:t>-</w:t>
            </w:r>
          </w:p>
        </w:tc>
        <w:tc>
          <w:tcPr>
            <w:tcW w:w="618" w:type="pct"/>
            <w:tcBorders>
              <w:top w:val="nil"/>
              <w:bottom w:val="nil"/>
            </w:tcBorders>
            <w:shd w:val="clear" w:color="auto" w:fill="auto"/>
            <w:vAlign w:val="bottom"/>
          </w:tcPr>
          <w:p w14:paraId="588FFEC8" w14:textId="77777777" w:rsidR="00BD0148" w:rsidRPr="00F93893" w:rsidRDefault="00BD0148" w:rsidP="003F1F7C">
            <w:pPr>
              <w:tabs>
                <w:tab w:val="decimal" w:pos="599"/>
              </w:tabs>
              <w:rPr>
                <w:color w:val="auto"/>
                <w:sz w:val="20"/>
                <w:szCs w:val="20"/>
              </w:rPr>
            </w:pPr>
            <w:r w:rsidRPr="00F93893">
              <w:rPr>
                <w:color w:val="auto"/>
                <w:sz w:val="20"/>
                <w:szCs w:val="20"/>
              </w:rPr>
              <w:t>-</w:t>
            </w:r>
          </w:p>
        </w:tc>
      </w:tr>
      <w:tr w:rsidR="00373964" w:rsidRPr="00C615DA" w14:paraId="0EE08F78" w14:textId="77777777" w:rsidTr="00373964">
        <w:trPr>
          <w:trHeight w:val="369"/>
        </w:trPr>
        <w:tc>
          <w:tcPr>
            <w:tcW w:w="2574" w:type="pct"/>
            <w:shd w:val="clear" w:color="auto" w:fill="auto"/>
            <w:vAlign w:val="bottom"/>
          </w:tcPr>
          <w:p w14:paraId="32204743" w14:textId="77777777" w:rsidR="00373964" w:rsidRPr="00F93893" w:rsidRDefault="00373964" w:rsidP="003F1F7C">
            <w:pPr>
              <w:jc w:val="left"/>
              <w:rPr>
                <w:rFonts w:eastAsia="Times New Roman" w:cs="Arial"/>
                <w:sz w:val="20"/>
                <w:szCs w:val="20"/>
                <w:lang w:eastAsia="en-GB"/>
              </w:rPr>
            </w:pPr>
            <w:r w:rsidRPr="00F93893">
              <w:rPr>
                <w:rFonts w:eastAsia="Times New Roman" w:cs="Arial"/>
                <w:sz w:val="20"/>
                <w:szCs w:val="20"/>
                <w:lang w:eastAsia="en-GB"/>
              </w:rPr>
              <w:t>Curtailment costs</w:t>
            </w:r>
          </w:p>
        </w:tc>
        <w:tc>
          <w:tcPr>
            <w:tcW w:w="598" w:type="pct"/>
            <w:tcBorders>
              <w:top w:val="nil"/>
              <w:bottom w:val="nil"/>
            </w:tcBorders>
            <w:shd w:val="clear" w:color="auto" w:fill="auto"/>
            <w:vAlign w:val="bottom"/>
          </w:tcPr>
          <w:p w14:paraId="1B5AA19F" w14:textId="77777777" w:rsidR="00373964" w:rsidRPr="00F93893" w:rsidRDefault="00F93893" w:rsidP="003F1F7C">
            <w:pPr>
              <w:tabs>
                <w:tab w:val="decimal" w:pos="602"/>
              </w:tabs>
              <w:rPr>
                <w:color w:val="auto"/>
                <w:sz w:val="20"/>
                <w:szCs w:val="20"/>
              </w:rPr>
            </w:pPr>
            <w:r w:rsidRPr="00F93893">
              <w:rPr>
                <w:color w:val="auto"/>
                <w:sz w:val="20"/>
                <w:szCs w:val="20"/>
              </w:rPr>
              <w:t>12.9</w:t>
            </w:r>
          </w:p>
        </w:tc>
        <w:tc>
          <w:tcPr>
            <w:tcW w:w="598" w:type="pct"/>
            <w:tcBorders>
              <w:top w:val="nil"/>
              <w:bottom w:val="nil"/>
            </w:tcBorders>
            <w:vAlign w:val="bottom"/>
          </w:tcPr>
          <w:p w14:paraId="7EF700CA" w14:textId="77777777" w:rsidR="00373964" w:rsidRPr="00F93893" w:rsidRDefault="00433837" w:rsidP="00433837">
            <w:pPr>
              <w:tabs>
                <w:tab w:val="decimal" w:pos="599"/>
              </w:tabs>
              <w:rPr>
                <w:color w:val="auto"/>
                <w:sz w:val="20"/>
                <w:szCs w:val="20"/>
              </w:rPr>
            </w:pPr>
            <w:r w:rsidRPr="00F93893">
              <w:rPr>
                <w:color w:val="auto"/>
                <w:sz w:val="20"/>
                <w:szCs w:val="20"/>
              </w:rPr>
              <w:t>0.8</w:t>
            </w:r>
          </w:p>
        </w:tc>
        <w:tc>
          <w:tcPr>
            <w:tcW w:w="612" w:type="pct"/>
            <w:tcBorders>
              <w:top w:val="nil"/>
              <w:bottom w:val="nil"/>
            </w:tcBorders>
            <w:shd w:val="clear" w:color="auto" w:fill="auto"/>
            <w:vAlign w:val="bottom"/>
          </w:tcPr>
          <w:p w14:paraId="64E62FC7" w14:textId="77777777" w:rsidR="00373964" w:rsidRPr="00F93893" w:rsidRDefault="00373964" w:rsidP="003F1F7C">
            <w:pPr>
              <w:tabs>
                <w:tab w:val="decimal" w:pos="632"/>
              </w:tabs>
              <w:rPr>
                <w:color w:val="auto"/>
                <w:sz w:val="20"/>
                <w:szCs w:val="20"/>
              </w:rPr>
            </w:pPr>
            <w:r w:rsidRPr="00F93893">
              <w:rPr>
                <w:color w:val="auto"/>
                <w:sz w:val="20"/>
                <w:szCs w:val="20"/>
              </w:rPr>
              <w:t>-</w:t>
            </w:r>
          </w:p>
        </w:tc>
        <w:tc>
          <w:tcPr>
            <w:tcW w:w="618" w:type="pct"/>
            <w:tcBorders>
              <w:top w:val="nil"/>
              <w:bottom w:val="nil"/>
            </w:tcBorders>
            <w:shd w:val="clear" w:color="auto" w:fill="auto"/>
            <w:vAlign w:val="bottom"/>
          </w:tcPr>
          <w:p w14:paraId="6DC3E2CC" w14:textId="77777777" w:rsidR="00373964" w:rsidRPr="00F93893" w:rsidRDefault="00373964" w:rsidP="003F1F7C">
            <w:pPr>
              <w:tabs>
                <w:tab w:val="decimal" w:pos="599"/>
              </w:tabs>
              <w:rPr>
                <w:color w:val="auto"/>
                <w:sz w:val="20"/>
                <w:szCs w:val="20"/>
              </w:rPr>
            </w:pPr>
            <w:r w:rsidRPr="00F93893">
              <w:rPr>
                <w:color w:val="auto"/>
                <w:sz w:val="20"/>
                <w:szCs w:val="20"/>
              </w:rPr>
              <w:t>-</w:t>
            </w:r>
          </w:p>
        </w:tc>
      </w:tr>
      <w:tr w:rsidR="00373964" w:rsidRPr="00373964" w14:paraId="67EC667A" w14:textId="77777777" w:rsidTr="00373964">
        <w:trPr>
          <w:trHeight w:val="369"/>
        </w:trPr>
        <w:tc>
          <w:tcPr>
            <w:tcW w:w="2574" w:type="pct"/>
            <w:shd w:val="clear" w:color="auto" w:fill="auto"/>
            <w:vAlign w:val="bottom"/>
          </w:tcPr>
          <w:p w14:paraId="57EC9CAC" w14:textId="77777777" w:rsidR="00BD0148" w:rsidRPr="00F93893" w:rsidRDefault="00373964" w:rsidP="003F1F7C">
            <w:pPr>
              <w:jc w:val="left"/>
              <w:rPr>
                <w:color w:val="auto"/>
                <w:sz w:val="20"/>
                <w:szCs w:val="20"/>
              </w:rPr>
            </w:pPr>
            <w:r w:rsidRPr="00F93893">
              <w:rPr>
                <w:color w:val="auto"/>
                <w:sz w:val="20"/>
                <w:szCs w:val="20"/>
              </w:rPr>
              <w:t>Admin Expenses</w:t>
            </w:r>
          </w:p>
        </w:tc>
        <w:tc>
          <w:tcPr>
            <w:tcW w:w="598" w:type="pct"/>
            <w:tcBorders>
              <w:top w:val="nil"/>
            </w:tcBorders>
            <w:shd w:val="clear" w:color="auto" w:fill="auto"/>
            <w:vAlign w:val="bottom"/>
          </w:tcPr>
          <w:p w14:paraId="2B436786" w14:textId="77777777" w:rsidR="00BD0148" w:rsidRPr="00F93893" w:rsidRDefault="00F93893" w:rsidP="003F1F7C">
            <w:pPr>
              <w:tabs>
                <w:tab w:val="decimal" w:pos="602"/>
              </w:tabs>
              <w:rPr>
                <w:color w:val="auto"/>
                <w:sz w:val="20"/>
                <w:szCs w:val="20"/>
              </w:rPr>
            </w:pPr>
            <w:r w:rsidRPr="00F93893">
              <w:rPr>
                <w:color w:val="auto"/>
                <w:sz w:val="20"/>
                <w:szCs w:val="20"/>
              </w:rPr>
              <w:t>1.5</w:t>
            </w:r>
          </w:p>
        </w:tc>
        <w:tc>
          <w:tcPr>
            <w:tcW w:w="598" w:type="pct"/>
            <w:tcBorders>
              <w:top w:val="nil"/>
            </w:tcBorders>
            <w:vAlign w:val="bottom"/>
          </w:tcPr>
          <w:p w14:paraId="53E74EE1" w14:textId="77777777" w:rsidR="00BD0148" w:rsidRPr="00F93893" w:rsidRDefault="00433837" w:rsidP="00433837">
            <w:pPr>
              <w:tabs>
                <w:tab w:val="decimal" w:pos="599"/>
              </w:tabs>
              <w:rPr>
                <w:color w:val="auto"/>
                <w:sz w:val="20"/>
                <w:szCs w:val="20"/>
              </w:rPr>
            </w:pPr>
            <w:r w:rsidRPr="00F93893">
              <w:rPr>
                <w:color w:val="auto"/>
                <w:sz w:val="20"/>
                <w:szCs w:val="20"/>
              </w:rPr>
              <w:t>1.4</w:t>
            </w:r>
          </w:p>
        </w:tc>
        <w:tc>
          <w:tcPr>
            <w:tcW w:w="612" w:type="pct"/>
            <w:tcBorders>
              <w:top w:val="nil"/>
            </w:tcBorders>
            <w:shd w:val="clear" w:color="auto" w:fill="auto"/>
            <w:vAlign w:val="bottom"/>
          </w:tcPr>
          <w:p w14:paraId="6BC9E75A" w14:textId="77777777" w:rsidR="00BD0148" w:rsidRPr="00F93893" w:rsidRDefault="00BD0148" w:rsidP="003F1F7C">
            <w:pPr>
              <w:tabs>
                <w:tab w:val="decimal" w:pos="632"/>
              </w:tabs>
              <w:rPr>
                <w:color w:val="auto"/>
                <w:sz w:val="20"/>
                <w:szCs w:val="20"/>
              </w:rPr>
            </w:pPr>
            <w:r w:rsidRPr="00F93893">
              <w:rPr>
                <w:color w:val="auto"/>
                <w:sz w:val="20"/>
                <w:szCs w:val="20"/>
              </w:rPr>
              <w:t>-</w:t>
            </w:r>
          </w:p>
        </w:tc>
        <w:tc>
          <w:tcPr>
            <w:tcW w:w="618" w:type="pct"/>
            <w:tcBorders>
              <w:top w:val="nil"/>
            </w:tcBorders>
            <w:shd w:val="clear" w:color="auto" w:fill="auto"/>
            <w:vAlign w:val="bottom"/>
          </w:tcPr>
          <w:p w14:paraId="3BBD4AD3" w14:textId="77777777" w:rsidR="00BD0148" w:rsidRPr="00F93893" w:rsidRDefault="00BD0148" w:rsidP="003F1F7C">
            <w:pPr>
              <w:tabs>
                <w:tab w:val="decimal" w:pos="599"/>
              </w:tabs>
              <w:rPr>
                <w:color w:val="auto"/>
                <w:sz w:val="20"/>
                <w:szCs w:val="20"/>
              </w:rPr>
            </w:pPr>
            <w:r w:rsidRPr="00F93893">
              <w:rPr>
                <w:color w:val="auto"/>
                <w:sz w:val="20"/>
                <w:szCs w:val="20"/>
              </w:rPr>
              <w:t>-</w:t>
            </w:r>
          </w:p>
        </w:tc>
      </w:tr>
      <w:tr w:rsidR="00373964" w:rsidRPr="00C615DA" w14:paraId="3728A778" w14:textId="77777777" w:rsidTr="00373964">
        <w:trPr>
          <w:trHeight w:val="369"/>
        </w:trPr>
        <w:tc>
          <w:tcPr>
            <w:tcW w:w="2574" w:type="pct"/>
            <w:shd w:val="clear" w:color="auto" w:fill="auto"/>
            <w:vAlign w:val="bottom"/>
          </w:tcPr>
          <w:p w14:paraId="732450C0" w14:textId="77777777" w:rsidR="00BD0148" w:rsidRPr="00F93893" w:rsidRDefault="00373964" w:rsidP="003F1F7C">
            <w:pPr>
              <w:jc w:val="left"/>
              <w:rPr>
                <w:color w:val="auto"/>
                <w:sz w:val="20"/>
                <w:szCs w:val="20"/>
                <w:u w:val="single"/>
              </w:rPr>
            </w:pPr>
            <w:r w:rsidRPr="00F93893">
              <w:rPr>
                <w:color w:val="auto"/>
                <w:sz w:val="20"/>
                <w:szCs w:val="20"/>
                <w:u w:val="single"/>
              </w:rPr>
              <w:t>Financing and Investment Income and Expenditure</w:t>
            </w:r>
          </w:p>
        </w:tc>
        <w:tc>
          <w:tcPr>
            <w:tcW w:w="598" w:type="pct"/>
            <w:shd w:val="clear" w:color="auto" w:fill="auto"/>
            <w:vAlign w:val="bottom"/>
          </w:tcPr>
          <w:p w14:paraId="533ACE4F" w14:textId="77777777" w:rsidR="00BD0148" w:rsidRPr="00F93893" w:rsidRDefault="00BD0148" w:rsidP="003F1F7C">
            <w:pPr>
              <w:tabs>
                <w:tab w:val="decimal" w:pos="602"/>
              </w:tabs>
              <w:jc w:val="center"/>
              <w:rPr>
                <w:color w:val="auto"/>
                <w:sz w:val="20"/>
                <w:szCs w:val="20"/>
              </w:rPr>
            </w:pPr>
          </w:p>
        </w:tc>
        <w:tc>
          <w:tcPr>
            <w:tcW w:w="598" w:type="pct"/>
            <w:vAlign w:val="bottom"/>
          </w:tcPr>
          <w:p w14:paraId="12099095" w14:textId="77777777" w:rsidR="00BD0148" w:rsidRPr="00F93893" w:rsidRDefault="00BD0148" w:rsidP="00433837">
            <w:pPr>
              <w:tabs>
                <w:tab w:val="decimal" w:pos="599"/>
              </w:tabs>
              <w:rPr>
                <w:color w:val="auto"/>
                <w:sz w:val="20"/>
                <w:szCs w:val="20"/>
              </w:rPr>
            </w:pPr>
          </w:p>
        </w:tc>
        <w:tc>
          <w:tcPr>
            <w:tcW w:w="612" w:type="pct"/>
            <w:shd w:val="clear" w:color="auto" w:fill="auto"/>
            <w:vAlign w:val="bottom"/>
          </w:tcPr>
          <w:p w14:paraId="13FC5C7A" w14:textId="77777777" w:rsidR="00BD0148" w:rsidRPr="00F93893" w:rsidRDefault="00BD0148" w:rsidP="003F1F7C">
            <w:pPr>
              <w:tabs>
                <w:tab w:val="decimal" w:pos="632"/>
              </w:tabs>
              <w:rPr>
                <w:color w:val="auto"/>
                <w:sz w:val="20"/>
                <w:szCs w:val="20"/>
              </w:rPr>
            </w:pPr>
          </w:p>
        </w:tc>
        <w:tc>
          <w:tcPr>
            <w:tcW w:w="618" w:type="pct"/>
            <w:shd w:val="clear" w:color="auto" w:fill="auto"/>
            <w:vAlign w:val="bottom"/>
          </w:tcPr>
          <w:p w14:paraId="53747E93" w14:textId="77777777" w:rsidR="00BD0148" w:rsidRPr="00F93893" w:rsidRDefault="00BD0148" w:rsidP="003F1F7C">
            <w:pPr>
              <w:tabs>
                <w:tab w:val="decimal" w:pos="599"/>
              </w:tabs>
              <w:rPr>
                <w:color w:val="auto"/>
                <w:sz w:val="20"/>
                <w:szCs w:val="20"/>
              </w:rPr>
            </w:pPr>
          </w:p>
        </w:tc>
      </w:tr>
      <w:tr w:rsidR="00373964" w:rsidRPr="00C615DA" w14:paraId="416B479A" w14:textId="77777777" w:rsidTr="00433837">
        <w:trPr>
          <w:trHeight w:val="369"/>
        </w:trPr>
        <w:tc>
          <w:tcPr>
            <w:tcW w:w="2574" w:type="pct"/>
            <w:shd w:val="clear" w:color="auto" w:fill="auto"/>
            <w:vAlign w:val="bottom"/>
          </w:tcPr>
          <w:p w14:paraId="2DAD66CF" w14:textId="77777777" w:rsidR="00BD0148" w:rsidRPr="00F93893" w:rsidRDefault="00373964" w:rsidP="003F1F7C">
            <w:pPr>
              <w:jc w:val="left"/>
              <w:rPr>
                <w:color w:val="auto"/>
                <w:sz w:val="20"/>
                <w:szCs w:val="20"/>
              </w:rPr>
            </w:pPr>
            <w:r w:rsidRPr="00F93893">
              <w:rPr>
                <w:color w:val="auto"/>
                <w:sz w:val="20"/>
                <w:szCs w:val="20"/>
              </w:rPr>
              <w:t>Net Interest Expense</w:t>
            </w:r>
          </w:p>
        </w:tc>
        <w:tc>
          <w:tcPr>
            <w:tcW w:w="598" w:type="pct"/>
            <w:tcBorders>
              <w:bottom w:val="single" w:sz="4" w:space="0" w:color="auto"/>
            </w:tcBorders>
            <w:shd w:val="clear" w:color="auto" w:fill="auto"/>
            <w:vAlign w:val="bottom"/>
          </w:tcPr>
          <w:p w14:paraId="704DE039" w14:textId="77777777" w:rsidR="00BD0148" w:rsidRPr="00F93893" w:rsidRDefault="00F93893" w:rsidP="003F1F7C">
            <w:pPr>
              <w:tabs>
                <w:tab w:val="decimal" w:pos="602"/>
              </w:tabs>
              <w:rPr>
                <w:color w:val="auto"/>
                <w:sz w:val="20"/>
                <w:szCs w:val="20"/>
              </w:rPr>
            </w:pPr>
            <w:r w:rsidRPr="00F93893">
              <w:rPr>
                <w:color w:val="auto"/>
                <w:sz w:val="20"/>
                <w:szCs w:val="20"/>
              </w:rPr>
              <w:t>31.8</w:t>
            </w:r>
          </w:p>
        </w:tc>
        <w:tc>
          <w:tcPr>
            <w:tcW w:w="598" w:type="pct"/>
            <w:tcBorders>
              <w:bottom w:val="single" w:sz="4" w:space="0" w:color="auto"/>
            </w:tcBorders>
            <w:vAlign w:val="bottom"/>
          </w:tcPr>
          <w:p w14:paraId="769FE06B" w14:textId="77777777" w:rsidR="00BD0148" w:rsidRPr="00F93893" w:rsidRDefault="00433837" w:rsidP="00433837">
            <w:pPr>
              <w:tabs>
                <w:tab w:val="decimal" w:pos="599"/>
              </w:tabs>
              <w:rPr>
                <w:color w:val="auto"/>
                <w:sz w:val="20"/>
                <w:szCs w:val="20"/>
              </w:rPr>
            </w:pPr>
            <w:r w:rsidRPr="00F93893">
              <w:rPr>
                <w:color w:val="auto"/>
                <w:sz w:val="20"/>
                <w:szCs w:val="20"/>
              </w:rPr>
              <w:t>39.5</w:t>
            </w:r>
          </w:p>
        </w:tc>
        <w:tc>
          <w:tcPr>
            <w:tcW w:w="612" w:type="pct"/>
            <w:tcBorders>
              <w:bottom w:val="single" w:sz="4" w:space="0" w:color="auto"/>
            </w:tcBorders>
            <w:shd w:val="clear" w:color="auto" w:fill="auto"/>
            <w:vAlign w:val="bottom"/>
          </w:tcPr>
          <w:p w14:paraId="6E71507F" w14:textId="77777777" w:rsidR="00F93893" w:rsidRPr="00F93893" w:rsidRDefault="00F93893" w:rsidP="003F1F7C">
            <w:pPr>
              <w:tabs>
                <w:tab w:val="decimal" w:pos="632"/>
              </w:tabs>
              <w:rPr>
                <w:color w:val="auto"/>
                <w:sz w:val="20"/>
                <w:szCs w:val="20"/>
              </w:rPr>
            </w:pPr>
            <w:r w:rsidRPr="00F93893">
              <w:rPr>
                <w:color w:val="auto"/>
                <w:sz w:val="20"/>
                <w:szCs w:val="20"/>
              </w:rPr>
              <w:t>5.8</w:t>
            </w:r>
          </w:p>
        </w:tc>
        <w:tc>
          <w:tcPr>
            <w:tcW w:w="618" w:type="pct"/>
            <w:tcBorders>
              <w:bottom w:val="single" w:sz="4" w:space="0" w:color="auto"/>
            </w:tcBorders>
            <w:shd w:val="clear" w:color="auto" w:fill="auto"/>
            <w:vAlign w:val="bottom"/>
          </w:tcPr>
          <w:p w14:paraId="0C29FA12" w14:textId="77777777" w:rsidR="00BD0148" w:rsidRPr="00F93893" w:rsidRDefault="00433837" w:rsidP="003F1F7C">
            <w:pPr>
              <w:tabs>
                <w:tab w:val="decimal" w:pos="599"/>
              </w:tabs>
              <w:rPr>
                <w:color w:val="auto"/>
                <w:sz w:val="20"/>
                <w:szCs w:val="20"/>
              </w:rPr>
            </w:pPr>
            <w:r w:rsidRPr="00F93893">
              <w:rPr>
                <w:color w:val="auto"/>
                <w:sz w:val="20"/>
                <w:szCs w:val="20"/>
              </w:rPr>
              <w:t>5.3</w:t>
            </w:r>
          </w:p>
        </w:tc>
      </w:tr>
      <w:tr w:rsidR="00373964" w:rsidRPr="00B624BD" w14:paraId="77BEE0E9" w14:textId="77777777" w:rsidTr="00433837">
        <w:trPr>
          <w:trHeight w:val="369"/>
        </w:trPr>
        <w:tc>
          <w:tcPr>
            <w:tcW w:w="2574" w:type="pct"/>
            <w:shd w:val="clear" w:color="auto" w:fill="auto"/>
            <w:vAlign w:val="bottom"/>
          </w:tcPr>
          <w:p w14:paraId="4BA6A83A" w14:textId="0172F886" w:rsidR="00BD0148" w:rsidRPr="00F93893" w:rsidRDefault="00373964" w:rsidP="00A06955">
            <w:pPr>
              <w:jc w:val="left"/>
              <w:rPr>
                <w:b/>
                <w:color w:val="auto"/>
                <w:sz w:val="20"/>
                <w:szCs w:val="20"/>
              </w:rPr>
            </w:pPr>
            <w:r w:rsidRPr="00F93893">
              <w:rPr>
                <w:b/>
                <w:color w:val="auto"/>
                <w:sz w:val="20"/>
                <w:szCs w:val="20"/>
              </w:rPr>
              <w:t xml:space="preserve">Total Post Employment Benefit Charged to the </w:t>
            </w:r>
            <w:r w:rsidRPr="00A06955">
              <w:rPr>
                <w:b/>
                <w:color w:val="auto"/>
                <w:sz w:val="20"/>
                <w:szCs w:val="20"/>
              </w:rPr>
              <w:t>Surplus on</w:t>
            </w:r>
            <w:r w:rsidRPr="00F93893">
              <w:rPr>
                <w:b/>
                <w:color w:val="auto"/>
                <w:sz w:val="20"/>
                <w:szCs w:val="20"/>
              </w:rPr>
              <w:t xml:space="preserve"> the Provision of Services</w:t>
            </w:r>
          </w:p>
        </w:tc>
        <w:tc>
          <w:tcPr>
            <w:tcW w:w="598" w:type="pct"/>
            <w:tcBorders>
              <w:top w:val="single" w:sz="4" w:space="0" w:color="auto"/>
              <w:bottom w:val="nil"/>
            </w:tcBorders>
            <w:shd w:val="clear" w:color="auto" w:fill="auto"/>
            <w:vAlign w:val="bottom"/>
          </w:tcPr>
          <w:p w14:paraId="53908546" w14:textId="66901E99" w:rsidR="00BD0148" w:rsidRPr="00F93893" w:rsidRDefault="00F93893" w:rsidP="009C1D66">
            <w:pPr>
              <w:tabs>
                <w:tab w:val="decimal" w:pos="602"/>
              </w:tabs>
              <w:rPr>
                <w:b/>
                <w:color w:val="auto"/>
                <w:sz w:val="20"/>
                <w:szCs w:val="20"/>
              </w:rPr>
            </w:pPr>
            <w:r w:rsidRPr="00F93893">
              <w:rPr>
                <w:b/>
                <w:color w:val="auto"/>
                <w:sz w:val="20"/>
                <w:szCs w:val="20"/>
              </w:rPr>
              <w:t>119.</w:t>
            </w:r>
            <w:r w:rsidR="009D26B5">
              <w:rPr>
                <w:b/>
                <w:color w:val="auto"/>
                <w:sz w:val="20"/>
                <w:szCs w:val="20"/>
              </w:rPr>
              <w:t>3</w:t>
            </w:r>
          </w:p>
        </w:tc>
        <w:tc>
          <w:tcPr>
            <w:tcW w:w="598" w:type="pct"/>
            <w:tcBorders>
              <w:top w:val="single" w:sz="4" w:space="0" w:color="auto"/>
              <w:bottom w:val="nil"/>
            </w:tcBorders>
            <w:vAlign w:val="bottom"/>
          </w:tcPr>
          <w:p w14:paraId="6A559DDA" w14:textId="77777777" w:rsidR="00BD0148" w:rsidRPr="00F93893" w:rsidRDefault="00433837" w:rsidP="00433837">
            <w:pPr>
              <w:tabs>
                <w:tab w:val="decimal" w:pos="599"/>
              </w:tabs>
              <w:rPr>
                <w:b/>
                <w:color w:val="auto"/>
                <w:sz w:val="20"/>
                <w:szCs w:val="20"/>
              </w:rPr>
            </w:pPr>
            <w:r w:rsidRPr="00F93893">
              <w:rPr>
                <w:b/>
                <w:color w:val="auto"/>
                <w:sz w:val="20"/>
                <w:szCs w:val="20"/>
              </w:rPr>
              <w:t>129.6</w:t>
            </w:r>
          </w:p>
        </w:tc>
        <w:tc>
          <w:tcPr>
            <w:tcW w:w="612" w:type="pct"/>
            <w:tcBorders>
              <w:top w:val="single" w:sz="4" w:space="0" w:color="auto"/>
              <w:bottom w:val="nil"/>
            </w:tcBorders>
            <w:shd w:val="clear" w:color="auto" w:fill="auto"/>
            <w:vAlign w:val="bottom"/>
          </w:tcPr>
          <w:p w14:paraId="7195A2B6" w14:textId="77777777" w:rsidR="00BD0148" w:rsidRPr="00F93893" w:rsidRDefault="00F93893" w:rsidP="003F1F7C">
            <w:pPr>
              <w:tabs>
                <w:tab w:val="decimal" w:pos="632"/>
              </w:tabs>
              <w:rPr>
                <w:b/>
                <w:color w:val="auto"/>
                <w:sz w:val="20"/>
                <w:szCs w:val="20"/>
              </w:rPr>
            </w:pPr>
            <w:r w:rsidRPr="00F93893">
              <w:rPr>
                <w:b/>
                <w:color w:val="auto"/>
                <w:sz w:val="20"/>
                <w:szCs w:val="20"/>
              </w:rPr>
              <w:t>5.8</w:t>
            </w:r>
          </w:p>
        </w:tc>
        <w:tc>
          <w:tcPr>
            <w:tcW w:w="618" w:type="pct"/>
            <w:tcBorders>
              <w:top w:val="single" w:sz="4" w:space="0" w:color="auto"/>
              <w:bottom w:val="nil"/>
            </w:tcBorders>
            <w:shd w:val="clear" w:color="auto" w:fill="auto"/>
            <w:vAlign w:val="bottom"/>
          </w:tcPr>
          <w:p w14:paraId="14901D40" w14:textId="77777777" w:rsidR="00BD0148" w:rsidRPr="00F93893" w:rsidRDefault="00433837" w:rsidP="003F1F7C">
            <w:pPr>
              <w:tabs>
                <w:tab w:val="decimal" w:pos="599"/>
              </w:tabs>
              <w:rPr>
                <w:b/>
                <w:color w:val="auto"/>
                <w:sz w:val="20"/>
                <w:szCs w:val="20"/>
              </w:rPr>
            </w:pPr>
            <w:r w:rsidRPr="00F93893">
              <w:rPr>
                <w:b/>
                <w:color w:val="auto"/>
                <w:sz w:val="20"/>
                <w:szCs w:val="20"/>
              </w:rPr>
              <w:t>5.3</w:t>
            </w:r>
          </w:p>
        </w:tc>
      </w:tr>
      <w:tr w:rsidR="00B7145A" w:rsidRPr="00B624BD" w14:paraId="4FF0EF89" w14:textId="77777777" w:rsidTr="00433837">
        <w:trPr>
          <w:trHeight w:val="369"/>
        </w:trPr>
        <w:tc>
          <w:tcPr>
            <w:tcW w:w="2574" w:type="pct"/>
            <w:shd w:val="clear" w:color="auto" w:fill="auto"/>
            <w:vAlign w:val="bottom"/>
          </w:tcPr>
          <w:p w14:paraId="70C7417A" w14:textId="77777777" w:rsidR="00B7145A" w:rsidRPr="00F93893" w:rsidRDefault="00B7145A" w:rsidP="003F1F7C">
            <w:pPr>
              <w:jc w:val="left"/>
              <w:rPr>
                <w:color w:val="auto"/>
                <w:sz w:val="20"/>
                <w:szCs w:val="20"/>
                <w:u w:val="single"/>
              </w:rPr>
            </w:pPr>
            <w:r w:rsidRPr="00F93893">
              <w:rPr>
                <w:color w:val="auto"/>
                <w:sz w:val="20"/>
                <w:szCs w:val="20"/>
                <w:u w:val="single"/>
              </w:rPr>
              <w:t>Other Post Employment Benefit Charged to the Comprehensive Income and Expenditure Statement</w:t>
            </w:r>
          </w:p>
        </w:tc>
        <w:tc>
          <w:tcPr>
            <w:tcW w:w="598" w:type="pct"/>
            <w:tcBorders>
              <w:top w:val="nil"/>
            </w:tcBorders>
            <w:shd w:val="clear" w:color="auto" w:fill="auto"/>
            <w:vAlign w:val="bottom"/>
          </w:tcPr>
          <w:p w14:paraId="2727E8D2" w14:textId="77777777" w:rsidR="00B7145A" w:rsidRPr="00F93893" w:rsidRDefault="00B7145A" w:rsidP="003F1F7C">
            <w:pPr>
              <w:tabs>
                <w:tab w:val="decimal" w:pos="602"/>
              </w:tabs>
              <w:rPr>
                <w:b/>
                <w:color w:val="auto"/>
                <w:sz w:val="20"/>
                <w:szCs w:val="20"/>
              </w:rPr>
            </w:pPr>
          </w:p>
        </w:tc>
        <w:tc>
          <w:tcPr>
            <w:tcW w:w="598" w:type="pct"/>
            <w:tcBorders>
              <w:top w:val="nil"/>
            </w:tcBorders>
            <w:vAlign w:val="bottom"/>
          </w:tcPr>
          <w:p w14:paraId="411B91BD" w14:textId="77777777" w:rsidR="00B7145A" w:rsidRPr="00F93893" w:rsidRDefault="00B7145A" w:rsidP="00433837">
            <w:pPr>
              <w:tabs>
                <w:tab w:val="decimal" w:pos="599"/>
              </w:tabs>
              <w:rPr>
                <w:b/>
                <w:color w:val="auto"/>
                <w:sz w:val="20"/>
                <w:szCs w:val="20"/>
              </w:rPr>
            </w:pPr>
          </w:p>
        </w:tc>
        <w:tc>
          <w:tcPr>
            <w:tcW w:w="612" w:type="pct"/>
            <w:tcBorders>
              <w:top w:val="nil"/>
              <w:bottom w:val="nil"/>
            </w:tcBorders>
            <w:shd w:val="clear" w:color="auto" w:fill="auto"/>
            <w:vAlign w:val="bottom"/>
          </w:tcPr>
          <w:p w14:paraId="59B2C425" w14:textId="77777777" w:rsidR="00B7145A" w:rsidRPr="00F93893" w:rsidRDefault="00B7145A" w:rsidP="003F1F7C">
            <w:pPr>
              <w:tabs>
                <w:tab w:val="decimal" w:pos="632"/>
              </w:tabs>
              <w:rPr>
                <w:b/>
                <w:color w:val="auto"/>
                <w:sz w:val="20"/>
                <w:szCs w:val="20"/>
              </w:rPr>
            </w:pPr>
          </w:p>
        </w:tc>
        <w:tc>
          <w:tcPr>
            <w:tcW w:w="618" w:type="pct"/>
            <w:tcBorders>
              <w:top w:val="nil"/>
              <w:bottom w:val="nil"/>
            </w:tcBorders>
            <w:shd w:val="clear" w:color="auto" w:fill="auto"/>
            <w:vAlign w:val="bottom"/>
          </w:tcPr>
          <w:p w14:paraId="3A1B9A08" w14:textId="77777777" w:rsidR="00B7145A" w:rsidRPr="00F93893" w:rsidRDefault="00B7145A" w:rsidP="003F1F7C">
            <w:pPr>
              <w:tabs>
                <w:tab w:val="decimal" w:pos="599"/>
              </w:tabs>
              <w:rPr>
                <w:b/>
                <w:color w:val="auto"/>
                <w:sz w:val="20"/>
                <w:szCs w:val="20"/>
              </w:rPr>
            </w:pPr>
          </w:p>
        </w:tc>
      </w:tr>
      <w:tr w:rsidR="00373964" w:rsidRPr="00C615DA" w14:paraId="3D1DB98B" w14:textId="77777777" w:rsidTr="00373964">
        <w:trPr>
          <w:trHeight w:val="369"/>
        </w:trPr>
        <w:tc>
          <w:tcPr>
            <w:tcW w:w="2574" w:type="pct"/>
            <w:shd w:val="clear" w:color="auto" w:fill="auto"/>
            <w:vAlign w:val="bottom"/>
          </w:tcPr>
          <w:p w14:paraId="6922314F" w14:textId="77777777" w:rsidR="00BD0148" w:rsidRPr="00F93893" w:rsidRDefault="00373964" w:rsidP="003F1F7C">
            <w:pPr>
              <w:jc w:val="left"/>
              <w:rPr>
                <w:color w:val="auto"/>
                <w:sz w:val="20"/>
                <w:szCs w:val="20"/>
              </w:rPr>
            </w:pPr>
            <w:r w:rsidRPr="00F93893">
              <w:rPr>
                <w:color w:val="auto"/>
                <w:sz w:val="20"/>
                <w:szCs w:val="20"/>
              </w:rPr>
              <w:t>Re</w:t>
            </w:r>
            <w:r w:rsidR="009F22E0">
              <w:rPr>
                <w:color w:val="auto"/>
                <w:sz w:val="20"/>
                <w:szCs w:val="20"/>
              </w:rPr>
              <w:t>-</w:t>
            </w:r>
            <w:r w:rsidRPr="00F93893">
              <w:rPr>
                <w:color w:val="auto"/>
                <w:sz w:val="20"/>
                <w:szCs w:val="20"/>
              </w:rPr>
              <w:t>measurement of the net defined benefit liability, comprising</w:t>
            </w:r>
            <w:r w:rsidR="00433837" w:rsidRPr="00F93893">
              <w:rPr>
                <w:color w:val="auto"/>
                <w:sz w:val="20"/>
                <w:szCs w:val="20"/>
              </w:rPr>
              <w:t>:</w:t>
            </w:r>
          </w:p>
        </w:tc>
        <w:tc>
          <w:tcPr>
            <w:tcW w:w="598" w:type="pct"/>
            <w:shd w:val="clear" w:color="auto" w:fill="auto"/>
            <w:vAlign w:val="bottom"/>
          </w:tcPr>
          <w:p w14:paraId="5FCA9C08" w14:textId="77777777" w:rsidR="00BD0148" w:rsidRPr="00F93893" w:rsidRDefault="00BD0148" w:rsidP="003F1F7C">
            <w:pPr>
              <w:tabs>
                <w:tab w:val="decimal" w:pos="602"/>
              </w:tabs>
              <w:jc w:val="center"/>
              <w:rPr>
                <w:color w:val="auto"/>
                <w:sz w:val="20"/>
                <w:szCs w:val="20"/>
              </w:rPr>
            </w:pPr>
          </w:p>
        </w:tc>
        <w:tc>
          <w:tcPr>
            <w:tcW w:w="598" w:type="pct"/>
            <w:vAlign w:val="bottom"/>
          </w:tcPr>
          <w:p w14:paraId="7AD0D42A" w14:textId="77777777" w:rsidR="00BD0148" w:rsidRPr="00F93893" w:rsidRDefault="00BD0148" w:rsidP="00433837">
            <w:pPr>
              <w:tabs>
                <w:tab w:val="decimal" w:pos="599"/>
              </w:tabs>
              <w:jc w:val="center"/>
              <w:rPr>
                <w:color w:val="auto"/>
                <w:sz w:val="20"/>
                <w:szCs w:val="20"/>
              </w:rPr>
            </w:pPr>
          </w:p>
        </w:tc>
        <w:tc>
          <w:tcPr>
            <w:tcW w:w="612" w:type="pct"/>
            <w:tcBorders>
              <w:top w:val="nil"/>
            </w:tcBorders>
            <w:shd w:val="clear" w:color="auto" w:fill="auto"/>
            <w:vAlign w:val="bottom"/>
          </w:tcPr>
          <w:p w14:paraId="386859BA" w14:textId="77777777" w:rsidR="00BD0148" w:rsidRPr="00F93893" w:rsidRDefault="00BD0148" w:rsidP="003F1F7C">
            <w:pPr>
              <w:tabs>
                <w:tab w:val="decimal" w:pos="632"/>
              </w:tabs>
              <w:rPr>
                <w:color w:val="auto"/>
                <w:sz w:val="20"/>
                <w:szCs w:val="20"/>
              </w:rPr>
            </w:pPr>
          </w:p>
        </w:tc>
        <w:tc>
          <w:tcPr>
            <w:tcW w:w="618" w:type="pct"/>
            <w:tcBorders>
              <w:top w:val="nil"/>
            </w:tcBorders>
            <w:shd w:val="clear" w:color="auto" w:fill="auto"/>
            <w:vAlign w:val="bottom"/>
          </w:tcPr>
          <w:p w14:paraId="164701D3" w14:textId="77777777" w:rsidR="00BD0148" w:rsidRPr="00F93893" w:rsidRDefault="00BD0148" w:rsidP="003F1F7C">
            <w:pPr>
              <w:tabs>
                <w:tab w:val="decimal" w:pos="599"/>
              </w:tabs>
              <w:rPr>
                <w:color w:val="auto"/>
                <w:sz w:val="20"/>
                <w:szCs w:val="20"/>
              </w:rPr>
            </w:pPr>
          </w:p>
        </w:tc>
      </w:tr>
      <w:tr w:rsidR="00373964" w:rsidRPr="00C615DA" w14:paraId="4CB3B1D4" w14:textId="77777777" w:rsidTr="00373964">
        <w:trPr>
          <w:trHeight w:val="369"/>
        </w:trPr>
        <w:tc>
          <w:tcPr>
            <w:tcW w:w="2574" w:type="pct"/>
            <w:shd w:val="clear" w:color="auto" w:fill="auto"/>
            <w:vAlign w:val="bottom"/>
          </w:tcPr>
          <w:p w14:paraId="3863E4AF" w14:textId="77777777" w:rsidR="00BD0148" w:rsidRPr="00F93893" w:rsidRDefault="00373964" w:rsidP="003F1F7C">
            <w:pPr>
              <w:jc w:val="left"/>
              <w:rPr>
                <w:color w:val="auto"/>
                <w:sz w:val="20"/>
                <w:szCs w:val="20"/>
              </w:rPr>
            </w:pPr>
            <w:r w:rsidRPr="00F93893">
              <w:rPr>
                <w:color w:val="auto"/>
                <w:sz w:val="20"/>
                <w:szCs w:val="20"/>
              </w:rPr>
              <w:t>Return on plan assets (excluding the amount included in the net interest expense)</w:t>
            </w:r>
          </w:p>
        </w:tc>
        <w:tc>
          <w:tcPr>
            <w:tcW w:w="598" w:type="pct"/>
            <w:shd w:val="clear" w:color="auto" w:fill="auto"/>
            <w:vAlign w:val="bottom"/>
          </w:tcPr>
          <w:p w14:paraId="6B48E995" w14:textId="77777777" w:rsidR="00BD0148" w:rsidRPr="00F93893" w:rsidRDefault="00F93893" w:rsidP="003F1F7C">
            <w:pPr>
              <w:tabs>
                <w:tab w:val="decimal" w:pos="602"/>
              </w:tabs>
              <w:rPr>
                <w:color w:val="auto"/>
                <w:sz w:val="20"/>
                <w:szCs w:val="20"/>
              </w:rPr>
            </w:pPr>
            <w:r w:rsidRPr="00F93893">
              <w:rPr>
                <w:color w:val="auto"/>
                <w:sz w:val="20"/>
                <w:szCs w:val="20"/>
              </w:rPr>
              <w:t>(172.3)</w:t>
            </w:r>
          </w:p>
        </w:tc>
        <w:tc>
          <w:tcPr>
            <w:tcW w:w="598" w:type="pct"/>
            <w:vAlign w:val="bottom"/>
          </w:tcPr>
          <w:p w14:paraId="6735FB6D" w14:textId="77777777" w:rsidR="00BD0148" w:rsidRPr="00F93893" w:rsidRDefault="00433837" w:rsidP="00433837">
            <w:pPr>
              <w:tabs>
                <w:tab w:val="decimal" w:pos="599"/>
              </w:tabs>
              <w:rPr>
                <w:color w:val="auto"/>
                <w:sz w:val="20"/>
                <w:szCs w:val="20"/>
              </w:rPr>
            </w:pPr>
            <w:r w:rsidRPr="00F93893">
              <w:rPr>
                <w:color w:val="auto"/>
                <w:sz w:val="20"/>
                <w:szCs w:val="20"/>
              </w:rPr>
              <w:t>(4.5)</w:t>
            </w:r>
          </w:p>
        </w:tc>
        <w:tc>
          <w:tcPr>
            <w:tcW w:w="612" w:type="pct"/>
            <w:shd w:val="clear" w:color="auto" w:fill="auto"/>
            <w:vAlign w:val="bottom"/>
          </w:tcPr>
          <w:p w14:paraId="1CFB8002" w14:textId="77777777" w:rsidR="00BD0148" w:rsidRPr="00F93893" w:rsidRDefault="00BD0148" w:rsidP="003F1F7C">
            <w:pPr>
              <w:tabs>
                <w:tab w:val="decimal" w:pos="632"/>
              </w:tabs>
              <w:rPr>
                <w:color w:val="auto"/>
                <w:sz w:val="20"/>
                <w:szCs w:val="20"/>
              </w:rPr>
            </w:pPr>
            <w:r w:rsidRPr="00F93893">
              <w:rPr>
                <w:color w:val="auto"/>
                <w:sz w:val="20"/>
                <w:szCs w:val="20"/>
              </w:rPr>
              <w:t>-</w:t>
            </w:r>
          </w:p>
        </w:tc>
        <w:tc>
          <w:tcPr>
            <w:tcW w:w="618" w:type="pct"/>
            <w:shd w:val="clear" w:color="auto" w:fill="auto"/>
            <w:vAlign w:val="bottom"/>
          </w:tcPr>
          <w:p w14:paraId="776A866B" w14:textId="77777777" w:rsidR="00BD0148" w:rsidRPr="00F93893" w:rsidRDefault="00BD0148" w:rsidP="003F1F7C">
            <w:pPr>
              <w:tabs>
                <w:tab w:val="decimal" w:pos="599"/>
              </w:tabs>
              <w:rPr>
                <w:color w:val="auto"/>
                <w:sz w:val="20"/>
                <w:szCs w:val="20"/>
              </w:rPr>
            </w:pPr>
            <w:r w:rsidRPr="00F93893">
              <w:rPr>
                <w:color w:val="auto"/>
                <w:sz w:val="20"/>
                <w:szCs w:val="20"/>
              </w:rPr>
              <w:t>-</w:t>
            </w:r>
          </w:p>
        </w:tc>
      </w:tr>
      <w:tr w:rsidR="00373964" w:rsidRPr="00C615DA" w14:paraId="0FB81146" w14:textId="77777777" w:rsidTr="00373964">
        <w:trPr>
          <w:trHeight w:val="369"/>
        </w:trPr>
        <w:tc>
          <w:tcPr>
            <w:tcW w:w="2574" w:type="pct"/>
            <w:shd w:val="clear" w:color="auto" w:fill="auto"/>
            <w:vAlign w:val="bottom"/>
          </w:tcPr>
          <w:p w14:paraId="24B9EEB4" w14:textId="77777777" w:rsidR="00BD0148" w:rsidRPr="00F93893" w:rsidRDefault="00373964" w:rsidP="003F1F7C">
            <w:pPr>
              <w:jc w:val="left"/>
              <w:rPr>
                <w:color w:val="auto"/>
                <w:sz w:val="20"/>
                <w:szCs w:val="20"/>
              </w:rPr>
            </w:pPr>
            <w:r w:rsidRPr="00F93893">
              <w:rPr>
                <w:color w:val="auto"/>
                <w:sz w:val="20"/>
                <w:szCs w:val="20"/>
              </w:rPr>
              <w:t>Experience (gains)/losses on liabilities</w:t>
            </w:r>
          </w:p>
        </w:tc>
        <w:tc>
          <w:tcPr>
            <w:tcW w:w="598" w:type="pct"/>
            <w:shd w:val="clear" w:color="auto" w:fill="auto"/>
            <w:vAlign w:val="bottom"/>
          </w:tcPr>
          <w:p w14:paraId="0C073D52" w14:textId="77777777" w:rsidR="00BD0148" w:rsidRPr="00F93893" w:rsidRDefault="00BD0148" w:rsidP="003F1F7C">
            <w:pPr>
              <w:tabs>
                <w:tab w:val="decimal" w:pos="602"/>
              </w:tabs>
              <w:rPr>
                <w:color w:val="auto"/>
                <w:sz w:val="20"/>
                <w:szCs w:val="20"/>
              </w:rPr>
            </w:pPr>
            <w:r w:rsidRPr="00F93893">
              <w:rPr>
                <w:color w:val="auto"/>
                <w:sz w:val="20"/>
                <w:szCs w:val="20"/>
              </w:rPr>
              <w:t>-</w:t>
            </w:r>
          </w:p>
        </w:tc>
        <w:tc>
          <w:tcPr>
            <w:tcW w:w="598" w:type="pct"/>
            <w:vAlign w:val="bottom"/>
          </w:tcPr>
          <w:p w14:paraId="0CC822AC" w14:textId="77777777" w:rsidR="00BD0148" w:rsidRPr="00F93893" w:rsidRDefault="00433837" w:rsidP="00433837">
            <w:pPr>
              <w:tabs>
                <w:tab w:val="decimal" w:pos="599"/>
              </w:tabs>
              <w:rPr>
                <w:color w:val="auto"/>
                <w:sz w:val="20"/>
                <w:szCs w:val="20"/>
              </w:rPr>
            </w:pPr>
            <w:r w:rsidRPr="00F93893">
              <w:rPr>
                <w:color w:val="auto"/>
                <w:sz w:val="20"/>
                <w:szCs w:val="20"/>
              </w:rPr>
              <w:t>(45.5)</w:t>
            </w:r>
          </w:p>
        </w:tc>
        <w:tc>
          <w:tcPr>
            <w:tcW w:w="612" w:type="pct"/>
            <w:shd w:val="clear" w:color="auto" w:fill="auto"/>
            <w:vAlign w:val="bottom"/>
          </w:tcPr>
          <w:p w14:paraId="74E6D694" w14:textId="77777777" w:rsidR="00BD0148" w:rsidRPr="00F93893" w:rsidRDefault="00BD0148" w:rsidP="003F1F7C">
            <w:pPr>
              <w:tabs>
                <w:tab w:val="decimal" w:pos="632"/>
              </w:tabs>
              <w:rPr>
                <w:color w:val="auto"/>
                <w:sz w:val="20"/>
                <w:szCs w:val="20"/>
              </w:rPr>
            </w:pPr>
            <w:r w:rsidRPr="00F93893">
              <w:rPr>
                <w:color w:val="auto"/>
                <w:sz w:val="20"/>
                <w:szCs w:val="20"/>
              </w:rPr>
              <w:t>-</w:t>
            </w:r>
          </w:p>
        </w:tc>
        <w:tc>
          <w:tcPr>
            <w:tcW w:w="618" w:type="pct"/>
            <w:shd w:val="clear" w:color="auto" w:fill="auto"/>
            <w:vAlign w:val="bottom"/>
          </w:tcPr>
          <w:p w14:paraId="56C2F183" w14:textId="77777777" w:rsidR="00BD0148" w:rsidRPr="00F93893" w:rsidRDefault="00433837" w:rsidP="003F1F7C">
            <w:pPr>
              <w:tabs>
                <w:tab w:val="decimal" w:pos="599"/>
              </w:tabs>
              <w:rPr>
                <w:color w:val="auto"/>
                <w:sz w:val="20"/>
                <w:szCs w:val="20"/>
              </w:rPr>
            </w:pPr>
            <w:r w:rsidRPr="00F93893">
              <w:rPr>
                <w:color w:val="auto"/>
                <w:sz w:val="20"/>
                <w:szCs w:val="20"/>
              </w:rPr>
              <w:t>1.2</w:t>
            </w:r>
          </w:p>
        </w:tc>
      </w:tr>
      <w:tr w:rsidR="00373964" w:rsidRPr="00C615DA" w14:paraId="005BCD38" w14:textId="77777777" w:rsidTr="00373964">
        <w:trPr>
          <w:trHeight w:val="369"/>
        </w:trPr>
        <w:tc>
          <w:tcPr>
            <w:tcW w:w="2574" w:type="pct"/>
            <w:shd w:val="clear" w:color="auto" w:fill="auto"/>
            <w:vAlign w:val="bottom"/>
          </w:tcPr>
          <w:p w14:paraId="237B6660" w14:textId="77777777" w:rsidR="00BD0148" w:rsidRPr="00F93893" w:rsidRDefault="00373964" w:rsidP="003F1F7C">
            <w:pPr>
              <w:jc w:val="left"/>
              <w:rPr>
                <w:color w:val="auto"/>
                <w:sz w:val="20"/>
                <w:szCs w:val="20"/>
              </w:rPr>
            </w:pPr>
            <w:r w:rsidRPr="00F93893">
              <w:rPr>
                <w:color w:val="auto"/>
                <w:sz w:val="20"/>
                <w:szCs w:val="20"/>
              </w:rPr>
              <w:t>Actuarial (gains)/losses arising from changes in financial assumptions</w:t>
            </w:r>
          </w:p>
        </w:tc>
        <w:tc>
          <w:tcPr>
            <w:tcW w:w="598" w:type="pct"/>
            <w:tcBorders>
              <w:bottom w:val="nil"/>
            </w:tcBorders>
            <w:shd w:val="clear" w:color="auto" w:fill="auto"/>
            <w:vAlign w:val="bottom"/>
          </w:tcPr>
          <w:p w14:paraId="50133057" w14:textId="77777777" w:rsidR="00BD0148" w:rsidRPr="00F93893" w:rsidRDefault="00F93893" w:rsidP="003F1F7C">
            <w:pPr>
              <w:tabs>
                <w:tab w:val="decimal" w:pos="602"/>
              </w:tabs>
              <w:rPr>
                <w:color w:val="auto"/>
                <w:sz w:val="20"/>
                <w:szCs w:val="20"/>
              </w:rPr>
            </w:pPr>
            <w:r w:rsidRPr="00F93893">
              <w:rPr>
                <w:color w:val="auto"/>
                <w:sz w:val="20"/>
                <w:szCs w:val="20"/>
              </w:rPr>
              <w:t>463.8</w:t>
            </w:r>
          </w:p>
        </w:tc>
        <w:tc>
          <w:tcPr>
            <w:tcW w:w="598" w:type="pct"/>
            <w:tcBorders>
              <w:bottom w:val="nil"/>
            </w:tcBorders>
            <w:vAlign w:val="bottom"/>
          </w:tcPr>
          <w:p w14:paraId="0B324DAE" w14:textId="77777777" w:rsidR="00BD0148" w:rsidRPr="00F93893" w:rsidRDefault="00433837" w:rsidP="00433837">
            <w:pPr>
              <w:tabs>
                <w:tab w:val="decimal" w:pos="599"/>
              </w:tabs>
              <w:rPr>
                <w:color w:val="auto"/>
                <w:sz w:val="20"/>
                <w:szCs w:val="20"/>
              </w:rPr>
            </w:pPr>
            <w:r w:rsidRPr="00F93893">
              <w:rPr>
                <w:color w:val="auto"/>
                <w:sz w:val="20"/>
                <w:szCs w:val="20"/>
              </w:rPr>
              <w:t>(232.8)</w:t>
            </w:r>
          </w:p>
        </w:tc>
        <w:tc>
          <w:tcPr>
            <w:tcW w:w="612" w:type="pct"/>
            <w:tcBorders>
              <w:bottom w:val="nil"/>
            </w:tcBorders>
            <w:shd w:val="clear" w:color="auto" w:fill="auto"/>
            <w:vAlign w:val="bottom"/>
          </w:tcPr>
          <w:p w14:paraId="23DAB80C" w14:textId="77777777" w:rsidR="00BD0148" w:rsidRPr="00F93893" w:rsidRDefault="00F93893" w:rsidP="003F1F7C">
            <w:pPr>
              <w:tabs>
                <w:tab w:val="decimal" w:pos="632"/>
              </w:tabs>
              <w:rPr>
                <w:color w:val="auto"/>
                <w:sz w:val="20"/>
                <w:szCs w:val="20"/>
              </w:rPr>
            </w:pPr>
            <w:r w:rsidRPr="00F93893">
              <w:rPr>
                <w:color w:val="auto"/>
                <w:sz w:val="20"/>
                <w:szCs w:val="20"/>
              </w:rPr>
              <w:t>10.4</w:t>
            </w:r>
          </w:p>
        </w:tc>
        <w:tc>
          <w:tcPr>
            <w:tcW w:w="618" w:type="pct"/>
            <w:tcBorders>
              <w:bottom w:val="nil"/>
            </w:tcBorders>
            <w:shd w:val="clear" w:color="auto" w:fill="auto"/>
            <w:vAlign w:val="bottom"/>
          </w:tcPr>
          <w:p w14:paraId="18D361CE" w14:textId="77777777" w:rsidR="00BD0148" w:rsidRPr="00F93893" w:rsidRDefault="00433837" w:rsidP="003F1F7C">
            <w:pPr>
              <w:tabs>
                <w:tab w:val="decimal" w:pos="599"/>
              </w:tabs>
              <w:rPr>
                <w:color w:val="auto"/>
                <w:sz w:val="20"/>
                <w:szCs w:val="20"/>
              </w:rPr>
            </w:pPr>
            <w:r w:rsidRPr="00F93893">
              <w:rPr>
                <w:color w:val="auto"/>
                <w:sz w:val="20"/>
                <w:szCs w:val="20"/>
              </w:rPr>
              <w:t>(7.9)</w:t>
            </w:r>
          </w:p>
        </w:tc>
      </w:tr>
      <w:tr w:rsidR="00373964" w:rsidRPr="00C615DA" w14:paraId="44C269AA" w14:textId="77777777" w:rsidTr="00373964">
        <w:trPr>
          <w:trHeight w:val="369"/>
        </w:trPr>
        <w:tc>
          <w:tcPr>
            <w:tcW w:w="2574" w:type="pct"/>
            <w:shd w:val="clear" w:color="auto" w:fill="auto"/>
            <w:vAlign w:val="bottom"/>
          </w:tcPr>
          <w:p w14:paraId="5CDC855B" w14:textId="77777777" w:rsidR="00BD0148" w:rsidRPr="00F93893" w:rsidRDefault="00373964" w:rsidP="003F1F7C">
            <w:pPr>
              <w:jc w:val="left"/>
              <w:rPr>
                <w:color w:val="auto"/>
                <w:sz w:val="20"/>
                <w:szCs w:val="20"/>
              </w:rPr>
            </w:pPr>
            <w:r w:rsidRPr="00F93893">
              <w:rPr>
                <w:color w:val="auto"/>
                <w:sz w:val="20"/>
                <w:szCs w:val="20"/>
              </w:rPr>
              <w:t>Actuarial (gains)/losses arising from changes in demographic assumptions</w:t>
            </w:r>
          </w:p>
        </w:tc>
        <w:tc>
          <w:tcPr>
            <w:tcW w:w="598" w:type="pct"/>
            <w:tcBorders>
              <w:top w:val="nil"/>
              <w:bottom w:val="single" w:sz="4" w:space="0" w:color="auto"/>
            </w:tcBorders>
            <w:shd w:val="clear" w:color="auto" w:fill="auto"/>
            <w:vAlign w:val="bottom"/>
          </w:tcPr>
          <w:p w14:paraId="12F4CDC1" w14:textId="77777777" w:rsidR="00BD0148" w:rsidRPr="00F93893" w:rsidRDefault="00BD0148" w:rsidP="003F1F7C">
            <w:pPr>
              <w:tabs>
                <w:tab w:val="decimal" w:pos="602"/>
              </w:tabs>
              <w:rPr>
                <w:color w:val="auto"/>
                <w:sz w:val="20"/>
                <w:szCs w:val="20"/>
              </w:rPr>
            </w:pPr>
            <w:r w:rsidRPr="00F93893">
              <w:rPr>
                <w:color w:val="auto"/>
                <w:sz w:val="20"/>
                <w:szCs w:val="20"/>
              </w:rPr>
              <w:t>-</w:t>
            </w:r>
          </w:p>
        </w:tc>
        <w:tc>
          <w:tcPr>
            <w:tcW w:w="598" w:type="pct"/>
            <w:tcBorders>
              <w:top w:val="nil"/>
              <w:bottom w:val="single" w:sz="4" w:space="0" w:color="auto"/>
            </w:tcBorders>
            <w:vAlign w:val="bottom"/>
          </w:tcPr>
          <w:p w14:paraId="548610DF" w14:textId="77777777" w:rsidR="00BD0148" w:rsidRPr="00F93893" w:rsidRDefault="00433837" w:rsidP="00433837">
            <w:pPr>
              <w:tabs>
                <w:tab w:val="decimal" w:pos="599"/>
              </w:tabs>
              <w:rPr>
                <w:color w:val="auto"/>
                <w:sz w:val="20"/>
                <w:szCs w:val="20"/>
              </w:rPr>
            </w:pPr>
            <w:r w:rsidRPr="00F93893">
              <w:rPr>
                <w:color w:val="auto"/>
                <w:sz w:val="20"/>
                <w:szCs w:val="20"/>
              </w:rPr>
              <w:t>13.1</w:t>
            </w:r>
          </w:p>
        </w:tc>
        <w:tc>
          <w:tcPr>
            <w:tcW w:w="612" w:type="pct"/>
            <w:tcBorders>
              <w:top w:val="nil"/>
              <w:bottom w:val="single" w:sz="4" w:space="0" w:color="auto"/>
            </w:tcBorders>
            <w:shd w:val="clear" w:color="auto" w:fill="auto"/>
            <w:vAlign w:val="bottom"/>
          </w:tcPr>
          <w:p w14:paraId="364217D9" w14:textId="77777777" w:rsidR="00BD0148" w:rsidRPr="00F93893" w:rsidRDefault="00BD0148" w:rsidP="003F1F7C">
            <w:pPr>
              <w:tabs>
                <w:tab w:val="decimal" w:pos="632"/>
              </w:tabs>
              <w:rPr>
                <w:color w:val="auto"/>
                <w:sz w:val="20"/>
                <w:szCs w:val="20"/>
              </w:rPr>
            </w:pPr>
            <w:r w:rsidRPr="00F93893">
              <w:rPr>
                <w:color w:val="auto"/>
                <w:sz w:val="20"/>
                <w:szCs w:val="20"/>
              </w:rPr>
              <w:t>-</w:t>
            </w:r>
          </w:p>
        </w:tc>
        <w:tc>
          <w:tcPr>
            <w:tcW w:w="618" w:type="pct"/>
            <w:tcBorders>
              <w:top w:val="nil"/>
              <w:bottom w:val="single" w:sz="4" w:space="0" w:color="auto"/>
            </w:tcBorders>
            <w:shd w:val="clear" w:color="auto" w:fill="auto"/>
            <w:vAlign w:val="bottom"/>
          </w:tcPr>
          <w:p w14:paraId="2099BBB2" w14:textId="77777777" w:rsidR="00BD0148" w:rsidRPr="00F93893" w:rsidRDefault="00433837" w:rsidP="003F1F7C">
            <w:pPr>
              <w:tabs>
                <w:tab w:val="decimal" w:pos="599"/>
              </w:tabs>
              <w:rPr>
                <w:color w:val="auto"/>
                <w:sz w:val="20"/>
                <w:szCs w:val="20"/>
              </w:rPr>
            </w:pPr>
            <w:r w:rsidRPr="00F93893">
              <w:rPr>
                <w:color w:val="auto"/>
                <w:sz w:val="20"/>
                <w:szCs w:val="20"/>
              </w:rPr>
              <w:t>2.6</w:t>
            </w:r>
          </w:p>
        </w:tc>
      </w:tr>
      <w:tr w:rsidR="00373964" w:rsidRPr="00B624BD" w14:paraId="46D1C975" w14:textId="77777777" w:rsidTr="00373964">
        <w:trPr>
          <w:trHeight w:val="369"/>
        </w:trPr>
        <w:tc>
          <w:tcPr>
            <w:tcW w:w="2574" w:type="pct"/>
            <w:shd w:val="clear" w:color="auto" w:fill="auto"/>
            <w:vAlign w:val="bottom"/>
          </w:tcPr>
          <w:p w14:paraId="715C7BF7" w14:textId="77777777" w:rsidR="00BD0148" w:rsidRPr="00F93893" w:rsidRDefault="00373964" w:rsidP="003F1F7C">
            <w:pPr>
              <w:jc w:val="left"/>
              <w:rPr>
                <w:b/>
                <w:color w:val="auto"/>
                <w:sz w:val="20"/>
                <w:szCs w:val="20"/>
              </w:rPr>
            </w:pPr>
            <w:r w:rsidRPr="00F93893">
              <w:rPr>
                <w:b/>
                <w:color w:val="auto"/>
                <w:sz w:val="20"/>
                <w:szCs w:val="20"/>
              </w:rPr>
              <w:t>Total Post Employment Benefit Charged to the Comprehensive Income and Expenditure Statement</w:t>
            </w:r>
          </w:p>
        </w:tc>
        <w:tc>
          <w:tcPr>
            <w:tcW w:w="598" w:type="pct"/>
            <w:tcBorders>
              <w:top w:val="single" w:sz="4" w:space="0" w:color="auto"/>
            </w:tcBorders>
            <w:shd w:val="clear" w:color="auto" w:fill="auto"/>
            <w:vAlign w:val="bottom"/>
          </w:tcPr>
          <w:p w14:paraId="040CB170" w14:textId="77777777" w:rsidR="00BD0148" w:rsidRPr="00F93893" w:rsidRDefault="00F93893" w:rsidP="003F1F7C">
            <w:pPr>
              <w:tabs>
                <w:tab w:val="decimal" w:pos="602"/>
              </w:tabs>
              <w:rPr>
                <w:b/>
                <w:color w:val="auto"/>
                <w:sz w:val="20"/>
                <w:szCs w:val="20"/>
              </w:rPr>
            </w:pPr>
            <w:r w:rsidRPr="00F93893">
              <w:rPr>
                <w:b/>
                <w:color w:val="auto"/>
                <w:sz w:val="20"/>
                <w:szCs w:val="20"/>
              </w:rPr>
              <w:t>410.7</w:t>
            </w:r>
          </w:p>
        </w:tc>
        <w:tc>
          <w:tcPr>
            <w:tcW w:w="598" w:type="pct"/>
            <w:tcBorders>
              <w:top w:val="single" w:sz="4" w:space="0" w:color="auto"/>
            </w:tcBorders>
            <w:vAlign w:val="bottom"/>
          </w:tcPr>
          <w:p w14:paraId="75FFCF28" w14:textId="77777777" w:rsidR="00BD0148" w:rsidRPr="00F93893" w:rsidRDefault="00433837" w:rsidP="00433837">
            <w:pPr>
              <w:tabs>
                <w:tab w:val="decimal" w:pos="599"/>
              </w:tabs>
              <w:rPr>
                <w:b/>
                <w:color w:val="auto"/>
                <w:sz w:val="20"/>
                <w:szCs w:val="20"/>
              </w:rPr>
            </w:pPr>
            <w:r w:rsidRPr="00F93893">
              <w:rPr>
                <w:b/>
                <w:color w:val="auto"/>
                <w:sz w:val="20"/>
                <w:szCs w:val="20"/>
              </w:rPr>
              <w:t>(140.1)</w:t>
            </w:r>
          </w:p>
        </w:tc>
        <w:tc>
          <w:tcPr>
            <w:tcW w:w="612" w:type="pct"/>
            <w:tcBorders>
              <w:top w:val="single" w:sz="4" w:space="0" w:color="auto"/>
              <w:bottom w:val="nil"/>
            </w:tcBorders>
            <w:shd w:val="clear" w:color="auto" w:fill="auto"/>
            <w:vAlign w:val="bottom"/>
          </w:tcPr>
          <w:p w14:paraId="71BB1795" w14:textId="77777777" w:rsidR="00BD0148" w:rsidRPr="00F93893" w:rsidRDefault="00F93893" w:rsidP="003F1F7C">
            <w:pPr>
              <w:tabs>
                <w:tab w:val="decimal" w:pos="632"/>
              </w:tabs>
              <w:rPr>
                <w:b/>
                <w:color w:val="auto"/>
                <w:sz w:val="20"/>
                <w:szCs w:val="20"/>
              </w:rPr>
            </w:pPr>
            <w:r w:rsidRPr="00F93893">
              <w:rPr>
                <w:b/>
                <w:color w:val="auto"/>
                <w:sz w:val="20"/>
                <w:szCs w:val="20"/>
              </w:rPr>
              <w:t>16.2</w:t>
            </w:r>
          </w:p>
        </w:tc>
        <w:tc>
          <w:tcPr>
            <w:tcW w:w="618" w:type="pct"/>
            <w:tcBorders>
              <w:top w:val="single" w:sz="4" w:space="0" w:color="auto"/>
              <w:bottom w:val="nil"/>
            </w:tcBorders>
            <w:shd w:val="clear" w:color="auto" w:fill="auto"/>
            <w:vAlign w:val="bottom"/>
          </w:tcPr>
          <w:p w14:paraId="31849841" w14:textId="77777777" w:rsidR="00BD0148" w:rsidRPr="00F93893" w:rsidRDefault="00433837" w:rsidP="003F1F7C">
            <w:pPr>
              <w:tabs>
                <w:tab w:val="decimal" w:pos="599"/>
              </w:tabs>
              <w:rPr>
                <w:b/>
                <w:color w:val="auto"/>
                <w:sz w:val="20"/>
                <w:szCs w:val="20"/>
              </w:rPr>
            </w:pPr>
            <w:r w:rsidRPr="00F93893">
              <w:rPr>
                <w:b/>
                <w:color w:val="auto"/>
                <w:sz w:val="20"/>
                <w:szCs w:val="20"/>
              </w:rPr>
              <w:t>1.2</w:t>
            </w:r>
          </w:p>
        </w:tc>
      </w:tr>
      <w:tr w:rsidR="00373964" w:rsidRPr="00C615DA" w14:paraId="41393850" w14:textId="77777777" w:rsidTr="00373964">
        <w:trPr>
          <w:trHeight w:val="369"/>
        </w:trPr>
        <w:tc>
          <w:tcPr>
            <w:tcW w:w="2574" w:type="pct"/>
            <w:shd w:val="clear" w:color="auto" w:fill="auto"/>
            <w:vAlign w:val="bottom"/>
          </w:tcPr>
          <w:p w14:paraId="792A7128" w14:textId="77777777" w:rsidR="00BD0148" w:rsidRPr="00F93893" w:rsidRDefault="00373964" w:rsidP="003F1F7C">
            <w:pPr>
              <w:jc w:val="left"/>
              <w:rPr>
                <w:color w:val="auto"/>
                <w:sz w:val="20"/>
                <w:szCs w:val="20"/>
                <w:u w:val="single"/>
              </w:rPr>
            </w:pPr>
            <w:r w:rsidRPr="00F93893">
              <w:rPr>
                <w:color w:val="auto"/>
                <w:sz w:val="20"/>
                <w:szCs w:val="20"/>
                <w:u w:val="single"/>
              </w:rPr>
              <w:t>Movement in Reserves Statement</w:t>
            </w:r>
          </w:p>
        </w:tc>
        <w:tc>
          <w:tcPr>
            <w:tcW w:w="598" w:type="pct"/>
            <w:shd w:val="clear" w:color="auto" w:fill="auto"/>
            <w:vAlign w:val="bottom"/>
          </w:tcPr>
          <w:p w14:paraId="6C43FBB2" w14:textId="77777777" w:rsidR="00BD0148" w:rsidRPr="00F93893" w:rsidRDefault="00BD0148" w:rsidP="003F1F7C">
            <w:pPr>
              <w:tabs>
                <w:tab w:val="decimal" w:pos="602"/>
              </w:tabs>
              <w:jc w:val="center"/>
              <w:rPr>
                <w:color w:val="auto"/>
                <w:sz w:val="20"/>
                <w:szCs w:val="20"/>
              </w:rPr>
            </w:pPr>
          </w:p>
        </w:tc>
        <w:tc>
          <w:tcPr>
            <w:tcW w:w="598" w:type="pct"/>
            <w:vAlign w:val="bottom"/>
          </w:tcPr>
          <w:p w14:paraId="071BD8B9" w14:textId="77777777" w:rsidR="00BD0148" w:rsidRPr="00F93893" w:rsidRDefault="00BD0148" w:rsidP="00433837">
            <w:pPr>
              <w:tabs>
                <w:tab w:val="decimal" w:pos="599"/>
              </w:tabs>
              <w:jc w:val="center"/>
              <w:rPr>
                <w:color w:val="auto"/>
                <w:sz w:val="20"/>
                <w:szCs w:val="20"/>
              </w:rPr>
            </w:pPr>
          </w:p>
        </w:tc>
        <w:tc>
          <w:tcPr>
            <w:tcW w:w="612" w:type="pct"/>
            <w:tcBorders>
              <w:top w:val="nil"/>
              <w:bottom w:val="nil"/>
            </w:tcBorders>
            <w:shd w:val="clear" w:color="auto" w:fill="auto"/>
            <w:vAlign w:val="bottom"/>
          </w:tcPr>
          <w:p w14:paraId="5255EAD3" w14:textId="77777777" w:rsidR="00BD0148" w:rsidRPr="00F93893" w:rsidRDefault="00BD0148" w:rsidP="003F1F7C">
            <w:pPr>
              <w:tabs>
                <w:tab w:val="decimal" w:pos="632"/>
              </w:tabs>
              <w:rPr>
                <w:color w:val="auto"/>
                <w:sz w:val="20"/>
                <w:szCs w:val="20"/>
              </w:rPr>
            </w:pPr>
          </w:p>
        </w:tc>
        <w:tc>
          <w:tcPr>
            <w:tcW w:w="618" w:type="pct"/>
            <w:tcBorders>
              <w:top w:val="nil"/>
              <w:bottom w:val="nil"/>
            </w:tcBorders>
            <w:shd w:val="clear" w:color="auto" w:fill="auto"/>
            <w:vAlign w:val="bottom"/>
          </w:tcPr>
          <w:p w14:paraId="451E94A4" w14:textId="77777777" w:rsidR="00BD0148" w:rsidRPr="00F93893" w:rsidRDefault="00BD0148" w:rsidP="003F1F7C">
            <w:pPr>
              <w:tabs>
                <w:tab w:val="decimal" w:pos="599"/>
              </w:tabs>
              <w:rPr>
                <w:color w:val="auto"/>
                <w:sz w:val="20"/>
                <w:szCs w:val="20"/>
              </w:rPr>
            </w:pPr>
          </w:p>
        </w:tc>
      </w:tr>
      <w:tr w:rsidR="00373964" w:rsidRPr="00CD05F0" w14:paraId="2E9BD9E8" w14:textId="77777777" w:rsidTr="00373964">
        <w:trPr>
          <w:trHeight w:val="369"/>
        </w:trPr>
        <w:tc>
          <w:tcPr>
            <w:tcW w:w="2574" w:type="pct"/>
            <w:shd w:val="clear" w:color="auto" w:fill="auto"/>
            <w:vAlign w:val="bottom"/>
          </w:tcPr>
          <w:p w14:paraId="4B321BA5" w14:textId="32B4DD76" w:rsidR="00BD0148" w:rsidRPr="00F93893" w:rsidRDefault="00373964">
            <w:pPr>
              <w:jc w:val="left"/>
              <w:rPr>
                <w:color w:val="auto"/>
                <w:sz w:val="20"/>
                <w:szCs w:val="20"/>
              </w:rPr>
            </w:pPr>
            <w:r w:rsidRPr="00F93893">
              <w:rPr>
                <w:color w:val="auto"/>
                <w:sz w:val="20"/>
                <w:szCs w:val="20"/>
              </w:rPr>
              <w:t>Reversal of net charges made to the (Surplus)/Deficit on the Provision of Services for post</w:t>
            </w:r>
            <w:r w:rsidR="009F22E0">
              <w:rPr>
                <w:color w:val="auto"/>
                <w:sz w:val="20"/>
                <w:szCs w:val="20"/>
              </w:rPr>
              <w:t>-</w:t>
            </w:r>
            <w:r w:rsidRPr="00F93893">
              <w:rPr>
                <w:color w:val="auto"/>
                <w:sz w:val="20"/>
                <w:szCs w:val="20"/>
              </w:rPr>
              <w:t>employment benefits in accordance with the Code</w:t>
            </w:r>
          </w:p>
        </w:tc>
        <w:tc>
          <w:tcPr>
            <w:tcW w:w="598" w:type="pct"/>
            <w:shd w:val="clear" w:color="auto" w:fill="auto"/>
            <w:vAlign w:val="bottom"/>
          </w:tcPr>
          <w:p w14:paraId="5C5B66D3" w14:textId="1E4078FF" w:rsidR="00BD0148" w:rsidRPr="00F93893" w:rsidRDefault="00F93893" w:rsidP="0037260D">
            <w:pPr>
              <w:tabs>
                <w:tab w:val="decimal" w:pos="602"/>
              </w:tabs>
              <w:rPr>
                <w:color w:val="auto"/>
                <w:sz w:val="20"/>
                <w:szCs w:val="20"/>
              </w:rPr>
            </w:pPr>
            <w:r w:rsidRPr="00F93893">
              <w:rPr>
                <w:color w:val="auto"/>
                <w:sz w:val="20"/>
                <w:szCs w:val="20"/>
              </w:rPr>
              <w:t>119.</w:t>
            </w:r>
            <w:r w:rsidR="0037260D">
              <w:rPr>
                <w:color w:val="auto"/>
                <w:sz w:val="20"/>
                <w:szCs w:val="20"/>
              </w:rPr>
              <w:t>3</w:t>
            </w:r>
          </w:p>
        </w:tc>
        <w:tc>
          <w:tcPr>
            <w:tcW w:w="598" w:type="pct"/>
            <w:vAlign w:val="bottom"/>
          </w:tcPr>
          <w:p w14:paraId="39849D58" w14:textId="77777777" w:rsidR="00BD0148" w:rsidRPr="00F93893" w:rsidRDefault="00433837" w:rsidP="00433837">
            <w:pPr>
              <w:tabs>
                <w:tab w:val="decimal" w:pos="599"/>
              </w:tabs>
              <w:rPr>
                <w:color w:val="auto"/>
                <w:sz w:val="20"/>
                <w:szCs w:val="20"/>
              </w:rPr>
            </w:pPr>
            <w:r w:rsidRPr="00F93893">
              <w:rPr>
                <w:color w:val="auto"/>
                <w:sz w:val="20"/>
                <w:szCs w:val="20"/>
              </w:rPr>
              <w:t>129.6</w:t>
            </w:r>
          </w:p>
        </w:tc>
        <w:tc>
          <w:tcPr>
            <w:tcW w:w="612" w:type="pct"/>
            <w:tcBorders>
              <w:top w:val="nil"/>
              <w:bottom w:val="nil"/>
            </w:tcBorders>
            <w:shd w:val="clear" w:color="auto" w:fill="auto"/>
            <w:vAlign w:val="bottom"/>
          </w:tcPr>
          <w:p w14:paraId="2F951A01" w14:textId="77777777" w:rsidR="00BD0148" w:rsidRPr="00F93893" w:rsidRDefault="00F93893" w:rsidP="003F1F7C">
            <w:pPr>
              <w:tabs>
                <w:tab w:val="decimal" w:pos="632"/>
              </w:tabs>
              <w:rPr>
                <w:color w:val="auto"/>
                <w:sz w:val="20"/>
                <w:szCs w:val="20"/>
              </w:rPr>
            </w:pPr>
            <w:r w:rsidRPr="00F93893">
              <w:rPr>
                <w:color w:val="auto"/>
                <w:sz w:val="20"/>
                <w:szCs w:val="20"/>
              </w:rPr>
              <w:t>5.8</w:t>
            </w:r>
          </w:p>
        </w:tc>
        <w:tc>
          <w:tcPr>
            <w:tcW w:w="618" w:type="pct"/>
            <w:tcBorders>
              <w:top w:val="nil"/>
              <w:bottom w:val="nil"/>
            </w:tcBorders>
            <w:shd w:val="clear" w:color="auto" w:fill="auto"/>
            <w:vAlign w:val="bottom"/>
          </w:tcPr>
          <w:p w14:paraId="06135476" w14:textId="77777777" w:rsidR="00BD0148" w:rsidRPr="00F93893" w:rsidRDefault="00433837" w:rsidP="003F1F7C">
            <w:pPr>
              <w:tabs>
                <w:tab w:val="decimal" w:pos="599"/>
              </w:tabs>
              <w:rPr>
                <w:color w:val="auto"/>
                <w:sz w:val="20"/>
                <w:szCs w:val="20"/>
              </w:rPr>
            </w:pPr>
            <w:r w:rsidRPr="00F93893">
              <w:rPr>
                <w:color w:val="auto"/>
                <w:sz w:val="20"/>
                <w:szCs w:val="20"/>
              </w:rPr>
              <w:t>5.3</w:t>
            </w:r>
          </w:p>
        </w:tc>
      </w:tr>
      <w:tr w:rsidR="00373964" w:rsidRPr="00C615DA" w14:paraId="60776D33" w14:textId="77777777" w:rsidTr="00B7145A">
        <w:trPr>
          <w:trHeight w:val="369"/>
        </w:trPr>
        <w:tc>
          <w:tcPr>
            <w:tcW w:w="2574" w:type="pct"/>
            <w:shd w:val="clear" w:color="auto" w:fill="auto"/>
            <w:vAlign w:val="bottom"/>
          </w:tcPr>
          <w:p w14:paraId="2C03651C" w14:textId="77777777" w:rsidR="00BD0148" w:rsidRPr="00F93893" w:rsidRDefault="00B7145A" w:rsidP="003F1F7C">
            <w:pPr>
              <w:jc w:val="left"/>
              <w:rPr>
                <w:color w:val="auto"/>
                <w:sz w:val="20"/>
                <w:szCs w:val="20"/>
                <w:u w:val="single"/>
              </w:rPr>
            </w:pPr>
            <w:r w:rsidRPr="00F93893">
              <w:rPr>
                <w:color w:val="auto"/>
                <w:sz w:val="20"/>
                <w:szCs w:val="20"/>
                <w:u w:val="single"/>
              </w:rPr>
              <w:t>Actual amount charged against the general fund balance for pensions in the year</w:t>
            </w:r>
          </w:p>
        </w:tc>
        <w:tc>
          <w:tcPr>
            <w:tcW w:w="598" w:type="pct"/>
            <w:shd w:val="clear" w:color="auto" w:fill="auto"/>
            <w:vAlign w:val="bottom"/>
          </w:tcPr>
          <w:p w14:paraId="194AB61F" w14:textId="77777777" w:rsidR="00BD0148" w:rsidRPr="00F93893" w:rsidRDefault="00BD0148" w:rsidP="003F1F7C">
            <w:pPr>
              <w:tabs>
                <w:tab w:val="decimal" w:pos="602"/>
              </w:tabs>
              <w:jc w:val="center"/>
              <w:rPr>
                <w:color w:val="auto"/>
                <w:sz w:val="20"/>
                <w:szCs w:val="20"/>
              </w:rPr>
            </w:pPr>
          </w:p>
        </w:tc>
        <w:tc>
          <w:tcPr>
            <w:tcW w:w="598" w:type="pct"/>
            <w:vAlign w:val="bottom"/>
          </w:tcPr>
          <w:p w14:paraId="623979A8" w14:textId="77777777" w:rsidR="00BD0148" w:rsidRPr="00F93893" w:rsidRDefault="00BD0148" w:rsidP="00433837">
            <w:pPr>
              <w:tabs>
                <w:tab w:val="decimal" w:pos="599"/>
              </w:tabs>
              <w:jc w:val="center"/>
              <w:rPr>
                <w:color w:val="auto"/>
                <w:sz w:val="20"/>
                <w:szCs w:val="20"/>
              </w:rPr>
            </w:pPr>
          </w:p>
        </w:tc>
        <w:tc>
          <w:tcPr>
            <w:tcW w:w="612" w:type="pct"/>
            <w:tcBorders>
              <w:bottom w:val="nil"/>
            </w:tcBorders>
            <w:shd w:val="clear" w:color="auto" w:fill="auto"/>
            <w:vAlign w:val="bottom"/>
          </w:tcPr>
          <w:p w14:paraId="51FD1D4A" w14:textId="77777777" w:rsidR="00BD0148" w:rsidRPr="00F93893" w:rsidRDefault="00BD0148" w:rsidP="003F1F7C">
            <w:pPr>
              <w:tabs>
                <w:tab w:val="decimal" w:pos="632"/>
              </w:tabs>
              <w:rPr>
                <w:color w:val="auto"/>
                <w:sz w:val="20"/>
                <w:szCs w:val="20"/>
              </w:rPr>
            </w:pPr>
          </w:p>
        </w:tc>
        <w:tc>
          <w:tcPr>
            <w:tcW w:w="618" w:type="pct"/>
            <w:tcBorders>
              <w:bottom w:val="nil"/>
            </w:tcBorders>
            <w:shd w:val="clear" w:color="auto" w:fill="auto"/>
            <w:vAlign w:val="bottom"/>
          </w:tcPr>
          <w:p w14:paraId="76597200" w14:textId="77777777" w:rsidR="00BD0148" w:rsidRPr="00F93893" w:rsidRDefault="00BD0148" w:rsidP="003F1F7C">
            <w:pPr>
              <w:tabs>
                <w:tab w:val="decimal" w:pos="599"/>
              </w:tabs>
              <w:rPr>
                <w:color w:val="auto"/>
                <w:sz w:val="20"/>
                <w:szCs w:val="20"/>
              </w:rPr>
            </w:pPr>
          </w:p>
        </w:tc>
      </w:tr>
      <w:tr w:rsidR="00373964" w:rsidRPr="00C615DA" w14:paraId="3E6EF069" w14:textId="77777777" w:rsidTr="00B7145A">
        <w:trPr>
          <w:trHeight w:val="369"/>
        </w:trPr>
        <w:tc>
          <w:tcPr>
            <w:tcW w:w="2574" w:type="pct"/>
            <w:shd w:val="clear" w:color="auto" w:fill="auto"/>
            <w:vAlign w:val="bottom"/>
          </w:tcPr>
          <w:p w14:paraId="60A51976" w14:textId="77777777" w:rsidR="00BD0148" w:rsidRPr="00F93893" w:rsidRDefault="00B7145A" w:rsidP="003F1F7C">
            <w:pPr>
              <w:jc w:val="left"/>
              <w:rPr>
                <w:color w:val="auto"/>
                <w:sz w:val="20"/>
                <w:szCs w:val="20"/>
              </w:rPr>
            </w:pPr>
            <w:r w:rsidRPr="00F93893">
              <w:rPr>
                <w:color w:val="auto"/>
                <w:sz w:val="20"/>
                <w:szCs w:val="20"/>
              </w:rPr>
              <w:t>Employers contributions payable to the scheme</w:t>
            </w:r>
          </w:p>
        </w:tc>
        <w:tc>
          <w:tcPr>
            <w:tcW w:w="598" w:type="pct"/>
            <w:shd w:val="clear" w:color="auto" w:fill="auto"/>
            <w:vAlign w:val="bottom"/>
          </w:tcPr>
          <w:p w14:paraId="38CEBF33" w14:textId="77777777" w:rsidR="00BD0148" w:rsidRPr="00F93893" w:rsidRDefault="00F93893" w:rsidP="003F1F7C">
            <w:pPr>
              <w:tabs>
                <w:tab w:val="decimal" w:pos="602"/>
              </w:tabs>
              <w:rPr>
                <w:color w:val="auto"/>
                <w:sz w:val="20"/>
                <w:szCs w:val="20"/>
              </w:rPr>
            </w:pPr>
            <w:r w:rsidRPr="00F93893">
              <w:rPr>
                <w:color w:val="auto"/>
                <w:sz w:val="20"/>
                <w:szCs w:val="20"/>
              </w:rPr>
              <w:t>82.9</w:t>
            </w:r>
          </w:p>
        </w:tc>
        <w:tc>
          <w:tcPr>
            <w:tcW w:w="598" w:type="pct"/>
            <w:vAlign w:val="bottom"/>
          </w:tcPr>
          <w:p w14:paraId="6E89E09D" w14:textId="77777777" w:rsidR="00BD0148" w:rsidRPr="00F93893" w:rsidRDefault="00433837" w:rsidP="00433837">
            <w:pPr>
              <w:tabs>
                <w:tab w:val="decimal" w:pos="599"/>
              </w:tabs>
              <w:rPr>
                <w:color w:val="auto"/>
                <w:sz w:val="20"/>
                <w:szCs w:val="20"/>
              </w:rPr>
            </w:pPr>
            <w:r w:rsidRPr="00F93893">
              <w:rPr>
                <w:color w:val="auto"/>
                <w:sz w:val="20"/>
                <w:szCs w:val="20"/>
              </w:rPr>
              <w:t>71.9</w:t>
            </w:r>
          </w:p>
        </w:tc>
        <w:tc>
          <w:tcPr>
            <w:tcW w:w="612" w:type="pct"/>
            <w:tcBorders>
              <w:top w:val="nil"/>
              <w:bottom w:val="single" w:sz="4" w:space="0" w:color="auto"/>
            </w:tcBorders>
            <w:shd w:val="clear" w:color="auto" w:fill="auto"/>
            <w:vAlign w:val="bottom"/>
          </w:tcPr>
          <w:p w14:paraId="3A7AE61D" w14:textId="77777777" w:rsidR="00BD0148" w:rsidRPr="00F93893" w:rsidRDefault="00F93893" w:rsidP="003F1F7C">
            <w:pPr>
              <w:tabs>
                <w:tab w:val="decimal" w:pos="632"/>
              </w:tabs>
              <w:rPr>
                <w:color w:val="auto"/>
                <w:sz w:val="20"/>
                <w:szCs w:val="20"/>
              </w:rPr>
            </w:pPr>
            <w:r w:rsidRPr="00F93893">
              <w:rPr>
                <w:color w:val="auto"/>
                <w:sz w:val="20"/>
                <w:szCs w:val="20"/>
              </w:rPr>
              <w:t>10.9</w:t>
            </w:r>
          </w:p>
        </w:tc>
        <w:tc>
          <w:tcPr>
            <w:tcW w:w="618" w:type="pct"/>
            <w:tcBorders>
              <w:top w:val="nil"/>
              <w:bottom w:val="single" w:sz="4" w:space="0" w:color="auto"/>
            </w:tcBorders>
            <w:shd w:val="clear" w:color="auto" w:fill="auto"/>
            <w:vAlign w:val="bottom"/>
          </w:tcPr>
          <w:p w14:paraId="17DAC2C6" w14:textId="77777777" w:rsidR="00BD0148" w:rsidRPr="00F93893" w:rsidRDefault="00433837" w:rsidP="003F1F7C">
            <w:pPr>
              <w:tabs>
                <w:tab w:val="decimal" w:pos="599"/>
              </w:tabs>
              <w:rPr>
                <w:color w:val="auto"/>
                <w:sz w:val="20"/>
                <w:szCs w:val="20"/>
              </w:rPr>
            </w:pPr>
            <w:r w:rsidRPr="00F93893">
              <w:rPr>
                <w:color w:val="auto"/>
                <w:sz w:val="20"/>
                <w:szCs w:val="20"/>
              </w:rPr>
              <w:t>11.2</w:t>
            </w:r>
          </w:p>
        </w:tc>
      </w:tr>
    </w:tbl>
    <w:p w14:paraId="594740E5" w14:textId="77777777" w:rsidR="00A118ED" w:rsidRDefault="00A118ED" w:rsidP="00AB0D5A">
      <w:pPr>
        <w:rPr>
          <w:b/>
          <w:lang w:eastAsia="en-GB"/>
        </w:rPr>
      </w:pPr>
    </w:p>
    <w:p w14:paraId="2C6803F7" w14:textId="5FC069C8" w:rsidR="00AB0D5A" w:rsidRPr="00F93893" w:rsidRDefault="00433837" w:rsidP="00AB0D5A">
      <w:pPr>
        <w:rPr>
          <w:b/>
          <w:lang w:eastAsia="en-GB"/>
        </w:rPr>
      </w:pPr>
      <w:r w:rsidRPr="00F93893">
        <w:rPr>
          <w:b/>
          <w:lang w:eastAsia="en-GB"/>
        </w:rPr>
        <w:t xml:space="preserve">Investment </w:t>
      </w:r>
      <w:r w:rsidR="008E7863">
        <w:rPr>
          <w:b/>
          <w:lang w:eastAsia="en-GB"/>
        </w:rPr>
        <w:t>r</w:t>
      </w:r>
      <w:r w:rsidRPr="00F93893">
        <w:rPr>
          <w:b/>
          <w:lang w:eastAsia="en-GB"/>
        </w:rPr>
        <w:t>isks</w:t>
      </w:r>
    </w:p>
    <w:p w14:paraId="2D6CE8E2" w14:textId="660284E3" w:rsidR="00433837" w:rsidRPr="00F93893" w:rsidRDefault="00433837" w:rsidP="00AB0D5A">
      <w:pPr>
        <w:rPr>
          <w:lang w:eastAsia="en-GB"/>
        </w:rPr>
      </w:pPr>
      <w:r w:rsidRPr="00F93893">
        <w:rPr>
          <w:lang w:eastAsia="en-GB"/>
        </w:rPr>
        <w:t xml:space="preserve">There are no investment risks in relation to these arrangements, given their unfunded nature.  The greatest single risk is that the government could change the funding standards relating to them, which could increase the </w:t>
      </w:r>
      <w:r w:rsidR="00E820B6">
        <w:rPr>
          <w:lang w:eastAsia="en-GB"/>
        </w:rPr>
        <w:t>council</w:t>
      </w:r>
      <w:r w:rsidR="00E820B6" w:rsidRPr="00F93893">
        <w:rPr>
          <w:lang w:eastAsia="en-GB"/>
        </w:rPr>
        <w:t xml:space="preserve">’s </w:t>
      </w:r>
      <w:r w:rsidRPr="00F93893">
        <w:rPr>
          <w:lang w:eastAsia="en-GB"/>
        </w:rPr>
        <w:t>contributions to them.</w:t>
      </w:r>
    </w:p>
    <w:p w14:paraId="462EEAE3" w14:textId="6893E7BF" w:rsidR="00433837" w:rsidRPr="00F93893" w:rsidRDefault="00433837" w:rsidP="00AB0D5A">
      <w:pPr>
        <w:rPr>
          <w:b/>
          <w:lang w:eastAsia="en-GB"/>
        </w:rPr>
      </w:pPr>
      <w:r w:rsidRPr="00F93893">
        <w:rPr>
          <w:b/>
          <w:lang w:eastAsia="en-GB"/>
        </w:rPr>
        <w:t xml:space="preserve">Other </w:t>
      </w:r>
      <w:r w:rsidR="008E7863">
        <w:rPr>
          <w:b/>
          <w:lang w:eastAsia="en-GB"/>
        </w:rPr>
        <w:t>r</w:t>
      </w:r>
      <w:r w:rsidRPr="00F93893">
        <w:rPr>
          <w:b/>
          <w:lang w:eastAsia="en-GB"/>
        </w:rPr>
        <w:t>isks</w:t>
      </w:r>
    </w:p>
    <w:p w14:paraId="10F5D691" w14:textId="77777777" w:rsidR="00433837" w:rsidRPr="00F93893" w:rsidRDefault="00433837" w:rsidP="00AB0D5A">
      <w:pPr>
        <w:rPr>
          <w:lang w:eastAsia="en-GB"/>
        </w:rPr>
      </w:pPr>
      <w:r w:rsidRPr="00F93893">
        <w:rPr>
          <w:lang w:eastAsia="en-GB"/>
        </w:rPr>
        <w:t>There is a risk that changes in the assumptions (e.g. life expectancy, price inflation, discount rate) could increase the defined benefit obligation. Other assumptions used to value the defined benefit obligation are also uncertain, although their effect is less material.  The sensitivity analysis above indicates the change in the defined benefit obligation for changes in the key assumptions.</w:t>
      </w:r>
    </w:p>
    <w:p w14:paraId="46B9E797" w14:textId="77777777" w:rsidR="00021254" w:rsidRDefault="00021254" w:rsidP="00433837">
      <w:pPr>
        <w:rPr>
          <w:b/>
          <w:lang w:eastAsia="en-GB"/>
        </w:rPr>
      </w:pPr>
    </w:p>
    <w:p w14:paraId="2305879B" w14:textId="4896CD6E" w:rsidR="004F7C7D" w:rsidRDefault="00433837" w:rsidP="00433837">
      <w:pPr>
        <w:rPr>
          <w:b/>
          <w:lang w:eastAsia="en-GB"/>
        </w:rPr>
      </w:pPr>
      <w:r w:rsidRPr="00F93893">
        <w:rPr>
          <w:b/>
          <w:lang w:eastAsia="en-GB"/>
        </w:rPr>
        <w:t xml:space="preserve">Transactions </w:t>
      </w:r>
      <w:r w:rsidR="008E7863">
        <w:rPr>
          <w:b/>
          <w:lang w:eastAsia="en-GB"/>
        </w:rPr>
        <w:t>r</w:t>
      </w:r>
      <w:r w:rsidRPr="00F93893">
        <w:rPr>
          <w:b/>
          <w:lang w:eastAsia="en-GB"/>
        </w:rPr>
        <w:t>elating to Retirement Benefits</w:t>
      </w:r>
    </w:p>
    <w:p w14:paraId="20CBEB61" w14:textId="26300EE4" w:rsidR="00433837" w:rsidRPr="00F93893" w:rsidRDefault="00433837" w:rsidP="00433837">
      <w:pPr>
        <w:rPr>
          <w:lang w:eastAsia="en-GB"/>
        </w:rPr>
      </w:pPr>
      <w:r w:rsidRPr="00F93893">
        <w:rPr>
          <w:lang w:eastAsia="en-GB"/>
        </w:rPr>
        <w:t xml:space="preserve">We recognised the cost of retirement benefits in </w:t>
      </w:r>
      <w:r w:rsidRPr="00A0033E">
        <w:rPr>
          <w:lang w:eastAsia="en-GB"/>
        </w:rPr>
        <w:t>the surplus/deficit on continuing operations in the Comprehensive Income and Expenditure Statement, when they are earned by</w:t>
      </w:r>
      <w:r w:rsidRPr="00F93893">
        <w:rPr>
          <w:lang w:eastAsia="en-GB"/>
        </w:rPr>
        <w:t xml:space="preserve"> employees, rather than when the benefits are eventually paid as pensions.</w:t>
      </w:r>
    </w:p>
    <w:p w14:paraId="4A11BBC8" w14:textId="77777777" w:rsidR="00433837" w:rsidRPr="00F93893" w:rsidRDefault="00433837" w:rsidP="00433837">
      <w:pPr>
        <w:rPr>
          <w:lang w:eastAsia="en-GB"/>
        </w:rPr>
      </w:pPr>
      <w:r w:rsidRPr="00F93893">
        <w:rPr>
          <w:lang w:eastAsia="en-GB"/>
        </w:rPr>
        <w:t xml:space="preserve">However, the charge we are required to make against council tax is based on the cash payable in the year, so the International Accounting Standard 19 (IAS 19) cost of retirement benefits is reversed out in the Movement in Reserve Statement against the County Fund balance. </w:t>
      </w:r>
    </w:p>
    <w:p w14:paraId="255DD5CE" w14:textId="77777777" w:rsidR="00433837" w:rsidRPr="00F93893" w:rsidRDefault="00433837" w:rsidP="00433837">
      <w:pPr>
        <w:rPr>
          <w:lang w:eastAsia="en-GB"/>
        </w:rPr>
      </w:pPr>
      <w:r w:rsidRPr="00F93893">
        <w:rPr>
          <w:lang w:eastAsia="en-GB"/>
        </w:rPr>
        <w:t>The following transactions have been made in the Comprehensive Income and Expenditure Statement and Movement in Reserves Statement during the year:</w:t>
      </w:r>
    </w:p>
    <w:p w14:paraId="1BDFF3C4" w14:textId="442790ED" w:rsidR="00433837" w:rsidRPr="00F93893" w:rsidRDefault="00433837" w:rsidP="00F93893">
      <w:pPr>
        <w:spacing w:before="240"/>
        <w:rPr>
          <w:lang w:eastAsia="en-GB"/>
        </w:rPr>
      </w:pPr>
      <w:r w:rsidRPr="00F93893">
        <w:rPr>
          <w:lang w:eastAsia="en-GB"/>
        </w:rPr>
        <w:t>In 201</w:t>
      </w:r>
      <w:r w:rsidR="00F93893" w:rsidRPr="00F93893">
        <w:rPr>
          <w:lang w:eastAsia="en-GB"/>
        </w:rPr>
        <w:t xml:space="preserve">4/15 </w:t>
      </w:r>
      <w:r w:rsidR="00F93893" w:rsidRPr="00086D71">
        <w:rPr>
          <w:lang w:eastAsia="en-GB"/>
        </w:rPr>
        <w:t xml:space="preserve">we </w:t>
      </w:r>
      <w:r w:rsidR="00F93893" w:rsidRPr="00A06955">
        <w:rPr>
          <w:lang w:eastAsia="en-GB"/>
        </w:rPr>
        <w:t>paid £</w:t>
      </w:r>
      <w:r w:rsidR="00086D71" w:rsidRPr="00A06955">
        <w:rPr>
          <w:lang w:eastAsia="en-GB"/>
        </w:rPr>
        <w:t>45.9</w:t>
      </w:r>
      <w:r w:rsidR="009E2E9D">
        <w:rPr>
          <w:lang w:eastAsia="en-GB"/>
        </w:rPr>
        <w:t>m</w:t>
      </w:r>
      <w:r w:rsidR="009E2E9D" w:rsidRPr="00A06955">
        <w:rPr>
          <w:lang w:eastAsia="en-GB"/>
        </w:rPr>
        <w:t xml:space="preserve"> </w:t>
      </w:r>
      <w:r w:rsidRPr="00A06955">
        <w:rPr>
          <w:lang w:eastAsia="en-GB"/>
        </w:rPr>
        <w:t>to the Department for Education for teachers' pen</w:t>
      </w:r>
      <w:r w:rsidR="00F93893" w:rsidRPr="00A06955">
        <w:rPr>
          <w:lang w:eastAsia="en-GB"/>
        </w:rPr>
        <w:t xml:space="preserve">sion costs. </w:t>
      </w:r>
      <w:r w:rsidR="00F93893" w:rsidRPr="0046185C">
        <w:rPr>
          <w:lang w:eastAsia="en-GB"/>
        </w:rPr>
        <w:t xml:space="preserve">This represents </w:t>
      </w:r>
      <w:r w:rsidR="0046185C" w:rsidRPr="0046185C">
        <w:rPr>
          <w:lang w:eastAsia="en-GB"/>
        </w:rPr>
        <w:t>14.1</w:t>
      </w:r>
      <w:r w:rsidRPr="0046185C">
        <w:rPr>
          <w:lang w:eastAsia="en-GB"/>
        </w:rPr>
        <w:t xml:space="preserve">% of </w:t>
      </w:r>
      <w:r w:rsidR="00F93893" w:rsidRPr="0046185C">
        <w:rPr>
          <w:lang w:eastAsia="en-GB"/>
        </w:rPr>
        <w:t>teachers' pensionable pay (£45.9</w:t>
      </w:r>
      <w:r w:rsidR="009E2E9D">
        <w:rPr>
          <w:lang w:eastAsia="en-GB"/>
        </w:rPr>
        <w:t>m</w:t>
      </w:r>
      <w:r w:rsidR="00F93893" w:rsidRPr="0046185C">
        <w:rPr>
          <w:lang w:eastAsia="en-GB"/>
        </w:rPr>
        <w:t xml:space="preserve"> and 14.1% in 201</w:t>
      </w:r>
      <w:r w:rsidRPr="0046185C">
        <w:rPr>
          <w:lang w:eastAsia="en-GB"/>
        </w:rPr>
        <w:t>3</w:t>
      </w:r>
      <w:r w:rsidR="00F93893" w:rsidRPr="0046185C">
        <w:rPr>
          <w:lang w:eastAsia="en-GB"/>
        </w:rPr>
        <w:t>/14). We also paid £0.5m in 2014/15</w:t>
      </w:r>
      <w:r w:rsidRPr="0046185C">
        <w:rPr>
          <w:lang w:eastAsia="en-GB"/>
        </w:rPr>
        <w:t xml:space="preserve"> for NHS Public Health Staff transferred</w:t>
      </w:r>
      <w:r w:rsidRPr="00F93893">
        <w:rPr>
          <w:lang w:eastAsia="en-GB"/>
        </w:rPr>
        <w:t xml:space="preserve"> across from NHS from 1 April 2013 which re</w:t>
      </w:r>
      <w:r w:rsidR="00F93893" w:rsidRPr="00F93893">
        <w:rPr>
          <w:lang w:eastAsia="en-GB"/>
        </w:rPr>
        <w:t>presents 14% of pensionable pay (£0.5</w:t>
      </w:r>
      <w:r w:rsidR="009E2E9D">
        <w:rPr>
          <w:lang w:eastAsia="en-GB"/>
        </w:rPr>
        <w:t>m</w:t>
      </w:r>
      <w:r w:rsidR="00F93893" w:rsidRPr="00F93893">
        <w:rPr>
          <w:lang w:eastAsia="en-GB"/>
        </w:rPr>
        <w:t xml:space="preserve"> and 14% in 2013/14)</w:t>
      </w:r>
    </w:p>
    <w:p w14:paraId="799754F5" w14:textId="4A28DBB3" w:rsidR="00433837" w:rsidRPr="00F93893" w:rsidRDefault="00433837" w:rsidP="00433837">
      <w:pPr>
        <w:rPr>
          <w:lang w:eastAsia="en-GB"/>
        </w:rPr>
      </w:pPr>
      <w:r w:rsidRPr="0046185C">
        <w:rPr>
          <w:lang w:eastAsia="en-GB"/>
        </w:rPr>
        <w:t xml:space="preserve">We are also responsible for all discretionary pension payments we have awarded to teachers, together with related increases. </w:t>
      </w:r>
      <w:r w:rsidR="002E5E0D" w:rsidRPr="0046185C">
        <w:rPr>
          <w:lang w:eastAsia="en-GB"/>
        </w:rPr>
        <w:t>In 201</w:t>
      </w:r>
      <w:r w:rsidR="0046185C" w:rsidRPr="0046185C">
        <w:rPr>
          <w:lang w:eastAsia="en-GB"/>
        </w:rPr>
        <w:t xml:space="preserve">4/15 </w:t>
      </w:r>
      <w:r w:rsidR="002E5E0D" w:rsidRPr="0046185C">
        <w:rPr>
          <w:lang w:eastAsia="en-GB"/>
        </w:rPr>
        <w:t>these amounted to £</w:t>
      </w:r>
      <w:r w:rsidR="0046185C" w:rsidRPr="0046185C">
        <w:rPr>
          <w:lang w:eastAsia="en-GB"/>
        </w:rPr>
        <w:t>8.4</w:t>
      </w:r>
      <w:r w:rsidR="009E2E9D">
        <w:rPr>
          <w:lang w:eastAsia="en-GB"/>
        </w:rPr>
        <w:t xml:space="preserve">m, </w:t>
      </w:r>
      <w:r w:rsidRPr="0046185C">
        <w:rPr>
          <w:lang w:eastAsia="en-GB"/>
        </w:rPr>
        <w:t>representi</w:t>
      </w:r>
      <w:r w:rsidR="002E5E0D" w:rsidRPr="0046185C">
        <w:rPr>
          <w:lang w:eastAsia="en-GB"/>
        </w:rPr>
        <w:t xml:space="preserve">ng </w:t>
      </w:r>
      <w:r w:rsidR="0046185C" w:rsidRPr="0046185C">
        <w:rPr>
          <w:lang w:eastAsia="en-GB"/>
        </w:rPr>
        <w:t>2.6</w:t>
      </w:r>
      <w:r w:rsidR="002E5E0D" w:rsidRPr="0046185C">
        <w:rPr>
          <w:lang w:eastAsia="en-GB"/>
        </w:rPr>
        <w:t>% of pensionable pay (£8.5</w:t>
      </w:r>
      <w:r w:rsidR="009E2E9D">
        <w:rPr>
          <w:lang w:eastAsia="en-GB"/>
        </w:rPr>
        <w:t>m</w:t>
      </w:r>
      <w:r w:rsidR="0046185C" w:rsidRPr="0046185C">
        <w:rPr>
          <w:lang w:eastAsia="en-GB"/>
        </w:rPr>
        <w:t xml:space="preserve"> and 2.6% in 2013/14</w:t>
      </w:r>
      <w:r w:rsidRPr="0046185C">
        <w:rPr>
          <w:lang w:eastAsia="en-GB"/>
        </w:rPr>
        <w:t>).</w:t>
      </w:r>
    </w:p>
    <w:p w14:paraId="3DA32208" w14:textId="68F8025F" w:rsidR="00433837" w:rsidRPr="00F93893" w:rsidRDefault="00433837" w:rsidP="00433837">
      <w:pPr>
        <w:rPr>
          <w:lang w:eastAsia="en-GB"/>
        </w:rPr>
      </w:pPr>
      <w:r w:rsidRPr="00F93893">
        <w:rPr>
          <w:lang w:eastAsia="en-GB"/>
        </w:rPr>
        <w:t>In addition to the recognised gains and losses included in the Comprehensive Income and Expenditure Statement, a re</w:t>
      </w:r>
      <w:r w:rsidR="009F22E0">
        <w:rPr>
          <w:lang w:eastAsia="en-GB"/>
        </w:rPr>
        <w:t>-</w:t>
      </w:r>
      <w:r w:rsidRPr="00F93893">
        <w:rPr>
          <w:lang w:eastAsia="en-GB"/>
        </w:rPr>
        <w:t xml:space="preserve">measurement of the net </w:t>
      </w:r>
      <w:r w:rsidR="00F93893" w:rsidRPr="00F93893">
        <w:rPr>
          <w:lang w:eastAsia="en-GB"/>
        </w:rPr>
        <w:t>defined liability loss of £301.9</w:t>
      </w:r>
      <w:r w:rsidR="009E2E9D">
        <w:rPr>
          <w:lang w:eastAsia="en-GB"/>
        </w:rPr>
        <w:t>m</w:t>
      </w:r>
      <w:r w:rsidRPr="00F93893">
        <w:rPr>
          <w:lang w:eastAsia="en-GB"/>
        </w:rPr>
        <w:t xml:space="preserve"> (£</w:t>
      </w:r>
      <w:r w:rsidR="00F93893" w:rsidRPr="00F93893">
        <w:rPr>
          <w:lang w:eastAsia="en-GB"/>
        </w:rPr>
        <w:t>273.8</w:t>
      </w:r>
      <w:r w:rsidR="009E2E9D">
        <w:rPr>
          <w:lang w:eastAsia="en-GB"/>
        </w:rPr>
        <w:t>m</w:t>
      </w:r>
      <w:r w:rsidRPr="00F93893">
        <w:rPr>
          <w:lang w:eastAsia="en-GB"/>
        </w:rPr>
        <w:t xml:space="preserve"> </w:t>
      </w:r>
      <w:r w:rsidR="00F93893" w:rsidRPr="00F93893">
        <w:rPr>
          <w:lang w:eastAsia="en-GB"/>
        </w:rPr>
        <w:t>gain in 2013/14</w:t>
      </w:r>
      <w:r w:rsidRPr="00F93893">
        <w:rPr>
          <w:lang w:eastAsia="en-GB"/>
        </w:rPr>
        <w:t xml:space="preserve">) were included. The cumulative amount </w:t>
      </w:r>
      <w:r w:rsidRPr="001456E0">
        <w:rPr>
          <w:lang w:eastAsia="en-GB"/>
        </w:rPr>
        <w:t>of actuarial</w:t>
      </w:r>
      <w:r w:rsidRPr="00F93893">
        <w:rPr>
          <w:lang w:eastAsia="en-GB"/>
        </w:rPr>
        <w:t xml:space="preserve"> gains and losses recognised in the Comprehensive Income and Expenditu</w:t>
      </w:r>
      <w:r w:rsidR="00F93893" w:rsidRPr="00F93893">
        <w:rPr>
          <w:lang w:eastAsia="en-GB"/>
        </w:rPr>
        <w:t>re Statement is a loss £478.3</w:t>
      </w:r>
      <w:r w:rsidR="009E2E9D">
        <w:rPr>
          <w:lang w:eastAsia="en-GB"/>
        </w:rPr>
        <w:t>m</w:t>
      </w:r>
      <w:r w:rsidRPr="00F93893">
        <w:rPr>
          <w:lang w:eastAsia="en-GB"/>
        </w:rPr>
        <w:t>.</w:t>
      </w:r>
    </w:p>
    <w:p w14:paraId="1D916C62" w14:textId="77777777" w:rsidR="00A118ED" w:rsidRDefault="00A118ED" w:rsidP="00433837">
      <w:pPr>
        <w:rPr>
          <w:b/>
          <w:lang w:eastAsia="en-GB"/>
        </w:rPr>
      </w:pPr>
    </w:p>
    <w:p w14:paraId="365D5D75" w14:textId="591827F6" w:rsidR="00433837" w:rsidRPr="002E5E0D" w:rsidRDefault="00843427" w:rsidP="00433837">
      <w:pPr>
        <w:rPr>
          <w:b/>
          <w:lang w:eastAsia="en-GB"/>
        </w:rPr>
      </w:pPr>
      <w:r w:rsidRPr="002E5E0D">
        <w:rPr>
          <w:b/>
          <w:lang w:eastAsia="en-GB"/>
        </w:rPr>
        <w:t xml:space="preserve">Assets and </w:t>
      </w:r>
      <w:r w:rsidR="008E7863">
        <w:rPr>
          <w:b/>
          <w:lang w:eastAsia="en-GB"/>
        </w:rPr>
        <w:t>l</w:t>
      </w:r>
      <w:r w:rsidRPr="002E5E0D">
        <w:rPr>
          <w:b/>
          <w:lang w:eastAsia="en-GB"/>
        </w:rPr>
        <w:t xml:space="preserve">iabilities in </w:t>
      </w:r>
      <w:r w:rsidR="008E7863">
        <w:rPr>
          <w:b/>
          <w:lang w:eastAsia="en-GB"/>
        </w:rPr>
        <w:t>r</w:t>
      </w:r>
      <w:r w:rsidRPr="002E5E0D">
        <w:rPr>
          <w:b/>
          <w:lang w:eastAsia="en-GB"/>
        </w:rPr>
        <w:t>elation to Retirement Benefits</w:t>
      </w:r>
    </w:p>
    <w:p w14:paraId="36D70F19" w14:textId="77777777" w:rsidR="0072568E" w:rsidRDefault="0072568E" w:rsidP="00433837">
      <w:pPr>
        <w:rPr>
          <w:lang w:eastAsia="en-GB"/>
        </w:rPr>
      </w:pPr>
      <w:r w:rsidRPr="002E5E0D">
        <w:rPr>
          <w:lang w:eastAsia="en-GB"/>
        </w:rPr>
        <w:t>Reconciliation of the movements in fair value of the scheme assets:</w:t>
      </w:r>
    </w:p>
    <w:p w14:paraId="547BDF7E" w14:textId="77777777" w:rsidR="00AD3083" w:rsidRPr="002E5E0D" w:rsidRDefault="00AD3083" w:rsidP="00433837">
      <w:pPr>
        <w:rPr>
          <w:lang w:eastAsia="en-GB"/>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000938" w:rsidRPr="002E5E0D" w14:paraId="0C91EF6F" w14:textId="77777777" w:rsidTr="00B72FE7">
        <w:trPr>
          <w:trHeight w:val="369"/>
          <w:tblHeader/>
        </w:trPr>
        <w:tc>
          <w:tcPr>
            <w:tcW w:w="3105" w:type="pct"/>
            <w:shd w:val="clear" w:color="auto" w:fill="D0CECE"/>
            <w:vAlign w:val="bottom"/>
          </w:tcPr>
          <w:p w14:paraId="736AF165" w14:textId="77777777" w:rsidR="00000938" w:rsidRPr="002E5E0D" w:rsidRDefault="00000938" w:rsidP="003F1F7C">
            <w:pPr>
              <w:jc w:val="left"/>
              <w:rPr>
                <w:color w:val="auto"/>
              </w:rPr>
            </w:pPr>
            <w:r w:rsidRPr="002E5E0D">
              <w:rPr>
                <w:b/>
                <w:color w:val="auto"/>
              </w:rPr>
              <w:t>Lancashire County Pension Fund</w:t>
            </w:r>
          </w:p>
        </w:tc>
        <w:tc>
          <w:tcPr>
            <w:tcW w:w="929" w:type="pct"/>
            <w:shd w:val="clear" w:color="auto" w:fill="D0CECE"/>
            <w:vAlign w:val="bottom"/>
          </w:tcPr>
          <w:p w14:paraId="68BB9C2F" w14:textId="77777777" w:rsidR="00000938" w:rsidRPr="002E5E0D" w:rsidRDefault="00000938" w:rsidP="003F1F7C">
            <w:pPr>
              <w:jc w:val="center"/>
              <w:rPr>
                <w:b/>
                <w:color w:val="auto"/>
              </w:rPr>
            </w:pPr>
            <w:r w:rsidRPr="002E5E0D">
              <w:rPr>
                <w:b/>
                <w:color w:val="auto"/>
              </w:rPr>
              <w:t>2014/15</w:t>
            </w:r>
          </w:p>
        </w:tc>
        <w:tc>
          <w:tcPr>
            <w:tcW w:w="966" w:type="pct"/>
            <w:shd w:val="clear" w:color="auto" w:fill="D0CECE"/>
            <w:vAlign w:val="bottom"/>
          </w:tcPr>
          <w:p w14:paraId="0063B7E1" w14:textId="77777777" w:rsidR="00000938" w:rsidRPr="002E5E0D" w:rsidRDefault="00000938" w:rsidP="003F1F7C">
            <w:pPr>
              <w:jc w:val="center"/>
              <w:rPr>
                <w:b/>
                <w:color w:val="auto"/>
              </w:rPr>
            </w:pPr>
            <w:r w:rsidRPr="002E5E0D">
              <w:rPr>
                <w:b/>
                <w:color w:val="auto"/>
              </w:rPr>
              <w:t>2013/14</w:t>
            </w:r>
          </w:p>
        </w:tc>
      </w:tr>
      <w:tr w:rsidR="00000938" w:rsidRPr="002E5E0D" w14:paraId="77BE66CE" w14:textId="77777777" w:rsidTr="00B72FE7">
        <w:trPr>
          <w:trHeight w:val="369"/>
          <w:tblHeader/>
        </w:trPr>
        <w:tc>
          <w:tcPr>
            <w:tcW w:w="3105" w:type="pct"/>
            <w:shd w:val="clear" w:color="auto" w:fill="D0CECE"/>
            <w:vAlign w:val="bottom"/>
          </w:tcPr>
          <w:p w14:paraId="559B2DBF" w14:textId="77777777" w:rsidR="00000938" w:rsidRPr="002E5E0D" w:rsidRDefault="00000938" w:rsidP="003F1F7C">
            <w:pPr>
              <w:jc w:val="left"/>
              <w:rPr>
                <w:color w:val="auto"/>
              </w:rPr>
            </w:pPr>
          </w:p>
        </w:tc>
        <w:tc>
          <w:tcPr>
            <w:tcW w:w="929" w:type="pct"/>
            <w:shd w:val="clear" w:color="auto" w:fill="D0CECE"/>
            <w:vAlign w:val="bottom"/>
          </w:tcPr>
          <w:p w14:paraId="3D36D7FD" w14:textId="77777777" w:rsidR="00000938" w:rsidRPr="002E5E0D" w:rsidRDefault="00000938" w:rsidP="003F1F7C">
            <w:pPr>
              <w:jc w:val="center"/>
              <w:rPr>
                <w:b/>
                <w:color w:val="auto"/>
              </w:rPr>
            </w:pPr>
            <w:r w:rsidRPr="002E5E0D">
              <w:rPr>
                <w:b/>
                <w:color w:val="auto"/>
              </w:rPr>
              <w:t>£m</w:t>
            </w:r>
          </w:p>
        </w:tc>
        <w:tc>
          <w:tcPr>
            <w:tcW w:w="966" w:type="pct"/>
            <w:shd w:val="clear" w:color="auto" w:fill="D0CECE"/>
            <w:vAlign w:val="bottom"/>
          </w:tcPr>
          <w:p w14:paraId="7C08C6C5" w14:textId="77777777" w:rsidR="00000938" w:rsidRPr="002E5E0D" w:rsidRDefault="00000938" w:rsidP="003F1F7C">
            <w:pPr>
              <w:jc w:val="center"/>
              <w:rPr>
                <w:b/>
                <w:color w:val="auto"/>
              </w:rPr>
            </w:pPr>
            <w:r w:rsidRPr="002E5E0D">
              <w:rPr>
                <w:b/>
                <w:color w:val="auto"/>
              </w:rPr>
              <w:t>£m</w:t>
            </w:r>
          </w:p>
        </w:tc>
      </w:tr>
      <w:tr w:rsidR="00000938" w:rsidRPr="002E5E0D" w14:paraId="50B294FD" w14:textId="77777777" w:rsidTr="00B72FE7">
        <w:trPr>
          <w:trHeight w:val="369"/>
        </w:trPr>
        <w:tc>
          <w:tcPr>
            <w:tcW w:w="3105" w:type="pct"/>
            <w:shd w:val="clear" w:color="auto" w:fill="auto"/>
            <w:vAlign w:val="bottom"/>
          </w:tcPr>
          <w:p w14:paraId="5E7AD4C3" w14:textId="3565EFC1" w:rsidR="00000938" w:rsidRPr="002E5E0D" w:rsidRDefault="00000938" w:rsidP="003F1F7C">
            <w:pPr>
              <w:jc w:val="left"/>
              <w:rPr>
                <w:b/>
                <w:color w:val="auto"/>
              </w:rPr>
            </w:pPr>
            <w:r w:rsidRPr="002E5E0D">
              <w:rPr>
                <w:b/>
                <w:color w:val="auto"/>
              </w:rPr>
              <w:t xml:space="preserve">Opening balance </w:t>
            </w:r>
            <w:r w:rsidR="002A61A5">
              <w:rPr>
                <w:b/>
                <w:color w:val="auto"/>
              </w:rPr>
              <w:t xml:space="preserve">as </w:t>
            </w:r>
            <w:r w:rsidRPr="002E5E0D">
              <w:rPr>
                <w:b/>
                <w:color w:val="auto"/>
              </w:rPr>
              <w:t>at 1 April</w:t>
            </w:r>
          </w:p>
        </w:tc>
        <w:tc>
          <w:tcPr>
            <w:tcW w:w="929" w:type="pct"/>
            <w:tcBorders>
              <w:bottom w:val="nil"/>
            </w:tcBorders>
            <w:shd w:val="clear" w:color="auto" w:fill="auto"/>
            <w:vAlign w:val="bottom"/>
          </w:tcPr>
          <w:p w14:paraId="29411448" w14:textId="77777777" w:rsidR="00000938" w:rsidRPr="002E5E0D" w:rsidRDefault="002E5E0D" w:rsidP="003F1F7C">
            <w:pPr>
              <w:tabs>
                <w:tab w:val="decimal" w:pos="884"/>
              </w:tabs>
              <w:rPr>
                <w:b/>
                <w:color w:val="auto"/>
              </w:rPr>
            </w:pPr>
            <w:r w:rsidRPr="002E5E0D">
              <w:rPr>
                <w:b/>
                <w:color w:val="auto"/>
              </w:rPr>
              <w:t>2,093.0</w:t>
            </w:r>
          </w:p>
        </w:tc>
        <w:tc>
          <w:tcPr>
            <w:tcW w:w="966" w:type="pct"/>
            <w:tcBorders>
              <w:bottom w:val="nil"/>
            </w:tcBorders>
            <w:shd w:val="clear" w:color="auto" w:fill="auto"/>
            <w:vAlign w:val="bottom"/>
          </w:tcPr>
          <w:p w14:paraId="40B3E706" w14:textId="77777777" w:rsidR="00000938" w:rsidRPr="002E5E0D" w:rsidRDefault="00000938" w:rsidP="003F1F7C">
            <w:pPr>
              <w:tabs>
                <w:tab w:val="decimal" w:pos="1026"/>
              </w:tabs>
              <w:rPr>
                <w:b/>
                <w:color w:val="auto"/>
              </w:rPr>
            </w:pPr>
            <w:r w:rsidRPr="002E5E0D">
              <w:rPr>
                <w:b/>
                <w:color w:val="auto"/>
              </w:rPr>
              <w:t>2,009.1</w:t>
            </w:r>
          </w:p>
        </w:tc>
      </w:tr>
      <w:tr w:rsidR="00000938" w:rsidRPr="002E5E0D" w14:paraId="236C7A2B" w14:textId="77777777" w:rsidTr="00B72FE7">
        <w:trPr>
          <w:trHeight w:val="369"/>
        </w:trPr>
        <w:tc>
          <w:tcPr>
            <w:tcW w:w="3105" w:type="pct"/>
            <w:shd w:val="clear" w:color="auto" w:fill="auto"/>
            <w:vAlign w:val="bottom"/>
          </w:tcPr>
          <w:p w14:paraId="6E0A9682" w14:textId="77777777" w:rsidR="00000938" w:rsidRPr="002E5E0D" w:rsidRDefault="00000938" w:rsidP="003F1F7C">
            <w:pPr>
              <w:jc w:val="left"/>
              <w:rPr>
                <w:color w:val="auto"/>
              </w:rPr>
            </w:pPr>
            <w:r w:rsidRPr="002E5E0D">
              <w:rPr>
                <w:color w:val="auto"/>
              </w:rPr>
              <w:t>Re</w:t>
            </w:r>
            <w:r w:rsidR="009F22E0">
              <w:rPr>
                <w:color w:val="auto"/>
              </w:rPr>
              <w:t>-</w:t>
            </w:r>
            <w:r w:rsidRPr="002E5E0D">
              <w:rPr>
                <w:color w:val="auto"/>
              </w:rPr>
              <w:t>measurement (assets)</w:t>
            </w:r>
          </w:p>
        </w:tc>
        <w:tc>
          <w:tcPr>
            <w:tcW w:w="929" w:type="pct"/>
            <w:tcBorders>
              <w:bottom w:val="nil"/>
            </w:tcBorders>
            <w:shd w:val="clear" w:color="auto" w:fill="auto"/>
            <w:vAlign w:val="bottom"/>
          </w:tcPr>
          <w:p w14:paraId="273CE8F2" w14:textId="09B0D7DA" w:rsidR="00000938" w:rsidRPr="002E5E0D" w:rsidRDefault="001F2704" w:rsidP="001F2704">
            <w:pPr>
              <w:tabs>
                <w:tab w:val="decimal" w:pos="884"/>
              </w:tabs>
              <w:rPr>
                <w:color w:val="auto"/>
              </w:rPr>
            </w:pPr>
            <w:r>
              <w:rPr>
                <w:color w:val="auto"/>
              </w:rPr>
              <w:t>172.3</w:t>
            </w:r>
          </w:p>
        </w:tc>
        <w:tc>
          <w:tcPr>
            <w:tcW w:w="966" w:type="pct"/>
            <w:tcBorders>
              <w:bottom w:val="nil"/>
            </w:tcBorders>
            <w:shd w:val="clear" w:color="auto" w:fill="auto"/>
            <w:vAlign w:val="bottom"/>
          </w:tcPr>
          <w:p w14:paraId="66C15F28" w14:textId="77777777" w:rsidR="00000938" w:rsidRPr="002E5E0D" w:rsidRDefault="00000938" w:rsidP="003F1F7C">
            <w:pPr>
              <w:tabs>
                <w:tab w:val="decimal" w:pos="1026"/>
              </w:tabs>
              <w:rPr>
                <w:color w:val="auto"/>
              </w:rPr>
            </w:pPr>
            <w:r w:rsidRPr="002E5E0D">
              <w:rPr>
                <w:color w:val="auto"/>
              </w:rPr>
              <w:t>4.5</w:t>
            </w:r>
          </w:p>
        </w:tc>
      </w:tr>
      <w:tr w:rsidR="00000938" w:rsidRPr="002E5E0D" w14:paraId="4C27E4EA" w14:textId="77777777" w:rsidTr="00B72FE7">
        <w:trPr>
          <w:trHeight w:val="369"/>
        </w:trPr>
        <w:tc>
          <w:tcPr>
            <w:tcW w:w="3105" w:type="pct"/>
            <w:shd w:val="clear" w:color="auto" w:fill="auto"/>
            <w:vAlign w:val="bottom"/>
          </w:tcPr>
          <w:p w14:paraId="13978809" w14:textId="77777777" w:rsidR="00000938" w:rsidRPr="002E5E0D" w:rsidRDefault="00000938" w:rsidP="003F1F7C">
            <w:pPr>
              <w:jc w:val="left"/>
              <w:rPr>
                <w:color w:val="auto"/>
              </w:rPr>
            </w:pPr>
            <w:r w:rsidRPr="002E5E0D">
              <w:rPr>
                <w:color w:val="auto"/>
              </w:rPr>
              <w:t>Interest on plan assets</w:t>
            </w:r>
          </w:p>
        </w:tc>
        <w:tc>
          <w:tcPr>
            <w:tcW w:w="929" w:type="pct"/>
            <w:tcBorders>
              <w:bottom w:val="nil"/>
            </w:tcBorders>
            <w:shd w:val="clear" w:color="auto" w:fill="auto"/>
            <w:vAlign w:val="bottom"/>
          </w:tcPr>
          <w:p w14:paraId="374A6E87" w14:textId="60558270" w:rsidR="00000938" w:rsidRPr="002E5E0D" w:rsidRDefault="001F2704" w:rsidP="001F2704">
            <w:pPr>
              <w:tabs>
                <w:tab w:val="decimal" w:pos="884"/>
              </w:tabs>
              <w:rPr>
                <w:color w:val="auto"/>
              </w:rPr>
            </w:pPr>
            <w:r>
              <w:rPr>
                <w:color w:val="auto"/>
              </w:rPr>
              <w:t>92.0</w:t>
            </w:r>
          </w:p>
        </w:tc>
        <w:tc>
          <w:tcPr>
            <w:tcW w:w="966" w:type="pct"/>
            <w:tcBorders>
              <w:bottom w:val="nil"/>
            </w:tcBorders>
            <w:shd w:val="clear" w:color="auto" w:fill="auto"/>
            <w:vAlign w:val="bottom"/>
          </w:tcPr>
          <w:p w14:paraId="3D7EFFCB" w14:textId="77777777" w:rsidR="00000938" w:rsidRPr="002E5E0D" w:rsidRDefault="00000938" w:rsidP="003F1F7C">
            <w:pPr>
              <w:tabs>
                <w:tab w:val="decimal" w:pos="1026"/>
              </w:tabs>
              <w:rPr>
                <w:color w:val="auto"/>
              </w:rPr>
            </w:pPr>
            <w:r w:rsidRPr="002E5E0D">
              <w:rPr>
                <w:color w:val="auto"/>
              </w:rPr>
              <w:t>84.3</w:t>
            </w:r>
          </w:p>
        </w:tc>
      </w:tr>
      <w:tr w:rsidR="00000938" w:rsidRPr="002E5E0D" w14:paraId="04745228" w14:textId="77777777" w:rsidTr="00B72FE7">
        <w:trPr>
          <w:trHeight w:val="369"/>
        </w:trPr>
        <w:tc>
          <w:tcPr>
            <w:tcW w:w="3105" w:type="pct"/>
            <w:shd w:val="clear" w:color="auto" w:fill="auto"/>
            <w:vAlign w:val="bottom"/>
          </w:tcPr>
          <w:p w14:paraId="3185BA81" w14:textId="77777777" w:rsidR="00000938" w:rsidRPr="002E5E0D" w:rsidRDefault="00000938" w:rsidP="003F1F7C">
            <w:pPr>
              <w:jc w:val="left"/>
              <w:rPr>
                <w:color w:val="auto"/>
              </w:rPr>
            </w:pPr>
            <w:r w:rsidRPr="002E5E0D">
              <w:rPr>
                <w:color w:val="auto"/>
              </w:rPr>
              <w:t>Admin expenses</w:t>
            </w:r>
          </w:p>
        </w:tc>
        <w:tc>
          <w:tcPr>
            <w:tcW w:w="929" w:type="pct"/>
            <w:tcBorders>
              <w:bottom w:val="nil"/>
            </w:tcBorders>
            <w:shd w:val="clear" w:color="auto" w:fill="auto"/>
            <w:vAlign w:val="bottom"/>
          </w:tcPr>
          <w:p w14:paraId="7250A401" w14:textId="77777777" w:rsidR="00000938" w:rsidRPr="002E5E0D" w:rsidRDefault="002E5E0D" w:rsidP="003F1F7C">
            <w:pPr>
              <w:tabs>
                <w:tab w:val="decimal" w:pos="884"/>
              </w:tabs>
              <w:rPr>
                <w:color w:val="auto"/>
              </w:rPr>
            </w:pPr>
            <w:r w:rsidRPr="002E5E0D">
              <w:rPr>
                <w:color w:val="auto"/>
              </w:rPr>
              <w:t>(1.5)</w:t>
            </w:r>
          </w:p>
        </w:tc>
        <w:tc>
          <w:tcPr>
            <w:tcW w:w="966" w:type="pct"/>
            <w:tcBorders>
              <w:bottom w:val="nil"/>
            </w:tcBorders>
            <w:shd w:val="clear" w:color="auto" w:fill="auto"/>
            <w:vAlign w:val="bottom"/>
          </w:tcPr>
          <w:p w14:paraId="1AB09C99" w14:textId="77777777" w:rsidR="00000938" w:rsidRPr="002E5E0D" w:rsidRDefault="00000938" w:rsidP="003F1F7C">
            <w:pPr>
              <w:tabs>
                <w:tab w:val="decimal" w:pos="1026"/>
              </w:tabs>
              <w:rPr>
                <w:color w:val="auto"/>
              </w:rPr>
            </w:pPr>
            <w:r w:rsidRPr="002E5E0D">
              <w:rPr>
                <w:color w:val="auto"/>
              </w:rPr>
              <w:t>(1.4)</w:t>
            </w:r>
          </w:p>
        </w:tc>
      </w:tr>
      <w:tr w:rsidR="00B72FE7" w:rsidRPr="002E5E0D" w14:paraId="626455E8" w14:textId="77777777" w:rsidTr="00B72FE7">
        <w:trPr>
          <w:trHeight w:val="369"/>
        </w:trPr>
        <w:tc>
          <w:tcPr>
            <w:tcW w:w="3105" w:type="pct"/>
            <w:shd w:val="clear" w:color="auto" w:fill="auto"/>
            <w:vAlign w:val="bottom"/>
          </w:tcPr>
          <w:p w14:paraId="7D808153" w14:textId="20BAC815" w:rsidR="00B72FE7" w:rsidRPr="002E5E0D" w:rsidRDefault="00B72FE7" w:rsidP="003F1F7C">
            <w:pPr>
              <w:jc w:val="left"/>
              <w:rPr>
                <w:color w:val="auto"/>
              </w:rPr>
            </w:pPr>
            <w:r w:rsidRPr="002E5E0D">
              <w:rPr>
                <w:color w:val="auto"/>
              </w:rPr>
              <w:t>Employer Contributions</w:t>
            </w:r>
          </w:p>
        </w:tc>
        <w:tc>
          <w:tcPr>
            <w:tcW w:w="929" w:type="pct"/>
            <w:tcBorders>
              <w:bottom w:val="nil"/>
            </w:tcBorders>
            <w:shd w:val="clear" w:color="auto" w:fill="auto"/>
            <w:vAlign w:val="bottom"/>
          </w:tcPr>
          <w:p w14:paraId="45EE4137" w14:textId="1B9C8BDF" w:rsidR="00B72FE7" w:rsidRPr="002E5E0D" w:rsidRDefault="00B72FE7" w:rsidP="003F1F7C">
            <w:pPr>
              <w:tabs>
                <w:tab w:val="decimal" w:pos="884"/>
              </w:tabs>
              <w:rPr>
                <w:color w:val="auto"/>
              </w:rPr>
            </w:pPr>
            <w:r w:rsidRPr="002E5E0D">
              <w:rPr>
                <w:color w:val="auto"/>
              </w:rPr>
              <w:t>82.9</w:t>
            </w:r>
          </w:p>
        </w:tc>
        <w:tc>
          <w:tcPr>
            <w:tcW w:w="966" w:type="pct"/>
            <w:tcBorders>
              <w:bottom w:val="nil"/>
            </w:tcBorders>
            <w:shd w:val="clear" w:color="auto" w:fill="auto"/>
            <w:vAlign w:val="bottom"/>
          </w:tcPr>
          <w:p w14:paraId="6048C2C1" w14:textId="47FF400A" w:rsidR="00B72FE7" w:rsidRPr="002E5E0D" w:rsidRDefault="00B72FE7" w:rsidP="003F1F7C">
            <w:pPr>
              <w:tabs>
                <w:tab w:val="decimal" w:pos="1026"/>
              </w:tabs>
              <w:rPr>
                <w:color w:val="auto"/>
              </w:rPr>
            </w:pPr>
            <w:r w:rsidRPr="002E5E0D">
              <w:rPr>
                <w:color w:val="auto"/>
              </w:rPr>
              <w:t>71.9</w:t>
            </w:r>
          </w:p>
        </w:tc>
      </w:tr>
      <w:tr w:rsidR="00B72FE7" w:rsidRPr="002E5E0D" w14:paraId="387E3004" w14:textId="77777777" w:rsidTr="00B72FE7">
        <w:trPr>
          <w:trHeight w:val="369"/>
        </w:trPr>
        <w:tc>
          <w:tcPr>
            <w:tcW w:w="3105" w:type="pct"/>
            <w:shd w:val="clear" w:color="auto" w:fill="auto"/>
            <w:vAlign w:val="bottom"/>
          </w:tcPr>
          <w:p w14:paraId="3E407F6C" w14:textId="4BB2D76E" w:rsidR="00B72FE7" w:rsidRPr="002E5E0D" w:rsidRDefault="00B72FE7" w:rsidP="003F1F7C">
            <w:pPr>
              <w:jc w:val="left"/>
              <w:rPr>
                <w:color w:val="auto"/>
              </w:rPr>
            </w:pPr>
            <w:r w:rsidRPr="002E5E0D">
              <w:rPr>
                <w:color w:val="auto"/>
              </w:rPr>
              <w:t>Contributions from scheme participants</w:t>
            </w:r>
          </w:p>
        </w:tc>
        <w:tc>
          <w:tcPr>
            <w:tcW w:w="929" w:type="pct"/>
            <w:tcBorders>
              <w:bottom w:val="nil"/>
            </w:tcBorders>
            <w:shd w:val="clear" w:color="auto" w:fill="auto"/>
            <w:vAlign w:val="bottom"/>
          </w:tcPr>
          <w:p w14:paraId="4B65196A" w14:textId="2EDF6DEF" w:rsidR="00B72FE7" w:rsidRPr="002E5E0D" w:rsidRDefault="00B72FE7" w:rsidP="003F1F7C">
            <w:pPr>
              <w:tabs>
                <w:tab w:val="decimal" w:pos="884"/>
              </w:tabs>
              <w:rPr>
                <w:color w:val="auto"/>
              </w:rPr>
            </w:pPr>
            <w:r w:rsidRPr="002E5E0D">
              <w:rPr>
                <w:color w:val="auto"/>
              </w:rPr>
              <w:t>22.5</w:t>
            </w:r>
          </w:p>
        </w:tc>
        <w:tc>
          <w:tcPr>
            <w:tcW w:w="966" w:type="pct"/>
            <w:tcBorders>
              <w:bottom w:val="nil"/>
            </w:tcBorders>
            <w:shd w:val="clear" w:color="auto" w:fill="auto"/>
            <w:vAlign w:val="bottom"/>
          </w:tcPr>
          <w:p w14:paraId="008CE6C8" w14:textId="45A5A895" w:rsidR="00B72FE7" w:rsidRPr="002E5E0D" w:rsidRDefault="00B72FE7" w:rsidP="003F1F7C">
            <w:pPr>
              <w:tabs>
                <w:tab w:val="decimal" w:pos="1026"/>
              </w:tabs>
              <w:rPr>
                <w:color w:val="auto"/>
              </w:rPr>
            </w:pPr>
            <w:r w:rsidRPr="002E5E0D">
              <w:rPr>
                <w:color w:val="auto"/>
              </w:rPr>
              <w:t>22.2</w:t>
            </w:r>
          </w:p>
        </w:tc>
      </w:tr>
      <w:tr w:rsidR="00B72FE7" w:rsidRPr="002E5E0D" w14:paraId="774928E9" w14:textId="77777777" w:rsidTr="00B72FE7">
        <w:trPr>
          <w:trHeight w:val="369"/>
        </w:trPr>
        <w:tc>
          <w:tcPr>
            <w:tcW w:w="3105" w:type="pct"/>
            <w:shd w:val="clear" w:color="auto" w:fill="auto"/>
            <w:vAlign w:val="bottom"/>
          </w:tcPr>
          <w:p w14:paraId="5C04ED7B" w14:textId="01E5F21C" w:rsidR="00B72FE7" w:rsidRPr="002E5E0D" w:rsidRDefault="00B72FE7" w:rsidP="003F1F7C">
            <w:pPr>
              <w:jc w:val="left"/>
              <w:rPr>
                <w:color w:val="auto"/>
              </w:rPr>
            </w:pPr>
            <w:r w:rsidRPr="002E5E0D">
              <w:rPr>
                <w:color w:val="auto"/>
              </w:rPr>
              <w:t>Benefits/Transfers paid</w:t>
            </w:r>
          </w:p>
        </w:tc>
        <w:tc>
          <w:tcPr>
            <w:tcW w:w="929" w:type="pct"/>
            <w:tcBorders>
              <w:bottom w:val="nil"/>
            </w:tcBorders>
            <w:shd w:val="clear" w:color="auto" w:fill="auto"/>
            <w:vAlign w:val="bottom"/>
          </w:tcPr>
          <w:p w14:paraId="44177FCB" w14:textId="3FD837DC" w:rsidR="00B72FE7" w:rsidRPr="002E5E0D" w:rsidRDefault="00B72FE7" w:rsidP="003F1F7C">
            <w:pPr>
              <w:tabs>
                <w:tab w:val="decimal" w:pos="884"/>
              </w:tabs>
              <w:rPr>
                <w:color w:val="auto"/>
              </w:rPr>
            </w:pPr>
            <w:r w:rsidRPr="002E5E0D">
              <w:rPr>
                <w:color w:val="auto"/>
              </w:rPr>
              <w:t>(107.9)</w:t>
            </w:r>
          </w:p>
        </w:tc>
        <w:tc>
          <w:tcPr>
            <w:tcW w:w="966" w:type="pct"/>
            <w:tcBorders>
              <w:bottom w:val="nil"/>
            </w:tcBorders>
            <w:shd w:val="clear" w:color="auto" w:fill="auto"/>
            <w:vAlign w:val="bottom"/>
          </w:tcPr>
          <w:p w14:paraId="548E6F1A" w14:textId="13C59469" w:rsidR="00B72FE7" w:rsidRPr="002E5E0D" w:rsidRDefault="00B72FE7" w:rsidP="003F1F7C">
            <w:pPr>
              <w:tabs>
                <w:tab w:val="decimal" w:pos="1026"/>
              </w:tabs>
              <w:rPr>
                <w:color w:val="auto"/>
              </w:rPr>
            </w:pPr>
            <w:r w:rsidRPr="002E5E0D">
              <w:rPr>
                <w:color w:val="auto"/>
              </w:rPr>
              <w:t>(97.6)</w:t>
            </w:r>
          </w:p>
        </w:tc>
      </w:tr>
      <w:tr w:rsidR="00B72FE7" w:rsidRPr="002E5E0D" w14:paraId="00B5ACBD" w14:textId="77777777" w:rsidTr="00B72FE7">
        <w:trPr>
          <w:trHeight w:val="369"/>
        </w:trPr>
        <w:tc>
          <w:tcPr>
            <w:tcW w:w="3105" w:type="pct"/>
            <w:shd w:val="clear" w:color="auto" w:fill="auto"/>
            <w:vAlign w:val="bottom"/>
          </w:tcPr>
          <w:p w14:paraId="4CB36522" w14:textId="22AB8D0A" w:rsidR="00B72FE7" w:rsidRPr="002E5E0D" w:rsidRDefault="00B72FE7" w:rsidP="003F1F7C">
            <w:pPr>
              <w:jc w:val="left"/>
              <w:rPr>
                <w:color w:val="auto"/>
              </w:rPr>
            </w:pPr>
            <w:r w:rsidRPr="002E5E0D">
              <w:rPr>
                <w:b/>
                <w:color w:val="auto"/>
              </w:rPr>
              <w:t xml:space="preserve">Closing balance </w:t>
            </w:r>
            <w:r w:rsidR="002A61A5">
              <w:rPr>
                <w:b/>
                <w:color w:val="auto"/>
              </w:rPr>
              <w:t xml:space="preserve">as </w:t>
            </w:r>
            <w:r w:rsidRPr="002E5E0D">
              <w:rPr>
                <w:b/>
                <w:color w:val="auto"/>
              </w:rPr>
              <w:t>at 31 March</w:t>
            </w:r>
          </w:p>
        </w:tc>
        <w:tc>
          <w:tcPr>
            <w:tcW w:w="929" w:type="pct"/>
            <w:tcBorders>
              <w:top w:val="single" w:sz="4" w:space="0" w:color="auto"/>
              <w:bottom w:val="single" w:sz="4" w:space="0" w:color="auto"/>
            </w:tcBorders>
            <w:shd w:val="clear" w:color="auto" w:fill="auto"/>
            <w:vAlign w:val="bottom"/>
          </w:tcPr>
          <w:p w14:paraId="193BB82C" w14:textId="56165082" w:rsidR="00B72FE7" w:rsidRPr="002E5E0D" w:rsidRDefault="00B72FE7" w:rsidP="003F1F7C">
            <w:pPr>
              <w:tabs>
                <w:tab w:val="decimal" w:pos="884"/>
              </w:tabs>
              <w:rPr>
                <w:color w:val="auto"/>
              </w:rPr>
            </w:pPr>
            <w:r w:rsidRPr="002E5E0D">
              <w:rPr>
                <w:b/>
                <w:color w:val="auto"/>
              </w:rPr>
              <w:t>2,353.</w:t>
            </w:r>
            <w:r>
              <w:rPr>
                <w:b/>
                <w:color w:val="auto"/>
              </w:rPr>
              <w:t>3</w:t>
            </w:r>
          </w:p>
        </w:tc>
        <w:tc>
          <w:tcPr>
            <w:tcW w:w="966" w:type="pct"/>
            <w:tcBorders>
              <w:top w:val="single" w:sz="4" w:space="0" w:color="auto"/>
              <w:bottom w:val="single" w:sz="4" w:space="0" w:color="auto"/>
            </w:tcBorders>
            <w:shd w:val="clear" w:color="auto" w:fill="auto"/>
            <w:vAlign w:val="bottom"/>
          </w:tcPr>
          <w:p w14:paraId="23153C43" w14:textId="04292188" w:rsidR="00B72FE7" w:rsidRPr="002E5E0D" w:rsidRDefault="00B72FE7" w:rsidP="00000938">
            <w:pPr>
              <w:tabs>
                <w:tab w:val="decimal" w:pos="1026"/>
              </w:tabs>
              <w:rPr>
                <w:color w:val="auto"/>
              </w:rPr>
            </w:pPr>
            <w:r w:rsidRPr="002E5E0D">
              <w:rPr>
                <w:b/>
                <w:color w:val="auto"/>
              </w:rPr>
              <w:t>2,093.0</w:t>
            </w:r>
          </w:p>
        </w:tc>
      </w:tr>
      <w:tr w:rsidR="00B72FE7" w:rsidRPr="004F1182" w14:paraId="0C1CBF7F" w14:textId="77777777" w:rsidTr="00B72FE7">
        <w:trPr>
          <w:trHeight w:val="369"/>
        </w:trPr>
        <w:tc>
          <w:tcPr>
            <w:tcW w:w="3105" w:type="pct"/>
            <w:shd w:val="clear" w:color="auto" w:fill="auto"/>
            <w:vAlign w:val="bottom"/>
          </w:tcPr>
          <w:p w14:paraId="54B06C55" w14:textId="3BF82CFB" w:rsidR="00B72FE7" w:rsidRPr="002E5E0D" w:rsidRDefault="00B72FE7" w:rsidP="003F1F7C">
            <w:pPr>
              <w:jc w:val="left"/>
              <w:rPr>
                <w:b/>
                <w:color w:val="auto"/>
              </w:rPr>
            </w:pPr>
          </w:p>
        </w:tc>
        <w:tc>
          <w:tcPr>
            <w:tcW w:w="929" w:type="pct"/>
            <w:tcBorders>
              <w:top w:val="single" w:sz="4" w:space="0" w:color="auto"/>
              <w:bottom w:val="single" w:sz="4" w:space="0" w:color="auto"/>
            </w:tcBorders>
            <w:shd w:val="clear" w:color="auto" w:fill="auto"/>
            <w:vAlign w:val="bottom"/>
          </w:tcPr>
          <w:p w14:paraId="0F38D006" w14:textId="748C0DBE" w:rsidR="00B72FE7" w:rsidRPr="002E5E0D" w:rsidRDefault="00B72FE7" w:rsidP="00A0033E">
            <w:pPr>
              <w:tabs>
                <w:tab w:val="decimal" w:pos="884"/>
              </w:tabs>
              <w:rPr>
                <w:b/>
                <w:color w:val="auto"/>
              </w:rPr>
            </w:pPr>
          </w:p>
        </w:tc>
        <w:tc>
          <w:tcPr>
            <w:tcW w:w="966" w:type="pct"/>
            <w:tcBorders>
              <w:top w:val="single" w:sz="4" w:space="0" w:color="auto"/>
              <w:bottom w:val="single" w:sz="4" w:space="0" w:color="auto"/>
            </w:tcBorders>
            <w:shd w:val="clear" w:color="auto" w:fill="auto"/>
            <w:vAlign w:val="bottom"/>
          </w:tcPr>
          <w:p w14:paraId="11913EA3" w14:textId="28D7A971" w:rsidR="00B72FE7" w:rsidRPr="004F1182" w:rsidRDefault="00B72FE7" w:rsidP="003F1F7C">
            <w:pPr>
              <w:tabs>
                <w:tab w:val="decimal" w:pos="1026"/>
              </w:tabs>
              <w:rPr>
                <w:b/>
                <w:color w:val="auto"/>
              </w:rPr>
            </w:pPr>
          </w:p>
        </w:tc>
      </w:tr>
    </w:tbl>
    <w:p w14:paraId="45EB1B2A" w14:textId="77777777" w:rsidR="00843427" w:rsidRDefault="00843427" w:rsidP="00433837">
      <w:pPr>
        <w:rPr>
          <w:lang w:eastAsia="en-GB"/>
        </w:rPr>
      </w:pPr>
    </w:p>
    <w:p w14:paraId="6F93A3B0" w14:textId="77777777" w:rsidR="009B53E2" w:rsidRDefault="009B53E2" w:rsidP="00433837">
      <w:pPr>
        <w:rPr>
          <w:lang w:eastAsia="en-GB"/>
        </w:rPr>
      </w:pPr>
    </w:p>
    <w:p w14:paraId="0DFB9A4A" w14:textId="77777777" w:rsidR="009B53E2" w:rsidRDefault="009B53E2" w:rsidP="00433837">
      <w:pPr>
        <w:rPr>
          <w:lang w:eastAsia="en-GB"/>
        </w:rPr>
      </w:pPr>
    </w:p>
    <w:p w14:paraId="085ACC66" w14:textId="77777777" w:rsidR="009B53E2" w:rsidRDefault="009B53E2" w:rsidP="00433837">
      <w:pPr>
        <w:rPr>
          <w:lang w:eastAsia="en-GB"/>
        </w:rPr>
      </w:pPr>
    </w:p>
    <w:p w14:paraId="0D192206" w14:textId="77777777" w:rsidR="0072568E" w:rsidRPr="006B3F26" w:rsidRDefault="0072568E" w:rsidP="00433837">
      <w:pPr>
        <w:rPr>
          <w:lang w:eastAsia="en-GB"/>
        </w:rPr>
      </w:pPr>
      <w:r w:rsidRPr="006B3F26">
        <w:rPr>
          <w:lang w:eastAsia="en-GB"/>
        </w:rPr>
        <w:t>Reconciliation of present value of the scheme liabilities:</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23"/>
        <w:gridCol w:w="1388"/>
        <w:gridCol w:w="1388"/>
        <w:gridCol w:w="1388"/>
        <w:gridCol w:w="1463"/>
      </w:tblGrid>
      <w:tr w:rsidR="0072568E" w:rsidRPr="006B3F26" w14:paraId="03F5FD13" w14:textId="77777777" w:rsidTr="00A06955">
        <w:trPr>
          <w:trHeight w:val="369"/>
          <w:tblHeader/>
        </w:trPr>
        <w:tc>
          <w:tcPr>
            <w:tcW w:w="2308" w:type="pct"/>
            <w:shd w:val="clear" w:color="auto" w:fill="D0CECE"/>
            <w:vAlign w:val="bottom"/>
          </w:tcPr>
          <w:p w14:paraId="183AF35C" w14:textId="77777777" w:rsidR="0072568E" w:rsidRPr="006B3F26" w:rsidRDefault="0072568E" w:rsidP="003F1F7C">
            <w:pPr>
              <w:jc w:val="center"/>
              <w:rPr>
                <w:b/>
                <w:color w:val="auto"/>
                <w:u w:val="single"/>
              </w:rPr>
            </w:pPr>
          </w:p>
        </w:tc>
        <w:tc>
          <w:tcPr>
            <w:tcW w:w="1328" w:type="pct"/>
            <w:gridSpan w:val="2"/>
            <w:shd w:val="clear" w:color="auto" w:fill="D0CECE"/>
            <w:vAlign w:val="bottom"/>
          </w:tcPr>
          <w:p w14:paraId="2896C639" w14:textId="77777777" w:rsidR="0072568E" w:rsidRPr="006B3F26" w:rsidRDefault="0072568E" w:rsidP="003F1F7C">
            <w:pPr>
              <w:jc w:val="center"/>
              <w:rPr>
                <w:b/>
                <w:color w:val="auto"/>
              </w:rPr>
            </w:pPr>
            <w:r w:rsidRPr="006B3F26">
              <w:rPr>
                <w:b/>
                <w:color w:val="auto"/>
              </w:rPr>
              <w:t>Funded liabilities:</w:t>
            </w:r>
          </w:p>
        </w:tc>
        <w:tc>
          <w:tcPr>
            <w:tcW w:w="1364" w:type="pct"/>
            <w:gridSpan w:val="2"/>
            <w:shd w:val="clear" w:color="auto" w:fill="D0CECE"/>
            <w:vAlign w:val="bottom"/>
          </w:tcPr>
          <w:p w14:paraId="3B3F3C38" w14:textId="77777777" w:rsidR="0072568E" w:rsidRPr="006B3F26" w:rsidRDefault="0072568E" w:rsidP="003F1F7C">
            <w:pPr>
              <w:jc w:val="center"/>
              <w:rPr>
                <w:b/>
                <w:color w:val="auto"/>
              </w:rPr>
            </w:pPr>
            <w:r w:rsidRPr="006B3F26">
              <w:rPr>
                <w:b/>
                <w:color w:val="auto"/>
              </w:rPr>
              <w:t>Unfunded liabilities:</w:t>
            </w:r>
          </w:p>
        </w:tc>
      </w:tr>
      <w:tr w:rsidR="0072568E" w:rsidRPr="006B3F26" w14:paraId="17B84E7F" w14:textId="77777777" w:rsidTr="00A06955">
        <w:trPr>
          <w:trHeight w:val="369"/>
          <w:tblHeader/>
        </w:trPr>
        <w:tc>
          <w:tcPr>
            <w:tcW w:w="2308" w:type="pct"/>
            <w:shd w:val="clear" w:color="auto" w:fill="D0CECE"/>
            <w:vAlign w:val="bottom"/>
          </w:tcPr>
          <w:p w14:paraId="0EFA7562" w14:textId="77777777" w:rsidR="0072568E" w:rsidRPr="006B3F26" w:rsidRDefault="0072568E" w:rsidP="003F1F7C">
            <w:pPr>
              <w:jc w:val="center"/>
              <w:rPr>
                <w:b/>
                <w:color w:val="auto"/>
                <w:u w:val="single"/>
              </w:rPr>
            </w:pPr>
          </w:p>
        </w:tc>
        <w:tc>
          <w:tcPr>
            <w:tcW w:w="1328" w:type="pct"/>
            <w:gridSpan w:val="2"/>
            <w:shd w:val="clear" w:color="auto" w:fill="D0CECE"/>
            <w:vAlign w:val="bottom"/>
          </w:tcPr>
          <w:p w14:paraId="3975DBE9" w14:textId="77777777" w:rsidR="0072568E" w:rsidRPr="006B3F26" w:rsidRDefault="0072568E" w:rsidP="003F1F7C">
            <w:pPr>
              <w:jc w:val="center"/>
              <w:rPr>
                <w:b/>
                <w:color w:val="auto"/>
              </w:rPr>
            </w:pPr>
            <w:r w:rsidRPr="006B3F26">
              <w:rPr>
                <w:b/>
                <w:color w:val="auto"/>
              </w:rPr>
              <w:t>Lancashire County Pension Fund</w:t>
            </w:r>
          </w:p>
        </w:tc>
        <w:tc>
          <w:tcPr>
            <w:tcW w:w="1364" w:type="pct"/>
            <w:gridSpan w:val="2"/>
            <w:shd w:val="clear" w:color="auto" w:fill="D0CECE"/>
            <w:vAlign w:val="bottom"/>
          </w:tcPr>
          <w:p w14:paraId="79825308" w14:textId="77777777" w:rsidR="0072568E" w:rsidRPr="006B3F26" w:rsidRDefault="0072568E" w:rsidP="003F1F7C">
            <w:pPr>
              <w:jc w:val="center"/>
              <w:rPr>
                <w:b/>
                <w:color w:val="auto"/>
              </w:rPr>
            </w:pPr>
            <w:r w:rsidRPr="006B3F26">
              <w:rPr>
                <w:b/>
                <w:color w:val="auto"/>
              </w:rPr>
              <w:t>Teachers</w:t>
            </w:r>
            <w:r w:rsidR="009F22E0">
              <w:rPr>
                <w:b/>
                <w:color w:val="auto"/>
              </w:rPr>
              <w:t>'</w:t>
            </w:r>
            <w:r w:rsidRPr="006B3F26">
              <w:rPr>
                <w:b/>
                <w:color w:val="auto"/>
              </w:rPr>
              <w:t xml:space="preserve"> Pension Scheme</w:t>
            </w:r>
          </w:p>
        </w:tc>
      </w:tr>
      <w:tr w:rsidR="0072568E" w:rsidRPr="006B3F26" w14:paraId="61063D0A" w14:textId="77777777" w:rsidTr="00A06955">
        <w:trPr>
          <w:trHeight w:val="369"/>
          <w:tblHeader/>
        </w:trPr>
        <w:tc>
          <w:tcPr>
            <w:tcW w:w="2308" w:type="pct"/>
            <w:shd w:val="clear" w:color="auto" w:fill="D0CECE"/>
            <w:vAlign w:val="bottom"/>
          </w:tcPr>
          <w:p w14:paraId="14A829E4" w14:textId="77777777" w:rsidR="0072568E" w:rsidRPr="006B3F26" w:rsidRDefault="0072568E" w:rsidP="003F1F7C">
            <w:pPr>
              <w:jc w:val="center"/>
              <w:rPr>
                <w:b/>
                <w:color w:val="auto"/>
                <w:u w:val="single"/>
              </w:rPr>
            </w:pPr>
          </w:p>
        </w:tc>
        <w:tc>
          <w:tcPr>
            <w:tcW w:w="664" w:type="pct"/>
            <w:shd w:val="clear" w:color="auto" w:fill="D0CECE"/>
            <w:vAlign w:val="bottom"/>
          </w:tcPr>
          <w:p w14:paraId="125BDBCF" w14:textId="77777777" w:rsidR="0072568E" w:rsidRPr="006B3F26" w:rsidRDefault="0072568E" w:rsidP="003F1F7C">
            <w:pPr>
              <w:jc w:val="center"/>
              <w:rPr>
                <w:b/>
                <w:color w:val="auto"/>
              </w:rPr>
            </w:pPr>
            <w:r w:rsidRPr="006B3F26">
              <w:rPr>
                <w:b/>
                <w:color w:val="auto"/>
              </w:rPr>
              <w:t>2014/15</w:t>
            </w:r>
          </w:p>
        </w:tc>
        <w:tc>
          <w:tcPr>
            <w:tcW w:w="664" w:type="pct"/>
            <w:shd w:val="clear" w:color="auto" w:fill="D0CECE"/>
            <w:vAlign w:val="bottom"/>
          </w:tcPr>
          <w:p w14:paraId="690C4EB7" w14:textId="77777777" w:rsidR="0072568E" w:rsidRPr="006B3F26" w:rsidRDefault="0072568E" w:rsidP="003F1F7C">
            <w:pPr>
              <w:jc w:val="center"/>
              <w:rPr>
                <w:b/>
                <w:color w:val="auto"/>
              </w:rPr>
            </w:pPr>
            <w:r w:rsidRPr="006B3F26">
              <w:rPr>
                <w:b/>
                <w:color w:val="auto"/>
              </w:rPr>
              <w:t>2013/14</w:t>
            </w:r>
          </w:p>
        </w:tc>
        <w:tc>
          <w:tcPr>
            <w:tcW w:w="664" w:type="pct"/>
            <w:shd w:val="clear" w:color="auto" w:fill="D0CECE"/>
            <w:vAlign w:val="bottom"/>
          </w:tcPr>
          <w:p w14:paraId="1834BD5E" w14:textId="77777777" w:rsidR="0072568E" w:rsidRPr="006B3F26" w:rsidRDefault="0072568E" w:rsidP="003F1F7C">
            <w:pPr>
              <w:jc w:val="center"/>
              <w:rPr>
                <w:b/>
                <w:color w:val="auto"/>
              </w:rPr>
            </w:pPr>
            <w:r w:rsidRPr="006B3F26">
              <w:rPr>
                <w:b/>
                <w:color w:val="auto"/>
              </w:rPr>
              <w:t>2014/15</w:t>
            </w:r>
          </w:p>
        </w:tc>
        <w:tc>
          <w:tcPr>
            <w:tcW w:w="700" w:type="pct"/>
            <w:shd w:val="clear" w:color="auto" w:fill="D0CECE"/>
            <w:vAlign w:val="bottom"/>
          </w:tcPr>
          <w:p w14:paraId="3A516E6E" w14:textId="77777777" w:rsidR="0072568E" w:rsidRPr="006B3F26" w:rsidRDefault="0072568E" w:rsidP="003F1F7C">
            <w:pPr>
              <w:jc w:val="center"/>
              <w:rPr>
                <w:b/>
                <w:color w:val="auto"/>
              </w:rPr>
            </w:pPr>
            <w:r w:rsidRPr="006B3F26">
              <w:rPr>
                <w:b/>
                <w:color w:val="auto"/>
              </w:rPr>
              <w:t>2013/14</w:t>
            </w:r>
          </w:p>
        </w:tc>
      </w:tr>
      <w:tr w:rsidR="0072568E" w:rsidRPr="006B3F26" w14:paraId="499020D6" w14:textId="77777777" w:rsidTr="00A06955">
        <w:trPr>
          <w:trHeight w:val="369"/>
          <w:tblHeader/>
        </w:trPr>
        <w:tc>
          <w:tcPr>
            <w:tcW w:w="2308" w:type="pct"/>
            <w:shd w:val="clear" w:color="auto" w:fill="D0CECE"/>
            <w:vAlign w:val="bottom"/>
          </w:tcPr>
          <w:p w14:paraId="4760829F" w14:textId="77777777" w:rsidR="0072568E" w:rsidRPr="006B3F26" w:rsidRDefault="0072568E" w:rsidP="003F1F7C">
            <w:pPr>
              <w:jc w:val="left"/>
              <w:rPr>
                <w:color w:val="auto"/>
              </w:rPr>
            </w:pPr>
          </w:p>
        </w:tc>
        <w:tc>
          <w:tcPr>
            <w:tcW w:w="664" w:type="pct"/>
            <w:shd w:val="clear" w:color="auto" w:fill="D0CECE"/>
            <w:vAlign w:val="bottom"/>
          </w:tcPr>
          <w:p w14:paraId="5C7FED5E" w14:textId="77777777" w:rsidR="0072568E" w:rsidRPr="006B3F26" w:rsidRDefault="0072568E" w:rsidP="003F1F7C">
            <w:pPr>
              <w:jc w:val="center"/>
              <w:rPr>
                <w:b/>
                <w:color w:val="auto"/>
              </w:rPr>
            </w:pPr>
            <w:r w:rsidRPr="006B3F26">
              <w:rPr>
                <w:b/>
                <w:color w:val="auto"/>
              </w:rPr>
              <w:t>£m</w:t>
            </w:r>
          </w:p>
        </w:tc>
        <w:tc>
          <w:tcPr>
            <w:tcW w:w="664" w:type="pct"/>
            <w:shd w:val="clear" w:color="auto" w:fill="D0CECE"/>
            <w:vAlign w:val="bottom"/>
          </w:tcPr>
          <w:p w14:paraId="32C226A9" w14:textId="77777777" w:rsidR="0072568E" w:rsidRPr="006B3F26" w:rsidRDefault="0072568E" w:rsidP="003F1F7C">
            <w:pPr>
              <w:jc w:val="center"/>
              <w:rPr>
                <w:b/>
                <w:color w:val="auto"/>
              </w:rPr>
            </w:pPr>
            <w:r w:rsidRPr="006B3F26">
              <w:rPr>
                <w:b/>
                <w:color w:val="auto"/>
              </w:rPr>
              <w:t>£m</w:t>
            </w:r>
          </w:p>
        </w:tc>
        <w:tc>
          <w:tcPr>
            <w:tcW w:w="664" w:type="pct"/>
            <w:shd w:val="clear" w:color="auto" w:fill="D0CECE"/>
            <w:vAlign w:val="bottom"/>
          </w:tcPr>
          <w:p w14:paraId="5D51F05E" w14:textId="77777777" w:rsidR="0072568E" w:rsidRPr="006B3F26" w:rsidRDefault="0072568E" w:rsidP="003F1F7C">
            <w:pPr>
              <w:jc w:val="center"/>
              <w:rPr>
                <w:b/>
                <w:color w:val="auto"/>
              </w:rPr>
            </w:pPr>
            <w:r w:rsidRPr="006B3F26">
              <w:rPr>
                <w:b/>
                <w:color w:val="auto"/>
              </w:rPr>
              <w:t>£m</w:t>
            </w:r>
          </w:p>
        </w:tc>
        <w:tc>
          <w:tcPr>
            <w:tcW w:w="700" w:type="pct"/>
            <w:shd w:val="clear" w:color="auto" w:fill="D0CECE"/>
            <w:vAlign w:val="bottom"/>
          </w:tcPr>
          <w:p w14:paraId="2B7F3139" w14:textId="77777777" w:rsidR="0072568E" w:rsidRPr="006B3F26" w:rsidRDefault="0072568E" w:rsidP="003F1F7C">
            <w:pPr>
              <w:jc w:val="center"/>
              <w:rPr>
                <w:b/>
                <w:color w:val="auto"/>
              </w:rPr>
            </w:pPr>
            <w:r w:rsidRPr="006B3F26">
              <w:rPr>
                <w:b/>
                <w:color w:val="auto"/>
              </w:rPr>
              <w:t>£m</w:t>
            </w:r>
          </w:p>
        </w:tc>
      </w:tr>
      <w:tr w:rsidR="0072568E" w:rsidRPr="006B3F26" w14:paraId="19D23C7A" w14:textId="77777777" w:rsidTr="003F1F7C">
        <w:trPr>
          <w:trHeight w:val="369"/>
        </w:trPr>
        <w:tc>
          <w:tcPr>
            <w:tcW w:w="2308" w:type="pct"/>
            <w:shd w:val="clear" w:color="auto" w:fill="auto"/>
            <w:vAlign w:val="bottom"/>
          </w:tcPr>
          <w:p w14:paraId="3948965F" w14:textId="55C0C5D5" w:rsidR="0072568E" w:rsidRPr="006B3F26" w:rsidRDefault="0072568E" w:rsidP="003F1F7C">
            <w:pPr>
              <w:jc w:val="left"/>
              <w:rPr>
                <w:b/>
                <w:color w:val="auto"/>
              </w:rPr>
            </w:pPr>
            <w:r w:rsidRPr="006B3F26">
              <w:rPr>
                <w:b/>
                <w:color w:val="auto"/>
              </w:rPr>
              <w:t xml:space="preserve">Opening balance </w:t>
            </w:r>
            <w:r w:rsidR="00EC0F93">
              <w:rPr>
                <w:b/>
                <w:color w:val="auto"/>
              </w:rPr>
              <w:t xml:space="preserve">as </w:t>
            </w:r>
            <w:r w:rsidRPr="006B3F26">
              <w:rPr>
                <w:b/>
                <w:color w:val="auto"/>
              </w:rPr>
              <w:t>at 1 April</w:t>
            </w:r>
          </w:p>
        </w:tc>
        <w:tc>
          <w:tcPr>
            <w:tcW w:w="664" w:type="pct"/>
            <w:vAlign w:val="bottom"/>
          </w:tcPr>
          <w:p w14:paraId="30BD922E" w14:textId="739A630B" w:rsidR="0072568E" w:rsidRPr="006B3F26" w:rsidRDefault="00877090" w:rsidP="003F1F7C">
            <w:pPr>
              <w:tabs>
                <w:tab w:val="decimal" w:pos="743"/>
              </w:tabs>
              <w:rPr>
                <w:b/>
                <w:color w:val="auto"/>
              </w:rPr>
            </w:pPr>
            <w:r>
              <w:rPr>
                <w:b/>
                <w:color w:val="auto"/>
              </w:rPr>
              <w:t>(</w:t>
            </w:r>
            <w:r w:rsidR="002E5E0D" w:rsidRPr="006B3F26">
              <w:rPr>
                <w:b/>
                <w:color w:val="auto"/>
              </w:rPr>
              <w:t>2,858.0</w:t>
            </w:r>
            <w:r>
              <w:rPr>
                <w:b/>
                <w:color w:val="auto"/>
              </w:rPr>
              <w:t>)</w:t>
            </w:r>
          </w:p>
        </w:tc>
        <w:tc>
          <w:tcPr>
            <w:tcW w:w="664" w:type="pct"/>
            <w:vAlign w:val="bottom"/>
          </w:tcPr>
          <w:p w14:paraId="739DB61D" w14:textId="35E11BBA" w:rsidR="0072568E" w:rsidRPr="006B3F26" w:rsidRDefault="00877090" w:rsidP="003F1F7C">
            <w:pPr>
              <w:tabs>
                <w:tab w:val="decimal" w:pos="743"/>
              </w:tabs>
              <w:rPr>
                <w:b/>
                <w:color w:val="auto"/>
              </w:rPr>
            </w:pPr>
            <w:r>
              <w:rPr>
                <w:b/>
                <w:color w:val="auto"/>
              </w:rPr>
              <w:t>(</w:t>
            </w:r>
            <w:r w:rsidR="0072568E" w:rsidRPr="006B3F26">
              <w:rPr>
                <w:b/>
                <w:color w:val="auto"/>
              </w:rPr>
              <w:t>2,986.1</w:t>
            </w:r>
            <w:r>
              <w:rPr>
                <w:b/>
                <w:color w:val="auto"/>
              </w:rPr>
              <w:t>)</w:t>
            </w:r>
          </w:p>
        </w:tc>
        <w:tc>
          <w:tcPr>
            <w:tcW w:w="664" w:type="pct"/>
            <w:shd w:val="clear" w:color="auto" w:fill="auto"/>
            <w:vAlign w:val="bottom"/>
          </w:tcPr>
          <w:p w14:paraId="04607AB6" w14:textId="26E8A2E1" w:rsidR="0072568E" w:rsidRPr="006B3F26" w:rsidRDefault="00877090" w:rsidP="003F1F7C">
            <w:pPr>
              <w:tabs>
                <w:tab w:val="decimal" w:pos="742"/>
              </w:tabs>
              <w:rPr>
                <w:b/>
                <w:color w:val="auto"/>
              </w:rPr>
            </w:pPr>
            <w:r>
              <w:rPr>
                <w:b/>
                <w:color w:val="auto"/>
              </w:rPr>
              <w:t>(</w:t>
            </w:r>
            <w:r w:rsidR="006B3F26" w:rsidRPr="006B3F26">
              <w:rPr>
                <w:b/>
                <w:color w:val="auto"/>
              </w:rPr>
              <w:t>140.0</w:t>
            </w:r>
            <w:r>
              <w:rPr>
                <w:b/>
                <w:color w:val="auto"/>
              </w:rPr>
              <w:t>)</w:t>
            </w:r>
          </w:p>
        </w:tc>
        <w:tc>
          <w:tcPr>
            <w:tcW w:w="700" w:type="pct"/>
            <w:shd w:val="clear" w:color="auto" w:fill="auto"/>
            <w:vAlign w:val="bottom"/>
          </w:tcPr>
          <w:p w14:paraId="04505B7B" w14:textId="0DE6492D" w:rsidR="0072568E" w:rsidRPr="006B3F26" w:rsidRDefault="00877090" w:rsidP="003F1F7C">
            <w:pPr>
              <w:tabs>
                <w:tab w:val="decimal" w:pos="742"/>
              </w:tabs>
              <w:rPr>
                <w:b/>
                <w:color w:val="auto"/>
              </w:rPr>
            </w:pPr>
            <w:r>
              <w:rPr>
                <w:b/>
                <w:color w:val="auto"/>
              </w:rPr>
              <w:t>(</w:t>
            </w:r>
            <w:r w:rsidR="0072568E" w:rsidRPr="006B3F26">
              <w:rPr>
                <w:b/>
                <w:color w:val="auto"/>
              </w:rPr>
              <w:t>150.1</w:t>
            </w:r>
            <w:r>
              <w:rPr>
                <w:b/>
                <w:color w:val="auto"/>
              </w:rPr>
              <w:t>)</w:t>
            </w:r>
          </w:p>
        </w:tc>
      </w:tr>
      <w:tr w:rsidR="0072568E" w:rsidRPr="006B3F26" w14:paraId="48DB3C50" w14:textId="77777777" w:rsidTr="003F1F7C">
        <w:trPr>
          <w:trHeight w:val="369"/>
        </w:trPr>
        <w:tc>
          <w:tcPr>
            <w:tcW w:w="2308" w:type="pct"/>
            <w:shd w:val="clear" w:color="auto" w:fill="auto"/>
            <w:vAlign w:val="bottom"/>
          </w:tcPr>
          <w:p w14:paraId="3166D00A" w14:textId="77777777" w:rsidR="0072568E" w:rsidRPr="006B3F26" w:rsidRDefault="0072568E" w:rsidP="003F1F7C">
            <w:pPr>
              <w:jc w:val="left"/>
              <w:rPr>
                <w:color w:val="auto"/>
              </w:rPr>
            </w:pPr>
            <w:r w:rsidRPr="006B3F26">
              <w:rPr>
                <w:color w:val="auto"/>
              </w:rPr>
              <w:t>Current service cost</w:t>
            </w:r>
          </w:p>
        </w:tc>
        <w:tc>
          <w:tcPr>
            <w:tcW w:w="664" w:type="pct"/>
            <w:vAlign w:val="bottom"/>
          </w:tcPr>
          <w:p w14:paraId="5047E08E" w14:textId="4D3FC714" w:rsidR="0072568E" w:rsidRPr="006B3F26" w:rsidRDefault="00877090" w:rsidP="003F1F7C">
            <w:pPr>
              <w:tabs>
                <w:tab w:val="decimal" w:pos="743"/>
              </w:tabs>
              <w:rPr>
                <w:color w:val="auto"/>
              </w:rPr>
            </w:pPr>
            <w:r>
              <w:rPr>
                <w:color w:val="auto"/>
              </w:rPr>
              <w:t>(</w:t>
            </w:r>
            <w:r w:rsidR="002E5E0D" w:rsidRPr="006B3F26">
              <w:rPr>
                <w:color w:val="auto"/>
              </w:rPr>
              <w:t>73.0</w:t>
            </w:r>
            <w:r>
              <w:rPr>
                <w:color w:val="auto"/>
              </w:rPr>
              <w:t>)</w:t>
            </w:r>
          </w:p>
        </w:tc>
        <w:tc>
          <w:tcPr>
            <w:tcW w:w="664" w:type="pct"/>
            <w:vAlign w:val="bottom"/>
          </w:tcPr>
          <w:p w14:paraId="707E8804" w14:textId="00A7EA3E" w:rsidR="0072568E" w:rsidRPr="006B3F26" w:rsidRDefault="00877090" w:rsidP="003F1F7C">
            <w:pPr>
              <w:tabs>
                <w:tab w:val="decimal" w:pos="743"/>
              </w:tabs>
              <w:rPr>
                <w:color w:val="auto"/>
              </w:rPr>
            </w:pPr>
            <w:r>
              <w:rPr>
                <w:color w:val="auto"/>
              </w:rPr>
              <w:t>(</w:t>
            </w:r>
            <w:r w:rsidR="0072568E" w:rsidRPr="006B3F26">
              <w:rPr>
                <w:color w:val="auto"/>
              </w:rPr>
              <w:t>87.7</w:t>
            </w:r>
            <w:r>
              <w:rPr>
                <w:color w:val="auto"/>
              </w:rPr>
              <w:t>)</w:t>
            </w:r>
          </w:p>
        </w:tc>
        <w:tc>
          <w:tcPr>
            <w:tcW w:w="664" w:type="pct"/>
            <w:shd w:val="clear" w:color="auto" w:fill="auto"/>
            <w:vAlign w:val="bottom"/>
          </w:tcPr>
          <w:p w14:paraId="4134F8E4" w14:textId="77777777" w:rsidR="0072568E" w:rsidRPr="006B3F26" w:rsidRDefault="0072568E" w:rsidP="003F1F7C">
            <w:pPr>
              <w:tabs>
                <w:tab w:val="decimal" w:pos="742"/>
              </w:tabs>
              <w:rPr>
                <w:color w:val="auto"/>
              </w:rPr>
            </w:pPr>
            <w:r w:rsidRPr="006B3F26">
              <w:rPr>
                <w:color w:val="auto"/>
              </w:rPr>
              <w:t>-</w:t>
            </w:r>
          </w:p>
        </w:tc>
        <w:tc>
          <w:tcPr>
            <w:tcW w:w="700" w:type="pct"/>
            <w:shd w:val="clear" w:color="auto" w:fill="auto"/>
            <w:vAlign w:val="bottom"/>
          </w:tcPr>
          <w:p w14:paraId="283D0AFC" w14:textId="77777777" w:rsidR="0072568E" w:rsidRPr="006B3F26" w:rsidRDefault="0072568E" w:rsidP="003F1F7C">
            <w:pPr>
              <w:tabs>
                <w:tab w:val="decimal" w:pos="742"/>
              </w:tabs>
              <w:rPr>
                <w:color w:val="auto"/>
              </w:rPr>
            </w:pPr>
            <w:r w:rsidRPr="006B3F26">
              <w:rPr>
                <w:color w:val="auto"/>
              </w:rPr>
              <w:t>-</w:t>
            </w:r>
          </w:p>
        </w:tc>
      </w:tr>
      <w:tr w:rsidR="0072568E" w:rsidRPr="006B3F26" w14:paraId="771F4C78" w14:textId="77777777" w:rsidTr="003F1F7C">
        <w:trPr>
          <w:trHeight w:val="369"/>
        </w:trPr>
        <w:tc>
          <w:tcPr>
            <w:tcW w:w="2308" w:type="pct"/>
            <w:shd w:val="clear" w:color="auto" w:fill="auto"/>
            <w:vAlign w:val="bottom"/>
          </w:tcPr>
          <w:p w14:paraId="1DA5AFF1" w14:textId="77777777" w:rsidR="0072568E" w:rsidRPr="006B3F26" w:rsidRDefault="0072568E" w:rsidP="003F1F7C">
            <w:pPr>
              <w:jc w:val="left"/>
              <w:rPr>
                <w:color w:val="auto"/>
              </w:rPr>
            </w:pPr>
            <w:r w:rsidRPr="006B3F26">
              <w:rPr>
                <w:color w:val="auto"/>
              </w:rPr>
              <w:t>Interest on pension liabilities</w:t>
            </w:r>
          </w:p>
        </w:tc>
        <w:tc>
          <w:tcPr>
            <w:tcW w:w="664" w:type="pct"/>
            <w:tcBorders>
              <w:bottom w:val="nil"/>
            </w:tcBorders>
            <w:vAlign w:val="bottom"/>
          </w:tcPr>
          <w:p w14:paraId="785B7316" w14:textId="6834777E" w:rsidR="0072568E" w:rsidRPr="006B3F26" w:rsidRDefault="00F0378D" w:rsidP="003F1F7C">
            <w:pPr>
              <w:tabs>
                <w:tab w:val="decimal" w:pos="743"/>
              </w:tabs>
              <w:rPr>
                <w:color w:val="auto"/>
              </w:rPr>
            </w:pPr>
            <w:r>
              <w:rPr>
                <w:color w:val="auto"/>
              </w:rPr>
              <w:t>(</w:t>
            </w:r>
            <w:r w:rsidR="002E5E0D" w:rsidRPr="006B3F26">
              <w:rPr>
                <w:color w:val="auto"/>
              </w:rPr>
              <w:t>123.9</w:t>
            </w:r>
            <w:r>
              <w:rPr>
                <w:color w:val="auto"/>
              </w:rPr>
              <w:t>)</w:t>
            </w:r>
          </w:p>
        </w:tc>
        <w:tc>
          <w:tcPr>
            <w:tcW w:w="664" w:type="pct"/>
            <w:tcBorders>
              <w:bottom w:val="nil"/>
            </w:tcBorders>
            <w:vAlign w:val="bottom"/>
          </w:tcPr>
          <w:p w14:paraId="675AF838" w14:textId="02AD48E0" w:rsidR="0072568E" w:rsidRPr="006B3F26" w:rsidRDefault="00F0378D" w:rsidP="003F1F7C">
            <w:pPr>
              <w:tabs>
                <w:tab w:val="decimal" w:pos="743"/>
              </w:tabs>
              <w:rPr>
                <w:color w:val="auto"/>
              </w:rPr>
            </w:pPr>
            <w:r>
              <w:rPr>
                <w:color w:val="auto"/>
              </w:rPr>
              <w:t>(</w:t>
            </w:r>
            <w:r w:rsidR="0072568E" w:rsidRPr="006B3F26">
              <w:rPr>
                <w:color w:val="auto"/>
              </w:rPr>
              <w:t>123.8</w:t>
            </w:r>
            <w:r>
              <w:rPr>
                <w:color w:val="auto"/>
              </w:rPr>
              <w:t>)</w:t>
            </w:r>
          </w:p>
        </w:tc>
        <w:tc>
          <w:tcPr>
            <w:tcW w:w="664" w:type="pct"/>
            <w:tcBorders>
              <w:bottom w:val="nil"/>
            </w:tcBorders>
            <w:shd w:val="clear" w:color="auto" w:fill="auto"/>
            <w:vAlign w:val="bottom"/>
          </w:tcPr>
          <w:p w14:paraId="27F16578" w14:textId="16613A5E" w:rsidR="0072568E" w:rsidRPr="006B3F26" w:rsidRDefault="00F0378D" w:rsidP="003F1F7C">
            <w:pPr>
              <w:tabs>
                <w:tab w:val="decimal" w:pos="742"/>
              </w:tabs>
              <w:rPr>
                <w:color w:val="auto"/>
              </w:rPr>
            </w:pPr>
            <w:r>
              <w:rPr>
                <w:color w:val="auto"/>
              </w:rPr>
              <w:t>(</w:t>
            </w:r>
            <w:r w:rsidR="00F54DB1" w:rsidRPr="006B3F26">
              <w:rPr>
                <w:color w:val="auto"/>
              </w:rPr>
              <w:t>5.8</w:t>
            </w:r>
            <w:r>
              <w:rPr>
                <w:color w:val="auto"/>
              </w:rPr>
              <w:t>)</w:t>
            </w:r>
          </w:p>
        </w:tc>
        <w:tc>
          <w:tcPr>
            <w:tcW w:w="700" w:type="pct"/>
            <w:tcBorders>
              <w:bottom w:val="nil"/>
            </w:tcBorders>
            <w:shd w:val="clear" w:color="auto" w:fill="auto"/>
            <w:vAlign w:val="bottom"/>
          </w:tcPr>
          <w:p w14:paraId="72CE805C" w14:textId="1039FFA4" w:rsidR="0072568E" w:rsidRPr="006B3F26" w:rsidRDefault="00F0378D" w:rsidP="003F1F7C">
            <w:pPr>
              <w:tabs>
                <w:tab w:val="decimal" w:pos="742"/>
              </w:tabs>
              <w:rPr>
                <w:color w:val="auto"/>
              </w:rPr>
            </w:pPr>
            <w:r>
              <w:rPr>
                <w:color w:val="auto"/>
              </w:rPr>
              <w:t>(</w:t>
            </w:r>
            <w:r w:rsidR="0072568E" w:rsidRPr="006B3F26">
              <w:rPr>
                <w:color w:val="auto"/>
              </w:rPr>
              <w:t>5.3</w:t>
            </w:r>
            <w:r>
              <w:rPr>
                <w:color w:val="auto"/>
              </w:rPr>
              <w:t>)</w:t>
            </w:r>
          </w:p>
        </w:tc>
      </w:tr>
      <w:tr w:rsidR="0072568E" w:rsidRPr="006B3F26" w14:paraId="0DEED905" w14:textId="77777777" w:rsidTr="003F1F7C">
        <w:trPr>
          <w:trHeight w:val="369"/>
        </w:trPr>
        <w:tc>
          <w:tcPr>
            <w:tcW w:w="2308" w:type="pct"/>
            <w:tcBorders>
              <w:bottom w:val="nil"/>
            </w:tcBorders>
            <w:shd w:val="clear" w:color="auto" w:fill="auto"/>
            <w:vAlign w:val="bottom"/>
          </w:tcPr>
          <w:p w14:paraId="06C58BF6" w14:textId="77777777" w:rsidR="0072568E" w:rsidRPr="006B3F26" w:rsidRDefault="0072568E" w:rsidP="003F1F7C">
            <w:pPr>
              <w:jc w:val="left"/>
              <w:rPr>
                <w:color w:val="auto"/>
              </w:rPr>
            </w:pPr>
            <w:r w:rsidRPr="006B3F26">
              <w:rPr>
                <w:color w:val="auto"/>
              </w:rPr>
              <w:t>Contributions from scheme participants</w:t>
            </w:r>
          </w:p>
        </w:tc>
        <w:tc>
          <w:tcPr>
            <w:tcW w:w="664" w:type="pct"/>
            <w:tcBorders>
              <w:top w:val="nil"/>
              <w:bottom w:val="nil"/>
            </w:tcBorders>
            <w:vAlign w:val="bottom"/>
          </w:tcPr>
          <w:p w14:paraId="6397134A" w14:textId="5268504E" w:rsidR="0072568E" w:rsidRPr="006B3F26" w:rsidRDefault="00F0378D" w:rsidP="003F1F7C">
            <w:pPr>
              <w:tabs>
                <w:tab w:val="decimal" w:pos="743"/>
              </w:tabs>
              <w:rPr>
                <w:color w:val="auto"/>
              </w:rPr>
            </w:pPr>
            <w:r>
              <w:rPr>
                <w:color w:val="auto"/>
              </w:rPr>
              <w:t>(</w:t>
            </w:r>
            <w:r w:rsidR="002E5E0D" w:rsidRPr="006B3F26">
              <w:rPr>
                <w:color w:val="auto"/>
              </w:rPr>
              <w:t>22.5</w:t>
            </w:r>
            <w:r>
              <w:rPr>
                <w:color w:val="auto"/>
              </w:rPr>
              <w:t>)</w:t>
            </w:r>
          </w:p>
        </w:tc>
        <w:tc>
          <w:tcPr>
            <w:tcW w:w="664" w:type="pct"/>
            <w:tcBorders>
              <w:top w:val="nil"/>
              <w:bottom w:val="nil"/>
            </w:tcBorders>
            <w:vAlign w:val="bottom"/>
          </w:tcPr>
          <w:p w14:paraId="35CBDD31" w14:textId="007BAA7D" w:rsidR="0072568E" w:rsidRPr="006B3F26" w:rsidRDefault="00F0378D" w:rsidP="003F1F7C">
            <w:pPr>
              <w:tabs>
                <w:tab w:val="decimal" w:pos="743"/>
              </w:tabs>
              <w:rPr>
                <w:color w:val="auto"/>
              </w:rPr>
            </w:pPr>
            <w:r>
              <w:rPr>
                <w:color w:val="auto"/>
              </w:rPr>
              <w:t>(</w:t>
            </w:r>
            <w:r w:rsidR="0072568E" w:rsidRPr="006B3F26">
              <w:rPr>
                <w:color w:val="auto"/>
              </w:rPr>
              <w:t>22.2</w:t>
            </w:r>
            <w:r>
              <w:rPr>
                <w:color w:val="auto"/>
              </w:rPr>
              <w:t>)</w:t>
            </w:r>
          </w:p>
        </w:tc>
        <w:tc>
          <w:tcPr>
            <w:tcW w:w="664" w:type="pct"/>
            <w:tcBorders>
              <w:top w:val="nil"/>
              <w:bottom w:val="nil"/>
            </w:tcBorders>
            <w:shd w:val="clear" w:color="auto" w:fill="auto"/>
            <w:vAlign w:val="bottom"/>
          </w:tcPr>
          <w:p w14:paraId="68F17C70" w14:textId="77777777" w:rsidR="0072568E" w:rsidRPr="006B3F26" w:rsidRDefault="0072568E" w:rsidP="003F1F7C">
            <w:pPr>
              <w:tabs>
                <w:tab w:val="decimal" w:pos="742"/>
              </w:tabs>
              <w:rPr>
                <w:color w:val="auto"/>
              </w:rPr>
            </w:pPr>
            <w:r w:rsidRPr="006B3F26">
              <w:rPr>
                <w:color w:val="auto"/>
              </w:rPr>
              <w:t>-</w:t>
            </w:r>
          </w:p>
        </w:tc>
        <w:tc>
          <w:tcPr>
            <w:tcW w:w="700" w:type="pct"/>
            <w:tcBorders>
              <w:top w:val="nil"/>
              <w:bottom w:val="nil"/>
            </w:tcBorders>
            <w:shd w:val="clear" w:color="auto" w:fill="auto"/>
            <w:vAlign w:val="bottom"/>
          </w:tcPr>
          <w:p w14:paraId="133FB426" w14:textId="77777777" w:rsidR="0072568E" w:rsidRPr="006B3F26" w:rsidRDefault="0072568E" w:rsidP="003F1F7C">
            <w:pPr>
              <w:tabs>
                <w:tab w:val="decimal" w:pos="742"/>
              </w:tabs>
              <w:rPr>
                <w:color w:val="auto"/>
              </w:rPr>
            </w:pPr>
            <w:r w:rsidRPr="006B3F26">
              <w:rPr>
                <w:color w:val="auto"/>
              </w:rPr>
              <w:t>-</w:t>
            </w:r>
          </w:p>
        </w:tc>
      </w:tr>
      <w:tr w:rsidR="0072568E" w:rsidRPr="006B3F26" w14:paraId="751CD0B6" w14:textId="77777777" w:rsidTr="003F1F7C">
        <w:trPr>
          <w:trHeight w:val="369"/>
        </w:trPr>
        <w:tc>
          <w:tcPr>
            <w:tcW w:w="2308" w:type="pct"/>
            <w:tcBorders>
              <w:top w:val="nil"/>
              <w:bottom w:val="nil"/>
            </w:tcBorders>
            <w:shd w:val="clear" w:color="auto" w:fill="auto"/>
            <w:vAlign w:val="bottom"/>
          </w:tcPr>
          <w:p w14:paraId="1F0845AC" w14:textId="77777777" w:rsidR="0072568E" w:rsidRPr="006B3F26" w:rsidRDefault="0072568E" w:rsidP="003F1F7C">
            <w:pPr>
              <w:jc w:val="left"/>
              <w:rPr>
                <w:color w:val="auto"/>
              </w:rPr>
            </w:pPr>
            <w:r w:rsidRPr="006B3F26">
              <w:rPr>
                <w:color w:val="auto"/>
              </w:rPr>
              <w:t>Benefits/Transfers paid</w:t>
            </w:r>
          </w:p>
        </w:tc>
        <w:tc>
          <w:tcPr>
            <w:tcW w:w="664" w:type="pct"/>
            <w:tcBorders>
              <w:top w:val="nil"/>
              <w:bottom w:val="nil"/>
            </w:tcBorders>
            <w:vAlign w:val="bottom"/>
          </w:tcPr>
          <w:p w14:paraId="1B659B72" w14:textId="3C9BDAE6" w:rsidR="0072568E" w:rsidRPr="006B3F26" w:rsidRDefault="00877090" w:rsidP="003F1F7C">
            <w:pPr>
              <w:tabs>
                <w:tab w:val="decimal" w:pos="743"/>
              </w:tabs>
              <w:rPr>
                <w:color w:val="auto"/>
              </w:rPr>
            </w:pPr>
            <w:r>
              <w:rPr>
                <w:color w:val="auto"/>
              </w:rPr>
              <w:t>107.8</w:t>
            </w:r>
          </w:p>
        </w:tc>
        <w:tc>
          <w:tcPr>
            <w:tcW w:w="664" w:type="pct"/>
            <w:tcBorders>
              <w:top w:val="nil"/>
              <w:bottom w:val="nil"/>
            </w:tcBorders>
            <w:vAlign w:val="bottom"/>
          </w:tcPr>
          <w:p w14:paraId="24093497" w14:textId="2E979BEE" w:rsidR="0072568E" w:rsidRPr="006B3F26" w:rsidRDefault="00877090" w:rsidP="003F1F7C">
            <w:pPr>
              <w:tabs>
                <w:tab w:val="decimal" w:pos="743"/>
              </w:tabs>
              <w:rPr>
                <w:color w:val="auto"/>
              </w:rPr>
            </w:pPr>
            <w:r>
              <w:rPr>
                <w:color w:val="auto"/>
              </w:rPr>
              <w:t>97.6</w:t>
            </w:r>
          </w:p>
        </w:tc>
        <w:tc>
          <w:tcPr>
            <w:tcW w:w="664" w:type="pct"/>
            <w:tcBorders>
              <w:top w:val="nil"/>
              <w:bottom w:val="nil"/>
            </w:tcBorders>
            <w:shd w:val="clear" w:color="auto" w:fill="auto"/>
            <w:vAlign w:val="bottom"/>
          </w:tcPr>
          <w:p w14:paraId="103345F9" w14:textId="3AAC0B08" w:rsidR="0072568E" w:rsidRPr="006B3F26" w:rsidRDefault="00877090" w:rsidP="003F1F7C">
            <w:pPr>
              <w:tabs>
                <w:tab w:val="decimal" w:pos="742"/>
              </w:tabs>
              <w:rPr>
                <w:color w:val="auto"/>
              </w:rPr>
            </w:pPr>
            <w:r>
              <w:rPr>
                <w:color w:val="auto"/>
              </w:rPr>
              <w:t>10.9</w:t>
            </w:r>
          </w:p>
        </w:tc>
        <w:tc>
          <w:tcPr>
            <w:tcW w:w="700" w:type="pct"/>
            <w:tcBorders>
              <w:top w:val="nil"/>
              <w:bottom w:val="nil"/>
            </w:tcBorders>
            <w:shd w:val="clear" w:color="auto" w:fill="auto"/>
            <w:vAlign w:val="bottom"/>
          </w:tcPr>
          <w:p w14:paraId="1A100F04" w14:textId="204C6B63" w:rsidR="0072568E" w:rsidRPr="006B3F26" w:rsidRDefault="0072568E" w:rsidP="00F0378D">
            <w:pPr>
              <w:tabs>
                <w:tab w:val="decimal" w:pos="742"/>
              </w:tabs>
              <w:rPr>
                <w:color w:val="auto"/>
              </w:rPr>
            </w:pPr>
            <w:r w:rsidRPr="006B3F26">
              <w:rPr>
                <w:color w:val="auto"/>
              </w:rPr>
              <w:t>11.2</w:t>
            </w:r>
          </w:p>
        </w:tc>
      </w:tr>
      <w:tr w:rsidR="0072568E" w:rsidRPr="006B3F26" w14:paraId="18EF4808" w14:textId="77777777" w:rsidTr="003F1F7C">
        <w:trPr>
          <w:trHeight w:val="369"/>
        </w:trPr>
        <w:tc>
          <w:tcPr>
            <w:tcW w:w="2308" w:type="pct"/>
            <w:tcBorders>
              <w:top w:val="nil"/>
              <w:bottom w:val="nil"/>
            </w:tcBorders>
            <w:shd w:val="clear" w:color="auto" w:fill="auto"/>
            <w:vAlign w:val="bottom"/>
          </w:tcPr>
          <w:p w14:paraId="6D7FC229" w14:textId="77777777" w:rsidR="0072568E" w:rsidRPr="006B3F26" w:rsidRDefault="0072568E" w:rsidP="003F1F7C">
            <w:pPr>
              <w:jc w:val="left"/>
              <w:rPr>
                <w:color w:val="auto"/>
              </w:rPr>
            </w:pPr>
            <w:r w:rsidRPr="006B3F26">
              <w:rPr>
                <w:color w:val="auto"/>
              </w:rPr>
              <w:t>Curtailment cost</w:t>
            </w:r>
          </w:p>
        </w:tc>
        <w:tc>
          <w:tcPr>
            <w:tcW w:w="664" w:type="pct"/>
            <w:tcBorders>
              <w:top w:val="nil"/>
              <w:bottom w:val="nil"/>
            </w:tcBorders>
            <w:vAlign w:val="bottom"/>
          </w:tcPr>
          <w:p w14:paraId="59489C66" w14:textId="27BF89CA" w:rsidR="0072568E" w:rsidRPr="006B3F26" w:rsidRDefault="00F0378D" w:rsidP="003F1F7C">
            <w:pPr>
              <w:tabs>
                <w:tab w:val="decimal" w:pos="743"/>
              </w:tabs>
              <w:rPr>
                <w:color w:val="auto"/>
              </w:rPr>
            </w:pPr>
            <w:r>
              <w:rPr>
                <w:color w:val="auto"/>
              </w:rPr>
              <w:t>(</w:t>
            </w:r>
            <w:r w:rsidR="00F751E0" w:rsidRPr="006B3F26">
              <w:rPr>
                <w:color w:val="auto"/>
              </w:rPr>
              <w:t>12.9</w:t>
            </w:r>
            <w:r>
              <w:rPr>
                <w:color w:val="auto"/>
              </w:rPr>
              <w:t>)</w:t>
            </w:r>
          </w:p>
        </w:tc>
        <w:tc>
          <w:tcPr>
            <w:tcW w:w="664" w:type="pct"/>
            <w:tcBorders>
              <w:top w:val="nil"/>
              <w:bottom w:val="nil"/>
            </w:tcBorders>
            <w:vAlign w:val="bottom"/>
          </w:tcPr>
          <w:p w14:paraId="51A4D87C" w14:textId="2F98BD3A" w:rsidR="0072568E" w:rsidRPr="006B3F26" w:rsidRDefault="00F0378D" w:rsidP="003F1F7C">
            <w:pPr>
              <w:tabs>
                <w:tab w:val="decimal" w:pos="743"/>
              </w:tabs>
              <w:rPr>
                <w:color w:val="auto"/>
              </w:rPr>
            </w:pPr>
            <w:r>
              <w:rPr>
                <w:color w:val="auto"/>
              </w:rPr>
              <w:t>(</w:t>
            </w:r>
            <w:r w:rsidR="0072568E" w:rsidRPr="006B3F26">
              <w:rPr>
                <w:color w:val="auto"/>
              </w:rPr>
              <w:t>1.3</w:t>
            </w:r>
            <w:r>
              <w:rPr>
                <w:color w:val="auto"/>
              </w:rPr>
              <w:t>)</w:t>
            </w:r>
          </w:p>
        </w:tc>
        <w:tc>
          <w:tcPr>
            <w:tcW w:w="664" w:type="pct"/>
            <w:tcBorders>
              <w:top w:val="nil"/>
              <w:bottom w:val="nil"/>
            </w:tcBorders>
            <w:shd w:val="clear" w:color="auto" w:fill="auto"/>
            <w:vAlign w:val="bottom"/>
          </w:tcPr>
          <w:p w14:paraId="3C11E84F" w14:textId="77777777" w:rsidR="0072568E" w:rsidRPr="006B3F26" w:rsidRDefault="00426385" w:rsidP="003F1F7C">
            <w:pPr>
              <w:tabs>
                <w:tab w:val="decimal" w:pos="742"/>
              </w:tabs>
              <w:rPr>
                <w:color w:val="auto"/>
              </w:rPr>
            </w:pPr>
            <w:r w:rsidRPr="006B3F26">
              <w:rPr>
                <w:color w:val="auto"/>
              </w:rPr>
              <w:t>-</w:t>
            </w:r>
          </w:p>
        </w:tc>
        <w:tc>
          <w:tcPr>
            <w:tcW w:w="700" w:type="pct"/>
            <w:tcBorders>
              <w:top w:val="nil"/>
              <w:bottom w:val="nil"/>
            </w:tcBorders>
            <w:shd w:val="clear" w:color="auto" w:fill="auto"/>
            <w:vAlign w:val="bottom"/>
          </w:tcPr>
          <w:p w14:paraId="160A01AF" w14:textId="77777777" w:rsidR="0072568E" w:rsidRPr="006B3F26" w:rsidRDefault="0072568E" w:rsidP="003F1F7C">
            <w:pPr>
              <w:tabs>
                <w:tab w:val="decimal" w:pos="742"/>
              </w:tabs>
              <w:rPr>
                <w:color w:val="auto"/>
              </w:rPr>
            </w:pPr>
            <w:r w:rsidRPr="006B3F26">
              <w:rPr>
                <w:color w:val="auto"/>
              </w:rPr>
              <w:t>-</w:t>
            </w:r>
          </w:p>
        </w:tc>
      </w:tr>
      <w:tr w:rsidR="0072568E" w:rsidRPr="006B3F26" w14:paraId="4F32F93C" w14:textId="77777777" w:rsidTr="0072568E">
        <w:trPr>
          <w:trHeight w:val="369"/>
        </w:trPr>
        <w:tc>
          <w:tcPr>
            <w:tcW w:w="2308" w:type="pct"/>
            <w:tcBorders>
              <w:top w:val="nil"/>
              <w:bottom w:val="nil"/>
            </w:tcBorders>
            <w:shd w:val="clear" w:color="auto" w:fill="auto"/>
            <w:vAlign w:val="bottom"/>
          </w:tcPr>
          <w:p w14:paraId="2EAB09E3" w14:textId="77777777" w:rsidR="0072568E" w:rsidRPr="006B3F26" w:rsidRDefault="0072568E" w:rsidP="003F1F7C">
            <w:pPr>
              <w:jc w:val="left"/>
              <w:rPr>
                <w:color w:val="auto"/>
              </w:rPr>
            </w:pPr>
            <w:r w:rsidRPr="006B3F26">
              <w:rPr>
                <w:color w:val="auto"/>
              </w:rPr>
              <w:t>Gain/loss from settlements</w:t>
            </w:r>
          </w:p>
        </w:tc>
        <w:tc>
          <w:tcPr>
            <w:tcW w:w="664" w:type="pct"/>
            <w:tcBorders>
              <w:top w:val="nil"/>
              <w:bottom w:val="nil"/>
            </w:tcBorders>
            <w:vAlign w:val="bottom"/>
          </w:tcPr>
          <w:p w14:paraId="72A71F08" w14:textId="77777777" w:rsidR="0072568E" w:rsidRPr="006B3F26" w:rsidRDefault="00426385" w:rsidP="003F1F7C">
            <w:pPr>
              <w:tabs>
                <w:tab w:val="decimal" w:pos="743"/>
              </w:tabs>
              <w:rPr>
                <w:color w:val="auto"/>
              </w:rPr>
            </w:pPr>
            <w:r w:rsidRPr="006B3F26">
              <w:rPr>
                <w:color w:val="auto"/>
              </w:rPr>
              <w:t>-</w:t>
            </w:r>
          </w:p>
        </w:tc>
        <w:tc>
          <w:tcPr>
            <w:tcW w:w="664" w:type="pct"/>
            <w:tcBorders>
              <w:top w:val="nil"/>
              <w:bottom w:val="nil"/>
            </w:tcBorders>
            <w:vAlign w:val="bottom"/>
          </w:tcPr>
          <w:p w14:paraId="105E6062" w14:textId="1F2DF211" w:rsidR="0072568E" w:rsidRPr="006B3F26" w:rsidRDefault="00F0378D" w:rsidP="003F1F7C">
            <w:pPr>
              <w:tabs>
                <w:tab w:val="decimal" w:pos="743"/>
              </w:tabs>
              <w:rPr>
                <w:color w:val="auto"/>
              </w:rPr>
            </w:pPr>
            <w:r>
              <w:rPr>
                <w:color w:val="auto"/>
              </w:rPr>
              <w:t>0.5</w:t>
            </w:r>
          </w:p>
        </w:tc>
        <w:tc>
          <w:tcPr>
            <w:tcW w:w="664" w:type="pct"/>
            <w:tcBorders>
              <w:top w:val="nil"/>
              <w:bottom w:val="nil"/>
            </w:tcBorders>
            <w:shd w:val="clear" w:color="auto" w:fill="auto"/>
            <w:vAlign w:val="bottom"/>
          </w:tcPr>
          <w:p w14:paraId="0FA4476D" w14:textId="77777777" w:rsidR="0072568E" w:rsidRPr="006B3F26" w:rsidRDefault="00426385" w:rsidP="003F1F7C">
            <w:pPr>
              <w:tabs>
                <w:tab w:val="decimal" w:pos="742"/>
              </w:tabs>
              <w:rPr>
                <w:color w:val="auto"/>
              </w:rPr>
            </w:pPr>
            <w:r w:rsidRPr="006B3F26">
              <w:rPr>
                <w:color w:val="auto"/>
              </w:rPr>
              <w:t>-</w:t>
            </w:r>
          </w:p>
        </w:tc>
        <w:tc>
          <w:tcPr>
            <w:tcW w:w="700" w:type="pct"/>
            <w:tcBorders>
              <w:top w:val="nil"/>
              <w:bottom w:val="nil"/>
            </w:tcBorders>
            <w:shd w:val="clear" w:color="auto" w:fill="auto"/>
            <w:vAlign w:val="bottom"/>
          </w:tcPr>
          <w:p w14:paraId="2C54E070" w14:textId="77777777" w:rsidR="0072568E" w:rsidRPr="006B3F26" w:rsidRDefault="0072568E" w:rsidP="003F1F7C">
            <w:pPr>
              <w:tabs>
                <w:tab w:val="decimal" w:pos="742"/>
              </w:tabs>
              <w:rPr>
                <w:color w:val="auto"/>
              </w:rPr>
            </w:pPr>
            <w:r w:rsidRPr="006B3F26">
              <w:rPr>
                <w:color w:val="auto"/>
              </w:rPr>
              <w:t>-</w:t>
            </w:r>
          </w:p>
        </w:tc>
      </w:tr>
      <w:tr w:rsidR="0072568E" w:rsidRPr="006B3F26" w14:paraId="233E347B" w14:textId="77777777" w:rsidTr="0072568E">
        <w:trPr>
          <w:trHeight w:val="369"/>
        </w:trPr>
        <w:tc>
          <w:tcPr>
            <w:tcW w:w="2308" w:type="pct"/>
            <w:tcBorders>
              <w:top w:val="nil"/>
            </w:tcBorders>
            <w:shd w:val="clear" w:color="auto" w:fill="auto"/>
            <w:vAlign w:val="bottom"/>
          </w:tcPr>
          <w:p w14:paraId="719056C0" w14:textId="77777777" w:rsidR="0072568E" w:rsidRPr="006B3F26" w:rsidRDefault="0072568E" w:rsidP="003F1F7C">
            <w:pPr>
              <w:jc w:val="left"/>
              <w:rPr>
                <w:color w:val="auto"/>
              </w:rPr>
            </w:pPr>
            <w:r w:rsidRPr="006B3F26">
              <w:rPr>
                <w:color w:val="auto"/>
              </w:rPr>
              <w:t>Past service cost</w:t>
            </w:r>
          </w:p>
        </w:tc>
        <w:tc>
          <w:tcPr>
            <w:tcW w:w="664" w:type="pct"/>
            <w:tcBorders>
              <w:top w:val="nil"/>
              <w:bottom w:val="nil"/>
            </w:tcBorders>
            <w:vAlign w:val="bottom"/>
          </w:tcPr>
          <w:p w14:paraId="495CE96D" w14:textId="30A9CD0E" w:rsidR="0072568E" w:rsidRPr="006B3F26" w:rsidRDefault="00F0378D" w:rsidP="003F1F7C">
            <w:pPr>
              <w:tabs>
                <w:tab w:val="decimal" w:pos="743"/>
              </w:tabs>
              <w:rPr>
                <w:color w:val="auto"/>
              </w:rPr>
            </w:pPr>
            <w:r>
              <w:rPr>
                <w:color w:val="auto"/>
              </w:rPr>
              <w:t>(</w:t>
            </w:r>
            <w:r w:rsidR="00F751E0" w:rsidRPr="006B3F26">
              <w:rPr>
                <w:color w:val="auto"/>
              </w:rPr>
              <w:t>0.1</w:t>
            </w:r>
            <w:r>
              <w:rPr>
                <w:color w:val="auto"/>
              </w:rPr>
              <w:t>)</w:t>
            </w:r>
          </w:p>
        </w:tc>
        <w:tc>
          <w:tcPr>
            <w:tcW w:w="664" w:type="pct"/>
            <w:tcBorders>
              <w:top w:val="nil"/>
              <w:bottom w:val="nil"/>
            </w:tcBorders>
            <w:vAlign w:val="bottom"/>
          </w:tcPr>
          <w:p w14:paraId="0C73E72C" w14:textId="281EE3D9" w:rsidR="0072568E" w:rsidRPr="006B3F26" w:rsidRDefault="00F0378D" w:rsidP="003F1F7C">
            <w:pPr>
              <w:tabs>
                <w:tab w:val="decimal" w:pos="743"/>
              </w:tabs>
              <w:rPr>
                <w:color w:val="auto"/>
              </w:rPr>
            </w:pPr>
            <w:r>
              <w:rPr>
                <w:color w:val="auto"/>
              </w:rPr>
              <w:t>(</w:t>
            </w:r>
            <w:r w:rsidR="0072568E" w:rsidRPr="006B3F26">
              <w:rPr>
                <w:color w:val="auto"/>
              </w:rPr>
              <w:t>0.2</w:t>
            </w:r>
            <w:r>
              <w:rPr>
                <w:color w:val="auto"/>
              </w:rPr>
              <w:t>)</w:t>
            </w:r>
          </w:p>
        </w:tc>
        <w:tc>
          <w:tcPr>
            <w:tcW w:w="664" w:type="pct"/>
            <w:tcBorders>
              <w:top w:val="nil"/>
              <w:bottom w:val="nil"/>
            </w:tcBorders>
            <w:shd w:val="clear" w:color="auto" w:fill="auto"/>
            <w:vAlign w:val="bottom"/>
          </w:tcPr>
          <w:p w14:paraId="55783E07" w14:textId="77777777" w:rsidR="0072568E" w:rsidRPr="006B3F26" w:rsidRDefault="0072568E" w:rsidP="003F1F7C">
            <w:pPr>
              <w:tabs>
                <w:tab w:val="decimal" w:pos="742"/>
              </w:tabs>
              <w:rPr>
                <w:color w:val="auto"/>
              </w:rPr>
            </w:pPr>
            <w:r w:rsidRPr="006B3F26">
              <w:rPr>
                <w:color w:val="auto"/>
              </w:rPr>
              <w:t>-</w:t>
            </w:r>
          </w:p>
        </w:tc>
        <w:tc>
          <w:tcPr>
            <w:tcW w:w="700" w:type="pct"/>
            <w:tcBorders>
              <w:top w:val="nil"/>
              <w:bottom w:val="nil"/>
            </w:tcBorders>
            <w:shd w:val="clear" w:color="auto" w:fill="auto"/>
            <w:vAlign w:val="bottom"/>
          </w:tcPr>
          <w:p w14:paraId="00F0717B" w14:textId="77777777" w:rsidR="0072568E" w:rsidRPr="006B3F26" w:rsidRDefault="00426385" w:rsidP="003F1F7C">
            <w:pPr>
              <w:tabs>
                <w:tab w:val="decimal" w:pos="742"/>
              </w:tabs>
              <w:rPr>
                <w:color w:val="auto"/>
              </w:rPr>
            </w:pPr>
            <w:r w:rsidRPr="006B3F26">
              <w:rPr>
                <w:color w:val="auto"/>
              </w:rPr>
              <w:t>-</w:t>
            </w:r>
          </w:p>
        </w:tc>
      </w:tr>
      <w:tr w:rsidR="0072568E" w:rsidRPr="006B3F26" w14:paraId="11200032" w14:textId="77777777" w:rsidTr="0072568E">
        <w:trPr>
          <w:trHeight w:val="369"/>
        </w:trPr>
        <w:tc>
          <w:tcPr>
            <w:tcW w:w="2308" w:type="pct"/>
            <w:shd w:val="clear" w:color="auto" w:fill="auto"/>
            <w:vAlign w:val="bottom"/>
          </w:tcPr>
          <w:p w14:paraId="24702063" w14:textId="1D477621" w:rsidR="0072568E" w:rsidRPr="006B3F26" w:rsidRDefault="0072568E" w:rsidP="004C720D">
            <w:pPr>
              <w:jc w:val="left"/>
              <w:rPr>
                <w:color w:val="auto"/>
                <w:u w:val="single"/>
              </w:rPr>
            </w:pPr>
            <w:r w:rsidRPr="006B3F26">
              <w:rPr>
                <w:color w:val="auto"/>
                <w:u w:val="single"/>
              </w:rPr>
              <w:t>Re</w:t>
            </w:r>
            <w:r w:rsidR="00FC11A1">
              <w:rPr>
                <w:color w:val="auto"/>
                <w:u w:val="single"/>
              </w:rPr>
              <w:t>-</w:t>
            </w:r>
            <w:r w:rsidRPr="006B3F26">
              <w:rPr>
                <w:color w:val="auto"/>
                <w:u w:val="single"/>
              </w:rPr>
              <w:t xml:space="preserve">measurement gains and </w:t>
            </w:r>
            <w:r w:rsidR="004C720D">
              <w:rPr>
                <w:color w:val="auto"/>
                <w:u w:val="single"/>
              </w:rPr>
              <w:t>(</w:t>
            </w:r>
            <w:r w:rsidRPr="006B3F26">
              <w:rPr>
                <w:color w:val="auto"/>
                <w:u w:val="single"/>
              </w:rPr>
              <w:t>losses</w:t>
            </w:r>
            <w:r w:rsidR="004C720D">
              <w:rPr>
                <w:color w:val="auto"/>
                <w:u w:val="single"/>
              </w:rPr>
              <w:t>)</w:t>
            </w:r>
          </w:p>
        </w:tc>
        <w:tc>
          <w:tcPr>
            <w:tcW w:w="664" w:type="pct"/>
            <w:tcBorders>
              <w:top w:val="nil"/>
              <w:bottom w:val="nil"/>
            </w:tcBorders>
            <w:vAlign w:val="bottom"/>
          </w:tcPr>
          <w:p w14:paraId="7C9742CD" w14:textId="77777777" w:rsidR="0072568E" w:rsidRPr="006B3F26" w:rsidRDefault="0072568E" w:rsidP="003F1F7C">
            <w:pPr>
              <w:tabs>
                <w:tab w:val="decimal" w:pos="743"/>
              </w:tabs>
              <w:rPr>
                <w:color w:val="auto"/>
              </w:rPr>
            </w:pPr>
          </w:p>
        </w:tc>
        <w:tc>
          <w:tcPr>
            <w:tcW w:w="664" w:type="pct"/>
            <w:tcBorders>
              <w:top w:val="nil"/>
              <w:bottom w:val="nil"/>
            </w:tcBorders>
            <w:vAlign w:val="bottom"/>
          </w:tcPr>
          <w:p w14:paraId="51EAA9F2" w14:textId="77777777" w:rsidR="0072568E" w:rsidRPr="006B3F26" w:rsidRDefault="0072568E" w:rsidP="003F1F7C">
            <w:pPr>
              <w:tabs>
                <w:tab w:val="decimal" w:pos="743"/>
              </w:tabs>
              <w:rPr>
                <w:color w:val="auto"/>
              </w:rPr>
            </w:pPr>
          </w:p>
        </w:tc>
        <w:tc>
          <w:tcPr>
            <w:tcW w:w="664" w:type="pct"/>
            <w:tcBorders>
              <w:top w:val="nil"/>
              <w:bottom w:val="nil"/>
            </w:tcBorders>
            <w:shd w:val="clear" w:color="auto" w:fill="auto"/>
            <w:vAlign w:val="bottom"/>
          </w:tcPr>
          <w:p w14:paraId="328687B3" w14:textId="77777777" w:rsidR="0072568E" w:rsidRPr="006B3F26" w:rsidRDefault="0072568E" w:rsidP="003F1F7C">
            <w:pPr>
              <w:tabs>
                <w:tab w:val="decimal" w:pos="742"/>
              </w:tabs>
              <w:rPr>
                <w:color w:val="auto"/>
              </w:rPr>
            </w:pPr>
          </w:p>
        </w:tc>
        <w:tc>
          <w:tcPr>
            <w:tcW w:w="700" w:type="pct"/>
            <w:tcBorders>
              <w:top w:val="nil"/>
              <w:bottom w:val="nil"/>
            </w:tcBorders>
            <w:shd w:val="clear" w:color="auto" w:fill="auto"/>
            <w:vAlign w:val="bottom"/>
          </w:tcPr>
          <w:p w14:paraId="6E10AF3F" w14:textId="77777777" w:rsidR="0072568E" w:rsidRPr="006B3F26" w:rsidRDefault="0072568E" w:rsidP="003F1F7C">
            <w:pPr>
              <w:tabs>
                <w:tab w:val="decimal" w:pos="742"/>
              </w:tabs>
              <w:rPr>
                <w:color w:val="auto"/>
              </w:rPr>
            </w:pPr>
          </w:p>
        </w:tc>
      </w:tr>
      <w:tr w:rsidR="0072568E" w:rsidRPr="006B3F26" w14:paraId="1768595E" w14:textId="77777777" w:rsidTr="003F1F7C">
        <w:trPr>
          <w:trHeight w:val="369"/>
        </w:trPr>
        <w:tc>
          <w:tcPr>
            <w:tcW w:w="2308" w:type="pct"/>
            <w:shd w:val="clear" w:color="auto" w:fill="auto"/>
            <w:vAlign w:val="bottom"/>
          </w:tcPr>
          <w:p w14:paraId="13B43ED5" w14:textId="5D13464A" w:rsidR="0072568E" w:rsidRPr="006B3F26" w:rsidRDefault="0072568E" w:rsidP="004C720D">
            <w:pPr>
              <w:jc w:val="left"/>
              <w:rPr>
                <w:color w:val="auto"/>
              </w:rPr>
            </w:pPr>
            <w:r w:rsidRPr="006B3F26">
              <w:rPr>
                <w:color w:val="auto"/>
              </w:rPr>
              <w:t>Experience gains/</w:t>
            </w:r>
            <w:r w:rsidR="004C720D">
              <w:rPr>
                <w:color w:val="auto"/>
              </w:rPr>
              <w:t>(</w:t>
            </w:r>
            <w:r w:rsidRPr="006B3F26">
              <w:rPr>
                <w:color w:val="auto"/>
              </w:rPr>
              <w:t>losses</w:t>
            </w:r>
            <w:r w:rsidR="004C720D">
              <w:rPr>
                <w:color w:val="auto"/>
              </w:rPr>
              <w:t>)</w:t>
            </w:r>
            <w:r w:rsidRPr="006B3F26">
              <w:rPr>
                <w:color w:val="auto"/>
              </w:rPr>
              <w:t xml:space="preserve"> on liabilities</w:t>
            </w:r>
          </w:p>
        </w:tc>
        <w:tc>
          <w:tcPr>
            <w:tcW w:w="664" w:type="pct"/>
            <w:tcBorders>
              <w:top w:val="nil"/>
              <w:bottom w:val="nil"/>
            </w:tcBorders>
            <w:vAlign w:val="bottom"/>
          </w:tcPr>
          <w:p w14:paraId="04DB1B7E" w14:textId="77777777" w:rsidR="0072568E" w:rsidRPr="006B3F26" w:rsidRDefault="0072568E" w:rsidP="003F1F7C">
            <w:pPr>
              <w:tabs>
                <w:tab w:val="decimal" w:pos="743"/>
              </w:tabs>
              <w:rPr>
                <w:color w:val="auto"/>
              </w:rPr>
            </w:pPr>
            <w:r w:rsidRPr="006B3F26">
              <w:rPr>
                <w:color w:val="auto"/>
              </w:rPr>
              <w:t>-</w:t>
            </w:r>
          </w:p>
        </w:tc>
        <w:tc>
          <w:tcPr>
            <w:tcW w:w="664" w:type="pct"/>
            <w:tcBorders>
              <w:top w:val="nil"/>
              <w:bottom w:val="nil"/>
            </w:tcBorders>
            <w:vAlign w:val="bottom"/>
          </w:tcPr>
          <w:p w14:paraId="64BA6765" w14:textId="5C373529" w:rsidR="0072568E" w:rsidRPr="006B3F26" w:rsidRDefault="0072568E" w:rsidP="00F0378D">
            <w:pPr>
              <w:tabs>
                <w:tab w:val="decimal" w:pos="743"/>
              </w:tabs>
              <w:rPr>
                <w:color w:val="auto"/>
              </w:rPr>
            </w:pPr>
            <w:r w:rsidRPr="006B3F26">
              <w:rPr>
                <w:color w:val="auto"/>
              </w:rPr>
              <w:t>45.5</w:t>
            </w:r>
          </w:p>
        </w:tc>
        <w:tc>
          <w:tcPr>
            <w:tcW w:w="664" w:type="pct"/>
            <w:tcBorders>
              <w:top w:val="nil"/>
              <w:bottom w:val="nil"/>
            </w:tcBorders>
            <w:shd w:val="clear" w:color="auto" w:fill="auto"/>
            <w:vAlign w:val="bottom"/>
          </w:tcPr>
          <w:p w14:paraId="5E1D777D" w14:textId="77777777" w:rsidR="0072568E" w:rsidRPr="006B3F26" w:rsidRDefault="0072568E" w:rsidP="003F1F7C">
            <w:pPr>
              <w:tabs>
                <w:tab w:val="decimal" w:pos="742"/>
              </w:tabs>
              <w:rPr>
                <w:color w:val="auto"/>
              </w:rPr>
            </w:pPr>
            <w:r w:rsidRPr="006B3F26">
              <w:rPr>
                <w:color w:val="auto"/>
              </w:rPr>
              <w:t>-</w:t>
            </w:r>
          </w:p>
        </w:tc>
        <w:tc>
          <w:tcPr>
            <w:tcW w:w="700" w:type="pct"/>
            <w:tcBorders>
              <w:top w:val="nil"/>
              <w:bottom w:val="nil"/>
            </w:tcBorders>
            <w:shd w:val="clear" w:color="auto" w:fill="auto"/>
            <w:vAlign w:val="bottom"/>
          </w:tcPr>
          <w:p w14:paraId="2B7DE289" w14:textId="7C0569DF" w:rsidR="0072568E" w:rsidRPr="006B3F26" w:rsidRDefault="00F0378D" w:rsidP="003F1F7C">
            <w:pPr>
              <w:tabs>
                <w:tab w:val="decimal" w:pos="742"/>
              </w:tabs>
              <w:rPr>
                <w:color w:val="auto"/>
              </w:rPr>
            </w:pPr>
            <w:r>
              <w:rPr>
                <w:color w:val="auto"/>
              </w:rPr>
              <w:t>(</w:t>
            </w:r>
            <w:r w:rsidR="00426385" w:rsidRPr="006B3F26">
              <w:rPr>
                <w:color w:val="auto"/>
              </w:rPr>
              <w:t>1.2</w:t>
            </w:r>
            <w:r>
              <w:rPr>
                <w:color w:val="auto"/>
              </w:rPr>
              <w:t>)</w:t>
            </w:r>
          </w:p>
        </w:tc>
      </w:tr>
      <w:tr w:rsidR="0072568E" w:rsidRPr="006B3F26" w14:paraId="2976D3E5" w14:textId="77777777" w:rsidTr="003F1F7C">
        <w:trPr>
          <w:trHeight w:val="369"/>
        </w:trPr>
        <w:tc>
          <w:tcPr>
            <w:tcW w:w="2308" w:type="pct"/>
            <w:shd w:val="clear" w:color="auto" w:fill="auto"/>
            <w:vAlign w:val="bottom"/>
          </w:tcPr>
          <w:p w14:paraId="19393C73" w14:textId="0DDF7C1E" w:rsidR="0072568E" w:rsidRPr="006B3F26" w:rsidRDefault="0072568E" w:rsidP="004C720D">
            <w:pPr>
              <w:jc w:val="left"/>
              <w:rPr>
                <w:color w:val="auto"/>
              </w:rPr>
            </w:pPr>
            <w:r w:rsidRPr="001456E0">
              <w:rPr>
                <w:color w:val="auto"/>
              </w:rPr>
              <w:t>Actuarial</w:t>
            </w:r>
            <w:r w:rsidRPr="006B3F26">
              <w:rPr>
                <w:color w:val="auto"/>
              </w:rPr>
              <w:t xml:space="preserve"> gains/</w:t>
            </w:r>
            <w:r w:rsidR="004C720D">
              <w:rPr>
                <w:color w:val="auto"/>
              </w:rPr>
              <w:t>(</w:t>
            </w:r>
            <w:r w:rsidRPr="006B3F26">
              <w:rPr>
                <w:color w:val="auto"/>
              </w:rPr>
              <w:t>losses</w:t>
            </w:r>
            <w:r w:rsidR="004C720D">
              <w:rPr>
                <w:color w:val="auto"/>
              </w:rPr>
              <w:t>)</w:t>
            </w:r>
            <w:r w:rsidRPr="006B3F26">
              <w:rPr>
                <w:color w:val="auto"/>
              </w:rPr>
              <w:t xml:space="preserve"> arising from changes in financial assumptions</w:t>
            </w:r>
          </w:p>
        </w:tc>
        <w:tc>
          <w:tcPr>
            <w:tcW w:w="664" w:type="pct"/>
            <w:tcBorders>
              <w:top w:val="nil"/>
              <w:bottom w:val="nil"/>
            </w:tcBorders>
            <w:vAlign w:val="bottom"/>
          </w:tcPr>
          <w:p w14:paraId="43D0BE53" w14:textId="15E5D0BA" w:rsidR="0072568E" w:rsidRPr="006B3F26" w:rsidRDefault="00F0378D" w:rsidP="003F1F7C">
            <w:pPr>
              <w:tabs>
                <w:tab w:val="decimal" w:pos="743"/>
              </w:tabs>
              <w:rPr>
                <w:color w:val="auto"/>
              </w:rPr>
            </w:pPr>
            <w:r>
              <w:rPr>
                <w:color w:val="auto"/>
              </w:rPr>
              <w:t>(</w:t>
            </w:r>
            <w:r w:rsidR="00F751E0" w:rsidRPr="006B3F26">
              <w:rPr>
                <w:color w:val="auto"/>
              </w:rPr>
              <w:t>463.8</w:t>
            </w:r>
            <w:r>
              <w:rPr>
                <w:color w:val="auto"/>
              </w:rPr>
              <w:t>)</w:t>
            </w:r>
          </w:p>
        </w:tc>
        <w:tc>
          <w:tcPr>
            <w:tcW w:w="664" w:type="pct"/>
            <w:tcBorders>
              <w:top w:val="nil"/>
              <w:bottom w:val="nil"/>
            </w:tcBorders>
            <w:vAlign w:val="bottom"/>
          </w:tcPr>
          <w:p w14:paraId="3A2258FC" w14:textId="0EB4A5F6" w:rsidR="0072568E" w:rsidRPr="006B3F26" w:rsidRDefault="0072568E" w:rsidP="00F0378D">
            <w:pPr>
              <w:tabs>
                <w:tab w:val="decimal" w:pos="743"/>
              </w:tabs>
              <w:rPr>
                <w:color w:val="auto"/>
              </w:rPr>
            </w:pPr>
            <w:r w:rsidRPr="006B3F26">
              <w:rPr>
                <w:color w:val="auto"/>
              </w:rPr>
              <w:t>232.8</w:t>
            </w:r>
          </w:p>
        </w:tc>
        <w:tc>
          <w:tcPr>
            <w:tcW w:w="664" w:type="pct"/>
            <w:tcBorders>
              <w:top w:val="nil"/>
              <w:bottom w:val="nil"/>
            </w:tcBorders>
            <w:shd w:val="clear" w:color="auto" w:fill="auto"/>
            <w:vAlign w:val="bottom"/>
          </w:tcPr>
          <w:p w14:paraId="52BC856D" w14:textId="5B8E54A4" w:rsidR="0072568E" w:rsidRPr="006B3F26" w:rsidRDefault="00F0378D" w:rsidP="003F1F7C">
            <w:pPr>
              <w:tabs>
                <w:tab w:val="decimal" w:pos="742"/>
              </w:tabs>
              <w:rPr>
                <w:color w:val="auto"/>
              </w:rPr>
            </w:pPr>
            <w:r>
              <w:rPr>
                <w:color w:val="auto"/>
              </w:rPr>
              <w:t>(</w:t>
            </w:r>
            <w:r w:rsidR="00F54DB1" w:rsidRPr="006B3F26">
              <w:rPr>
                <w:color w:val="auto"/>
              </w:rPr>
              <w:t>10.4</w:t>
            </w:r>
            <w:r>
              <w:rPr>
                <w:color w:val="auto"/>
              </w:rPr>
              <w:t>)</w:t>
            </w:r>
          </w:p>
        </w:tc>
        <w:tc>
          <w:tcPr>
            <w:tcW w:w="700" w:type="pct"/>
            <w:tcBorders>
              <w:top w:val="nil"/>
              <w:bottom w:val="nil"/>
            </w:tcBorders>
            <w:shd w:val="clear" w:color="auto" w:fill="auto"/>
            <w:vAlign w:val="bottom"/>
          </w:tcPr>
          <w:p w14:paraId="2557842F" w14:textId="780A6CC9" w:rsidR="0072568E" w:rsidRPr="006B3F26" w:rsidRDefault="00F0378D" w:rsidP="003F1F7C">
            <w:pPr>
              <w:tabs>
                <w:tab w:val="decimal" w:pos="742"/>
              </w:tabs>
              <w:rPr>
                <w:color w:val="auto"/>
              </w:rPr>
            </w:pPr>
            <w:r>
              <w:rPr>
                <w:color w:val="auto"/>
              </w:rPr>
              <w:t>7.9</w:t>
            </w:r>
          </w:p>
        </w:tc>
      </w:tr>
      <w:tr w:rsidR="0072568E" w:rsidRPr="006B3F26" w14:paraId="3BD00CC0" w14:textId="77777777" w:rsidTr="003F1F7C">
        <w:trPr>
          <w:trHeight w:val="369"/>
        </w:trPr>
        <w:tc>
          <w:tcPr>
            <w:tcW w:w="2308" w:type="pct"/>
            <w:shd w:val="clear" w:color="auto" w:fill="auto"/>
            <w:vAlign w:val="bottom"/>
          </w:tcPr>
          <w:p w14:paraId="4EABC358" w14:textId="65B66FF1" w:rsidR="0072568E" w:rsidRPr="001456E0" w:rsidRDefault="0072568E" w:rsidP="004C720D">
            <w:pPr>
              <w:jc w:val="left"/>
              <w:rPr>
                <w:color w:val="auto"/>
              </w:rPr>
            </w:pPr>
            <w:r w:rsidRPr="001456E0">
              <w:rPr>
                <w:color w:val="auto"/>
              </w:rPr>
              <w:t>Actuarial gains/</w:t>
            </w:r>
            <w:r w:rsidR="004C720D">
              <w:rPr>
                <w:color w:val="auto"/>
              </w:rPr>
              <w:t>(</w:t>
            </w:r>
            <w:r w:rsidRPr="001456E0">
              <w:rPr>
                <w:color w:val="auto"/>
              </w:rPr>
              <w:t>losses</w:t>
            </w:r>
            <w:r w:rsidR="004C720D">
              <w:rPr>
                <w:color w:val="auto"/>
              </w:rPr>
              <w:t>)</w:t>
            </w:r>
            <w:r w:rsidRPr="001456E0">
              <w:rPr>
                <w:color w:val="auto"/>
              </w:rPr>
              <w:t xml:space="preserve"> arising from changes in demographic assumptions</w:t>
            </w:r>
          </w:p>
        </w:tc>
        <w:tc>
          <w:tcPr>
            <w:tcW w:w="664" w:type="pct"/>
            <w:tcBorders>
              <w:top w:val="nil"/>
              <w:bottom w:val="nil"/>
            </w:tcBorders>
            <w:vAlign w:val="bottom"/>
          </w:tcPr>
          <w:p w14:paraId="2E71E7ED" w14:textId="77777777" w:rsidR="0072568E" w:rsidRPr="006B3F26" w:rsidRDefault="0072568E" w:rsidP="003F1F7C">
            <w:pPr>
              <w:tabs>
                <w:tab w:val="decimal" w:pos="743"/>
              </w:tabs>
              <w:rPr>
                <w:color w:val="auto"/>
              </w:rPr>
            </w:pPr>
            <w:r w:rsidRPr="006B3F26">
              <w:rPr>
                <w:color w:val="auto"/>
              </w:rPr>
              <w:t>-</w:t>
            </w:r>
          </w:p>
        </w:tc>
        <w:tc>
          <w:tcPr>
            <w:tcW w:w="664" w:type="pct"/>
            <w:tcBorders>
              <w:top w:val="nil"/>
              <w:bottom w:val="nil"/>
            </w:tcBorders>
            <w:vAlign w:val="bottom"/>
          </w:tcPr>
          <w:p w14:paraId="62DB4A95" w14:textId="6727814F" w:rsidR="0072568E" w:rsidRPr="006B3F26" w:rsidRDefault="00F0378D" w:rsidP="003F1F7C">
            <w:pPr>
              <w:tabs>
                <w:tab w:val="decimal" w:pos="743"/>
              </w:tabs>
              <w:rPr>
                <w:color w:val="auto"/>
              </w:rPr>
            </w:pPr>
            <w:r>
              <w:rPr>
                <w:color w:val="auto"/>
              </w:rPr>
              <w:t>(</w:t>
            </w:r>
            <w:r w:rsidR="0072568E" w:rsidRPr="006B3F26">
              <w:rPr>
                <w:color w:val="auto"/>
              </w:rPr>
              <w:t>13.1</w:t>
            </w:r>
            <w:r>
              <w:rPr>
                <w:color w:val="auto"/>
              </w:rPr>
              <w:t>)</w:t>
            </w:r>
          </w:p>
        </w:tc>
        <w:tc>
          <w:tcPr>
            <w:tcW w:w="664" w:type="pct"/>
            <w:tcBorders>
              <w:top w:val="nil"/>
              <w:bottom w:val="nil"/>
            </w:tcBorders>
            <w:shd w:val="clear" w:color="auto" w:fill="auto"/>
            <w:vAlign w:val="bottom"/>
          </w:tcPr>
          <w:p w14:paraId="11C92E04" w14:textId="77777777" w:rsidR="0072568E" w:rsidRPr="006B3F26" w:rsidRDefault="0072568E" w:rsidP="003F1F7C">
            <w:pPr>
              <w:tabs>
                <w:tab w:val="decimal" w:pos="742"/>
              </w:tabs>
              <w:rPr>
                <w:color w:val="auto"/>
              </w:rPr>
            </w:pPr>
            <w:r w:rsidRPr="006B3F26">
              <w:rPr>
                <w:color w:val="auto"/>
              </w:rPr>
              <w:t>-</w:t>
            </w:r>
          </w:p>
        </w:tc>
        <w:tc>
          <w:tcPr>
            <w:tcW w:w="700" w:type="pct"/>
            <w:tcBorders>
              <w:top w:val="nil"/>
              <w:bottom w:val="nil"/>
            </w:tcBorders>
            <w:shd w:val="clear" w:color="auto" w:fill="auto"/>
            <w:vAlign w:val="bottom"/>
          </w:tcPr>
          <w:p w14:paraId="6DF71AE7" w14:textId="09741F84" w:rsidR="0072568E" w:rsidRPr="006B3F26" w:rsidRDefault="00F0378D" w:rsidP="003F1F7C">
            <w:pPr>
              <w:tabs>
                <w:tab w:val="decimal" w:pos="742"/>
              </w:tabs>
              <w:rPr>
                <w:color w:val="auto"/>
              </w:rPr>
            </w:pPr>
            <w:r>
              <w:rPr>
                <w:color w:val="auto"/>
              </w:rPr>
              <w:t>(</w:t>
            </w:r>
            <w:r w:rsidR="00426385" w:rsidRPr="006B3F26">
              <w:rPr>
                <w:color w:val="auto"/>
              </w:rPr>
              <w:t>2.6</w:t>
            </w:r>
            <w:r>
              <w:rPr>
                <w:color w:val="auto"/>
              </w:rPr>
              <w:t>)</w:t>
            </w:r>
          </w:p>
        </w:tc>
      </w:tr>
      <w:tr w:rsidR="0072568E" w:rsidRPr="0072568E" w14:paraId="127F8A23" w14:textId="77777777" w:rsidTr="003F1F7C">
        <w:trPr>
          <w:trHeight w:val="369"/>
        </w:trPr>
        <w:tc>
          <w:tcPr>
            <w:tcW w:w="2308" w:type="pct"/>
            <w:shd w:val="clear" w:color="auto" w:fill="auto"/>
            <w:vAlign w:val="bottom"/>
          </w:tcPr>
          <w:p w14:paraId="3785ECE7" w14:textId="5F725E02" w:rsidR="0072568E" w:rsidRPr="006B3F26" w:rsidRDefault="0072568E" w:rsidP="003F1F7C">
            <w:pPr>
              <w:jc w:val="left"/>
              <w:rPr>
                <w:b/>
                <w:color w:val="auto"/>
              </w:rPr>
            </w:pPr>
            <w:r w:rsidRPr="006B3F26">
              <w:rPr>
                <w:b/>
                <w:color w:val="auto"/>
              </w:rPr>
              <w:t xml:space="preserve">Closing balance </w:t>
            </w:r>
            <w:r w:rsidR="00EC0F93">
              <w:rPr>
                <w:b/>
                <w:color w:val="auto"/>
              </w:rPr>
              <w:t xml:space="preserve">as </w:t>
            </w:r>
            <w:r w:rsidRPr="006B3F26">
              <w:rPr>
                <w:b/>
                <w:color w:val="auto"/>
              </w:rPr>
              <w:t>at 31 March</w:t>
            </w:r>
          </w:p>
        </w:tc>
        <w:tc>
          <w:tcPr>
            <w:tcW w:w="664" w:type="pct"/>
            <w:tcBorders>
              <w:top w:val="nil"/>
              <w:bottom w:val="single" w:sz="4" w:space="0" w:color="auto"/>
            </w:tcBorders>
            <w:vAlign w:val="bottom"/>
          </w:tcPr>
          <w:p w14:paraId="27DE3AE1" w14:textId="128B78FF" w:rsidR="0072568E" w:rsidRPr="006B3F26" w:rsidRDefault="00F0378D" w:rsidP="003F1F7C">
            <w:pPr>
              <w:tabs>
                <w:tab w:val="decimal" w:pos="743"/>
              </w:tabs>
              <w:rPr>
                <w:b/>
                <w:color w:val="auto"/>
              </w:rPr>
            </w:pPr>
            <w:r>
              <w:rPr>
                <w:b/>
                <w:color w:val="auto"/>
              </w:rPr>
              <w:t>(</w:t>
            </w:r>
            <w:r w:rsidR="00F751E0" w:rsidRPr="006B3F26">
              <w:rPr>
                <w:b/>
                <w:color w:val="auto"/>
              </w:rPr>
              <w:t>3,446.4</w:t>
            </w:r>
            <w:r>
              <w:rPr>
                <w:b/>
                <w:color w:val="auto"/>
              </w:rPr>
              <w:t>)</w:t>
            </w:r>
          </w:p>
        </w:tc>
        <w:tc>
          <w:tcPr>
            <w:tcW w:w="664" w:type="pct"/>
            <w:tcBorders>
              <w:top w:val="nil"/>
              <w:bottom w:val="single" w:sz="4" w:space="0" w:color="auto"/>
            </w:tcBorders>
            <w:vAlign w:val="bottom"/>
          </w:tcPr>
          <w:p w14:paraId="13857EDE" w14:textId="19966D85" w:rsidR="0072568E" w:rsidRPr="006B3F26" w:rsidRDefault="00F0378D" w:rsidP="003F1F7C">
            <w:pPr>
              <w:tabs>
                <w:tab w:val="decimal" w:pos="743"/>
              </w:tabs>
              <w:rPr>
                <w:b/>
                <w:color w:val="auto"/>
              </w:rPr>
            </w:pPr>
            <w:r>
              <w:rPr>
                <w:b/>
                <w:color w:val="auto"/>
              </w:rPr>
              <w:t>(</w:t>
            </w:r>
            <w:r w:rsidR="0072568E" w:rsidRPr="006B3F26">
              <w:rPr>
                <w:b/>
                <w:color w:val="auto"/>
              </w:rPr>
              <w:t>2,858.0</w:t>
            </w:r>
            <w:r>
              <w:rPr>
                <w:b/>
                <w:color w:val="auto"/>
              </w:rPr>
              <w:t>)</w:t>
            </w:r>
          </w:p>
        </w:tc>
        <w:tc>
          <w:tcPr>
            <w:tcW w:w="664" w:type="pct"/>
            <w:tcBorders>
              <w:top w:val="nil"/>
              <w:bottom w:val="single" w:sz="4" w:space="0" w:color="auto"/>
            </w:tcBorders>
            <w:shd w:val="clear" w:color="auto" w:fill="auto"/>
            <w:vAlign w:val="bottom"/>
          </w:tcPr>
          <w:p w14:paraId="0360B5D0" w14:textId="4AA7DF91" w:rsidR="0072568E" w:rsidRPr="006B3F26" w:rsidRDefault="00F0378D" w:rsidP="003F1F7C">
            <w:pPr>
              <w:tabs>
                <w:tab w:val="decimal" w:pos="742"/>
              </w:tabs>
              <w:rPr>
                <w:b/>
                <w:color w:val="auto"/>
              </w:rPr>
            </w:pPr>
            <w:r>
              <w:rPr>
                <w:b/>
                <w:color w:val="auto"/>
              </w:rPr>
              <w:t>(</w:t>
            </w:r>
            <w:r w:rsidR="006B3F26" w:rsidRPr="006B3F26">
              <w:rPr>
                <w:b/>
                <w:color w:val="auto"/>
              </w:rPr>
              <w:t>145.3</w:t>
            </w:r>
            <w:r>
              <w:rPr>
                <w:b/>
                <w:color w:val="auto"/>
              </w:rPr>
              <w:t>)</w:t>
            </w:r>
          </w:p>
        </w:tc>
        <w:tc>
          <w:tcPr>
            <w:tcW w:w="700" w:type="pct"/>
            <w:tcBorders>
              <w:top w:val="nil"/>
              <w:bottom w:val="single" w:sz="4" w:space="0" w:color="auto"/>
            </w:tcBorders>
            <w:shd w:val="clear" w:color="auto" w:fill="auto"/>
            <w:vAlign w:val="bottom"/>
          </w:tcPr>
          <w:p w14:paraId="302B91A7" w14:textId="087DE498" w:rsidR="0072568E" w:rsidRPr="0072568E" w:rsidRDefault="00F0378D" w:rsidP="003F1F7C">
            <w:pPr>
              <w:tabs>
                <w:tab w:val="decimal" w:pos="742"/>
              </w:tabs>
              <w:rPr>
                <w:b/>
                <w:color w:val="auto"/>
              </w:rPr>
            </w:pPr>
            <w:r>
              <w:rPr>
                <w:b/>
                <w:color w:val="auto"/>
              </w:rPr>
              <w:t>(</w:t>
            </w:r>
            <w:r w:rsidR="00426385" w:rsidRPr="006B3F26">
              <w:rPr>
                <w:b/>
                <w:color w:val="auto"/>
              </w:rPr>
              <w:t>140.1</w:t>
            </w:r>
            <w:r>
              <w:rPr>
                <w:b/>
                <w:color w:val="auto"/>
              </w:rPr>
              <w:t>)</w:t>
            </w:r>
          </w:p>
        </w:tc>
      </w:tr>
    </w:tbl>
    <w:p w14:paraId="15977C99" w14:textId="77777777" w:rsidR="009B53E2" w:rsidRDefault="009B53E2" w:rsidP="00433837">
      <w:pPr>
        <w:rPr>
          <w:lang w:eastAsia="en-GB"/>
        </w:rPr>
      </w:pPr>
    </w:p>
    <w:p w14:paraId="74F3DB55" w14:textId="77777777" w:rsidR="009B53E2" w:rsidRDefault="009B53E2" w:rsidP="00433837">
      <w:pPr>
        <w:rPr>
          <w:lang w:eastAsia="en-GB"/>
        </w:rPr>
      </w:pPr>
    </w:p>
    <w:p w14:paraId="4A3247E3" w14:textId="77777777" w:rsidR="009B53E2" w:rsidRDefault="009B53E2" w:rsidP="00433837">
      <w:pPr>
        <w:rPr>
          <w:lang w:eastAsia="en-GB"/>
        </w:rPr>
      </w:pPr>
    </w:p>
    <w:p w14:paraId="05FC9A9F" w14:textId="77777777" w:rsidR="009B53E2" w:rsidRDefault="009B53E2" w:rsidP="00433837">
      <w:pPr>
        <w:rPr>
          <w:lang w:eastAsia="en-GB"/>
        </w:rPr>
      </w:pPr>
    </w:p>
    <w:p w14:paraId="46C4805B" w14:textId="77777777" w:rsidR="009B53E2" w:rsidRDefault="009B53E2" w:rsidP="00433837">
      <w:pPr>
        <w:rPr>
          <w:lang w:eastAsia="en-GB"/>
        </w:rPr>
      </w:pPr>
    </w:p>
    <w:p w14:paraId="7B7CFE8B" w14:textId="77777777" w:rsidR="009B53E2" w:rsidRDefault="009B53E2" w:rsidP="00433837">
      <w:pPr>
        <w:rPr>
          <w:lang w:eastAsia="en-GB"/>
        </w:rPr>
      </w:pPr>
    </w:p>
    <w:p w14:paraId="053E1263" w14:textId="77777777" w:rsidR="009B53E2" w:rsidRDefault="009B53E2" w:rsidP="00433837">
      <w:pPr>
        <w:rPr>
          <w:lang w:eastAsia="en-GB"/>
        </w:rPr>
      </w:pPr>
    </w:p>
    <w:p w14:paraId="3954050E" w14:textId="77777777" w:rsidR="009B53E2" w:rsidRDefault="009B53E2" w:rsidP="00433837">
      <w:pPr>
        <w:rPr>
          <w:lang w:eastAsia="en-GB"/>
        </w:rPr>
      </w:pPr>
    </w:p>
    <w:p w14:paraId="6752C08D" w14:textId="77777777" w:rsidR="009B53E2" w:rsidRDefault="009B53E2" w:rsidP="00433837">
      <w:pPr>
        <w:rPr>
          <w:lang w:eastAsia="en-GB"/>
        </w:rPr>
      </w:pPr>
    </w:p>
    <w:p w14:paraId="6CB1D296" w14:textId="77777777" w:rsidR="009B53E2" w:rsidRDefault="009B53E2" w:rsidP="00433837">
      <w:pPr>
        <w:rPr>
          <w:lang w:eastAsia="en-GB"/>
        </w:rPr>
      </w:pPr>
    </w:p>
    <w:p w14:paraId="7CE8BDDF" w14:textId="77777777" w:rsidR="009B53E2" w:rsidRDefault="009B53E2" w:rsidP="00433837">
      <w:pPr>
        <w:rPr>
          <w:lang w:eastAsia="en-GB"/>
        </w:rPr>
      </w:pPr>
    </w:p>
    <w:p w14:paraId="07C91E1C" w14:textId="77777777" w:rsidR="009B53E2" w:rsidRDefault="009B53E2" w:rsidP="00433837">
      <w:pPr>
        <w:rPr>
          <w:lang w:eastAsia="en-GB"/>
        </w:rPr>
      </w:pPr>
    </w:p>
    <w:p w14:paraId="4994C2A8" w14:textId="77777777" w:rsidR="009B53E2" w:rsidRDefault="009B53E2" w:rsidP="00433837">
      <w:pPr>
        <w:rPr>
          <w:lang w:eastAsia="en-GB"/>
        </w:rPr>
      </w:pPr>
    </w:p>
    <w:p w14:paraId="7A68FF24" w14:textId="77777777" w:rsidR="00413839" w:rsidRDefault="00413839" w:rsidP="00433837">
      <w:pPr>
        <w:rPr>
          <w:lang w:eastAsia="en-GB"/>
        </w:rPr>
      </w:pPr>
    </w:p>
    <w:p w14:paraId="6AFC807E" w14:textId="77777777" w:rsidR="009B53E2" w:rsidRDefault="009B53E2" w:rsidP="00433837">
      <w:pPr>
        <w:rPr>
          <w:lang w:eastAsia="en-GB"/>
        </w:rPr>
      </w:pPr>
    </w:p>
    <w:p w14:paraId="73DA5D54" w14:textId="77777777" w:rsidR="009B53E2" w:rsidRDefault="009B53E2" w:rsidP="00433837">
      <w:pPr>
        <w:rPr>
          <w:lang w:eastAsia="en-GB"/>
        </w:rPr>
      </w:pPr>
    </w:p>
    <w:p w14:paraId="1B3B4D96" w14:textId="77777777" w:rsidR="009B53E2" w:rsidRDefault="009B53E2" w:rsidP="00433837">
      <w:pPr>
        <w:rPr>
          <w:lang w:eastAsia="en-GB"/>
        </w:rPr>
      </w:pPr>
    </w:p>
    <w:p w14:paraId="4D1C46E3" w14:textId="77777777" w:rsidR="009B53E2" w:rsidRDefault="009B53E2" w:rsidP="00433837">
      <w:pPr>
        <w:rPr>
          <w:lang w:eastAsia="en-GB"/>
        </w:rPr>
      </w:pPr>
    </w:p>
    <w:p w14:paraId="7B704039" w14:textId="77777777" w:rsidR="00426385" w:rsidRPr="00B0117D" w:rsidRDefault="00426385" w:rsidP="00433837">
      <w:pPr>
        <w:rPr>
          <w:lang w:eastAsia="en-GB"/>
        </w:rPr>
      </w:pPr>
      <w:r w:rsidRPr="00B0117D">
        <w:rPr>
          <w:lang w:eastAsia="en-GB"/>
        </w:rPr>
        <w:t>Local Government Pension Scheme assets comprised:</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426385" w:rsidRPr="00B0117D" w14:paraId="0805E4DB" w14:textId="77777777" w:rsidTr="00A06955">
        <w:trPr>
          <w:trHeight w:val="369"/>
          <w:tblHeader/>
        </w:trPr>
        <w:tc>
          <w:tcPr>
            <w:tcW w:w="3105" w:type="pct"/>
            <w:shd w:val="clear" w:color="auto" w:fill="D0CECE"/>
            <w:vAlign w:val="bottom"/>
          </w:tcPr>
          <w:p w14:paraId="1C5CCB36" w14:textId="77777777" w:rsidR="00426385" w:rsidRPr="00B0117D" w:rsidRDefault="00426385" w:rsidP="003F1F7C">
            <w:pPr>
              <w:jc w:val="left"/>
              <w:rPr>
                <w:color w:val="auto"/>
              </w:rPr>
            </w:pPr>
            <w:r w:rsidRPr="00B0117D">
              <w:rPr>
                <w:b/>
                <w:color w:val="auto"/>
              </w:rPr>
              <w:t>Fair value of scheme assets</w:t>
            </w:r>
          </w:p>
        </w:tc>
        <w:tc>
          <w:tcPr>
            <w:tcW w:w="929" w:type="pct"/>
            <w:shd w:val="clear" w:color="auto" w:fill="D0CECE"/>
            <w:vAlign w:val="bottom"/>
          </w:tcPr>
          <w:p w14:paraId="2EEC9DE0" w14:textId="77777777" w:rsidR="00426385" w:rsidRPr="00B0117D" w:rsidRDefault="00426385" w:rsidP="003F1F7C">
            <w:pPr>
              <w:jc w:val="center"/>
              <w:rPr>
                <w:b/>
                <w:color w:val="auto"/>
              </w:rPr>
            </w:pPr>
            <w:r w:rsidRPr="00B0117D">
              <w:rPr>
                <w:b/>
                <w:color w:val="auto"/>
              </w:rPr>
              <w:t>31/03/2015</w:t>
            </w:r>
          </w:p>
        </w:tc>
        <w:tc>
          <w:tcPr>
            <w:tcW w:w="966" w:type="pct"/>
            <w:shd w:val="clear" w:color="auto" w:fill="D0CECE"/>
            <w:vAlign w:val="bottom"/>
          </w:tcPr>
          <w:p w14:paraId="46716A40" w14:textId="77777777" w:rsidR="00426385" w:rsidRPr="00B0117D" w:rsidRDefault="00426385" w:rsidP="003F1F7C">
            <w:pPr>
              <w:jc w:val="center"/>
              <w:rPr>
                <w:b/>
                <w:color w:val="auto"/>
              </w:rPr>
            </w:pPr>
            <w:r w:rsidRPr="00B0117D">
              <w:rPr>
                <w:b/>
                <w:color w:val="auto"/>
              </w:rPr>
              <w:t>31/03/2014</w:t>
            </w:r>
          </w:p>
        </w:tc>
      </w:tr>
      <w:tr w:rsidR="00426385" w:rsidRPr="00B0117D" w14:paraId="3CFE2D84" w14:textId="77777777" w:rsidTr="00A06955">
        <w:trPr>
          <w:trHeight w:val="369"/>
          <w:tblHeader/>
        </w:trPr>
        <w:tc>
          <w:tcPr>
            <w:tcW w:w="3105" w:type="pct"/>
            <w:shd w:val="clear" w:color="auto" w:fill="D0CECE"/>
            <w:vAlign w:val="bottom"/>
          </w:tcPr>
          <w:p w14:paraId="65296399" w14:textId="77777777" w:rsidR="00426385" w:rsidRPr="00B0117D" w:rsidRDefault="00426385" w:rsidP="003F1F7C">
            <w:pPr>
              <w:jc w:val="left"/>
              <w:rPr>
                <w:color w:val="auto"/>
              </w:rPr>
            </w:pPr>
          </w:p>
        </w:tc>
        <w:tc>
          <w:tcPr>
            <w:tcW w:w="929" w:type="pct"/>
            <w:shd w:val="clear" w:color="auto" w:fill="D0CECE"/>
            <w:vAlign w:val="bottom"/>
          </w:tcPr>
          <w:p w14:paraId="7FDECDB4" w14:textId="77777777" w:rsidR="00426385" w:rsidRPr="00B0117D" w:rsidRDefault="00426385" w:rsidP="003F1F7C">
            <w:pPr>
              <w:jc w:val="center"/>
              <w:rPr>
                <w:b/>
                <w:color w:val="auto"/>
              </w:rPr>
            </w:pPr>
            <w:r w:rsidRPr="00B0117D">
              <w:rPr>
                <w:b/>
                <w:color w:val="auto"/>
              </w:rPr>
              <w:t>£m</w:t>
            </w:r>
          </w:p>
        </w:tc>
        <w:tc>
          <w:tcPr>
            <w:tcW w:w="966" w:type="pct"/>
            <w:shd w:val="clear" w:color="auto" w:fill="D0CECE"/>
            <w:vAlign w:val="bottom"/>
          </w:tcPr>
          <w:p w14:paraId="21866C87" w14:textId="77777777" w:rsidR="00426385" w:rsidRPr="00B0117D" w:rsidRDefault="00426385" w:rsidP="003F1F7C">
            <w:pPr>
              <w:jc w:val="center"/>
              <w:rPr>
                <w:b/>
                <w:color w:val="auto"/>
              </w:rPr>
            </w:pPr>
            <w:r w:rsidRPr="00B0117D">
              <w:rPr>
                <w:b/>
                <w:color w:val="auto"/>
              </w:rPr>
              <w:t>£m</w:t>
            </w:r>
          </w:p>
        </w:tc>
      </w:tr>
      <w:tr w:rsidR="00426385" w:rsidRPr="00B0117D" w14:paraId="43350EFC" w14:textId="77777777" w:rsidTr="003F1F7C">
        <w:trPr>
          <w:trHeight w:val="369"/>
        </w:trPr>
        <w:tc>
          <w:tcPr>
            <w:tcW w:w="3105" w:type="pct"/>
            <w:shd w:val="clear" w:color="auto" w:fill="auto"/>
            <w:vAlign w:val="bottom"/>
          </w:tcPr>
          <w:p w14:paraId="7E24FCD0" w14:textId="77777777" w:rsidR="00426385" w:rsidRPr="00B0117D" w:rsidRDefault="00426385" w:rsidP="003F1F7C">
            <w:pPr>
              <w:jc w:val="left"/>
              <w:rPr>
                <w:b/>
                <w:color w:val="auto"/>
              </w:rPr>
            </w:pPr>
            <w:r w:rsidRPr="00B0117D">
              <w:rPr>
                <w:b/>
                <w:color w:val="auto"/>
              </w:rPr>
              <w:t>Cash and cash equivalents</w:t>
            </w:r>
          </w:p>
        </w:tc>
        <w:tc>
          <w:tcPr>
            <w:tcW w:w="929" w:type="pct"/>
            <w:tcBorders>
              <w:bottom w:val="nil"/>
            </w:tcBorders>
            <w:shd w:val="clear" w:color="auto" w:fill="auto"/>
            <w:vAlign w:val="bottom"/>
          </w:tcPr>
          <w:p w14:paraId="6C03ABEC" w14:textId="77777777" w:rsidR="00426385" w:rsidRPr="00B0117D" w:rsidRDefault="008D1E21" w:rsidP="003F1F7C">
            <w:pPr>
              <w:tabs>
                <w:tab w:val="decimal" w:pos="884"/>
              </w:tabs>
              <w:rPr>
                <w:b/>
                <w:color w:val="auto"/>
              </w:rPr>
            </w:pPr>
            <w:r w:rsidRPr="00B0117D">
              <w:rPr>
                <w:b/>
                <w:color w:val="auto"/>
              </w:rPr>
              <w:t>114.0</w:t>
            </w:r>
          </w:p>
        </w:tc>
        <w:tc>
          <w:tcPr>
            <w:tcW w:w="966" w:type="pct"/>
            <w:tcBorders>
              <w:bottom w:val="nil"/>
            </w:tcBorders>
            <w:shd w:val="clear" w:color="auto" w:fill="auto"/>
            <w:vAlign w:val="bottom"/>
          </w:tcPr>
          <w:p w14:paraId="63E78062" w14:textId="77777777" w:rsidR="00426385" w:rsidRPr="00B0117D" w:rsidRDefault="00F647AE" w:rsidP="003F1F7C">
            <w:pPr>
              <w:tabs>
                <w:tab w:val="decimal" w:pos="1026"/>
              </w:tabs>
              <w:rPr>
                <w:b/>
                <w:color w:val="auto"/>
              </w:rPr>
            </w:pPr>
            <w:r w:rsidRPr="00B0117D">
              <w:rPr>
                <w:b/>
                <w:color w:val="auto"/>
              </w:rPr>
              <w:t>36.4</w:t>
            </w:r>
          </w:p>
        </w:tc>
      </w:tr>
      <w:tr w:rsidR="00426385" w:rsidRPr="00B0117D" w14:paraId="3E8BBC42" w14:textId="77777777" w:rsidTr="003F1F7C">
        <w:trPr>
          <w:trHeight w:val="369"/>
        </w:trPr>
        <w:tc>
          <w:tcPr>
            <w:tcW w:w="3105" w:type="pct"/>
            <w:shd w:val="clear" w:color="auto" w:fill="auto"/>
            <w:vAlign w:val="bottom"/>
          </w:tcPr>
          <w:p w14:paraId="658CBC27" w14:textId="77777777" w:rsidR="00426385" w:rsidRPr="00B0117D" w:rsidRDefault="00426385" w:rsidP="003F1F7C">
            <w:pPr>
              <w:jc w:val="left"/>
              <w:rPr>
                <w:color w:val="auto"/>
              </w:rPr>
            </w:pPr>
            <w:r w:rsidRPr="00B0117D">
              <w:rPr>
                <w:color w:val="auto"/>
              </w:rPr>
              <w:t>Equity instruments:</w:t>
            </w:r>
          </w:p>
        </w:tc>
        <w:tc>
          <w:tcPr>
            <w:tcW w:w="929" w:type="pct"/>
            <w:tcBorders>
              <w:bottom w:val="nil"/>
            </w:tcBorders>
            <w:shd w:val="clear" w:color="auto" w:fill="auto"/>
            <w:vAlign w:val="bottom"/>
          </w:tcPr>
          <w:p w14:paraId="631AFF81" w14:textId="77777777" w:rsidR="00426385" w:rsidRPr="00B0117D" w:rsidRDefault="00426385" w:rsidP="003F1F7C">
            <w:pPr>
              <w:tabs>
                <w:tab w:val="decimal" w:pos="884"/>
              </w:tabs>
              <w:rPr>
                <w:color w:val="auto"/>
              </w:rPr>
            </w:pPr>
          </w:p>
        </w:tc>
        <w:tc>
          <w:tcPr>
            <w:tcW w:w="966" w:type="pct"/>
            <w:tcBorders>
              <w:bottom w:val="nil"/>
            </w:tcBorders>
            <w:shd w:val="clear" w:color="auto" w:fill="auto"/>
            <w:vAlign w:val="bottom"/>
          </w:tcPr>
          <w:p w14:paraId="1DC8E1D0" w14:textId="77777777" w:rsidR="00426385" w:rsidRPr="00B0117D" w:rsidRDefault="00426385" w:rsidP="003F1F7C">
            <w:pPr>
              <w:tabs>
                <w:tab w:val="decimal" w:pos="1026"/>
              </w:tabs>
              <w:rPr>
                <w:color w:val="auto"/>
              </w:rPr>
            </w:pPr>
          </w:p>
        </w:tc>
      </w:tr>
      <w:tr w:rsidR="00426385" w:rsidRPr="00B0117D" w14:paraId="74807987" w14:textId="77777777" w:rsidTr="003F1F7C">
        <w:trPr>
          <w:trHeight w:val="369"/>
        </w:trPr>
        <w:tc>
          <w:tcPr>
            <w:tcW w:w="3105" w:type="pct"/>
            <w:shd w:val="clear" w:color="auto" w:fill="auto"/>
            <w:vAlign w:val="bottom"/>
          </w:tcPr>
          <w:p w14:paraId="11C205B3" w14:textId="77777777" w:rsidR="00426385" w:rsidRPr="00B0117D" w:rsidRDefault="00426385" w:rsidP="003F1F7C">
            <w:pPr>
              <w:jc w:val="left"/>
              <w:rPr>
                <w:color w:val="auto"/>
                <w:u w:val="single"/>
              </w:rPr>
            </w:pPr>
            <w:r w:rsidRPr="00B0117D">
              <w:rPr>
                <w:color w:val="auto"/>
                <w:u w:val="single"/>
              </w:rPr>
              <w:t>By Industry</w:t>
            </w:r>
          </w:p>
        </w:tc>
        <w:tc>
          <w:tcPr>
            <w:tcW w:w="929" w:type="pct"/>
            <w:tcBorders>
              <w:bottom w:val="nil"/>
            </w:tcBorders>
            <w:shd w:val="clear" w:color="auto" w:fill="auto"/>
            <w:vAlign w:val="bottom"/>
          </w:tcPr>
          <w:p w14:paraId="5B614FB6" w14:textId="77777777" w:rsidR="00426385" w:rsidRPr="00B0117D" w:rsidRDefault="00426385" w:rsidP="003F1F7C">
            <w:pPr>
              <w:tabs>
                <w:tab w:val="decimal" w:pos="884"/>
              </w:tabs>
              <w:rPr>
                <w:color w:val="auto"/>
              </w:rPr>
            </w:pPr>
          </w:p>
        </w:tc>
        <w:tc>
          <w:tcPr>
            <w:tcW w:w="966" w:type="pct"/>
            <w:tcBorders>
              <w:bottom w:val="nil"/>
            </w:tcBorders>
            <w:shd w:val="clear" w:color="auto" w:fill="auto"/>
            <w:vAlign w:val="bottom"/>
          </w:tcPr>
          <w:p w14:paraId="3F3BCEFC" w14:textId="77777777" w:rsidR="00426385" w:rsidRPr="00B0117D" w:rsidRDefault="00426385" w:rsidP="003F1F7C">
            <w:pPr>
              <w:tabs>
                <w:tab w:val="decimal" w:pos="1026"/>
              </w:tabs>
              <w:rPr>
                <w:color w:val="auto"/>
              </w:rPr>
            </w:pPr>
          </w:p>
        </w:tc>
      </w:tr>
      <w:tr w:rsidR="00426385" w:rsidRPr="00B0117D" w14:paraId="710733B9" w14:textId="77777777" w:rsidTr="003F1F7C">
        <w:trPr>
          <w:trHeight w:val="369"/>
        </w:trPr>
        <w:tc>
          <w:tcPr>
            <w:tcW w:w="3105" w:type="pct"/>
            <w:shd w:val="clear" w:color="auto" w:fill="auto"/>
            <w:vAlign w:val="bottom"/>
          </w:tcPr>
          <w:p w14:paraId="7FC32407" w14:textId="77777777" w:rsidR="00426385" w:rsidRPr="00B0117D" w:rsidRDefault="00426385" w:rsidP="003F1F7C">
            <w:pPr>
              <w:jc w:val="left"/>
              <w:rPr>
                <w:color w:val="auto"/>
              </w:rPr>
            </w:pPr>
            <w:r w:rsidRPr="00B0117D">
              <w:rPr>
                <w:color w:val="auto"/>
              </w:rPr>
              <w:t>Consumer</w:t>
            </w:r>
          </w:p>
        </w:tc>
        <w:tc>
          <w:tcPr>
            <w:tcW w:w="929" w:type="pct"/>
            <w:tcBorders>
              <w:bottom w:val="nil"/>
            </w:tcBorders>
            <w:shd w:val="clear" w:color="auto" w:fill="auto"/>
            <w:vAlign w:val="bottom"/>
          </w:tcPr>
          <w:p w14:paraId="7C4A27A3" w14:textId="77777777" w:rsidR="00426385" w:rsidRPr="00B0117D" w:rsidRDefault="008D1E21" w:rsidP="003F1F7C">
            <w:pPr>
              <w:tabs>
                <w:tab w:val="decimal" w:pos="884"/>
              </w:tabs>
              <w:rPr>
                <w:color w:val="auto"/>
              </w:rPr>
            </w:pPr>
            <w:r w:rsidRPr="00B0117D">
              <w:rPr>
                <w:color w:val="auto"/>
              </w:rPr>
              <w:t>260.2</w:t>
            </w:r>
          </w:p>
        </w:tc>
        <w:tc>
          <w:tcPr>
            <w:tcW w:w="966" w:type="pct"/>
            <w:tcBorders>
              <w:bottom w:val="nil"/>
            </w:tcBorders>
            <w:shd w:val="clear" w:color="auto" w:fill="auto"/>
            <w:vAlign w:val="bottom"/>
          </w:tcPr>
          <w:p w14:paraId="43DF853C" w14:textId="77777777" w:rsidR="00426385" w:rsidRPr="00B0117D" w:rsidRDefault="00F647AE" w:rsidP="003F1F7C">
            <w:pPr>
              <w:tabs>
                <w:tab w:val="decimal" w:pos="1026"/>
              </w:tabs>
              <w:rPr>
                <w:color w:val="auto"/>
              </w:rPr>
            </w:pPr>
            <w:r w:rsidRPr="00B0117D">
              <w:rPr>
                <w:color w:val="auto"/>
              </w:rPr>
              <w:t>269.5</w:t>
            </w:r>
          </w:p>
        </w:tc>
      </w:tr>
      <w:tr w:rsidR="00426385" w:rsidRPr="00B0117D" w14:paraId="27EF672B" w14:textId="77777777" w:rsidTr="003F1F7C">
        <w:trPr>
          <w:trHeight w:val="369"/>
        </w:trPr>
        <w:tc>
          <w:tcPr>
            <w:tcW w:w="3105" w:type="pct"/>
            <w:shd w:val="clear" w:color="auto" w:fill="auto"/>
            <w:vAlign w:val="bottom"/>
          </w:tcPr>
          <w:p w14:paraId="3C5833BF" w14:textId="77777777" w:rsidR="00426385" w:rsidRPr="00B0117D" w:rsidRDefault="00426385" w:rsidP="003F1F7C">
            <w:pPr>
              <w:jc w:val="left"/>
              <w:rPr>
                <w:color w:val="auto"/>
              </w:rPr>
            </w:pPr>
            <w:r w:rsidRPr="00B0117D">
              <w:rPr>
                <w:color w:val="auto"/>
              </w:rPr>
              <w:t>Manufacturing</w:t>
            </w:r>
          </w:p>
        </w:tc>
        <w:tc>
          <w:tcPr>
            <w:tcW w:w="929" w:type="pct"/>
            <w:tcBorders>
              <w:bottom w:val="nil"/>
            </w:tcBorders>
            <w:shd w:val="clear" w:color="auto" w:fill="auto"/>
            <w:vAlign w:val="bottom"/>
          </w:tcPr>
          <w:p w14:paraId="1EC603D3" w14:textId="77777777" w:rsidR="00426385" w:rsidRPr="00B0117D" w:rsidRDefault="008D1E21" w:rsidP="003F1F7C">
            <w:pPr>
              <w:tabs>
                <w:tab w:val="decimal" w:pos="884"/>
              </w:tabs>
              <w:rPr>
                <w:color w:val="auto"/>
              </w:rPr>
            </w:pPr>
            <w:r w:rsidRPr="00B0117D">
              <w:rPr>
                <w:color w:val="auto"/>
              </w:rPr>
              <w:t>144.8</w:t>
            </w:r>
          </w:p>
        </w:tc>
        <w:tc>
          <w:tcPr>
            <w:tcW w:w="966" w:type="pct"/>
            <w:tcBorders>
              <w:bottom w:val="nil"/>
            </w:tcBorders>
            <w:shd w:val="clear" w:color="auto" w:fill="auto"/>
            <w:vAlign w:val="bottom"/>
          </w:tcPr>
          <w:p w14:paraId="2D8D7C89" w14:textId="77777777" w:rsidR="00426385" w:rsidRPr="00B0117D" w:rsidRDefault="00F647AE" w:rsidP="003F1F7C">
            <w:pPr>
              <w:tabs>
                <w:tab w:val="decimal" w:pos="1026"/>
              </w:tabs>
              <w:rPr>
                <w:color w:val="auto"/>
              </w:rPr>
            </w:pPr>
            <w:r w:rsidRPr="00B0117D">
              <w:rPr>
                <w:color w:val="auto"/>
              </w:rPr>
              <w:t>166.6</w:t>
            </w:r>
          </w:p>
        </w:tc>
      </w:tr>
      <w:tr w:rsidR="00426385" w:rsidRPr="00B0117D" w14:paraId="775E3552" w14:textId="77777777" w:rsidTr="003F1F7C">
        <w:trPr>
          <w:trHeight w:val="369"/>
        </w:trPr>
        <w:tc>
          <w:tcPr>
            <w:tcW w:w="3105" w:type="pct"/>
            <w:shd w:val="clear" w:color="auto" w:fill="auto"/>
            <w:vAlign w:val="bottom"/>
          </w:tcPr>
          <w:p w14:paraId="26559678" w14:textId="77777777" w:rsidR="00426385" w:rsidRPr="00B0117D" w:rsidRDefault="00426385" w:rsidP="003F1F7C">
            <w:pPr>
              <w:jc w:val="left"/>
              <w:rPr>
                <w:color w:val="auto"/>
              </w:rPr>
            </w:pPr>
            <w:r w:rsidRPr="00B0117D">
              <w:rPr>
                <w:color w:val="auto"/>
              </w:rPr>
              <w:t>Energy and utilities</w:t>
            </w:r>
          </w:p>
        </w:tc>
        <w:tc>
          <w:tcPr>
            <w:tcW w:w="929" w:type="pct"/>
            <w:tcBorders>
              <w:bottom w:val="nil"/>
            </w:tcBorders>
            <w:shd w:val="clear" w:color="auto" w:fill="auto"/>
            <w:vAlign w:val="bottom"/>
          </w:tcPr>
          <w:p w14:paraId="3C7A35C3" w14:textId="77777777" w:rsidR="00426385" w:rsidRPr="00B0117D" w:rsidRDefault="008D1E21" w:rsidP="003F1F7C">
            <w:pPr>
              <w:tabs>
                <w:tab w:val="decimal" w:pos="884"/>
              </w:tabs>
              <w:rPr>
                <w:color w:val="auto"/>
              </w:rPr>
            </w:pPr>
            <w:r w:rsidRPr="00B0117D">
              <w:rPr>
                <w:color w:val="auto"/>
              </w:rPr>
              <w:t>52.6</w:t>
            </w:r>
          </w:p>
        </w:tc>
        <w:tc>
          <w:tcPr>
            <w:tcW w:w="966" w:type="pct"/>
            <w:tcBorders>
              <w:bottom w:val="nil"/>
            </w:tcBorders>
            <w:shd w:val="clear" w:color="auto" w:fill="auto"/>
            <w:vAlign w:val="bottom"/>
          </w:tcPr>
          <w:p w14:paraId="376D4E36" w14:textId="77777777" w:rsidR="00426385" w:rsidRPr="00B0117D" w:rsidRDefault="00F647AE" w:rsidP="003F1F7C">
            <w:pPr>
              <w:tabs>
                <w:tab w:val="decimal" w:pos="1026"/>
              </w:tabs>
              <w:rPr>
                <w:color w:val="auto"/>
              </w:rPr>
            </w:pPr>
            <w:r w:rsidRPr="00B0117D">
              <w:rPr>
                <w:color w:val="auto"/>
              </w:rPr>
              <w:t>84.9</w:t>
            </w:r>
          </w:p>
        </w:tc>
      </w:tr>
      <w:tr w:rsidR="00426385" w:rsidRPr="00B0117D" w14:paraId="602400CA" w14:textId="77777777" w:rsidTr="003F1F7C">
        <w:trPr>
          <w:trHeight w:val="369"/>
        </w:trPr>
        <w:tc>
          <w:tcPr>
            <w:tcW w:w="3105" w:type="pct"/>
            <w:shd w:val="clear" w:color="auto" w:fill="auto"/>
            <w:vAlign w:val="bottom"/>
          </w:tcPr>
          <w:p w14:paraId="74308478" w14:textId="77777777" w:rsidR="00426385" w:rsidRPr="00B0117D" w:rsidRDefault="00426385" w:rsidP="003F1F7C">
            <w:pPr>
              <w:jc w:val="left"/>
              <w:rPr>
                <w:color w:val="auto"/>
              </w:rPr>
            </w:pPr>
            <w:r w:rsidRPr="00B0117D">
              <w:rPr>
                <w:color w:val="auto"/>
              </w:rPr>
              <w:t>Financial institutions</w:t>
            </w:r>
          </w:p>
        </w:tc>
        <w:tc>
          <w:tcPr>
            <w:tcW w:w="929" w:type="pct"/>
            <w:tcBorders>
              <w:bottom w:val="nil"/>
            </w:tcBorders>
            <w:shd w:val="clear" w:color="auto" w:fill="auto"/>
            <w:vAlign w:val="bottom"/>
          </w:tcPr>
          <w:p w14:paraId="0456EF33" w14:textId="77777777" w:rsidR="00426385" w:rsidRPr="00B0117D" w:rsidRDefault="008D1E21" w:rsidP="003F1F7C">
            <w:pPr>
              <w:tabs>
                <w:tab w:val="decimal" w:pos="884"/>
              </w:tabs>
              <w:rPr>
                <w:color w:val="auto"/>
              </w:rPr>
            </w:pPr>
            <w:r w:rsidRPr="00B0117D">
              <w:rPr>
                <w:color w:val="auto"/>
              </w:rPr>
              <w:t>139.5</w:t>
            </w:r>
          </w:p>
        </w:tc>
        <w:tc>
          <w:tcPr>
            <w:tcW w:w="966" w:type="pct"/>
            <w:tcBorders>
              <w:bottom w:val="nil"/>
            </w:tcBorders>
            <w:shd w:val="clear" w:color="auto" w:fill="auto"/>
            <w:vAlign w:val="bottom"/>
          </w:tcPr>
          <w:p w14:paraId="162337E5" w14:textId="77777777" w:rsidR="00426385" w:rsidRPr="00B0117D" w:rsidRDefault="00F647AE" w:rsidP="003F1F7C">
            <w:pPr>
              <w:tabs>
                <w:tab w:val="decimal" w:pos="1026"/>
              </w:tabs>
              <w:rPr>
                <w:color w:val="auto"/>
              </w:rPr>
            </w:pPr>
            <w:r w:rsidRPr="00B0117D">
              <w:rPr>
                <w:color w:val="auto"/>
              </w:rPr>
              <w:t>154.4</w:t>
            </w:r>
          </w:p>
        </w:tc>
      </w:tr>
      <w:tr w:rsidR="00426385" w:rsidRPr="00B0117D" w14:paraId="4FE274EA" w14:textId="77777777" w:rsidTr="003F1F7C">
        <w:trPr>
          <w:trHeight w:val="369"/>
        </w:trPr>
        <w:tc>
          <w:tcPr>
            <w:tcW w:w="3105" w:type="pct"/>
            <w:shd w:val="clear" w:color="auto" w:fill="auto"/>
            <w:vAlign w:val="bottom"/>
          </w:tcPr>
          <w:p w14:paraId="603F32DA" w14:textId="77777777" w:rsidR="00426385" w:rsidRPr="00B0117D" w:rsidRDefault="00426385" w:rsidP="003F1F7C">
            <w:pPr>
              <w:jc w:val="left"/>
              <w:rPr>
                <w:color w:val="auto"/>
              </w:rPr>
            </w:pPr>
            <w:r w:rsidRPr="00B0117D">
              <w:rPr>
                <w:color w:val="auto"/>
              </w:rPr>
              <w:t>Health and care</w:t>
            </w:r>
          </w:p>
        </w:tc>
        <w:tc>
          <w:tcPr>
            <w:tcW w:w="929" w:type="pct"/>
            <w:tcBorders>
              <w:bottom w:val="nil"/>
            </w:tcBorders>
            <w:shd w:val="clear" w:color="auto" w:fill="auto"/>
            <w:vAlign w:val="bottom"/>
          </w:tcPr>
          <w:p w14:paraId="738EBD7E" w14:textId="77777777" w:rsidR="00426385" w:rsidRPr="00B0117D" w:rsidRDefault="008D1E21" w:rsidP="003F1F7C">
            <w:pPr>
              <w:tabs>
                <w:tab w:val="decimal" w:pos="884"/>
              </w:tabs>
              <w:rPr>
                <w:color w:val="auto"/>
              </w:rPr>
            </w:pPr>
            <w:r w:rsidRPr="00B0117D">
              <w:rPr>
                <w:color w:val="auto"/>
              </w:rPr>
              <w:t>80.0</w:t>
            </w:r>
          </w:p>
        </w:tc>
        <w:tc>
          <w:tcPr>
            <w:tcW w:w="966" w:type="pct"/>
            <w:tcBorders>
              <w:bottom w:val="nil"/>
            </w:tcBorders>
            <w:shd w:val="clear" w:color="auto" w:fill="auto"/>
            <w:vAlign w:val="bottom"/>
          </w:tcPr>
          <w:p w14:paraId="460884FB" w14:textId="77777777" w:rsidR="00426385" w:rsidRPr="00B0117D" w:rsidRDefault="00F647AE" w:rsidP="003F1F7C">
            <w:pPr>
              <w:tabs>
                <w:tab w:val="decimal" w:pos="1026"/>
              </w:tabs>
              <w:rPr>
                <w:color w:val="auto"/>
              </w:rPr>
            </w:pPr>
            <w:r w:rsidRPr="00B0117D">
              <w:rPr>
                <w:color w:val="auto"/>
              </w:rPr>
              <w:t>94.4</w:t>
            </w:r>
          </w:p>
        </w:tc>
      </w:tr>
      <w:tr w:rsidR="00426385" w:rsidRPr="00B0117D" w14:paraId="4FEC254E" w14:textId="77777777" w:rsidTr="003F1F7C">
        <w:trPr>
          <w:trHeight w:val="369"/>
        </w:trPr>
        <w:tc>
          <w:tcPr>
            <w:tcW w:w="3105" w:type="pct"/>
            <w:shd w:val="clear" w:color="auto" w:fill="auto"/>
            <w:vAlign w:val="bottom"/>
          </w:tcPr>
          <w:p w14:paraId="3DAC05C8" w14:textId="77777777" w:rsidR="00426385" w:rsidRPr="00B0117D" w:rsidRDefault="00426385" w:rsidP="003F1F7C">
            <w:pPr>
              <w:jc w:val="left"/>
              <w:rPr>
                <w:color w:val="auto"/>
              </w:rPr>
            </w:pPr>
            <w:r w:rsidRPr="00B0117D">
              <w:rPr>
                <w:color w:val="auto"/>
              </w:rPr>
              <w:t>Information technology</w:t>
            </w:r>
          </w:p>
        </w:tc>
        <w:tc>
          <w:tcPr>
            <w:tcW w:w="929" w:type="pct"/>
            <w:tcBorders>
              <w:bottom w:val="nil"/>
            </w:tcBorders>
            <w:shd w:val="clear" w:color="auto" w:fill="auto"/>
            <w:vAlign w:val="bottom"/>
          </w:tcPr>
          <w:p w14:paraId="0B669C28" w14:textId="77777777" w:rsidR="00426385" w:rsidRPr="00B0117D" w:rsidRDefault="008D1E21" w:rsidP="003F1F7C">
            <w:pPr>
              <w:tabs>
                <w:tab w:val="decimal" w:pos="884"/>
              </w:tabs>
              <w:rPr>
                <w:color w:val="auto"/>
              </w:rPr>
            </w:pPr>
            <w:r w:rsidRPr="00B0117D">
              <w:rPr>
                <w:color w:val="auto"/>
              </w:rPr>
              <w:t>133.1</w:t>
            </w:r>
          </w:p>
        </w:tc>
        <w:tc>
          <w:tcPr>
            <w:tcW w:w="966" w:type="pct"/>
            <w:tcBorders>
              <w:bottom w:val="nil"/>
            </w:tcBorders>
            <w:shd w:val="clear" w:color="auto" w:fill="auto"/>
            <w:vAlign w:val="bottom"/>
          </w:tcPr>
          <w:p w14:paraId="7A815D7B" w14:textId="77777777" w:rsidR="00426385" w:rsidRPr="00B0117D" w:rsidRDefault="00F647AE" w:rsidP="003F1F7C">
            <w:pPr>
              <w:tabs>
                <w:tab w:val="decimal" w:pos="1026"/>
              </w:tabs>
              <w:rPr>
                <w:color w:val="auto"/>
              </w:rPr>
            </w:pPr>
            <w:r w:rsidRPr="00B0117D">
              <w:rPr>
                <w:color w:val="auto"/>
              </w:rPr>
              <w:t>138.9</w:t>
            </w:r>
          </w:p>
        </w:tc>
      </w:tr>
      <w:tr w:rsidR="00426385" w:rsidRPr="00B0117D" w14:paraId="3805F0B7" w14:textId="77777777" w:rsidTr="00426385">
        <w:trPr>
          <w:trHeight w:val="369"/>
        </w:trPr>
        <w:tc>
          <w:tcPr>
            <w:tcW w:w="3105" w:type="pct"/>
            <w:shd w:val="clear" w:color="auto" w:fill="auto"/>
            <w:vAlign w:val="bottom"/>
          </w:tcPr>
          <w:p w14:paraId="315FF149" w14:textId="77777777" w:rsidR="00426385" w:rsidRPr="00B0117D" w:rsidRDefault="00426385" w:rsidP="003F1F7C">
            <w:pPr>
              <w:jc w:val="left"/>
              <w:rPr>
                <w:color w:val="auto"/>
              </w:rPr>
            </w:pPr>
            <w:r w:rsidRPr="00B0117D">
              <w:rPr>
                <w:color w:val="auto"/>
              </w:rPr>
              <w:t>Miscellaneous</w:t>
            </w:r>
          </w:p>
        </w:tc>
        <w:tc>
          <w:tcPr>
            <w:tcW w:w="929" w:type="pct"/>
            <w:tcBorders>
              <w:bottom w:val="single" w:sz="4" w:space="0" w:color="auto"/>
            </w:tcBorders>
            <w:shd w:val="clear" w:color="auto" w:fill="auto"/>
            <w:vAlign w:val="bottom"/>
          </w:tcPr>
          <w:p w14:paraId="48B85017" w14:textId="77777777" w:rsidR="00426385" w:rsidRPr="00B0117D" w:rsidRDefault="00426385" w:rsidP="003F1F7C">
            <w:pPr>
              <w:tabs>
                <w:tab w:val="decimal" w:pos="884"/>
              </w:tabs>
              <w:rPr>
                <w:color w:val="auto"/>
              </w:rPr>
            </w:pPr>
            <w:r w:rsidRPr="00B0117D">
              <w:rPr>
                <w:color w:val="auto"/>
              </w:rPr>
              <w:t>-</w:t>
            </w:r>
          </w:p>
        </w:tc>
        <w:tc>
          <w:tcPr>
            <w:tcW w:w="966" w:type="pct"/>
            <w:tcBorders>
              <w:bottom w:val="single" w:sz="4" w:space="0" w:color="auto"/>
            </w:tcBorders>
            <w:shd w:val="clear" w:color="auto" w:fill="auto"/>
            <w:vAlign w:val="bottom"/>
          </w:tcPr>
          <w:p w14:paraId="61E562A3" w14:textId="77777777" w:rsidR="00426385" w:rsidRPr="00B0117D" w:rsidRDefault="00F647AE" w:rsidP="003F1F7C">
            <w:pPr>
              <w:tabs>
                <w:tab w:val="decimal" w:pos="1026"/>
              </w:tabs>
              <w:rPr>
                <w:color w:val="auto"/>
              </w:rPr>
            </w:pPr>
            <w:r w:rsidRPr="00B0117D">
              <w:rPr>
                <w:color w:val="auto"/>
              </w:rPr>
              <w:t>5.7</w:t>
            </w:r>
          </w:p>
        </w:tc>
      </w:tr>
      <w:tr w:rsidR="00426385" w:rsidRPr="00B0117D" w14:paraId="1CBD8140" w14:textId="77777777" w:rsidTr="00426385">
        <w:trPr>
          <w:trHeight w:val="369"/>
        </w:trPr>
        <w:tc>
          <w:tcPr>
            <w:tcW w:w="3105" w:type="pct"/>
            <w:shd w:val="clear" w:color="auto" w:fill="auto"/>
            <w:vAlign w:val="bottom"/>
          </w:tcPr>
          <w:p w14:paraId="56F06CBA" w14:textId="77777777" w:rsidR="00426385" w:rsidRPr="00B0117D" w:rsidRDefault="00426385" w:rsidP="003F1F7C">
            <w:pPr>
              <w:jc w:val="left"/>
              <w:rPr>
                <w:b/>
                <w:color w:val="auto"/>
              </w:rPr>
            </w:pPr>
            <w:r w:rsidRPr="00B0117D">
              <w:rPr>
                <w:b/>
                <w:color w:val="auto"/>
              </w:rPr>
              <w:t>Sub-total equity</w:t>
            </w:r>
          </w:p>
        </w:tc>
        <w:tc>
          <w:tcPr>
            <w:tcW w:w="929" w:type="pct"/>
            <w:tcBorders>
              <w:top w:val="single" w:sz="4" w:space="0" w:color="auto"/>
              <w:bottom w:val="nil"/>
            </w:tcBorders>
            <w:shd w:val="clear" w:color="auto" w:fill="auto"/>
            <w:vAlign w:val="bottom"/>
          </w:tcPr>
          <w:p w14:paraId="60880A03" w14:textId="77777777" w:rsidR="00426385" w:rsidRPr="00B0117D" w:rsidRDefault="008D1E21" w:rsidP="003F1F7C">
            <w:pPr>
              <w:tabs>
                <w:tab w:val="decimal" w:pos="884"/>
              </w:tabs>
              <w:rPr>
                <w:b/>
                <w:color w:val="auto"/>
              </w:rPr>
            </w:pPr>
            <w:r w:rsidRPr="00B0117D">
              <w:rPr>
                <w:b/>
                <w:color w:val="auto"/>
              </w:rPr>
              <w:t>810.2</w:t>
            </w:r>
          </w:p>
        </w:tc>
        <w:tc>
          <w:tcPr>
            <w:tcW w:w="966" w:type="pct"/>
            <w:tcBorders>
              <w:top w:val="single" w:sz="4" w:space="0" w:color="auto"/>
              <w:bottom w:val="nil"/>
            </w:tcBorders>
            <w:shd w:val="clear" w:color="auto" w:fill="auto"/>
            <w:vAlign w:val="bottom"/>
          </w:tcPr>
          <w:p w14:paraId="5DF50B40" w14:textId="77777777" w:rsidR="00426385" w:rsidRPr="00B0117D" w:rsidRDefault="00F647AE" w:rsidP="003F1F7C">
            <w:pPr>
              <w:tabs>
                <w:tab w:val="decimal" w:pos="1026"/>
              </w:tabs>
              <w:rPr>
                <w:b/>
                <w:color w:val="auto"/>
              </w:rPr>
            </w:pPr>
            <w:r w:rsidRPr="00B0117D">
              <w:rPr>
                <w:b/>
                <w:color w:val="auto"/>
              </w:rPr>
              <w:t>914.4</w:t>
            </w:r>
          </w:p>
        </w:tc>
      </w:tr>
      <w:tr w:rsidR="00426385" w:rsidRPr="00B0117D" w14:paraId="7356BA0C" w14:textId="77777777" w:rsidTr="00426385">
        <w:trPr>
          <w:trHeight w:val="369"/>
        </w:trPr>
        <w:tc>
          <w:tcPr>
            <w:tcW w:w="3105" w:type="pct"/>
            <w:shd w:val="clear" w:color="auto" w:fill="auto"/>
            <w:vAlign w:val="bottom"/>
          </w:tcPr>
          <w:p w14:paraId="2D14366A" w14:textId="77777777" w:rsidR="00426385" w:rsidRPr="00B0117D" w:rsidRDefault="00426385" w:rsidP="003F1F7C">
            <w:pPr>
              <w:jc w:val="left"/>
              <w:rPr>
                <w:color w:val="auto"/>
              </w:rPr>
            </w:pPr>
            <w:r w:rsidRPr="00B0117D">
              <w:rPr>
                <w:color w:val="auto"/>
              </w:rPr>
              <w:t>Bonds:</w:t>
            </w:r>
          </w:p>
        </w:tc>
        <w:tc>
          <w:tcPr>
            <w:tcW w:w="929" w:type="pct"/>
            <w:tcBorders>
              <w:top w:val="nil"/>
              <w:bottom w:val="nil"/>
            </w:tcBorders>
            <w:shd w:val="clear" w:color="auto" w:fill="auto"/>
            <w:vAlign w:val="bottom"/>
          </w:tcPr>
          <w:p w14:paraId="7B7842E4" w14:textId="77777777" w:rsidR="00426385" w:rsidRPr="00B0117D" w:rsidRDefault="00426385" w:rsidP="003F1F7C">
            <w:pPr>
              <w:tabs>
                <w:tab w:val="decimal" w:pos="884"/>
              </w:tabs>
              <w:rPr>
                <w:color w:val="auto"/>
              </w:rPr>
            </w:pPr>
          </w:p>
        </w:tc>
        <w:tc>
          <w:tcPr>
            <w:tcW w:w="966" w:type="pct"/>
            <w:tcBorders>
              <w:top w:val="nil"/>
              <w:bottom w:val="nil"/>
            </w:tcBorders>
            <w:shd w:val="clear" w:color="auto" w:fill="auto"/>
            <w:vAlign w:val="bottom"/>
          </w:tcPr>
          <w:p w14:paraId="4FAB227B" w14:textId="77777777" w:rsidR="00426385" w:rsidRPr="00B0117D" w:rsidRDefault="00426385" w:rsidP="003F1F7C">
            <w:pPr>
              <w:tabs>
                <w:tab w:val="decimal" w:pos="1026"/>
              </w:tabs>
              <w:rPr>
                <w:color w:val="auto"/>
              </w:rPr>
            </w:pPr>
          </w:p>
        </w:tc>
      </w:tr>
      <w:tr w:rsidR="00426385" w:rsidRPr="00B0117D" w14:paraId="6A7B121C" w14:textId="77777777" w:rsidTr="003F1F7C">
        <w:trPr>
          <w:trHeight w:val="369"/>
        </w:trPr>
        <w:tc>
          <w:tcPr>
            <w:tcW w:w="3105" w:type="pct"/>
            <w:shd w:val="clear" w:color="auto" w:fill="auto"/>
            <w:vAlign w:val="bottom"/>
          </w:tcPr>
          <w:p w14:paraId="612C57BE" w14:textId="77777777" w:rsidR="00426385" w:rsidRPr="00B0117D" w:rsidRDefault="00426385" w:rsidP="003F1F7C">
            <w:pPr>
              <w:jc w:val="left"/>
              <w:rPr>
                <w:color w:val="auto"/>
                <w:u w:val="single"/>
              </w:rPr>
            </w:pPr>
            <w:r w:rsidRPr="00B0117D">
              <w:rPr>
                <w:color w:val="auto"/>
                <w:u w:val="single"/>
              </w:rPr>
              <w:t>By Sector</w:t>
            </w:r>
          </w:p>
        </w:tc>
        <w:tc>
          <w:tcPr>
            <w:tcW w:w="929" w:type="pct"/>
            <w:tcBorders>
              <w:bottom w:val="nil"/>
            </w:tcBorders>
            <w:shd w:val="clear" w:color="auto" w:fill="auto"/>
            <w:vAlign w:val="bottom"/>
          </w:tcPr>
          <w:p w14:paraId="7D2EF7C0" w14:textId="77777777" w:rsidR="00426385" w:rsidRPr="00B0117D" w:rsidRDefault="00426385" w:rsidP="003F1F7C">
            <w:pPr>
              <w:tabs>
                <w:tab w:val="decimal" w:pos="884"/>
              </w:tabs>
              <w:rPr>
                <w:color w:val="auto"/>
              </w:rPr>
            </w:pPr>
          </w:p>
        </w:tc>
        <w:tc>
          <w:tcPr>
            <w:tcW w:w="966" w:type="pct"/>
            <w:tcBorders>
              <w:bottom w:val="nil"/>
            </w:tcBorders>
            <w:shd w:val="clear" w:color="auto" w:fill="auto"/>
            <w:vAlign w:val="bottom"/>
          </w:tcPr>
          <w:p w14:paraId="0DE377E4" w14:textId="77777777" w:rsidR="00426385" w:rsidRPr="00B0117D" w:rsidRDefault="00426385" w:rsidP="003F1F7C">
            <w:pPr>
              <w:tabs>
                <w:tab w:val="decimal" w:pos="1026"/>
              </w:tabs>
              <w:rPr>
                <w:color w:val="auto"/>
              </w:rPr>
            </w:pPr>
          </w:p>
        </w:tc>
      </w:tr>
      <w:tr w:rsidR="00426385" w:rsidRPr="00B0117D" w14:paraId="3A7195F4" w14:textId="77777777" w:rsidTr="003F1F7C">
        <w:trPr>
          <w:trHeight w:val="369"/>
        </w:trPr>
        <w:tc>
          <w:tcPr>
            <w:tcW w:w="3105" w:type="pct"/>
            <w:shd w:val="clear" w:color="auto" w:fill="auto"/>
            <w:vAlign w:val="bottom"/>
          </w:tcPr>
          <w:p w14:paraId="0E72A36D" w14:textId="77777777" w:rsidR="00426385" w:rsidRPr="00B0117D" w:rsidRDefault="00426385" w:rsidP="003F1F7C">
            <w:pPr>
              <w:jc w:val="left"/>
              <w:rPr>
                <w:color w:val="auto"/>
              </w:rPr>
            </w:pPr>
            <w:r w:rsidRPr="00B0117D">
              <w:rPr>
                <w:color w:val="auto"/>
              </w:rPr>
              <w:t>Corporate</w:t>
            </w:r>
          </w:p>
        </w:tc>
        <w:tc>
          <w:tcPr>
            <w:tcW w:w="929" w:type="pct"/>
            <w:tcBorders>
              <w:bottom w:val="nil"/>
            </w:tcBorders>
            <w:shd w:val="clear" w:color="auto" w:fill="auto"/>
            <w:vAlign w:val="bottom"/>
          </w:tcPr>
          <w:p w14:paraId="5EF44B9C" w14:textId="77777777" w:rsidR="00426385" w:rsidRPr="00B0117D" w:rsidRDefault="008D1E21" w:rsidP="003F1F7C">
            <w:pPr>
              <w:tabs>
                <w:tab w:val="decimal" w:pos="884"/>
              </w:tabs>
              <w:rPr>
                <w:color w:val="auto"/>
              </w:rPr>
            </w:pPr>
            <w:r w:rsidRPr="00B0117D">
              <w:rPr>
                <w:color w:val="auto"/>
              </w:rPr>
              <w:t>32.7</w:t>
            </w:r>
          </w:p>
        </w:tc>
        <w:tc>
          <w:tcPr>
            <w:tcW w:w="966" w:type="pct"/>
            <w:tcBorders>
              <w:bottom w:val="nil"/>
            </w:tcBorders>
            <w:shd w:val="clear" w:color="auto" w:fill="auto"/>
            <w:vAlign w:val="bottom"/>
          </w:tcPr>
          <w:p w14:paraId="5D0596A8" w14:textId="77777777" w:rsidR="00426385" w:rsidRPr="00B0117D" w:rsidRDefault="00F647AE" w:rsidP="003F1F7C">
            <w:pPr>
              <w:tabs>
                <w:tab w:val="decimal" w:pos="1026"/>
              </w:tabs>
              <w:rPr>
                <w:color w:val="auto"/>
              </w:rPr>
            </w:pPr>
            <w:r w:rsidRPr="00B0117D">
              <w:rPr>
                <w:color w:val="auto"/>
              </w:rPr>
              <w:t>192.8</w:t>
            </w:r>
          </w:p>
        </w:tc>
      </w:tr>
      <w:tr w:rsidR="00426385" w:rsidRPr="00B0117D" w14:paraId="5E1751E3" w14:textId="77777777" w:rsidTr="003F1F7C">
        <w:trPr>
          <w:trHeight w:val="369"/>
        </w:trPr>
        <w:tc>
          <w:tcPr>
            <w:tcW w:w="3105" w:type="pct"/>
            <w:shd w:val="clear" w:color="auto" w:fill="auto"/>
            <w:vAlign w:val="bottom"/>
          </w:tcPr>
          <w:p w14:paraId="32929333" w14:textId="77777777" w:rsidR="00426385" w:rsidRPr="00B0117D" w:rsidRDefault="00426385" w:rsidP="003F1F7C">
            <w:pPr>
              <w:jc w:val="left"/>
              <w:rPr>
                <w:color w:val="auto"/>
              </w:rPr>
            </w:pPr>
            <w:r w:rsidRPr="00B0117D">
              <w:rPr>
                <w:color w:val="auto"/>
              </w:rPr>
              <w:t>Government</w:t>
            </w:r>
          </w:p>
        </w:tc>
        <w:tc>
          <w:tcPr>
            <w:tcW w:w="929" w:type="pct"/>
            <w:tcBorders>
              <w:bottom w:val="single" w:sz="4" w:space="0" w:color="auto"/>
            </w:tcBorders>
            <w:shd w:val="clear" w:color="auto" w:fill="auto"/>
            <w:vAlign w:val="bottom"/>
          </w:tcPr>
          <w:p w14:paraId="3C25D209" w14:textId="77777777" w:rsidR="00426385" w:rsidRPr="00B0117D" w:rsidRDefault="008D1E21" w:rsidP="003F1F7C">
            <w:pPr>
              <w:tabs>
                <w:tab w:val="decimal" w:pos="884"/>
              </w:tabs>
              <w:rPr>
                <w:color w:val="auto"/>
              </w:rPr>
            </w:pPr>
            <w:r w:rsidRPr="00B0117D">
              <w:rPr>
                <w:color w:val="auto"/>
              </w:rPr>
              <w:t>73.9</w:t>
            </w:r>
          </w:p>
        </w:tc>
        <w:tc>
          <w:tcPr>
            <w:tcW w:w="966" w:type="pct"/>
            <w:tcBorders>
              <w:bottom w:val="single" w:sz="4" w:space="0" w:color="auto"/>
            </w:tcBorders>
            <w:shd w:val="clear" w:color="auto" w:fill="auto"/>
            <w:vAlign w:val="bottom"/>
          </w:tcPr>
          <w:p w14:paraId="11F77A31" w14:textId="77777777" w:rsidR="00426385" w:rsidRPr="00B0117D" w:rsidRDefault="00F647AE" w:rsidP="003F1F7C">
            <w:pPr>
              <w:tabs>
                <w:tab w:val="decimal" w:pos="1026"/>
              </w:tabs>
              <w:rPr>
                <w:color w:val="auto"/>
              </w:rPr>
            </w:pPr>
            <w:r w:rsidRPr="00B0117D">
              <w:rPr>
                <w:color w:val="auto"/>
              </w:rPr>
              <w:t>64.2</w:t>
            </w:r>
          </w:p>
        </w:tc>
      </w:tr>
      <w:tr w:rsidR="00426385" w:rsidRPr="00B0117D" w14:paraId="5CCF2693" w14:textId="77777777" w:rsidTr="003F1F7C">
        <w:trPr>
          <w:trHeight w:val="369"/>
        </w:trPr>
        <w:tc>
          <w:tcPr>
            <w:tcW w:w="3105" w:type="pct"/>
            <w:shd w:val="clear" w:color="auto" w:fill="auto"/>
            <w:vAlign w:val="bottom"/>
          </w:tcPr>
          <w:p w14:paraId="3FAD521F" w14:textId="77777777" w:rsidR="00426385" w:rsidRPr="00B0117D" w:rsidRDefault="00426385" w:rsidP="00F647AE">
            <w:pPr>
              <w:jc w:val="left"/>
              <w:rPr>
                <w:b/>
                <w:color w:val="auto"/>
              </w:rPr>
            </w:pPr>
            <w:r w:rsidRPr="00B0117D">
              <w:rPr>
                <w:b/>
                <w:color w:val="auto"/>
              </w:rPr>
              <w:t xml:space="preserve">Sub-total </w:t>
            </w:r>
            <w:r w:rsidR="00F647AE" w:rsidRPr="00B0117D">
              <w:rPr>
                <w:b/>
                <w:color w:val="auto"/>
              </w:rPr>
              <w:t>bonds</w:t>
            </w:r>
          </w:p>
        </w:tc>
        <w:tc>
          <w:tcPr>
            <w:tcW w:w="929" w:type="pct"/>
            <w:tcBorders>
              <w:top w:val="single" w:sz="4" w:space="0" w:color="auto"/>
              <w:bottom w:val="nil"/>
            </w:tcBorders>
            <w:shd w:val="clear" w:color="auto" w:fill="auto"/>
            <w:vAlign w:val="bottom"/>
          </w:tcPr>
          <w:p w14:paraId="7734553C" w14:textId="77777777" w:rsidR="00426385" w:rsidRPr="00B0117D" w:rsidRDefault="008D1E21" w:rsidP="003F1F7C">
            <w:pPr>
              <w:tabs>
                <w:tab w:val="decimal" w:pos="884"/>
              </w:tabs>
              <w:rPr>
                <w:b/>
                <w:color w:val="auto"/>
              </w:rPr>
            </w:pPr>
            <w:r w:rsidRPr="00B0117D">
              <w:rPr>
                <w:b/>
                <w:color w:val="auto"/>
              </w:rPr>
              <w:t>106.6</w:t>
            </w:r>
          </w:p>
        </w:tc>
        <w:tc>
          <w:tcPr>
            <w:tcW w:w="966" w:type="pct"/>
            <w:tcBorders>
              <w:top w:val="single" w:sz="4" w:space="0" w:color="auto"/>
              <w:bottom w:val="nil"/>
            </w:tcBorders>
            <w:shd w:val="clear" w:color="auto" w:fill="auto"/>
            <w:vAlign w:val="bottom"/>
          </w:tcPr>
          <w:p w14:paraId="2DB6E72B" w14:textId="77777777" w:rsidR="00426385" w:rsidRPr="00B0117D" w:rsidRDefault="00F647AE" w:rsidP="003F1F7C">
            <w:pPr>
              <w:tabs>
                <w:tab w:val="decimal" w:pos="1026"/>
              </w:tabs>
              <w:rPr>
                <w:b/>
                <w:color w:val="auto"/>
              </w:rPr>
            </w:pPr>
            <w:r w:rsidRPr="00B0117D">
              <w:rPr>
                <w:b/>
                <w:color w:val="auto"/>
              </w:rPr>
              <w:t>257.0</w:t>
            </w:r>
          </w:p>
        </w:tc>
      </w:tr>
      <w:tr w:rsidR="00F647AE" w:rsidRPr="00B0117D" w14:paraId="60F6E4CE" w14:textId="77777777" w:rsidTr="003F1F7C">
        <w:trPr>
          <w:trHeight w:val="369"/>
        </w:trPr>
        <w:tc>
          <w:tcPr>
            <w:tcW w:w="3105" w:type="pct"/>
            <w:shd w:val="clear" w:color="auto" w:fill="auto"/>
            <w:vAlign w:val="bottom"/>
          </w:tcPr>
          <w:p w14:paraId="1207B9F6" w14:textId="77777777" w:rsidR="00F647AE" w:rsidRPr="00B0117D" w:rsidRDefault="00F647AE" w:rsidP="003F1F7C">
            <w:pPr>
              <w:jc w:val="left"/>
              <w:rPr>
                <w:color w:val="auto"/>
              </w:rPr>
            </w:pPr>
            <w:r w:rsidRPr="00B0117D">
              <w:rPr>
                <w:color w:val="auto"/>
              </w:rPr>
              <w:t>Property:</w:t>
            </w:r>
          </w:p>
        </w:tc>
        <w:tc>
          <w:tcPr>
            <w:tcW w:w="929" w:type="pct"/>
            <w:tcBorders>
              <w:top w:val="nil"/>
              <w:bottom w:val="nil"/>
            </w:tcBorders>
            <w:shd w:val="clear" w:color="auto" w:fill="auto"/>
            <w:vAlign w:val="bottom"/>
          </w:tcPr>
          <w:p w14:paraId="4D75BCB4" w14:textId="77777777" w:rsidR="00F647AE" w:rsidRPr="00B0117D" w:rsidRDefault="00F647AE" w:rsidP="003F1F7C">
            <w:pPr>
              <w:tabs>
                <w:tab w:val="decimal" w:pos="884"/>
              </w:tabs>
              <w:rPr>
                <w:color w:val="auto"/>
              </w:rPr>
            </w:pPr>
          </w:p>
        </w:tc>
        <w:tc>
          <w:tcPr>
            <w:tcW w:w="966" w:type="pct"/>
            <w:tcBorders>
              <w:top w:val="nil"/>
              <w:bottom w:val="nil"/>
            </w:tcBorders>
            <w:shd w:val="clear" w:color="auto" w:fill="auto"/>
            <w:vAlign w:val="bottom"/>
          </w:tcPr>
          <w:p w14:paraId="38D510EB" w14:textId="77777777" w:rsidR="00F647AE" w:rsidRPr="00B0117D" w:rsidRDefault="00F647AE" w:rsidP="003F1F7C">
            <w:pPr>
              <w:tabs>
                <w:tab w:val="decimal" w:pos="1026"/>
              </w:tabs>
              <w:rPr>
                <w:color w:val="auto"/>
              </w:rPr>
            </w:pPr>
          </w:p>
        </w:tc>
      </w:tr>
      <w:tr w:rsidR="00F647AE" w:rsidRPr="00B0117D" w14:paraId="2E6A2771" w14:textId="77777777" w:rsidTr="003F1F7C">
        <w:trPr>
          <w:trHeight w:val="369"/>
        </w:trPr>
        <w:tc>
          <w:tcPr>
            <w:tcW w:w="3105" w:type="pct"/>
            <w:shd w:val="clear" w:color="auto" w:fill="auto"/>
            <w:vAlign w:val="bottom"/>
          </w:tcPr>
          <w:p w14:paraId="7AB4A014" w14:textId="77777777" w:rsidR="00F647AE" w:rsidRPr="00B0117D" w:rsidRDefault="00F647AE" w:rsidP="003F1F7C">
            <w:pPr>
              <w:jc w:val="left"/>
              <w:rPr>
                <w:color w:val="auto"/>
                <w:u w:val="single"/>
              </w:rPr>
            </w:pPr>
            <w:r w:rsidRPr="00B0117D">
              <w:rPr>
                <w:color w:val="auto"/>
                <w:u w:val="single"/>
              </w:rPr>
              <w:t>By Type</w:t>
            </w:r>
          </w:p>
        </w:tc>
        <w:tc>
          <w:tcPr>
            <w:tcW w:w="929" w:type="pct"/>
            <w:tcBorders>
              <w:bottom w:val="nil"/>
            </w:tcBorders>
            <w:shd w:val="clear" w:color="auto" w:fill="auto"/>
            <w:vAlign w:val="bottom"/>
          </w:tcPr>
          <w:p w14:paraId="7E6E1905" w14:textId="77777777" w:rsidR="00F647AE" w:rsidRPr="00B0117D" w:rsidRDefault="00F647AE" w:rsidP="003F1F7C">
            <w:pPr>
              <w:tabs>
                <w:tab w:val="decimal" w:pos="884"/>
              </w:tabs>
              <w:rPr>
                <w:color w:val="auto"/>
              </w:rPr>
            </w:pPr>
          </w:p>
        </w:tc>
        <w:tc>
          <w:tcPr>
            <w:tcW w:w="966" w:type="pct"/>
            <w:tcBorders>
              <w:bottom w:val="nil"/>
            </w:tcBorders>
            <w:shd w:val="clear" w:color="auto" w:fill="auto"/>
            <w:vAlign w:val="bottom"/>
          </w:tcPr>
          <w:p w14:paraId="60C2DB76" w14:textId="77777777" w:rsidR="00F647AE" w:rsidRPr="00B0117D" w:rsidRDefault="00F647AE" w:rsidP="003F1F7C">
            <w:pPr>
              <w:tabs>
                <w:tab w:val="decimal" w:pos="1026"/>
              </w:tabs>
              <w:rPr>
                <w:color w:val="auto"/>
              </w:rPr>
            </w:pPr>
          </w:p>
        </w:tc>
      </w:tr>
      <w:tr w:rsidR="00F647AE" w:rsidRPr="00B0117D" w14:paraId="6D8C27F4" w14:textId="77777777" w:rsidTr="003F1F7C">
        <w:trPr>
          <w:trHeight w:val="369"/>
        </w:trPr>
        <w:tc>
          <w:tcPr>
            <w:tcW w:w="3105" w:type="pct"/>
            <w:shd w:val="clear" w:color="auto" w:fill="auto"/>
            <w:vAlign w:val="bottom"/>
          </w:tcPr>
          <w:p w14:paraId="3977F145" w14:textId="77777777" w:rsidR="00F647AE" w:rsidRPr="00B0117D" w:rsidRDefault="00F647AE" w:rsidP="003F1F7C">
            <w:pPr>
              <w:jc w:val="left"/>
              <w:rPr>
                <w:color w:val="auto"/>
              </w:rPr>
            </w:pPr>
            <w:r w:rsidRPr="00B0117D">
              <w:rPr>
                <w:color w:val="auto"/>
              </w:rPr>
              <w:t>Retail</w:t>
            </w:r>
          </w:p>
        </w:tc>
        <w:tc>
          <w:tcPr>
            <w:tcW w:w="929" w:type="pct"/>
            <w:tcBorders>
              <w:bottom w:val="nil"/>
            </w:tcBorders>
            <w:shd w:val="clear" w:color="auto" w:fill="auto"/>
            <w:vAlign w:val="bottom"/>
          </w:tcPr>
          <w:p w14:paraId="496FA807" w14:textId="77777777" w:rsidR="00F647AE" w:rsidRPr="00B0117D" w:rsidRDefault="008D1E21" w:rsidP="003F1F7C">
            <w:pPr>
              <w:tabs>
                <w:tab w:val="decimal" w:pos="884"/>
              </w:tabs>
              <w:rPr>
                <w:color w:val="auto"/>
              </w:rPr>
            </w:pPr>
            <w:r w:rsidRPr="00B0117D">
              <w:rPr>
                <w:color w:val="auto"/>
              </w:rPr>
              <w:t>95.7</w:t>
            </w:r>
          </w:p>
        </w:tc>
        <w:tc>
          <w:tcPr>
            <w:tcW w:w="966" w:type="pct"/>
            <w:tcBorders>
              <w:bottom w:val="nil"/>
            </w:tcBorders>
            <w:shd w:val="clear" w:color="auto" w:fill="auto"/>
            <w:vAlign w:val="bottom"/>
          </w:tcPr>
          <w:p w14:paraId="5B8DE4B7" w14:textId="77777777" w:rsidR="00F647AE" w:rsidRPr="00B0117D" w:rsidRDefault="00F647AE" w:rsidP="003F1F7C">
            <w:pPr>
              <w:tabs>
                <w:tab w:val="decimal" w:pos="1026"/>
              </w:tabs>
              <w:rPr>
                <w:color w:val="auto"/>
              </w:rPr>
            </w:pPr>
            <w:r w:rsidRPr="00B0117D">
              <w:rPr>
                <w:color w:val="auto"/>
              </w:rPr>
              <w:t>78.7</w:t>
            </w:r>
          </w:p>
        </w:tc>
      </w:tr>
      <w:tr w:rsidR="00F647AE" w:rsidRPr="00B0117D" w14:paraId="47E5E6F3" w14:textId="77777777" w:rsidTr="003F1F7C">
        <w:trPr>
          <w:trHeight w:val="369"/>
        </w:trPr>
        <w:tc>
          <w:tcPr>
            <w:tcW w:w="3105" w:type="pct"/>
            <w:shd w:val="clear" w:color="auto" w:fill="auto"/>
            <w:vAlign w:val="bottom"/>
          </w:tcPr>
          <w:p w14:paraId="34E5B5ED" w14:textId="77777777" w:rsidR="00F647AE" w:rsidRPr="00B0117D" w:rsidRDefault="00F647AE" w:rsidP="003F1F7C">
            <w:pPr>
              <w:jc w:val="left"/>
              <w:rPr>
                <w:color w:val="auto"/>
              </w:rPr>
            </w:pPr>
            <w:r w:rsidRPr="00B0117D">
              <w:rPr>
                <w:color w:val="auto"/>
              </w:rPr>
              <w:t>Commercial</w:t>
            </w:r>
          </w:p>
        </w:tc>
        <w:tc>
          <w:tcPr>
            <w:tcW w:w="929" w:type="pct"/>
            <w:tcBorders>
              <w:bottom w:val="single" w:sz="4" w:space="0" w:color="auto"/>
            </w:tcBorders>
            <w:shd w:val="clear" w:color="auto" w:fill="auto"/>
            <w:vAlign w:val="bottom"/>
          </w:tcPr>
          <w:p w14:paraId="6B81095B" w14:textId="77777777" w:rsidR="00F647AE" w:rsidRPr="00B0117D" w:rsidRDefault="00B0117D" w:rsidP="003F1F7C">
            <w:pPr>
              <w:tabs>
                <w:tab w:val="decimal" w:pos="884"/>
              </w:tabs>
              <w:rPr>
                <w:color w:val="auto"/>
              </w:rPr>
            </w:pPr>
            <w:r w:rsidRPr="00B0117D">
              <w:rPr>
                <w:color w:val="auto"/>
              </w:rPr>
              <w:t>125.9</w:t>
            </w:r>
          </w:p>
        </w:tc>
        <w:tc>
          <w:tcPr>
            <w:tcW w:w="966" w:type="pct"/>
            <w:tcBorders>
              <w:bottom w:val="single" w:sz="4" w:space="0" w:color="auto"/>
            </w:tcBorders>
            <w:shd w:val="clear" w:color="auto" w:fill="auto"/>
            <w:vAlign w:val="bottom"/>
          </w:tcPr>
          <w:p w14:paraId="5050D41B" w14:textId="77777777" w:rsidR="00F647AE" w:rsidRPr="00B0117D" w:rsidRDefault="00F647AE" w:rsidP="003F1F7C">
            <w:pPr>
              <w:tabs>
                <w:tab w:val="decimal" w:pos="1026"/>
              </w:tabs>
              <w:rPr>
                <w:color w:val="auto"/>
              </w:rPr>
            </w:pPr>
            <w:r w:rsidRPr="00B0117D">
              <w:rPr>
                <w:color w:val="auto"/>
              </w:rPr>
              <w:t>92.5</w:t>
            </w:r>
          </w:p>
        </w:tc>
      </w:tr>
      <w:tr w:rsidR="00F647AE" w:rsidRPr="00B0117D" w14:paraId="7D2B8FEF" w14:textId="77777777" w:rsidTr="003F1F7C">
        <w:trPr>
          <w:trHeight w:val="369"/>
        </w:trPr>
        <w:tc>
          <w:tcPr>
            <w:tcW w:w="3105" w:type="pct"/>
            <w:shd w:val="clear" w:color="auto" w:fill="auto"/>
            <w:vAlign w:val="bottom"/>
          </w:tcPr>
          <w:p w14:paraId="59D9DBA2" w14:textId="77777777" w:rsidR="00F647AE" w:rsidRPr="00B0117D" w:rsidRDefault="00F647AE" w:rsidP="003F1F7C">
            <w:pPr>
              <w:jc w:val="left"/>
              <w:rPr>
                <w:b/>
                <w:color w:val="auto"/>
              </w:rPr>
            </w:pPr>
            <w:r w:rsidRPr="00B0117D">
              <w:rPr>
                <w:b/>
                <w:color w:val="auto"/>
              </w:rPr>
              <w:t>Sub-total property</w:t>
            </w:r>
          </w:p>
        </w:tc>
        <w:tc>
          <w:tcPr>
            <w:tcW w:w="929" w:type="pct"/>
            <w:tcBorders>
              <w:top w:val="single" w:sz="4" w:space="0" w:color="auto"/>
              <w:bottom w:val="nil"/>
            </w:tcBorders>
            <w:shd w:val="clear" w:color="auto" w:fill="auto"/>
            <w:vAlign w:val="bottom"/>
          </w:tcPr>
          <w:p w14:paraId="15CBAA26" w14:textId="77777777" w:rsidR="00F647AE" w:rsidRPr="00B0117D" w:rsidRDefault="00B0117D" w:rsidP="003F1F7C">
            <w:pPr>
              <w:tabs>
                <w:tab w:val="decimal" w:pos="884"/>
              </w:tabs>
              <w:rPr>
                <w:b/>
                <w:color w:val="auto"/>
              </w:rPr>
            </w:pPr>
            <w:r w:rsidRPr="00B0117D">
              <w:rPr>
                <w:b/>
                <w:color w:val="auto"/>
              </w:rPr>
              <w:t>221.6</w:t>
            </w:r>
          </w:p>
        </w:tc>
        <w:tc>
          <w:tcPr>
            <w:tcW w:w="966" w:type="pct"/>
            <w:tcBorders>
              <w:top w:val="single" w:sz="4" w:space="0" w:color="auto"/>
              <w:bottom w:val="nil"/>
            </w:tcBorders>
            <w:shd w:val="clear" w:color="auto" w:fill="auto"/>
            <w:vAlign w:val="bottom"/>
          </w:tcPr>
          <w:p w14:paraId="414B348B" w14:textId="77777777" w:rsidR="00F647AE" w:rsidRPr="00B0117D" w:rsidRDefault="00F647AE" w:rsidP="003F1F7C">
            <w:pPr>
              <w:tabs>
                <w:tab w:val="decimal" w:pos="1026"/>
              </w:tabs>
              <w:rPr>
                <w:b/>
                <w:color w:val="auto"/>
              </w:rPr>
            </w:pPr>
            <w:r w:rsidRPr="00B0117D">
              <w:rPr>
                <w:b/>
                <w:color w:val="auto"/>
              </w:rPr>
              <w:t>171.2</w:t>
            </w:r>
          </w:p>
        </w:tc>
      </w:tr>
      <w:tr w:rsidR="00F647AE" w:rsidRPr="00B0117D" w14:paraId="66F948E1" w14:textId="77777777" w:rsidTr="003F1F7C">
        <w:trPr>
          <w:trHeight w:val="369"/>
        </w:trPr>
        <w:tc>
          <w:tcPr>
            <w:tcW w:w="3105" w:type="pct"/>
            <w:shd w:val="clear" w:color="auto" w:fill="auto"/>
            <w:vAlign w:val="bottom"/>
          </w:tcPr>
          <w:p w14:paraId="0B3DC30E" w14:textId="77777777" w:rsidR="00F647AE" w:rsidRPr="00B0117D" w:rsidRDefault="00F647AE" w:rsidP="003F1F7C">
            <w:pPr>
              <w:jc w:val="left"/>
              <w:rPr>
                <w:color w:val="auto"/>
              </w:rPr>
            </w:pPr>
            <w:r w:rsidRPr="00B0117D">
              <w:rPr>
                <w:color w:val="auto"/>
              </w:rPr>
              <w:t>Private equity:</w:t>
            </w:r>
          </w:p>
        </w:tc>
        <w:tc>
          <w:tcPr>
            <w:tcW w:w="929" w:type="pct"/>
            <w:tcBorders>
              <w:top w:val="nil"/>
              <w:bottom w:val="nil"/>
            </w:tcBorders>
            <w:shd w:val="clear" w:color="auto" w:fill="auto"/>
            <w:vAlign w:val="bottom"/>
          </w:tcPr>
          <w:p w14:paraId="5B70B40B" w14:textId="77777777" w:rsidR="00F647AE" w:rsidRPr="00B0117D" w:rsidRDefault="00F647AE" w:rsidP="003F1F7C">
            <w:pPr>
              <w:tabs>
                <w:tab w:val="decimal" w:pos="884"/>
              </w:tabs>
              <w:rPr>
                <w:color w:val="auto"/>
              </w:rPr>
            </w:pPr>
          </w:p>
        </w:tc>
        <w:tc>
          <w:tcPr>
            <w:tcW w:w="966" w:type="pct"/>
            <w:tcBorders>
              <w:top w:val="nil"/>
              <w:bottom w:val="nil"/>
            </w:tcBorders>
            <w:shd w:val="clear" w:color="auto" w:fill="auto"/>
            <w:vAlign w:val="bottom"/>
          </w:tcPr>
          <w:p w14:paraId="0DB80089" w14:textId="77777777" w:rsidR="00F647AE" w:rsidRPr="00B0117D" w:rsidRDefault="00F647AE" w:rsidP="003F1F7C">
            <w:pPr>
              <w:tabs>
                <w:tab w:val="decimal" w:pos="1026"/>
              </w:tabs>
              <w:rPr>
                <w:color w:val="auto"/>
              </w:rPr>
            </w:pPr>
          </w:p>
        </w:tc>
      </w:tr>
      <w:tr w:rsidR="00F647AE" w:rsidRPr="00B0117D" w14:paraId="1E5D234A" w14:textId="77777777" w:rsidTr="003F1F7C">
        <w:trPr>
          <w:trHeight w:val="369"/>
        </w:trPr>
        <w:tc>
          <w:tcPr>
            <w:tcW w:w="3105" w:type="pct"/>
            <w:shd w:val="clear" w:color="auto" w:fill="auto"/>
            <w:vAlign w:val="bottom"/>
          </w:tcPr>
          <w:p w14:paraId="046DDA06" w14:textId="77777777" w:rsidR="00F647AE" w:rsidRPr="00B0117D" w:rsidRDefault="00F647AE" w:rsidP="003F1F7C">
            <w:pPr>
              <w:jc w:val="left"/>
              <w:rPr>
                <w:color w:val="auto"/>
              </w:rPr>
            </w:pPr>
            <w:r w:rsidRPr="00B0117D">
              <w:rPr>
                <w:color w:val="auto"/>
              </w:rPr>
              <w:t>UK</w:t>
            </w:r>
          </w:p>
        </w:tc>
        <w:tc>
          <w:tcPr>
            <w:tcW w:w="929" w:type="pct"/>
            <w:tcBorders>
              <w:bottom w:val="nil"/>
            </w:tcBorders>
            <w:shd w:val="clear" w:color="auto" w:fill="auto"/>
            <w:vAlign w:val="bottom"/>
          </w:tcPr>
          <w:p w14:paraId="0551DC71" w14:textId="77777777" w:rsidR="00F647AE" w:rsidRPr="00B0117D" w:rsidRDefault="00B0117D" w:rsidP="003F1F7C">
            <w:pPr>
              <w:tabs>
                <w:tab w:val="decimal" w:pos="884"/>
              </w:tabs>
              <w:rPr>
                <w:color w:val="auto"/>
              </w:rPr>
            </w:pPr>
            <w:r w:rsidRPr="00B0117D">
              <w:rPr>
                <w:color w:val="auto"/>
              </w:rPr>
              <w:t>59.1</w:t>
            </w:r>
          </w:p>
        </w:tc>
        <w:tc>
          <w:tcPr>
            <w:tcW w:w="966" w:type="pct"/>
            <w:tcBorders>
              <w:bottom w:val="nil"/>
            </w:tcBorders>
            <w:shd w:val="clear" w:color="auto" w:fill="auto"/>
            <w:vAlign w:val="bottom"/>
          </w:tcPr>
          <w:p w14:paraId="3082A0BC" w14:textId="77777777" w:rsidR="00F647AE" w:rsidRPr="00B0117D" w:rsidRDefault="00F647AE" w:rsidP="003F1F7C">
            <w:pPr>
              <w:tabs>
                <w:tab w:val="decimal" w:pos="1026"/>
              </w:tabs>
              <w:rPr>
                <w:color w:val="auto"/>
              </w:rPr>
            </w:pPr>
            <w:r w:rsidRPr="00B0117D">
              <w:rPr>
                <w:color w:val="auto"/>
              </w:rPr>
              <w:t>52.6</w:t>
            </w:r>
          </w:p>
        </w:tc>
      </w:tr>
      <w:tr w:rsidR="00F647AE" w:rsidRPr="00B0117D" w14:paraId="06BB6E20" w14:textId="77777777" w:rsidTr="003F1F7C">
        <w:trPr>
          <w:trHeight w:val="369"/>
        </w:trPr>
        <w:tc>
          <w:tcPr>
            <w:tcW w:w="3105" w:type="pct"/>
            <w:shd w:val="clear" w:color="auto" w:fill="auto"/>
            <w:vAlign w:val="bottom"/>
          </w:tcPr>
          <w:p w14:paraId="761FA34C" w14:textId="77777777" w:rsidR="00F647AE" w:rsidRPr="00B0117D" w:rsidRDefault="00F647AE" w:rsidP="003F1F7C">
            <w:pPr>
              <w:jc w:val="left"/>
              <w:rPr>
                <w:color w:val="auto"/>
              </w:rPr>
            </w:pPr>
            <w:r w:rsidRPr="00B0117D">
              <w:rPr>
                <w:color w:val="auto"/>
              </w:rPr>
              <w:t>Overseas</w:t>
            </w:r>
          </w:p>
        </w:tc>
        <w:tc>
          <w:tcPr>
            <w:tcW w:w="929" w:type="pct"/>
            <w:tcBorders>
              <w:bottom w:val="single" w:sz="4" w:space="0" w:color="auto"/>
            </w:tcBorders>
            <w:shd w:val="clear" w:color="auto" w:fill="auto"/>
            <w:vAlign w:val="bottom"/>
          </w:tcPr>
          <w:p w14:paraId="36C89D83" w14:textId="77777777" w:rsidR="00F647AE" w:rsidRPr="00B0117D" w:rsidRDefault="00B0117D" w:rsidP="003F1F7C">
            <w:pPr>
              <w:tabs>
                <w:tab w:val="decimal" w:pos="884"/>
              </w:tabs>
              <w:rPr>
                <w:color w:val="auto"/>
              </w:rPr>
            </w:pPr>
            <w:r w:rsidRPr="00B0117D">
              <w:rPr>
                <w:color w:val="auto"/>
              </w:rPr>
              <w:t>83.7</w:t>
            </w:r>
          </w:p>
        </w:tc>
        <w:tc>
          <w:tcPr>
            <w:tcW w:w="966" w:type="pct"/>
            <w:tcBorders>
              <w:bottom w:val="single" w:sz="4" w:space="0" w:color="auto"/>
            </w:tcBorders>
            <w:shd w:val="clear" w:color="auto" w:fill="auto"/>
            <w:vAlign w:val="bottom"/>
          </w:tcPr>
          <w:p w14:paraId="494F6AA7" w14:textId="77777777" w:rsidR="00F647AE" w:rsidRPr="00B0117D" w:rsidRDefault="00F647AE" w:rsidP="003F1F7C">
            <w:pPr>
              <w:tabs>
                <w:tab w:val="decimal" w:pos="1026"/>
              </w:tabs>
              <w:rPr>
                <w:color w:val="auto"/>
              </w:rPr>
            </w:pPr>
            <w:r w:rsidRPr="00B0117D">
              <w:rPr>
                <w:color w:val="auto"/>
              </w:rPr>
              <w:t>57.5</w:t>
            </w:r>
          </w:p>
        </w:tc>
      </w:tr>
      <w:tr w:rsidR="00F647AE" w:rsidRPr="00B0117D" w14:paraId="48946F06" w14:textId="77777777" w:rsidTr="003F1F7C">
        <w:trPr>
          <w:trHeight w:val="369"/>
        </w:trPr>
        <w:tc>
          <w:tcPr>
            <w:tcW w:w="3105" w:type="pct"/>
            <w:shd w:val="clear" w:color="auto" w:fill="auto"/>
            <w:vAlign w:val="bottom"/>
          </w:tcPr>
          <w:p w14:paraId="5F7C72DA" w14:textId="77777777" w:rsidR="00F647AE" w:rsidRPr="00B0117D" w:rsidRDefault="00F647AE" w:rsidP="003F1F7C">
            <w:pPr>
              <w:jc w:val="left"/>
              <w:rPr>
                <w:b/>
                <w:color w:val="auto"/>
              </w:rPr>
            </w:pPr>
            <w:r w:rsidRPr="00B0117D">
              <w:rPr>
                <w:b/>
                <w:color w:val="auto"/>
              </w:rPr>
              <w:t>Sub-total private equity</w:t>
            </w:r>
          </w:p>
        </w:tc>
        <w:tc>
          <w:tcPr>
            <w:tcW w:w="929" w:type="pct"/>
            <w:tcBorders>
              <w:top w:val="single" w:sz="4" w:space="0" w:color="auto"/>
              <w:bottom w:val="nil"/>
            </w:tcBorders>
            <w:shd w:val="clear" w:color="auto" w:fill="auto"/>
            <w:vAlign w:val="bottom"/>
          </w:tcPr>
          <w:p w14:paraId="444EFBFF" w14:textId="77777777" w:rsidR="00F647AE" w:rsidRPr="00B0117D" w:rsidRDefault="00B0117D" w:rsidP="003F1F7C">
            <w:pPr>
              <w:tabs>
                <w:tab w:val="decimal" w:pos="884"/>
              </w:tabs>
              <w:rPr>
                <w:b/>
                <w:color w:val="auto"/>
              </w:rPr>
            </w:pPr>
            <w:r w:rsidRPr="00B0117D">
              <w:rPr>
                <w:b/>
                <w:color w:val="auto"/>
              </w:rPr>
              <w:t>142.8</w:t>
            </w:r>
          </w:p>
        </w:tc>
        <w:tc>
          <w:tcPr>
            <w:tcW w:w="966" w:type="pct"/>
            <w:tcBorders>
              <w:top w:val="single" w:sz="4" w:space="0" w:color="auto"/>
              <w:bottom w:val="nil"/>
            </w:tcBorders>
            <w:shd w:val="clear" w:color="auto" w:fill="auto"/>
            <w:vAlign w:val="bottom"/>
          </w:tcPr>
          <w:p w14:paraId="25264792" w14:textId="77777777" w:rsidR="00F647AE" w:rsidRPr="00B0117D" w:rsidRDefault="00F647AE" w:rsidP="003F1F7C">
            <w:pPr>
              <w:tabs>
                <w:tab w:val="decimal" w:pos="1026"/>
              </w:tabs>
              <w:rPr>
                <w:b/>
                <w:color w:val="auto"/>
              </w:rPr>
            </w:pPr>
            <w:r w:rsidRPr="00B0117D">
              <w:rPr>
                <w:b/>
                <w:color w:val="auto"/>
              </w:rPr>
              <w:t>110.1</w:t>
            </w:r>
          </w:p>
        </w:tc>
      </w:tr>
      <w:tr w:rsidR="00F647AE" w:rsidRPr="00B0117D" w14:paraId="02729650" w14:textId="77777777" w:rsidTr="003F1F7C">
        <w:trPr>
          <w:trHeight w:val="369"/>
        </w:trPr>
        <w:tc>
          <w:tcPr>
            <w:tcW w:w="3105" w:type="pct"/>
            <w:shd w:val="clear" w:color="auto" w:fill="auto"/>
            <w:vAlign w:val="bottom"/>
          </w:tcPr>
          <w:p w14:paraId="017421DC" w14:textId="77777777" w:rsidR="00F647AE" w:rsidRPr="00B0117D" w:rsidRDefault="00F647AE" w:rsidP="003F1F7C">
            <w:pPr>
              <w:jc w:val="left"/>
              <w:rPr>
                <w:color w:val="auto"/>
              </w:rPr>
            </w:pPr>
            <w:r w:rsidRPr="00B0117D">
              <w:rPr>
                <w:color w:val="auto"/>
              </w:rPr>
              <w:t>Other investment funds:</w:t>
            </w:r>
          </w:p>
        </w:tc>
        <w:tc>
          <w:tcPr>
            <w:tcW w:w="929" w:type="pct"/>
            <w:tcBorders>
              <w:top w:val="nil"/>
              <w:bottom w:val="nil"/>
            </w:tcBorders>
            <w:shd w:val="clear" w:color="auto" w:fill="auto"/>
            <w:vAlign w:val="bottom"/>
          </w:tcPr>
          <w:p w14:paraId="5F439EE1" w14:textId="77777777" w:rsidR="00F647AE" w:rsidRPr="00B0117D" w:rsidRDefault="00F647AE" w:rsidP="003F1F7C">
            <w:pPr>
              <w:tabs>
                <w:tab w:val="decimal" w:pos="884"/>
              </w:tabs>
              <w:rPr>
                <w:color w:val="auto"/>
              </w:rPr>
            </w:pPr>
          </w:p>
        </w:tc>
        <w:tc>
          <w:tcPr>
            <w:tcW w:w="966" w:type="pct"/>
            <w:tcBorders>
              <w:top w:val="nil"/>
              <w:bottom w:val="nil"/>
            </w:tcBorders>
            <w:shd w:val="clear" w:color="auto" w:fill="auto"/>
            <w:vAlign w:val="bottom"/>
          </w:tcPr>
          <w:p w14:paraId="40331327" w14:textId="77777777" w:rsidR="00F647AE" w:rsidRPr="00B0117D" w:rsidRDefault="00F647AE" w:rsidP="003F1F7C">
            <w:pPr>
              <w:tabs>
                <w:tab w:val="decimal" w:pos="1026"/>
              </w:tabs>
              <w:rPr>
                <w:color w:val="auto"/>
              </w:rPr>
            </w:pPr>
          </w:p>
        </w:tc>
      </w:tr>
      <w:tr w:rsidR="00F647AE" w:rsidRPr="00B0117D" w14:paraId="2186FCDB" w14:textId="77777777" w:rsidTr="00F647AE">
        <w:trPr>
          <w:trHeight w:val="369"/>
        </w:trPr>
        <w:tc>
          <w:tcPr>
            <w:tcW w:w="3105" w:type="pct"/>
            <w:shd w:val="clear" w:color="auto" w:fill="auto"/>
            <w:vAlign w:val="bottom"/>
          </w:tcPr>
          <w:p w14:paraId="00FD380F" w14:textId="77777777" w:rsidR="00F647AE" w:rsidRPr="00B0117D" w:rsidRDefault="00F647AE" w:rsidP="003F1F7C">
            <w:pPr>
              <w:jc w:val="left"/>
              <w:rPr>
                <w:color w:val="auto"/>
              </w:rPr>
            </w:pPr>
            <w:r w:rsidRPr="00B0117D">
              <w:rPr>
                <w:color w:val="auto"/>
              </w:rPr>
              <w:t>Infrastructure</w:t>
            </w:r>
          </w:p>
        </w:tc>
        <w:tc>
          <w:tcPr>
            <w:tcW w:w="929" w:type="pct"/>
            <w:tcBorders>
              <w:bottom w:val="nil"/>
            </w:tcBorders>
            <w:shd w:val="clear" w:color="auto" w:fill="auto"/>
            <w:vAlign w:val="bottom"/>
          </w:tcPr>
          <w:p w14:paraId="0D5C4563" w14:textId="77777777" w:rsidR="00F647AE" w:rsidRPr="00B0117D" w:rsidRDefault="00B0117D" w:rsidP="003F1F7C">
            <w:pPr>
              <w:tabs>
                <w:tab w:val="decimal" w:pos="884"/>
              </w:tabs>
              <w:rPr>
                <w:color w:val="auto"/>
              </w:rPr>
            </w:pPr>
            <w:r w:rsidRPr="00B0117D">
              <w:rPr>
                <w:color w:val="auto"/>
              </w:rPr>
              <w:t>131.0</w:t>
            </w:r>
          </w:p>
        </w:tc>
        <w:tc>
          <w:tcPr>
            <w:tcW w:w="966" w:type="pct"/>
            <w:tcBorders>
              <w:bottom w:val="nil"/>
            </w:tcBorders>
            <w:shd w:val="clear" w:color="auto" w:fill="auto"/>
            <w:vAlign w:val="bottom"/>
          </w:tcPr>
          <w:p w14:paraId="27DE9857" w14:textId="77777777" w:rsidR="00F647AE" w:rsidRPr="00B0117D" w:rsidRDefault="00F647AE" w:rsidP="003F1F7C">
            <w:pPr>
              <w:tabs>
                <w:tab w:val="decimal" w:pos="1026"/>
              </w:tabs>
              <w:rPr>
                <w:color w:val="auto"/>
              </w:rPr>
            </w:pPr>
            <w:r w:rsidRPr="00B0117D">
              <w:rPr>
                <w:color w:val="auto"/>
              </w:rPr>
              <w:t>113.9</w:t>
            </w:r>
          </w:p>
        </w:tc>
      </w:tr>
      <w:tr w:rsidR="00F647AE" w:rsidRPr="00B0117D" w14:paraId="01C0346E" w14:textId="77777777" w:rsidTr="00F647AE">
        <w:trPr>
          <w:trHeight w:val="369"/>
        </w:trPr>
        <w:tc>
          <w:tcPr>
            <w:tcW w:w="3105" w:type="pct"/>
            <w:shd w:val="clear" w:color="auto" w:fill="auto"/>
            <w:vAlign w:val="bottom"/>
          </w:tcPr>
          <w:p w14:paraId="529F32E7" w14:textId="77777777" w:rsidR="00F647AE" w:rsidRPr="00B0117D" w:rsidRDefault="00F647AE" w:rsidP="003F1F7C">
            <w:pPr>
              <w:jc w:val="left"/>
              <w:rPr>
                <w:color w:val="auto"/>
              </w:rPr>
            </w:pPr>
            <w:r w:rsidRPr="00B0117D">
              <w:rPr>
                <w:color w:val="auto"/>
              </w:rPr>
              <w:t>Property</w:t>
            </w:r>
          </w:p>
        </w:tc>
        <w:tc>
          <w:tcPr>
            <w:tcW w:w="929" w:type="pct"/>
            <w:tcBorders>
              <w:top w:val="nil"/>
              <w:bottom w:val="nil"/>
            </w:tcBorders>
            <w:shd w:val="clear" w:color="auto" w:fill="auto"/>
            <w:vAlign w:val="bottom"/>
          </w:tcPr>
          <w:p w14:paraId="40709D7D" w14:textId="77777777" w:rsidR="00F647AE" w:rsidRPr="00B0117D" w:rsidRDefault="00B0117D" w:rsidP="003F1F7C">
            <w:pPr>
              <w:tabs>
                <w:tab w:val="decimal" w:pos="884"/>
              </w:tabs>
              <w:rPr>
                <w:color w:val="auto"/>
              </w:rPr>
            </w:pPr>
            <w:r w:rsidRPr="00B0117D">
              <w:rPr>
                <w:color w:val="auto"/>
              </w:rPr>
              <w:t>17.2</w:t>
            </w:r>
          </w:p>
        </w:tc>
        <w:tc>
          <w:tcPr>
            <w:tcW w:w="966" w:type="pct"/>
            <w:tcBorders>
              <w:top w:val="nil"/>
              <w:bottom w:val="nil"/>
            </w:tcBorders>
            <w:shd w:val="clear" w:color="auto" w:fill="auto"/>
            <w:vAlign w:val="bottom"/>
          </w:tcPr>
          <w:p w14:paraId="3B568885" w14:textId="77777777" w:rsidR="00F647AE" w:rsidRPr="00B0117D" w:rsidRDefault="00F647AE" w:rsidP="003F1F7C">
            <w:pPr>
              <w:tabs>
                <w:tab w:val="decimal" w:pos="1026"/>
              </w:tabs>
              <w:rPr>
                <w:color w:val="auto"/>
              </w:rPr>
            </w:pPr>
            <w:r w:rsidRPr="00B0117D">
              <w:rPr>
                <w:color w:val="auto"/>
              </w:rPr>
              <w:t>10.5</w:t>
            </w:r>
          </w:p>
        </w:tc>
      </w:tr>
      <w:tr w:rsidR="00F647AE" w:rsidRPr="00B0117D" w14:paraId="37DE23AF" w14:textId="77777777" w:rsidTr="00F647AE">
        <w:trPr>
          <w:trHeight w:val="369"/>
        </w:trPr>
        <w:tc>
          <w:tcPr>
            <w:tcW w:w="3105" w:type="pct"/>
            <w:shd w:val="clear" w:color="auto" w:fill="auto"/>
            <w:vAlign w:val="bottom"/>
          </w:tcPr>
          <w:p w14:paraId="45A818D5" w14:textId="77777777" w:rsidR="00F647AE" w:rsidRPr="00B0117D" w:rsidRDefault="00F647AE" w:rsidP="003F1F7C">
            <w:pPr>
              <w:jc w:val="left"/>
              <w:rPr>
                <w:color w:val="auto"/>
              </w:rPr>
            </w:pPr>
            <w:r w:rsidRPr="00B0117D">
              <w:rPr>
                <w:color w:val="auto"/>
              </w:rPr>
              <w:t>Miscellaneous</w:t>
            </w:r>
          </w:p>
        </w:tc>
        <w:tc>
          <w:tcPr>
            <w:tcW w:w="929" w:type="pct"/>
            <w:tcBorders>
              <w:top w:val="nil"/>
              <w:bottom w:val="single" w:sz="4" w:space="0" w:color="auto"/>
            </w:tcBorders>
            <w:shd w:val="clear" w:color="auto" w:fill="auto"/>
            <w:vAlign w:val="bottom"/>
          </w:tcPr>
          <w:p w14:paraId="5CCD780C" w14:textId="77777777" w:rsidR="00F647AE" w:rsidRPr="00B0117D" w:rsidRDefault="00B0117D" w:rsidP="003F1F7C">
            <w:pPr>
              <w:tabs>
                <w:tab w:val="decimal" w:pos="884"/>
              </w:tabs>
              <w:rPr>
                <w:color w:val="auto"/>
              </w:rPr>
            </w:pPr>
            <w:r w:rsidRPr="00B0117D">
              <w:rPr>
                <w:color w:val="auto"/>
              </w:rPr>
              <w:t>810.4</w:t>
            </w:r>
          </w:p>
        </w:tc>
        <w:tc>
          <w:tcPr>
            <w:tcW w:w="966" w:type="pct"/>
            <w:tcBorders>
              <w:top w:val="nil"/>
              <w:bottom w:val="single" w:sz="4" w:space="0" w:color="auto"/>
            </w:tcBorders>
            <w:shd w:val="clear" w:color="auto" w:fill="auto"/>
            <w:vAlign w:val="bottom"/>
          </w:tcPr>
          <w:p w14:paraId="51835EF1" w14:textId="77777777" w:rsidR="00F647AE" w:rsidRPr="00B0117D" w:rsidRDefault="00F647AE" w:rsidP="003F1F7C">
            <w:pPr>
              <w:tabs>
                <w:tab w:val="decimal" w:pos="1026"/>
              </w:tabs>
              <w:rPr>
                <w:color w:val="auto"/>
              </w:rPr>
            </w:pPr>
            <w:r w:rsidRPr="00B0117D">
              <w:rPr>
                <w:color w:val="auto"/>
              </w:rPr>
              <w:t>479.5</w:t>
            </w:r>
          </w:p>
        </w:tc>
      </w:tr>
      <w:tr w:rsidR="00F647AE" w:rsidRPr="00B0117D" w14:paraId="05C43457" w14:textId="77777777" w:rsidTr="003F1F7C">
        <w:trPr>
          <w:trHeight w:val="369"/>
        </w:trPr>
        <w:tc>
          <w:tcPr>
            <w:tcW w:w="3105" w:type="pct"/>
            <w:shd w:val="clear" w:color="auto" w:fill="auto"/>
            <w:vAlign w:val="bottom"/>
          </w:tcPr>
          <w:p w14:paraId="600BCC23" w14:textId="77777777" w:rsidR="00F647AE" w:rsidRPr="00B0117D" w:rsidRDefault="00F647AE" w:rsidP="003F1F7C">
            <w:pPr>
              <w:jc w:val="left"/>
              <w:rPr>
                <w:b/>
                <w:color w:val="auto"/>
              </w:rPr>
            </w:pPr>
            <w:r w:rsidRPr="00B0117D">
              <w:rPr>
                <w:b/>
                <w:color w:val="auto"/>
              </w:rPr>
              <w:t>Sub-total other investment funds</w:t>
            </w:r>
          </w:p>
        </w:tc>
        <w:tc>
          <w:tcPr>
            <w:tcW w:w="929" w:type="pct"/>
            <w:tcBorders>
              <w:top w:val="single" w:sz="4" w:space="0" w:color="auto"/>
              <w:bottom w:val="nil"/>
            </w:tcBorders>
            <w:shd w:val="clear" w:color="auto" w:fill="auto"/>
            <w:vAlign w:val="bottom"/>
          </w:tcPr>
          <w:p w14:paraId="3FA33335" w14:textId="77777777" w:rsidR="00F647AE" w:rsidRPr="00B0117D" w:rsidRDefault="00B0117D" w:rsidP="003F1F7C">
            <w:pPr>
              <w:tabs>
                <w:tab w:val="decimal" w:pos="884"/>
              </w:tabs>
              <w:rPr>
                <w:b/>
                <w:color w:val="auto"/>
              </w:rPr>
            </w:pPr>
            <w:r w:rsidRPr="00B0117D">
              <w:rPr>
                <w:b/>
                <w:color w:val="auto"/>
              </w:rPr>
              <w:t>958.6</w:t>
            </w:r>
          </w:p>
        </w:tc>
        <w:tc>
          <w:tcPr>
            <w:tcW w:w="966" w:type="pct"/>
            <w:tcBorders>
              <w:top w:val="single" w:sz="4" w:space="0" w:color="auto"/>
              <w:bottom w:val="nil"/>
            </w:tcBorders>
            <w:shd w:val="clear" w:color="auto" w:fill="auto"/>
            <w:vAlign w:val="bottom"/>
          </w:tcPr>
          <w:p w14:paraId="72F03F95" w14:textId="77777777" w:rsidR="00F647AE" w:rsidRPr="00B0117D" w:rsidRDefault="00F647AE" w:rsidP="003F1F7C">
            <w:pPr>
              <w:tabs>
                <w:tab w:val="decimal" w:pos="1026"/>
              </w:tabs>
              <w:rPr>
                <w:b/>
                <w:color w:val="auto"/>
              </w:rPr>
            </w:pPr>
            <w:r w:rsidRPr="00B0117D">
              <w:rPr>
                <w:b/>
                <w:color w:val="auto"/>
              </w:rPr>
              <w:t>603.9</w:t>
            </w:r>
          </w:p>
        </w:tc>
      </w:tr>
      <w:tr w:rsidR="00426385" w:rsidRPr="004F1182" w14:paraId="4F13579C" w14:textId="77777777" w:rsidTr="003F1F7C">
        <w:trPr>
          <w:trHeight w:val="369"/>
        </w:trPr>
        <w:tc>
          <w:tcPr>
            <w:tcW w:w="3105" w:type="pct"/>
            <w:shd w:val="clear" w:color="auto" w:fill="auto"/>
            <w:vAlign w:val="bottom"/>
          </w:tcPr>
          <w:p w14:paraId="53188ECC" w14:textId="77777777" w:rsidR="00426385" w:rsidRPr="00B0117D" w:rsidRDefault="00F647AE" w:rsidP="00F647AE">
            <w:pPr>
              <w:jc w:val="left"/>
              <w:rPr>
                <w:b/>
                <w:color w:val="auto"/>
              </w:rPr>
            </w:pPr>
            <w:r w:rsidRPr="00B0117D">
              <w:rPr>
                <w:b/>
                <w:color w:val="auto"/>
              </w:rPr>
              <w:t>Total assets</w:t>
            </w:r>
          </w:p>
        </w:tc>
        <w:tc>
          <w:tcPr>
            <w:tcW w:w="929" w:type="pct"/>
            <w:tcBorders>
              <w:top w:val="single" w:sz="4" w:space="0" w:color="auto"/>
              <w:bottom w:val="single" w:sz="4" w:space="0" w:color="auto"/>
            </w:tcBorders>
            <w:shd w:val="clear" w:color="auto" w:fill="auto"/>
            <w:vAlign w:val="bottom"/>
          </w:tcPr>
          <w:p w14:paraId="702B13DB" w14:textId="2CD3743E" w:rsidR="00426385" w:rsidRPr="00B0117D" w:rsidRDefault="00B0117D" w:rsidP="009E64A6">
            <w:pPr>
              <w:tabs>
                <w:tab w:val="decimal" w:pos="884"/>
              </w:tabs>
              <w:rPr>
                <w:b/>
                <w:color w:val="auto"/>
              </w:rPr>
            </w:pPr>
            <w:r w:rsidRPr="00B0117D">
              <w:rPr>
                <w:b/>
                <w:color w:val="auto"/>
              </w:rPr>
              <w:t>2,353.</w:t>
            </w:r>
            <w:r w:rsidR="009E64A6">
              <w:rPr>
                <w:b/>
                <w:color w:val="auto"/>
              </w:rPr>
              <w:t>8</w:t>
            </w:r>
          </w:p>
        </w:tc>
        <w:tc>
          <w:tcPr>
            <w:tcW w:w="966" w:type="pct"/>
            <w:tcBorders>
              <w:top w:val="single" w:sz="4" w:space="0" w:color="auto"/>
              <w:bottom w:val="single" w:sz="4" w:space="0" w:color="auto"/>
            </w:tcBorders>
            <w:shd w:val="clear" w:color="auto" w:fill="auto"/>
            <w:vAlign w:val="bottom"/>
          </w:tcPr>
          <w:p w14:paraId="3FA59A0A" w14:textId="77777777" w:rsidR="00426385" w:rsidRPr="004F1182" w:rsidRDefault="00426385" w:rsidP="003F1F7C">
            <w:pPr>
              <w:tabs>
                <w:tab w:val="decimal" w:pos="1026"/>
              </w:tabs>
              <w:rPr>
                <w:b/>
                <w:color w:val="auto"/>
              </w:rPr>
            </w:pPr>
            <w:r w:rsidRPr="00B0117D">
              <w:rPr>
                <w:b/>
                <w:color w:val="auto"/>
              </w:rPr>
              <w:t>2,093.0</w:t>
            </w:r>
          </w:p>
        </w:tc>
      </w:tr>
    </w:tbl>
    <w:p w14:paraId="119134D3" w14:textId="77777777" w:rsidR="009B53E2" w:rsidRDefault="009B53E2" w:rsidP="00433837">
      <w:pPr>
        <w:rPr>
          <w:b/>
          <w:lang w:eastAsia="en-GB"/>
        </w:rPr>
      </w:pPr>
    </w:p>
    <w:p w14:paraId="0AA44A5D" w14:textId="77777777" w:rsidR="009B53E2" w:rsidRDefault="009B53E2" w:rsidP="00433837">
      <w:pPr>
        <w:rPr>
          <w:b/>
          <w:lang w:eastAsia="en-GB"/>
        </w:rPr>
      </w:pPr>
    </w:p>
    <w:p w14:paraId="5BC57EBE" w14:textId="77777777" w:rsidR="009B53E2" w:rsidRDefault="009B53E2" w:rsidP="00433837">
      <w:pPr>
        <w:rPr>
          <w:b/>
          <w:lang w:eastAsia="en-GB"/>
        </w:rPr>
      </w:pPr>
    </w:p>
    <w:p w14:paraId="429C1843" w14:textId="77777777" w:rsidR="009B53E2" w:rsidRDefault="009B53E2" w:rsidP="00433837">
      <w:pPr>
        <w:rPr>
          <w:b/>
          <w:lang w:eastAsia="en-GB"/>
        </w:rPr>
      </w:pPr>
    </w:p>
    <w:p w14:paraId="139A06F2" w14:textId="431AAE5E" w:rsidR="00F647AE" w:rsidRPr="0007293D" w:rsidRDefault="00F647AE" w:rsidP="00433837">
      <w:pPr>
        <w:rPr>
          <w:b/>
          <w:lang w:eastAsia="en-GB"/>
        </w:rPr>
      </w:pPr>
      <w:r w:rsidRPr="0007293D">
        <w:rPr>
          <w:b/>
          <w:lang w:eastAsia="en-GB"/>
        </w:rPr>
        <w:t xml:space="preserve">Scheme </w:t>
      </w:r>
      <w:r w:rsidR="008E7863">
        <w:rPr>
          <w:b/>
          <w:lang w:eastAsia="en-GB"/>
        </w:rPr>
        <w:t>h</w:t>
      </w:r>
      <w:r w:rsidRPr="0007293D">
        <w:rPr>
          <w:b/>
          <w:lang w:eastAsia="en-GB"/>
        </w:rPr>
        <w:t>istory</w:t>
      </w:r>
    </w:p>
    <w:p w14:paraId="17092FF5" w14:textId="22F15149" w:rsidR="00207327" w:rsidRPr="0007293D" w:rsidRDefault="00207327" w:rsidP="00433837">
      <w:pPr>
        <w:rPr>
          <w:lang w:eastAsia="en-GB"/>
        </w:rPr>
      </w:pPr>
      <w:r w:rsidRPr="0007293D">
        <w:rPr>
          <w:lang w:eastAsia="en-GB"/>
        </w:rPr>
        <w:t xml:space="preserve">The amounts included in the Balance Sheet arising from the </w:t>
      </w:r>
      <w:r w:rsidR="00E820B6">
        <w:rPr>
          <w:lang w:eastAsia="en-GB"/>
        </w:rPr>
        <w:t>council</w:t>
      </w:r>
      <w:r w:rsidR="00E820B6" w:rsidRPr="0007293D">
        <w:rPr>
          <w:lang w:eastAsia="en-GB"/>
        </w:rPr>
        <w:t xml:space="preserve">’s </w:t>
      </w:r>
      <w:r w:rsidRPr="0007293D">
        <w:rPr>
          <w:lang w:eastAsia="en-GB"/>
        </w:rPr>
        <w:t>obligation in respect of its defined benefit plans is as follows:</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29"/>
        <w:gridCol w:w="1250"/>
        <w:gridCol w:w="1252"/>
        <w:gridCol w:w="1250"/>
        <w:gridCol w:w="1250"/>
        <w:gridCol w:w="1319"/>
      </w:tblGrid>
      <w:tr w:rsidR="00425E01" w:rsidRPr="0007293D" w14:paraId="1DDC6FC6" w14:textId="77777777" w:rsidTr="00A06955">
        <w:trPr>
          <w:trHeight w:val="369"/>
          <w:tblHeader/>
        </w:trPr>
        <w:tc>
          <w:tcPr>
            <w:tcW w:w="1976" w:type="pct"/>
            <w:shd w:val="clear" w:color="auto" w:fill="D0CECE"/>
            <w:vAlign w:val="bottom"/>
          </w:tcPr>
          <w:p w14:paraId="56818CC4" w14:textId="77777777" w:rsidR="00425E01" w:rsidRPr="0007293D" w:rsidRDefault="00425E01" w:rsidP="003F1F7C">
            <w:pPr>
              <w:jc w:val="center"/>
              <w:rPr>
                <w:b/>
                <w:color w:val="auto"/>
              </w:rPr>
            </w:pPr>
          </w:p>
        </w:tc>
        <w:tc>
          <w:tcPr>
            <w:tcW w:w="598" w:type="pct"/>
            <w:shd w:val="clear" w:color="auto" w:fill="D0CECE"/>
            <w:vAlign w:val="bottom"/>
          </w:tcPr>
          <w:p w14:paraId="43020EF9" w14:textId="77777777" w:rsidR="00425E01" w:rsidRPr="0007293D" w:rsidRDefault="00425E01" w:rsidP="003F1F7C">
            <w:pPr>
              <w:jc w:val="center"/>
              <w:rPr>
                <w:b/>
                <w:color w:val="auto"/>
              </w:rPr>
            </w:pPr>
            <w:r w:rsidRPr="0007293D">
              <w:rPr>
                <w:b/>
                <w:color w:val="auto"/>
              </w:rPr>
              <w:t>2010/11</w:t>
            </w:r>
          </w:p>
        </w:tc>
        <w:tc>
          <w:tcPr>
            <w:tcW w:w="599" w:type="pct"/>
            <w:shd w:val="clear" w:color="auto" w:fill="D0CECE"/>
            <w:vAlign w:val="bottom"/>
          </w:tcPr>
          <w:p w14:paraId="41054325" w14:textId="77777777" w:rsidR="00425E01" w:rsidRPr="0007293D" w:rsidRDefault="00425E01" w:rsidP="003F1F7C">
            <w:pPr>
              <w:jc w:val="center"/>
              <w:rPr>
                <w:b/>
                <w:color w:val="auto"/>
              </w:rPr>
            </w:pPr>
            <w:r w:rsidRPr="0007293D">
              <w:rPr>
                <w:b/>
                <w:color w:val="auto"/>
              </w:rPr>
              <w:t>2011/12</w:t>
            </w:r>
          </w:p>
        </w:tc>
        <w:tc>
          <w:tcPr>
            <w:tcW w:w="598" w:type="pct"/>
            <w:shd w:val="clear" w:color="auto" w:fill="D0CECE"/>
            <w:vAlign w:val="bottom"/>
          </w:tcPr>
          <w:p w14:paraId="01EDB05F" w14:textId="77777777" w:rsidR="00425E01" w:rsidRPr="0007293D" w:rsidRDefault="00425E01" w:rsidP="003F1F7C">
            <w:pPr>
              <w:jc w:val="center"/>
              <w:rPr>
                <w:b/>
                <w:color w:val="auto"/>
              </w:rPr>
            </w:pPr>
            <w:r w:rsidRPr="0007293D">
              <w:rPr>
                <w:b/>
                <w:color w:val="auto"/>
              </w:rPr>
              <w:t>2012/13</w:t>
            </w:r>
          </w:p>
        </w:tc>
        <w:tc>
          <w:tcPr>
            <w:tcW w:w="598" w:type="pct"/>
            <w:shd w:val="clear" w:color="auto" w:fill="D0CECE"/>
            <w:vAlign w:val="bottom"/>
          </w:tcPr>
          <w:p w14:paraId="1693DC65" w14:textId="77777777" w:rsidR="00425E01" w:rsidRPr="0007293D" w:rsidRDefault="00425E01" w:rsidP="003F1F7C">
            <w:pPr>
              <w:jc w:val="center"/>
              <w:rPr>
                <w:b/>
                <w:color w:val="auto"/>
              </w:rPr>
            </w:pPr>
            <w:r w:rsidRPr="0007293D">
              <w:rPr>
                <w:b/>
                <w:color w:val="auto"/>
              </w:rPr>
              <w:t>2013/14</w:t>
            </w:r>
          </w:p>
        </w:tc>
        <w:tc>
          <w:tcPr>
            <w:tcW w:w="631" w:type="pct"/>
            <w:shd w:val="clear" w:color="auto" w:fill="D0CECE"/>
            <w:vAlign w:val="bottom"/>
          </w:tcPr>
          <w:p w14:paraId="417AC4CB" w14:textId="77777777" w:rsidR="00425E01" w:rsidRPr="0007293D" w:rsidRDefault="00425E01" w:rsidP="003F1F7C">
            <w:pPr>
              <w:jc w:val="center"/>
              <w:rPr>
                <w:b/>
                <w:color w:val="auto"/>
              </w:rPr>
            </w:pPr>
            <w:r w:rsidRPr="0007293D">
              <w:rPr>
                <w:b/>
                <w:color w:val="auto"/>
              </w:rPr>
              <w:t>2014/15</w:t>
            </w:r>
          </w:p>
        </w:tc>
      </w:tr>
      <w:tr w:rsidR="00425E01" w:rsidRPr="0007293D" w14:paraId="3E85F3C9" w14:textId="77777777" w:rsidTr="00A06955">
        <w:trPr>
          <w:trHeight w:val="369"/>
          <w:tblHeader/>
        </w:trPr>
        <w:tc>
          <w:tcPr>
            <w:tcW w:w="1976" w:type="pct"/>
            <w:shd w:val="clear" w:color="auto" w:fill="D0CECE"/>
            <w:vAlign w:val="bottom"/>
          </w:tcPr>
          <w:p w14:paraId="2CB8B21B" w14:textId="77777777" w:rsidR="00425E01" w:rsidRPr="0007293D" w:rsidRDefault="00425E01" w:rsidP="003F1F7C">
            <w:pPr>
              <w:jc w:val="left"/>
              <w:rPr>
                <w:color w:val="auto"/>
              </w:rPr>
            </w:pPr>
          </w:p>
        </w:tc>
        <w:tc>
          <w:tcPr>
            <w:tcW w:w="598" w:type="pct"/>
            <w:shd w:val="clear" w:color="auto" w:fill="D0CECE"/>
            <w:vAlign w:val="bottom"/>
          </w:tcPr>
          <w:p w14:paraId="449591F8" w14:textId="77777777" w:rsidR="00425E01" w:rsidRPr="0007293D" w:rsidRDefault="00425E01" w:rsidP="003F1F7C">
            <w:pPr>
              <w:jc w:val="center"/>
              <w:rPr>
                <w:b/>
                <w:color w:val="auto"/>
              </w:rPr>
            </w:pPr>
            <w:r w:rsidRPr="0007293D">
              <w:rPr>
                <w:b/>
                <w:color w:val="auto"/>
              </w:rPr>
              <w:t>£m</w:t>
            </w:r>
          </w:p>
        </w:tc>
        <w:tc>
          <w:tcPr>
            <w:tcW w:w="599" w:type="pct"/>
            <w:shd w:val="clear" w:color="auto" w:fill="D0CECE"/>
            <w:vAlign w:val="bottom"/>
          </w:tcPr>
          <w:p w14:paraId="390DC0F8" w14:textId="77777777" w:rsidR="00425E01" w:rsidRPr="0007293D" w:rsidRDefault="00425E01" w:rsidP="003F1F7C">
            <w:pPr>
              <w:jc w:val="center"/>
              <w:rPr>
                <w:b/>
                <w:color w:val="auto"/>
              </w:rPr>
            </w:pPr>
            <w:r w:rsidRPr="0007293D">
              <w:rPr>
                <w:b/>
                <w:color w:val="auto"/>
              </w:rPr>
              <w:t>£m</w:t>
            </w:r>
          </w:p>
        </w:tc>
        <w:tc>
          <w:tcPr>
            <w:tcW w:w="598" w:type="pct"/>
            <w:shd w:val="clear" w:color="auto" w:fill="D0CECE"/>
            <w:vAlign w:val="bottom"/>
          </w:tcPr>
          <w:p w14:paraId="5FB0B6D2" w14:textId="77777777" w:rsidR="00425E01" w:rsidRPr="0007293D" w:rsidRDefault="00425E01" w:rsidP="003F1F7C">
            <w:pPr>
              <w:jc w:val="center"/>
              <w:rPr>
                <w:b/>
                <w:color w:val="auto"/>
              </w:rPr>
            </w:pPr>
            <w:r w:rsidRPr="0007293D">
              <w:rPr>
                <w:b/>
                <w:color w:val="auto"/>
              </w:rPr>
              <w:t>£m</w:t>
            </w:r>
          </w:p>
        </w:tc>
        <w:tc>
          <w:tcPr>
            <w:tcW w:w="598" w:type="pct"/>
            <w:shd w:val="clear" w:color="auto" w:fill="D0CECE"/>
            <w:vAlign w:val="bottom"/>
          </w:tcPr>
          <w:p w14:paraId="19627021" w14:textId="77777777" w:rsidR="00425E01" w:rsidRPr="0007293D" w:rsidRDefault="00425E01" w:rsidP="003F1F7C">
            <w:pPr>
              <w:jc w:val="center"/>
              <w:rPr>
                <w:b/>
                <w:color w:val="auto"/>
              </w:rPr>
            </w:pPr>
            <w:r w:rsidRPr="0007293D">
              <w:rPr>
                <w:b/>
                <w:color w:val="auto"/>
              </w:rPr>
              <w:t>£m</w:t>
            </w:r>
          </w:p>
        </w:tc>
        <w:tc>
          <w:tcPr>
            <w:tcW w:w="631" w:type="pct"/>
            <w:shd w:val="clear" w:color="auto" w:fill="D0CECE"/>
            <w:vAlign w:val="bottom"/>
          </w:tcPr>
          <w:p w14:paraId="707473A8" w14:textId="77777777" w:rsidR="00425E01" w:rsidRPr="0007293D" w:rsidRDefault="00425E01" w:rsidP="003F1F7C">
            <w:pPr>
              <w:jc w:val="center"/>
              <w:rPr>
                <w:b/>
                <w:color w:val="auto"/>
              </w:rPr>
            </w:pPr>
            <w:r w:rsidRPr="0007293D">
              <w:rPr>
                <w:b/>
                <w:color w:val="auto"/>
              </w:rPr>
              <w:t>£m</w:t>
            </w:r>
          </w:p>
        </w:tc>
      </w:tr>
      <w:tr w:rsidR="00425E01" w:rsidRPr="0007293D" w14:paraId="44026CF2" w14:textId="77777777" w:rsidTr="00425E01">
        <w:trPr>
          <w:trHeight w:val="369"/>
        </w:trPr>
        <w:tc>
          <w:tcPr>
            <w:tcW w:w="1976" w:type="pct"/>
            <w:shd w:val="clear" w:color="auto" w:fill="auto"/>
            <w:vAlign w:val="bottom"/>
          </w:tcPr>
          <w:p w14:paraId="33E63452" w14:textId="77777777" w:rsidR="00425E01" w:rsidRPr="0007293D" w:rsidRDefault="00425E01" w:rsidP="003F1F7C">
            <w:pPr>
              <w:jc w:val="left"/>
              <w:rPr>
                <w:color w:val="auto"/>
                <w:u w:val="single"/>
              </w:rPr>
            </w:pPr>
            <w:r w:rsidRPr="0007293D">
              <w:rPr>
                <w:color w:val="auto"/>
                <w:u w:val="single"/>
              </w:rPr>
              <w:t>Present value of scheme liabilities</w:t>
            </w:r>
          </w:p>
        </w:tc>
        <w:tc>
          <w:tcPr>
            <w:tcW w:w="598" w:type="pct"/>
            <w:tcBorders>
              <w:bottom w:val="nil"/>
            </w:tcBorders>
            <w:shd w:val="clear" w:color="auto" w:fill="auto"/>
            <w:vAlign w:val="bottom"/>
          </w:tcPr>
          <w:p w14:paraId="21720083" w14:textId="77777777" w:rsidR="00425E01" w:rsidRPr="0007293D" w:rsidRDefault="00425E01" w:rsidP="003F1F7C">
            <w:pPr>
              <w:tabs>
                <w:tab w:val="decimal" w:pos="601"/>
              </w:tabs>
              <w:rPr>
                <w:color w:val="auto"/>
              </w:rPr>
            </w:pPr>
          </w:p>
        </w:tc>
        <w:tc>
          <w:tcPr>
            <w:tcW w:w="599" w:type="pct"/>
            <w:tcBorders>
              <w:bottom w:val="nil"/>
            </w:tcBorders>
            <w:vAlign w:val="bottom"/>
          </w:tcPr>
          <w:p w14:paraId="2D8A6973" w14:textId="77777777" w:rsidR="00425E01" w:rsidRPr="0007293D" w:rsidRDefault="00425E01" w:rsidP="003F1F7C">
            <w:pPr>
              <w:tabs>
                <w:tab w:val="decimal" w:pos="602"/>
              </w:tabs>
              <w:rPr>
                <w:color w:val="auto"/>
              </w:rPr>
            </w:pPr>
          </w:p>
        </w:tc>
        <w:tc>
          <w:tcPr>
            <w:tcW w:w="598" w:type="pct"/>
            <w:tcBorders>
              <w:bottom w:val="nil"/>
            </w:tcBorders>
            <w:vAlign w:val="bottom"/>
          </w:tcPr>
          <w:p w14:paraId="31FC1BAC" w14:textId="77777777" w:rsidR="00425E01" w:rsidRPr="0007293D" w:rsidRDefault="00425E01" w:rsidP="003F1F7C">
            <w:pPr>
              <w:tabs>
                <w:tab w:val="decimal" w:pos="767"/>
              </w:tabs>
              <w:rPr>
                <w:color w:val="auto"/>
              </w:rPr>
            </w:pPr>
          </w:p>
        </w:tc>
        <w:tc>
          <w:tcPr>
            <w:tcW w:w="598" w:type="pct"/>
            <w:tcBorders>
              <w:bottom w:val="nil"/>
            </w:tcBorders>
            <w:shd w:val="clear" w:color="auto" w:fill="auto"/>
            <w:vAlign w:val="bottom"/>
          </w:tcPr>
          <w:p w14:paraId="2FBE667C" w14:textId="77777777" w:rsidR="00425E01" w:rsidRPr="0007293D" w:rsidRDefault="00425E01" w:rsidP="003F1F7C">
            <w:pPr>
              <w:tabs>
                <w:tab w:val="decimal" w:pos="785"/>
              </w:tabs>
              <w:rPr>
                <w:color w:val="auto"/>
              </w:rPr>
            </w:pPr>
          </w:p>
        </w:tc>
        <w:tc>
          <w:tcPr>
            <w:tcW w:w="631" w:type="pct"/>
            <w:tcBorders>
              <w:bottom w:val="nil"/>
            </w:tcBorders>
            <w:shd w:val="clear" w:color="auto" w:fill="auto"/>
            <w:vAlign w:val="bottom"/>
          </w:tcPr>
          <w:p w14:paraId="366E6416" w14:textId="77777777" w:rsidR="00425E01" w:rsidRPr="0007293D" w:rsidRDefault="00425E01" w:rsidP="003F1F7C">
            <w:pPr>
              <w:tabs>
                <w:tab w:val="decimal" w:pos="602"/>
              </w:tabs>
              <w:rPr>
                <w:color w:val="auto"/>
              </w:rPr>
            </w:pPr>
          </w:p>
        </w:tc>
      </w:tr>
      <w:tr w:rsidR="00425E01" w:rsidRPr="0007293D" w14:paraId="4AB4B81B" w14:textId="77777777" w:rsidTr="00425E01">
        <w:trPr>
          <w:trHeight w:val="369"/>
        </w:trPr>
        <w:tc>
          <w:tcPr>
            <w:tcW w:w="1976" w:type="pct"/>
            <w:shd w:val="clear" w:color="auto" w:fill="auto"/>
            <w:vAlign w:val="bottom"/>
          </w:tcPr>
          <w:p w14:paraId="2C1A484C" w14:textId="77777777" w:rsidR="00425E01" w:rsidRPr="0007293D" w:rsidRDefault="00425E01" w:rsidP="003F1F7C">
            <w:pPr>
              <w:jc w:val="left"/>
              <w:rPr>
                <w:color w:val="auto"/>
              </w:rPr>
            </w:pPr>
            <w:r w:rsidRPr="0007293D">
              <w:rPr>
                <w:sz w:val="22"/>
                <w:szCs w:val="20"/>
              </w:rPr>
              <w:t>Local Government Pensions Scheme</w:t>
            </w:r>
          </w:p>
        </w:tc>
        <w:tc>
          <w:tcPr>
            <w:tcW w:w="598" w:type="pct"/>
            <w:tcBorders>
              <w:top w:val="nil"/>
              <w:bottom w:val="nil"/>
            </w:tcBorders>
            <w:shd w:val="clear" w:color="auto" w:fill="auto"/>
            <w:vAlign w:val="bottom"/>
          </w:tcPr>
          <w:p w14:paraId="075450EC" w14:textId="77777777" w:rsidR="00425E01" w:rsidRPr="0007293D" w:rsidRDefault="00425E01" w:rsidP="00425E01">
            <w:pPr>
              <w:tabs>
                <w:tab w:val="decimal" w:pos="601"/>
              </w:tabs>
              <w:rPr>
                <w:color w:val="auto"/>
              </w:rPr>
            </w:pPr>
            <w:r w:rsidRPr="0007293D">
              <w:rPr>
                <w:color w:val="auto"/>
              </w:rPr>
              <w:t>(2,372.0)</w:t>
            </w:r>
          </w:p>
        </w:tc>
        <w:tc>
          <w:tcPr>
            <w:tcW w:w="599" w:type="pct"/>
            <w:tcBorders>
              <w:top w:val="nil"/>
              <w:bottom w:val="nil"/>
            </w:tcBorders>
            <w:vAlign w:val="bottom"/>
          </w:tcPr>
          <w:p w14:paraId="48B121E2" w14:textId="77777777" w:rsidR="00425E01" w:rsidRPr="0007293D" w:rsidRDefault="00425E01" w:rsidP="003F1F7C">
            <w:pPr>
              <w:tabs>
                <w:tab w:val="decimal" w:pos="602"/>
              </w:tabs>
              <w:rPr>
                <w:color w:val="auto"/>
              </w:rPr>
            </w:pPr>
            <w:r w:rsidRPr="0007293D">
              <w:rPr>
                <w:color w:val="auto"/>
              </w:rPr>
              <w:t>(2,555.4)</w:t>
            </w:r>
          </w:p>
        </w:tc>
        <w:tc>
          <w:tcPr>
            <w:tcW w:w="598" w:type="pct"/>
            <w:tcBorders>
              <w:top w:val="nil"/>
              <w:bottom w:val="nil"/>
            </w:tcBorders>
            <w:vAlign w:val="bottom"/>
          </w:tcPr>
          <w:p w14:paraId="4E6DC520" w14:textId="77777777" w:rsidR="00425E01" w:rsidRPr="0007293D" w:rsidRDefault="008D1B78" w:rsidP="003F1F7C">
            <w:pPr>
              <w:tabs>
                <w:tab w:val="decimal" w:pos="767"/>
              </w:tabs>
              <w:rPr>
                <w:color w:val="auto"/>
              </w:rPr>
            </w:pPr>
            <w:r w:rsidRPr="0007293D">
              <w:rPr>
                <w:color w:val="auto"/>
              </w:rPr>
              <w:t>(2,986.1)</w:t>
            </w:r>
          </w:p>
        </w:tc>
        <w:tc>
          <w:tcPr>
            <w:tcW w:w="598" w:type="pct"/>
            <w:tcBorders>
              <w:top w:val="nil"/>
              <w:bottom w:val="nil"/>
            </w:tcBorders>
            <w:shd w:val="clear" w:color="auto" w:fill="auto"/>
            <w:vAlign w:val="bottom"/>
          </w:tcPr>
          <w:p w14:paraId="64303749" w14:textId="77777777" w:rsidR="00425E01" w:rsidRPr="0007293D" w:rsidRDefault="008D1B78" w:rsidP="003F1F7C">
            <w:pPr>
              <w:tabs>
                <w:tab w:val="decimal" w:pos="785"/>
              </w:tabs>
              <w:rPr>
                <w:color w:val="auto"/>
              </w:rPr>
            </w:pPr>
            <w:r w:rsidRPr="0007293D">
              <w:rPr>
                <w:color w:val="auto"/>
              </w:rPr>
              <w:t>(2,858.0)</w:t>
            </w:r>
          </w:p>
        </w:tc>
        <w:tc>
          <w:tcPr>
            <w:tcW w:w="631" w:type="pct"/>
            <w:tcBorders>
              <w:top w:val="nil"/>
              <w:bottom w:val="nil"/>
            </w:tcBorders>
            <w:shd w:val="clear" w:color="auto" w:fill="auto"/>
            <w:vAlign w:val="bottom"/>
          </w:tcPr>
          <w:p w14:paraId="28C5E37B" w14:textId="77777777" w:rsidR="00425E01" w:rsidRPr="0007293D" w:rsidRDefault="0007293D" w:rsidP="003F1F7C">
            <w:pPr>
              <w:tabs>
                <w:tab w:val="decimal" w:pos="602"/>
              </w:tabs>
              <w:rPr>
                <w:color w:val="auto"/>
              </w:rPr>
            </w:pPr>
            <w:r>
              <w:rPr>
                <w:color w:val="auto"/>
              </w:rPr>
              <w:t>(3,446.4)</w:t>
            </w:r>
          </w:p>
        </w:tc>
      </w:tr>
      <w:tr w:rsidR="00425E01" w:rsidRPr="0007293D" w14:paraId="73CE5E28" w14:textId="77777777" w:rsidTr="00425E01">
        <w:trPr>
          <w:trHeight w:val="369"/>
        </w:trPr>
        <w:tc>
          <w:tcPr>
            <w:tcW w:w="1976" w:type="pct"/>
            <w:shd w:val="clear" w:color="auto" w:fill="auto"/>
            <w:vAlign w:val="bottom"/>
          </w:tcPr>
          <w:p w14:paraId="1207B628" w14:textId="77777777" w:rsidR="00425E01" w:rsidRPr="0007293D" w:rsidRDefault="00425E01" w:rsidP="003F1F7C">
            <w:pPr>
              <w:jc w:val="left"/>
              <w:rPr>
                <w:color w:val="auto"/>
              </w:rPr>
            </w:pPr>
            <w:r w:rsidRPr="0007293D">
              <w:rPr>
                <w:sz w:val="22"/>
                <w:szCs w:val="20"/>
              </w:rPr>
              <w:t>Teachers</w:t>
            </w:r>
            <w:r w:rsidR="00FC11A1">
              <w:rPr>
                <w:sz w:val="22"/>
                <w:szCs w:val="20"/>
              </w:rPr>
              <w:t>'</w:t>
            </w:r>
            <w:r w:rsidRPr="0007293D">
              <w:rPr>
                <w:sz w:val="22"/>
                <w:szCs w:val="20"/>
              </w:rPr>
              <w:t xml:space="preserve"> Pensions Scheme</w:t>
            </w:r>
          </w:p>
        </w:tc>
        <w:tc>
          <w:tcPr>
            <w:tcW w:w="598" w:type="pct"/>
            <w:tcBorders>
              <w:top w:val="nil"/>
              <w:bottom w:val="nil"/>
            </w:tcBorders>
            <w:shd w:val="clear" w:color="auto" w:fill="auto"/>
            <w:vAlign w:val="bottom"/>
          </w:tcPr>
          <w:p w14:paraId="4CE3E7E9" w14:textId="77777777" w:rsidR="00425E01" w:rsidRPr="0007293D" w:rsidRDefault="00425E01" w:rsidP="00425E01">
            <w:pPr>
              <w:tabs>
                <w:tab w:val="decimal" w:pos="601"/>
              </w:tabs>
              <w:rPr>
                <w:color w:val="auto"/>
              </w:rPr>
            </w:pPr>
            <w:r w:rsidRPr="0007293D">
              <w:rPr>
                <w:color w:val="auto"/>
              </w:rPr>
              <w:t>(136.2)</w:t>
            </w:r>
          </w:p>
        </w:tc>
        <w:tc>
          <w:tcPr>
            <w:tcW w:w="599" w:type="pct"/>
            <w:tcBorders>
              <w:top w:val="nil"/>
              <w:bottom w:val="nil"/>
            </w:tcBorders>
            <w:vAlign w:val="bottom"/>
          </w:tcPr>
          <w:p w14:paraId="5E44A524" w14:textId="77777777" w:rsidR="00425E01" w:rsidRPr="0007293D" w:rsidRDefault="00425E01" w:rsidP="003F1F7C">
            <w:pPr>
              <w:tabs>
                <w:tab w:val="decimal" w:pos="602"/>
              </w:tabs>
              <w:rPr>
                <w:color w:val="auto"/>
              </w:rPr>
            </w:pPr>
            <w:r w:rsidRPr="0007293D">
              <w:rPr>
                <w:color w:val="auto"/>
              </w:rPr>
              <w:t>(137.4)</w:t>
            </w:r>
          </w:p>
        </w:tc>
        <w:tc>
          <w:tcPr>
            <w:tcW w:w="598" w:type="pct"/>
            <w:tcBorders>
              <w:top w:val="nil"/>
              <w:bottom w:val="nil"/>
            </w:tcBorders>
            <w:vAlign w:val="bottom"/>
          </w:tcPr>
          <w:p w14:paraId="0A804B92" w14:textId="77777777" w:rsidR="00425E01" w:rsidRPr="0007293D" w:rsidRDefault="008D1B78" w:rsidP="003F1F7C">
            <w:pPr>
              <w:tabs>
                <w:tab w:val="decimal" w:pos="767"/>
              </w:tabs>
              <w:rPr>
                <w:color w:val="auto"/>
              </w:rPr>
            </w:pPr>
            <w:r w:rsidRPr="0007293D">
              <w:rPr>
                <w:color w:val="auto"/>
              </w:rPr>
              <w:t>(150.1)</w:t>
            </w:r>
          </w:p>
        </w:tc>
        <w:tc>
          <w:tcPr>
            <w:tcW w:w="598" w:type="pct"/>
            <w:tcBorders>
              <w:top w:val="nil"/>
              <w:bottom w:val="nil"/>
            </w:tcBorders>
            <w:shd w:val="clear" w:color="auto" w:fill="auto"/>
            <w:vAlign w:val="bottom"/>
          </w:tcPr>
          <w:p w14:paraId="76DFCC52" w14:textId="77777777" w:rsidR="00425E01" w:rsidRPr="0007293D" w:rsidRDefault="008D1B78" w:rsidP="003F1F7C">
            <w:pPr>
              <w:tabs>
                <w:tab w:val="decimal" w:pos="785"/>
              </w:tabs>
              <w:rPr>
                <w:color w:val="auto"/>
              </w:rPr>
            </w:pPr>
            <w:r w:rsidRPr="0007293D">
              <w:rPr>
                <w:color w:val="auto"/>
              </w:rPr>
              <w:t>(140.1)</w:t>
            </w:r>
          </w:p>
        </w:tc>
        <w:tc>
          <w:tcPr>
            <w:tcW w:w="631" w:type="pct"/>
            <w:tcBorders>
              <w:top w:val="nil"/>
              <w:bottom w:val="nil"/>
            </w:tcBorders>
            <w:shd w:val="clear" w:color="auto" w:fill="auto"/>
            <w:vAlign w:val="bottom"/>
          </w:tcPr>
          <w:p w14:paraId="02AE4D0B" w14:textId="1EC8241B" w:rsidR="00425E01" w:rsidRPr="0007293D" w:rsidRDefault="0007293D" w:rsidP="001F2704">
            <w:pPr>
              <w:tabs>
                <w:tab w:val="decimal" w:pos="602"/>
              </w:tabs>
              <w:rPr>
                <w:color w:val="auto"/>
              </w:rPr>
            </w:pPr>
            <w:r>
              <w:rPr>
                <w:color w:val="auto"/>
              </w:rPr>
              <w:t>(14</w:t>
            </w:r>
            <w:r w:rsidR="001F2704">
              <w:rPr>
                <w:color w:val="auto"/>
              </w:rPr>
              <w:t>5.4</w:t>
            </w:r>
            <w:r>
              <w:rPr>
                <w:color w:val="auto"/>
              </w:rPr>
              <w:t>)</w:t>
            </w:r>
          </w:p>
        </w:tc>
      </w:tr>
      <w:tr w:rsidR="00425E01" w:rsidRPr="0007293D" w14:paraId="69AC918F" w14:textId="77777777" w:rsidTr="00425E01">
        <w:trPr>
          <w:trHeight w:val="369"/>
        </w:trPr>
        <w:tc>
          <w:tcPr>
            <w:tcW w:w="1976" w:type="pct"/>
            <w:shd w:val="clear" w:color="auto" w:fill="auto"/>
            <w:vAlign w:val="bottom"/>
          </w:tcPr>
          <w:p w14:paraId="4EFF2975" w14:textId="77777777" w:rsidR="00425E01" w:rsidRPr="0007293D" w:rsidRDefault="00425E01" w:rsidP="003F1F7C">
            <w:pPr>
              <w:jc w:val="left"/>
              <w:rPr>
                <w:b/>
                <w:color w:val="auto"/>
              </w:rPr>
            </w:pPr>
            <w:r w:rsidRPr="0007293D">
              <w:rPr>
                <w:b/>
                <w:color w:val="auto"/>
              </w:rPr>
              <w:t>Fair value of assets in the Lancashire County Pension Fund</w:t>
            </w:r>
          </w:p>
        </w:tc>
        <w:tc>
          <w:tcPr>
            <w:tcW w:w="598" w:type="pct"/>
            <w:shd w:val="clear" w:color="auto" w:fill="auto"/>
            <w:vAlign w:val="bottom"/>
          </w:tcPr>
          <w:p w14:paraId="2DE640E7" w14:textId="77777777" w:rsidR="00425E01" w:rsidRPr="0007293D" w:rsidRDefault="00425E01" w:rsidP="003F1F7C">
            <w:pPr>
              <w:tabs>
                <w:tab w:val="decimal" w:pos="601"/>
              </w:tabs>
              <w:rPr>
                <w:b/>
                <w:color w:val="auto"/>
              </w:rPr>
            </w:pPr>
            <w:r w:rsidRPr="0007293D">
              <w:rPr>
                <w:b/>
                <w:color w:val="auto"/>
              </w:rPr>
              <w:t>1,743.0</w:t>
            </w:r>
          </w:p>
        </w:tc>
        <w:tc>
          <w:tcPr>
            <w:tcW w:w="599" w:type="pct"/>
            <w:vAlign w:val="bottom"/>
          </w:tcPr>
          <w:p w14:paraId="755497C2" w14:textId="77777777" w:rsidR="00425E01" w:rsidRPr="0007293D" w:rsidRDefault="00425E01" w:rsidP="003F1F7C">
            <w:pPr>
              <w:tabs>
                <w:tab w:val="decimal" w:pos="602"/>
              </w:tabs>
              <w:rPr>
                <w:b/>
                <w:color w:val="auto"/>
              </w:rPr>
            </w:pPr>
            <w:r w:rsidRPr="0007293D">
              <w:rPr>
                <w:b/>
                <w:color w:val="auto"/>
              </w:rPr>
              <w:t>1,753.2</w:t>
            </w:r>
          </w:p>
        </w:tc>
        <w:tc>
          <w:tcPr>
            <w:tcW w:w="598" w:type="pct"/>
            <w:vAlign w:val="bottom"/>
          </w:tcPr>
          <w:p w14:paraId="494EF65F" w14:textId="77777777" w:rsidR="00425E01" w:rsidRPr="0007293D" w:rsidRDefault="008D1B78" w:rsidP="003F1F7C">
            <w:pPr>
              <w:tabs>
                <w:tab w:val="decimal" w:pos="767"/>
              </w:tabs>
              <w:rPr>
                <w:b/>
                <w:color w:val="auto"/>
              </w:rPr>
            </w:pPr>
            <w:r w:rsidRPr="0007293D">
              <w:rPr>
                <w:b/>
                <w:color w:val="auto"/>
              </w:rPr>
              <w:t>2,009.1</w:t>
            </w:r>
          </w:p>
        </w:tc>
        <w:tc>
          <w:tcPr>
            <w:tcW w:w="598" w:type="pct"/>
            <w:shd w:val="clear" w:color="auto" w:fill="auto"/>
            <w:vAlign w:val="bottom"/>
          </w:tcPr>
          <w:p w14:paraId="754E6EF4" w14:textId="77777777" w:rsidR="00425E01" w:rsidRPr="0007293D" w:rsidRDefault="008D1B78" w:rsidP="003F1F7C">
            <w:pPr>
              <w:tabs>
                <w:tab w:val="decimal" w:pos="785"/>
              </w:tabs>
              <w:rPr>
                <w:b/>
                <w:color w:val="auto"/>
              </w:rPr>
            </w:pPr>
            <w:r w:rsidRPr="0007293D">
              <w:rPr>
                <w:b/>
                <w:color w:val="auto"/>
              </w:rPr>
              <w:t>2,093.0</w:t>
            </w:r>
          </w:p>
        </w:tc>
        <w:tc>
          <w:tcPr>
            <w:tcW w:w="631" w:type="pct"/>
            <w:shd w:val="clear" w:color="auto" w:fill="auto"/>
            <w:vAlign w:val="bottom"/>
          </w:tcPr>
          <w:p w14:paraId="5D037BAD" w14:textId="77777777" w:rsidR="00425E01" w:rsidRPr="0007293D" w:rsidRDefault="0007293D" w:rsidP="003F1F7C">
            <w:pPr>
              <w:tabs>
                <w:tab w:val="decimal" w:pos="602"/>
              </w:tabs>
              <w:rPr>
                <w:b/>
                <w:color w:val="auto"/>
              </w:rPr>
            </w:pPr>
            <w:r>
              <w:rPr>
                <w:b/>
                <w:color w:val="auto"/>
              </w:rPr>
              <w:t>2,353.6</w:t>
            </w:r>
          </w:p>
        </w:tc>
      </w:tr>
      <w:tr w:rsidR="00425E01" w:rsidRPr="0007293D" w14:paraId="58342BFA" w14:textId="77777777" w:rsidTr="00425E01">
        <w:trPr>
          <w:trHeight w:val="369"/>
        </w:trPr>
        <w:tc>
          <w:tcPr>
            <w:tcW w:w="1976" w:type="pct"/>
            <w:shd w:val="clear" w:color="auto" w:fill="auto"/>
            <w:vAlign w:val="bottom"/>
          </w:tcPr>
          <w:p w14:paraId="1C590281" w14:textId="77777777" w:rsidR="00425E01" w:rsidRPr="0007293D" w:rsidRDefault="00425E01" w:rsidP="003F1F7C">
            <w:pPr>
              <w:jc w:val="left"/>
              <w:rPr>
                <w:color w:val="auto"/>
                <w:u w:val="single"/>
              </w:rPr>
            </w:pPr>
            <w:r w:rsidRPr="00D4476A">
              <w:rPr>
                <w:color w:val="auto"/>
                <w:u w:val="single"/>
              </w:rPr>
              <w:t>Surplus/(deficit)</w:t>
            </w:r>
            <w:r w:rsidRPr="0007293D">
              <w:rPr>
                <w:color w:val="auto"/>
                <w:u w:val="single"/>
              </w:rPr>
              <w:t xml:space="preserve"> in scheme</w:t>
            </w:r>
          </w:p>
        </w:tc>
        <w:tc>
          <w:tcPr>
            <w:tcW w:w="598" w:type="pct"/>
            <w:shd w:val="clear" w:color="auto" w:fill="auto"/>
            <w:vAlign w:val="bottom"/>
          </w:tcPr>
          <w:p w14:paraId="1DC1C364" w14:textId="77777777" w:rsidR="00425E01" w:rsidRPr="0007293D" w:rsidRDefault="00425E01" w:rsidP="003F1F7C">
            <w:pPr>
              <w:tabs>
                <w:tab w:val="decimal" w:pos="601"/>
              </w:tabs>
              <w:rPr>
                <w:color w:val="auto"/>
              </w:rPr>
            </w:pPr>
          </w:p>
        </w:tc>
        <w:tc>
          <w:tcPr>
            <w:tcW w:w="599" w:type="pct"/>
            <w:vAlign w:val="bottom"/>
          </w:tcPr>
          <w:p w14:paraId="2D719378" w14:textId="77777777" w:rsidR="00425E01" w:rsidRPr="0007293D" w:rsidRDefault="00425E01" w:rsidP="003F1F7C">
            <w:pPr>
              <w:tabs>
                <w:tab w:val="decimal" w:pos="602"/>
              </w:tabs>
              <w:rPr>
                <w:color w:val="auto"/>
              </w:rPr>
            </w:pPr>
          </w:p>
        </w:tc>
        <w:tc>
          <w:tcPr>
            <w:tcW w:w="598" w:type="pct"/>
            <w:vAlign w:val="bottom"/>
          </w:tcPr>
          <w:p w14:paraId="793328A6" w14:textId="77777777" w:rsidR="00425E01" w:rsidRPr="0007293D" w:rsidRDefault="00425E01" w:rsidP="003F1F7C">
            <w:pPr>
              <w:tabs>
                <w:tab w:val="decimal" w:pos="767"/>
              </w:tabs>
              <w:rPr>
                <w:color w:val="auto"/>
              </w:rPr>
            </w:pPr>
          </w:p>
        </w:tc>
        <w:tc>
          <w:tcPr>
            <w:tcW w:w="598" w:type="pct"/>
            <w:shd w:val="clear" w:color="auto" w:fill="auto"/>
            <w:vAlign w:val="bottom"/>
          </w:tcPr>
          <w:p w14:paraId="3AAB6224" w14:textId="77777777" w:rsidR="00425E01" w:rsidRPr="0007293D" w:rsidRDefault="00425E01" w:rsidP="003F1F7C">
            <w:pPr>
              <w:tabs>
                <w:tab w:val="decimal" w:pos="785"/>
              </w:tabs>
              <w:rPr>
                <w:color w:val="auto"/>
              </w:rPr>
            </w:pPr>
          </w:p>
        </w:tc>
        <w:tc>
          <w:tcPr>
            <w:tcW w:w="631" w:type="pct"/>
            <w:shd w:val="clear" w:color="auto" w:fill="auto"/>
            <w:vAlign w:val="bottom"/>
          </w:tcPr>
          <w:p w14:paraId="5BE0C00A" w14:textId="77777777" w:rsidR="00425E01" w:rsidRPr="0007293D" w:rsidRDefault="00425E01" w:rsidP="003F1F7C">
            <w:pPr>
              <w:tabs>
                <w:tab w:val="decimal" w:pos="602"/>
              </w:tabs>
              <w:rPr>
                <w:color w:val="auto"/>
              </w:rPr>
            </w:pPr>
          </w:p>
        </w:tc>
      </w:tr>
      <w:tr w:rsidR="00425E01" w:rsidRPr="0007293D" w14:paraId="33B27357" w14:textId="77777777" w:rsidTr="00425E01">
        <w:trPr>
          <w:trHeight w:val="369"/>
        </w:trPr>
        <w:tc>
          <w:tcPr>
            <w:tcW w:w="1976" w:type="pct"/>
            <w:shd w:val="clear" w:color="auto" w:fill="auto"/>
            <w:vAlign w:val="bottom"/>
          </w:tcPr>
          <w:p w14:paraId="648808AF" w14:textId="77777777" w:rsidR="00425E01" w:rsidRPr="0007293D" w:rsidRDefault="00425E01" w:rsidP="003F1F7C">
            <w:pPr>
              <w:jc w:val="left"/>
              <w:rPr>
                <w:color w:val="auto"/>
              </w:rPr>
            </w:pPr>
            <w:r w:rsidRPr="0007293D">
              <w:rPr>
                <w:color w:val="auto"/>
              </w:rPr>
              <w:t>Lancashire County Pension Fund</w:t>
            </w:r>
          </w:p>
        </w:tc>
        <w:tc>
          <w:tcPr>
            <w:tcW w:w="598" w:type="pct"/>
            <w:shd w:val="clear" w:color="auto" w:fill="auto"/>
            <w:vAlign w:val="bottom"/>
          </w:tcPr>
          <w:p w14:paraId="51C20CDF" w14:textId="77777777" w:rsidR="00425E01" w:rsidRPr="0007293D" w:rsidRDefault="00425E01" w:rsidP="00425E01">
            <w:pPr>
              <w:tabs>
                <w:tab w:val="decimal" w:pos="601"/>
              </w:tabs>
              <w:rPr>
                <w:color w:val="auto"/>
              </w:rPr>
            </w:pPr>
            <w:r w:rsidRPr="0007293D">
              <w:rPr>
                <w:color w:val="auto"/>
              </w:rPr>
              <w:t>(629.0)</w:t>
            </w:r>
          </w:p>
        </w:tc>
        <w:tc>
          <w:tcPr>
            <w:tcW w:w="599" w:type="pct"/>
            <w:vAlign w:val="bottom"/>
          </w:tcPr>
          <w:p w14:paraId="1C74A50D" w14:textId="77777777" w:rsidR="00425E01" w:rsidRPr="0007293D" w:rsidRDefault="008D1B78" w:rsidP="003F1F7C">
            <w:pPr>
              <w:tabs>
                <w:tab w:val="decimal" w:pos="602"/>
              </w:tabs>
              <w:rPr>
                <w:color w:val="auto"/>
              </w:rPr>
            </w:pPr>
            <w:r w:rsidRPr="0007293D">
              <w:rPr>
                <w:color w:val="auto"/>
              </w:rPr>
              <w:t>(802.1)</w:t>
            </w:r>
          </w:p>
        </w:tc>
        <w:tc>
          <w:tcPr>
            <w:tcW w:w="598" w:type="pct"/>
            <w:vAlign w:val="bottom"/>
          </w:tcPr>
          <w:p w14:paraId="41EC95A0" w14:textId="77777777" w:rsidR="00425E01" w:rsidRPr="0007293D" w:rsidRDefault="008D1B78" w:rsidP="003F1F7C">
            <w:pPr>
              <w:tabs>
                <w:tab w:val="decimal" w:pos="767"/>
              </w:tabs>
              <w:rPr>
                <w:color w:val="auto"/>
              </w:rPr>
            </w:pPr>
            <w:r w:rsidRPr="0007293D">
              <w:rPr>
                <w:color w:val="auto"/>
              </w:rPr>
              <w:t>(977.0)</w:t>
            </w:r>
          </w:p>
        </w:tc>
        <w:tc>
          <w:tcPr>
            <w:tcW w:w="598" w:type="pct"/>
            <w:shd w:val="clear" w:color="auto" w:fill="auto"/>
            <w:vAlign w:val="bottom"/>
          </w:tcPr>
          <w:p w14:paraId="2C34F3EB" w14:textId="77777777" w:rsidR="00425E01" w:rsidRPr="0007293D" w:rsidRDefault="008D1B78" w:rsidP="003F1F7C">
            <w:pPr>
              <w:tabs>
                <w:tab w:val="decimal" w:pos="785"/>
              </w:tabs>
              <w:rPr>
                <w:color w:val="auto"/>
              </w:rPr>
            </w:pPr>
            <w:r w:rsidRPr="0007293D">
              <w:rPr>
                <w:color w:val="auto"/>
              </w:rPr>
              <w:t>(765.0)</w:t>
            </w:r>
          </w:p>
        </w:tc>
        <w:tc>
          <w:tcPr>
            <w:tcW w:w="631" w:type="pct"/>
            <w:shd w:val="clear" w:color="auto" w:fill="auto"/>
            <w:vAlign w:val="bottom"/>
          </w:tcPr>
          <w:p w14:paraId="067E3B37" w14:textId="77777777" w:rsidR="00425E01" w:rsidRPr="0007293D" w:rsidRDefault="0007293D" w:rsidP="003F1F7C">
            <w:pPr>
              <w:tabs>
                <w:tab w:val="decimal" w:pos="602"/>
              </w:tabs>
              <w:rPr>
                <w:color w:val="auto"/>
              </w:rPr>
            </w:pPr>
            <w:r>
              <w:rPr>
                <w:color w:val="auto"/>
              </w:rPr>
              <w:t>(1,092.8)</w:t>
            </w:r>
          </w:p>
        </w:tc>
      </w:tr>
      <w:tr w:rsidR="00425E01" w:rsidRPr="0007293D" w14:paraId="6C8AD484" w14:textId="77777777" w:rsidTr="00425E01">
        <w:trPr>
          <w:trHeight w:val="369"/>
        </w:trPr>
        <w:tc>
          <w:tcPr>
            <w:tcW w:w="1976" w:type="pct"/>
            <w:shd w:val="clear" w:color="auto" w:fill="auto"/>
            <w:vAlign w:val="bottom"/>
          </w:tcPr>
          <w:p w14:paraId="5FFF9996" w14:textId="77777777" w:rsidR="00425E01" w:rsidRPr="0007293D" w:rsidRDefault="00425E01" w:rsidP="003F1F7C">
            <w:pPr>
              <w:jc w:val="left"/>
              <w:rPr>
                <w:color w:val="auto"/>
              </w:rPr>
            </w:pPr>
            <w:r w:rsidRPr="0007293D">
              <w:rPr>
                <w:color w:val="auto"/>
              </w:rPr>
              <w:t>Teachers</w:t>
            </w:r>
            <w:r w:rsidR="00FC11A1">
              <w:rPr>
                <w:color w:val="auto"/>
              </w:rPr>
              <w:t>'</w:t>
            </w:r>
            <w:r w:rsidRPr="0007293D">
              <w:rPr>
                <w:color w:val="auto"/>
              </w:rPr>
              <w:t xml:space="preserve"> Pension</w:t>
            </w:r>
            <w:r w:rsidR="00FC11A1">
              <w:rPr>
                <w:color w:val="auto"/>
              </w:rPr>
              <w:t>s</w:t>
            </w:r>
            <w:r w:rsidRPr="0007293D">
              <w:rPr>
                <w:color w:val="auto"/>
              </w:rPr>
              <w:t xml:space="preserve"> Scheme</w:t>
            </w:r>
          </w:p>
        </w:tc>
        <w:tc>
          <w:tcPr>
            <w:tcW w:w="598" w:type="pct"/>
            <w:tcBorders>
              <w:bottom w:val="single" w:sz="4" w:space="0" w:color="auto"/>
            </w:tcBorders>
            <w:shd w:val="clear" w:color="auto" w:fill="auto"/>
            <w:vAlign w:val="bottom"/>
          </w:tcPr>
          <w:p w14:paraId="6BB3E62F" w14:textId="77777777" w:rsidR="00425E01" w:rsidRPr="0007293D" w:rsidRDefault="00425E01" w:rsidP="00425E01">
            <w:pPr>
              <w:tabs>
                <w:tab w:val="decimal" w:pos="601"/>
              </w:tabs>
              <w:rPr>
                <w:color w:val="auto"/>
              </w:rPr>
            </w:pPr>
            <w:r w:rsidRPr="0007293D">
              <w:rPr>
                <w:color w:val="auto"/>
              </w:rPr>
              <w:t>(136.2)</w:t>
            </w:r>
          </w:p>
        </w:tc>
        <w:tc>
          <w:tcPr>
            <w:tcW w:w="599" w:type="pct"/>
            <w:tcBorders>
              <w:bottom w:val="single" w:sz="4" w:space="0" w:color="auto"/>
            </w:tcBorders>
            <w:vAlign w:val="bottom"/>
          </w:tcPr>
          <w:p w14:paraId="6F9278FB" w14:textId="77777777" w:rsidR="00425E01" w:rsidRPr="0007293D" w:rsidRDefault="008D1B78" w:rsidP="003F1F7C">
            <w:pPr>
              <w:tabs>
                <w:tab w:val="decimal" w:pos="602"/>
              </w:tabs>
              <w:rPr>
                <w:color w:val="auto"/>
              </w:rPr>
            </w:pPr>
            <w:r w:rsidRPr="0007293D">
              <w:rPr>
                <w:color w:val="auto"/>
              </w:rPr>
              <w:t>(137.4)</w:t>
            </w:r>
          </w:p>
        </w:tc>
        <w:tc>
          <w:tcPr>
            <w:tcW w:w="598" w:type="pct"/>
            <w:tcBorders>
              <w:bottom w:val="single" w:sz="4" w:space="0" w:color="auto"/>
            </w:tcBorders>
            <w:vAlign w:val="bottom"/>
          </w:tcPr>
          <w:p w14:paraId="61382234" w14:textId="77777777" w:rsidR="00425E01" w:rsidRPr="0007293D" w:rsidRDefault="008D1B78" w:rsidP="003F1F7C">
            <w:pPr>
              <w:tabs>
                <w:tab w:val="decimal" w:pos="767"/>
              </w:tabs>
              <w:rPr>
                <w:color w:val="auto"/>
              </w:rPr>
            </w:pPr>
            <w:r w:rsidRPr="0007293D">
              <w:rPr>
                <w:color w:val="auto"/>
              </w:rPr>
              <w:t>(150.1)</w:t>
            </w:r>
          </w:p>
        </w:tc>
        <w:tc>
          <w:tcPr>
            <w:tcW w:w="598" w:type="pct"/>
            <w:tcBorders>
              <w:bottom w:val="single" w:sz="4" w:space="0" w:color="auto"/>
            </w:tcBorders>
            <w:shd w:val="clear" w:color="auto" w:fill="auto"/>
            <w:vAlign w:val="bottom"/>
          </w:tcPr>
          <w:p w14:paraId="418509D2" w14:textId="77777777" w:rsidR="00425E01" w:rsidRPr="0007293D" w:rsidRDefault="008D1B78" w:rsidP="003F1F7C">
            <w:pPr>
              <w:tabs>
                <w:tab w:val="decimal" w:pos="785"/>
              </w:tabs>
              <w:rPr>
                <w:color w:val="auto"/>
              </w:rPr>
            </w:pPr>
            <w:r w:rsidRPr="0007293D">
              <w:rPr>
                <w:color w:val="auto"/>
              </w:rPr>
              <w:t>(140.1)</w:t>
            </w:r>
          </w:p>
        </w:tc>
        <w:tc>
          <w:tcPr>
            <w:tcW w:w="631" w:type="pct"/>
            <w:tcBorders>
              <w:bottom w:val="single" w:sz="4" w:space="0" w:color="auto"/>
            </w:tcBorders>
            <w:shd w:val="clear" w:color="auto" w:fill="auto"/>
            <w:vAlign w:val="bottom"/>
          </w:tcPr>
          <w:p w14:paraId="27D68A78" w14:textId="77777777" w:rsidR="00425E01" w:rsidRPr="0007293D" w:rsidRDefault="000A41BB" w:rsidP="003F1F7C">
            <w:pPr>
              <w:tabs>
                <w:tab w:val="decimal" w:pos="602"/>
              </w:tabs>
              <w:rPr>
                <w:color w:val="auto"/>
              </w:rPr>
            </w:pPr>
            <w:r>
              <w:rPr>
                <w:color w:val="auto"/>
              </w:rPr>
              <w:t xml:space="preserve">   </w:t>
            </w:r>
            <w:r w:rsidR="0007293D">
              <w:rPr>
                <w:color w:val="auto"/>
              </w:rPr>
              <w:t>(</w:t>
            </w:r>
            <w:r>
              <w:rPr>
                <w:color w:val="auto"/>
              </w:rPr>
              <w:t>145.4)</w:t>
            </w:r>
          </w:p>
        </w:tc>
      </w:tr>
      <w:tr w:rsidR="00425E01" w:rsidRPr="002A2514" w14:paraId="7FA8F46B" w14:textId="77777777" w:rsidTr="00425E01">
        <w:trPr>
          <w:trHeight w:val="369"/>
        </w:trPr>
        <w:tc>
          <w:tcPr>
            <w:tcW w:w="1976" w:type="pct"/>
            <w:shd w:val="clear" w:color="auto" w:fill="auto"/>
            <w:vAlign w:val="bottom"/>
          </w:tcPr>
          <w:p w14:paraId="2507AB44" w14:textId="77777777" w:rsidR="00425E01" w:rsidRPr="0007293D" w:rsidRDefault="00425E01" w:rsidP="00425E01">
            <w:pPr>
              <w:jc w:val="left"/>
              <w:rPr>
                <w:b/>
                <w:color w:val="auto"/>
              </w:rPr>
            </w:pPr>
            <w:r w:rsidRPr="0007293D">
              <w:rPr>
                <w:b/>
                <w:bCs/>
                <w:sz w:val="22"/>
                <w:szCs w:val="20"/>
              </w:rPr>
              <w:t>Total</w:t>
            </w:r>
          </w:p>
        </w:tc>
        <w:tc>
          <w:tcPr>
            <w:tcW w:w="598" w:type="pct"/>
            <w:tcBorders>
              <w:top w:val="single" w:sz="4" w:space="0" w:color="auto"/>
            </w:tcBorders>
            <w:shd w:val="clear" w:color="auto" w:fill="auto"/>
            <w:vAlign w:val="bottom"/>
          </w:tcPr>
          <w:p w14:paraId="324204FA" w14:textId="77777777" w:rsidR="00425E01" w:rsidRPr="0007293D" w:rsidRDefault="00425E01" w:rsidP="00425E01">
            <w:pPr>
              <w:tabs>
                <w:tab w:val="decimal" w:pos="601"/>
              </w:tabs>
              <w:rPr>
                <w:b/>
                <w:color w:val="auto"/>
              </w:rPr>
            </w:pPr>
            <w:r w:rsidRPr="0007293D">
              <w:rPr>
                <w:b/>
                <w:color w:val="auto"/>
              </w:rPr>
              <w:t>(765.2)</w:t>
            </w:r>
          </w:p>
        </w:tc>
        <w:tc>
          <w:tcPr>
            <w:tcW w:w="599" w:type="pct"/>
            <w:tcBorders>
              <w:top w:val="single" w:sz="4" w:space="0" w:color="auto"/>
            </w:tcBorders>
            <w:vAlign w:val="bottom"/>
          </w:tcPr>
          <w:p w14:paraId="29C5CA48" w14:textId="77777777" w:rsidR="00425E01" w:rsidRPr="0007293D" w:rsidRDefault="008D1B78" w:rsidP="003F1F7C">
            <w:pPr>
              <w:tabs>
                <w:tab w:val="decimal" w:pos="602"/>
              </w:tabs>
              <w:rPr>
                <w:b/>
                <w:color w:val="auto"/>
              </w:rPr>
            </w:pPr>
            <w:r w:rsidRPr="0007293D">
              <w:rPr>
                <w:b/>
                <w:color w:val="auto"/>
              </w:rPr>
              <w:t>(939.5)</w:t>
            </w:r>
          </w:p>
        </w:tc>
        <w:tc>
          <w:tcPr>
            <w:tcW w:w="598" w:type="pct"/>
            <w:tcBorders>
              <w:top w:val="single" w:sz="4" w:space="0" w:color="auto"/>
            </w:tcBorders>
            <w:vAlign w:val="bottom"/>
          </w:tcPr>
          <w:p w14:paraId="23EDEF5E" w14:textId="77777777" w:rsidR="00425E01" w:rsidRPr="0007293D" w:rsidRDefault="008D1B78" w:rsidP="003F1F7C">
            <w:pPr>
              <w:tabs>
                <w:tab w:val="decimal" w:pos="767"/>
              </w:tabs>
              <w:rPr>
                <w:b/>
                <w:color w:val="auto"/>
              </w:rPr>
            </w:pPr>
            <w:r w:rsidRPr="0007293D">
              <w:rPr>
                <w:b/>
                <w:color w:val="auto"/>
              </w:rPr>
              <w:t>(1,127.1)</w:t>
            </w:r>
          </w:p>
        </w:tc>
        <w:tc>
          <w:tcPr>
            <w:tcW w:w="598" w:type="pct"/>
            <w:tcBorders>
              <w:top w:val="single" w:sz="4" w:space="0" w:color="auto"/>
            </w:tcBorders>
            <w:shd w:val="clear" w:color="auto" w:fill="auto"/>
            <w:vAlign w:val="bottom"/>
          </w:tcPr>
          <w:p w14:paraId="7A04C05D" w14:textId="77777777" w:rsidR="00425E01" w:rsidRPr="0007293D" w:rsidRDefault="008D1B78" w:rsidP="003F1F7C">
            <w:pPr>
              <w:tabs>
                <w:tab w:val="decimal" w:pos="785"/>
              </w:tabs>
              <w:rPr>
                <w:b/>
                <w:color w:val="auto"/>
              </w:rPr>
            </w:pPr>
            <w:r w:rsidRPr="0007293D">
              <w:rPr>
                <w:b/>
                <w:color w:val="auto"/>
              </w:rPr>
              <w:t>(905.1)</w:t>
            </w:r>
          </w:p>
        </w:tc>
        <w:tc>
          <w:tcPr>
            <w:tcW w:w="631" w:type="pct"/>
            <w:tcBorders>
              <w:top w:val="single" w:sz="4" w:space="0" w:color="auto"/>
            </w:tcBorders>
            <w:shd w:val="clear" w:color="auto" w:fill="auto"/>
            <w:vAlign w:val="bottom"/>
          </w:tcPr>
          <w:p w14:paraId="23549A1C" w14:textId="77777777" w:rsidR="00425E01" w:rsidRPr="0007293D" w:rsidRDefault="000A41BB" w:rsidP="003F1F7C">
            <w:pPr>
              <w:tabs>
                <w:tab w:val="decimal" w:pos="602"/>
              </w:tabs>
              <w:rPr>
                <w:b/>
                <w:color w:val="auto"/>
              </w:rPr>
            </w:pPr>
            <w:r>
              <w:rPr>
                <w:b/>
                <w:color w:val="auto"/>
              </w:rPr>
              <w:t>(1,238.2)</w:t>
            </w:r>
          </w:p>
        </w:tc>
      </w:tr>
    </w:tbl>
    <w:p w14:paraId="0FB59B52" w14:textId="77777777" w:rsidR="00207327" w:rsidRDefault="00207327" w:rsidP="00433837">
      <w:pPr>
        <w:rPr>
          <w:lang w:eastAsia="en-GB"/>
        </w:rPr>
      </w:pPr>
    </w:p>
    <w:p w14:paraId="45144260" w14:textId="01A356E4" w:rsidR="00C2570F" w:rsidRPr="00C5642C" w:rsidRDefault="00C2570F" w:rsidP="00C2570F">
      <w:pPr>
        <w:rPr>
          <w:lang w:eastAsia="en-GB"/>
        </w:rPr>
      </w:pPr>
      <w:r w:rsidRPr="00C5642C">
        <w:rPr>
          <w:lang w:eastAsia="en-GB"/>
        </w:rPr>
        <w:t>The liabilities show the underlying commitments that the council has in the long run to pay retirement benefits. The total liabil</w:t>
      </w:r>
      <w:r w:rsidR="000A41BB" w:rsidRPr="00C5642C">
        <w:rPr>
          <w:lang w:eastAsia="en-GB"/>
        </w:rPr>
        <w:t>ity of £1,238.2</w:t>
      </w:r>
      <w:r w:rsidR="009E2E9D" w:rsidRPr="00C5642C">
        <w:rPr>
          <w:lang w:eastAsia="en-GB"/>
        </w:rPr>
        <w:t>m</w:t>
      </w:r>
      <w:r w:rsidR="000A41BB" w:rsidRPr="00C5642C">
        <w:rPr>
          <w:lang w:eastAsia="en-GB"/>
        </w:rPr>
        <w:t xml:space="preserve"> in 2014/15</w:t>
      </w:r>
      <w:r w:rsidRPr="00C5642C">
        <w:rPr>
          <w:lang w:eastAsia="en-GB"/>
        </w:rPr>
        <w:t xml:space="preserve"> has a substantial impact on the net worth of the council as recorded in the Balance Sheet, resu</w:t>
      </w:r>
      <w:r w:rsidR="000A41BB" w:rsidRPr="00C5642C">
        <w:rPr>
          <w:lang w:eastAsia="en-GB"/>
        </w:rPr>
        <w:t>lting in net assets of £</w:t>
      </w:r>
      <w:r w:rsidR="0046185C" w:rsidRPr="00C5642C">
        <w:rPr>
          <w:lang w:eastAsia="en-GB"/>
        </w:rPr>
        <w:t>858.2</w:t>
      </w:r>
      <w:r w:rsidR="009E2E9D" w:rsidRPr="00C5642C">
        <w:rPr>
          <w:lang w:eastAsia="en-GB"/>
        </w:rPr>
        <w:t>m</w:t>
      </w:r>
      <w:r w:rsidRPr="00C5642C">
        <w:rPr>
          <w:lang w:eastAsia="en-GB"/>
        </w:rPr>
        <w:t>.</w:t>
      </w:r>
    </w:p>
    <w:p w14:paraId="35432F72" w14:textId="77777777" w:rsidR="00C2570F" w:rsidRPr="0046185C" w:rsidRDefault="00C2570F" w:rsidP="00C2570F">
      <w:pPr>
        <w:rPr>
          <w:lang w:eastAsia="en-GB"/>
        </w:rPr>
      </w:pPr>
      <w:r w:rsidRPr="0046185C">
        <w:rPr>
          <w:lang w:eastAsia="en-GB"/>
        </w:rPr>
        <w:t>However, statutory arrangements for funding the deficit mean that the financial position of the council remains healthy.</w:t>
      </w:r>
    </w:p>
    <w:p w14:paraId="6D8008B2" w14:textId="77777777" w:rsidR="00C2570F" w:rsidRPr="0046185C" w:rsidRDefault="00C2570F" w:rsidP="00C2570F">
      <w:pPr>
        <w:rPr>
          <w:lang w:eastAsia="en-GB"/>
        </w:rPr>
      </w:pPr>
      <w:r w:rsidRPr="0046185C">
        <w:rPr>
          <w:lang w:eastAsia="en-GB"/>
        </w:rPr>
        <w:t>The deficit on the local government scheme will be made good by increased contributions over the remaining working life of employees, assessed by the scheme actuary.</w:t>
      </w:r>
    </w:p>
    <w:p w14:paraId="63DA7E29" w14:textId="36DAA235" w:rsidR="00C2570F" w:rsidRPr="0046185C" w:rsidRDefault="00C2570F" w:rsidP="00C2570F">
      <w:pPr>
        <w:rPr>
          <w:lang w:eastAsia="en-GB"/>
        </w:rPr>
      </w:pPr>
      <w:r w:rsidRPr="0046185C">
        <w:rPr>
          <w:lang w:eastAsia="en-GB"/>
        </w:rPr>
        <w:t>The total contributions expected to be made to the Lancashire County Pension Fund by the council in the year to 31 March 201</w:t>
      </w:r>
      <w:r w:rsidR="003946ED">
        <w:rPr>
          <w:lang w:eastAsia="en-GB"/>
        </w:rPr>
        <w:t>6</w:t>
      </w:r>
      <w:r w:rsidRPr="0046185C">
        <w:rPr>
          <w:lang w:eastAsia="en-GB"/>
        </w:rPr>
        <w:t xml:space="preserve"> is £52.1</w:t>
      </w:r>
      <w:r w:rsidR="009E2E9D">
        <w:rPr>
          <w:lang w:eastAsia="en-GB"/>
        </w:rPr>
        <w:t>m</w:t>
      </w:r>
      <w:r w:rsidRPr="0046185C">
        <w:rPr>
          <w:lang w:eastAsia="en-GB"/>
        </w:rPr>
        <w:t>. Expected contributions for the Teachers and Health Workers in the year to 31 March 201</w:t>
      </w:r>
      <w:r w:rsidR="003946ED">
        <w:rPr>
          <w:lang w:eastAsia="en-GB"/>
        </w:rPr>
        <w:t>6</w:t>
      </w:r>
      <w:r w:rsidRPr="0046185C">
        <w:rPr>
          <w:lang w:eastAsia="en-GB"/>
        </w:rPr>
        <w:t xml:space="preserve"> are £40.4</w:t>
      </w:r>
      <w:r w:rsidR="009E2E9D">
        <w:rPr>
          <w:lang w:eastAsia="en-GB"/>
        </w:rPr>
        <w:t xml:space="preserve">m </w:t>
      </w:r>
      <w:r w:rsidRPr="0046185C">
        <w:rPr>
          <w:lang w:eastAsia="en-GB"/>
        </w:rPr>
        <w:t>and £0.4m respectively.</w:t>
      </w:r>
    </w:p>
    <w:p w14:paraId="626EECBD" w14:textId="77777777" w:rsidR="00A118ED" w:rsidRDefault="00A118ED" w:rsidP="00C2570F">
      <w:pPr>
        <w:rPr>
          <w:b/>
          <w:lang w:eastAsia="en-GB"/>
        </w:rPr>
      </w:pPr>
    </w:p>
    <w:p w14:paraId="5026E181" w14:textId="77777777" w:rsidR="00C2570F" w:rsidRPr="0046185C" w:rsidRDefault="003C4E67" w:rsidP="00A118ED">
      <w:pPr>
        <w:tabs>
          <w:tab w:val="left" w:pos="1276"/>
        </w:tabs>
        <w:rPr>
          <w:b/>
          <w:lang w:eastAsia="en-GB"/>
        </w:rPr>
      </w:pPr>
      <w:r w:rsidRPr="0046185C">
        <w:rPr>
          <w:b/>
          <w:lang w:eastAsia="en-GB"/>
        </w:rPr>
        <w:t>Basis for estimating assets and liabilities</w:t>
      </w:r>
    </w:p>
    <w:p w14:paraId="7EA6004E" w14:textId="77777777" w:rsidR="003C4E67" w:rsidRDefault="00E77545" w:rsidP="00C2570F">
      <w:pPr>
        <w:rPr>
          <w:lang w:eastAsia="en-GB"/>
        </w:rPr>
      </w:pPr>
      <w:r w:rsidRPr="0046185C">
        <w:rPr>
          <w:lang w:eastAsia="en-GB"/>
        </w:rPr>
        <w:t>Liabilities have been assessed on an actuarial basis using the projected unit method, an estimate of the pensions that will be payable in the future years dependent on assumptions about mortality rates, salary levels, etc. Both the Teachers</w:t>
      </w:r>
      <w:r w:rsidR="00FC11A1" w:rsidRPr="0046185C">
        <w:rPr>
          <w:lang w:eastAsia="en-GB"/>
        </w:rPr>
        <w:t>'</w:t>
      </w:r>
      <w:r w:rsidRPr="0046185C">
        <w:rPr>
          <w:lang w:eastAsia="en-GB"/>
        </w:rPr>
        <w:t xml:space="preserve"> Pension Scheme and County Council Fund liabilities have been assessed by Mercer Human Resource Consulting Limited, an independent firm of actuaries, estimates for the County Council Fund being based on the latest full valuation o</w:t>
      </w:r>
      <w:r w:rsidR="000A41BB" w:rsidRPr="0046185C">
        <w:rPr>
          <w:lang w:eastAsia="en-GB"/>
        </w:rPr>
        <w:t>f the scheme as at 31 March 2015</w:t>
      </w:r>
      <w:r w:rsidRPr="0046185C">
        <w:rPr>
          <w:lang w:eastAsia="en-GB"/>
        </w:rPr>
        <w:t>. The principal assumptions used by the actuary have been as follows:</w:t>
      </w:r>
    </w:p>
    <w:p w14:paraId="2E37B9AF" w14:textId="77777777" w:rsidR="00E640FC" w:rsidRDefault="00E640FC" w:rsidP="00C2570F">
      <w:pPr>
        <w:rPr>
          <w:lang w:eastAsia="en-GB"/>
        </w:rPr>
      </w:pPr>
    </w:p>
    <w:p w14:paraId="795BA8FD" w14:textId="77777777" w:rsidR="009B53E2" w:rsidRDefault="009B53E2" w:rsidP="00C2570F">
      <w:pPr>
        <w:rPr>
          <w:lang w:eastAsia="en-GB"/>
        </w:rPr>
      </w:pPr>
    </w:p>
    <w:p w14:paraId="6EF7A13F" w14:textId="77777777" w:rsidR="00A118ED" w:rsidRDefault="00A118ED" w:rsidP="00C2570F">
      <w:pPr>
        <w:rPr>
          <w:lang w:eastAsia="en-GB"/>
        </w:rPr>
      </w:pPr>
    </w:p>
    <w:p w14:paraId="2CF1F030" w14:textId="77777777" w:rsidR="00A118ED" w:rsidRDefault="00A118ED" w:rsidP="00C2570F">
      <w:pPr>
        <w:rPr>
          <w:lang w:eastAsia="en-GB"/>
        </w:rPr>
      </w:pPr>
    </w:p>
    <w:p w14:paraId="5898367B" w14:textId="77777777" w:rsidR="00A118ED" w:rsidRDefault="00A118ED" w:rsidP="00C2570F">
      <w:pPr>
        <w:rPr>
          <w:lang w:eastAsia="en-GB"/>
        </w:rPr>
      </w:pPr>
    </w:p>
    <w:p w14:paraId="4C6EEC45" w14:textId="77777777" w:rsidR="009B53E2" w:rsidRDefault="009B53E2" w:rsidP="00C2570F">
      <w:pPr>
        <w:rPr>
          <w:lang w:eastAsia="en-GB"/>
        </w:rPr>
      </w:pPr>
    </w:p>
    <w:p w14:paraId="566ADE5E" w14:textId="77777777" w:rsidR="009B53E2" w:rsidRDefault="009B53E2" w:rsidP="00C2570F">
      <w:pPr>
        <w:rPr>
          <w:lang w:eastAsia="en-GB"/>
        </w:rPr>
      </w:pPr>
    </w:p>
    <w:p w14:paraId="5CE1AB0A" w14:textId="77777777" w:rsidR="009B53E2" w:rsidRDefault="009B53E2" w:rsidP="00C2570F">
      <w:pPr>
        <w:rPr>
          <w:lang w:eastAsia="en-GB"/>
        </w:rPr>
      </w:pPr>
    </w:p>
    <w:p w14:paraId="586B983E" w14:textId="77777777" w:rsidR="009B53E2" w:rsidRDefault="009B53E2" w:rsidP="00C2570F">
      <w:pPr>
        <w:rPr>
          <w:lang w:eastAsia="en-GB"/>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C47EAA" w:rsidRPr="00052104" w14:paraId="5B94DFDC" w14:textId="77777777" w:rsidTr="00A06955">
        <w:trPr>
          <w:trHeight w:val="369"/>
          <w:tblHeader/>
        </w:trPr>
        <w:tc>
          <w:tcPr>
            <w:tcW w:w="3105" w:type="pct"/>
            <w:shd w:val="clear" w:color="auto" w:fill="D0CECE"/>
            <w:vAlign w:val="bottom"/>
          </w:tcPr>
          <w:p w14:paraId="20D2564E" w14:textId="77777777" w:rsidR="00C47EAA" w:rsidRPr="006E16DD" w:rsidRDefault="00C47EAA" w:rsidP="003F1F7C">
            <w:pPr>
              <w:jc w:val="left"/>
              <w:rPr>
                <w:color w:val="auto"/>
              </w:rPr>
            </w:pPr>
          </w:p>
        </w:tc>
        <w:tc>
          <w:tcPr>
            <w:tcW w:w="929" w:type="pct"/>
            <w:shd w:val="clear" w:color="auto" w:fill="D0CECE"/>
            <w:vAlign w:val="bottom"/>
          </w:tcPr>
          <w:p w14:paraId="4045A6D5" w14:textId="77777777" w:rsidR="00C47EAA" w:rsidRPr="006E16DD" w:rsidRDefault="00C47EAA" w:rsidP="003F1F7C">
            <w:pPr>
              <w:jc w:val="center"/>
              <w:rPr>
                <w:b/>
                <w:color w:val="auto"/>
              </w:rPr>
            </w:pPr>
            <w:r w:rsidRPr="006E16DD">
              <w:rPr>
                <w:b/>
                <w:color w:val="auto"/>
              </w:rPr>
              <w:t>2014/15</w:t>
            </w:r>
          </w:p>
        </w:tc>
        <w:tc>
          <w:tcPr>
            <w:tcW w:w="966" w:type="pct"/>
            <w:shd w:val="clear" w:color="auto" w:fill="D0CECE"/>
            <w:vAlign w:val="bottom"/>
          </w:tcPr>
          <w:p w14:paraId="4B1E1192" w14:textId="77777777" w:rsidR="00C47EAA" w:rsidRDefault="00C47EAA" w:rsidP="003F1F7C">
            <w:pPr>
              <w:jc w:val="center"/>
              <w:rPr>
                <w:b/>
                <w:color w:val="auto"/>
              </w:rPr>
            </w:pPr>
            <w:r>
              <w:rPr>
                <w:b/>
                <w:color w:val="auto"/>
              </w:rPr>
              <w:t>2013/14</w:t>
            </w:r>
          </w:p>
        </w:tc>
      </w:tr>
      <w:tr w:rsidR="00C47EAA" w:rsidRPr="00C47EAA" w14:paraId="0D9CDFBA" w14:textId="77777777" w:rsidTr="003F1F7C">
        <w:trPr>
          <w:trHeight w:val="369"/>
        </w:trPr>
        <w:tc>
          <w:tcPr>
            <w:tcW w:w="3105" w:type="pct"/>
            <w:shd w:val="clear" w:color="auto" w:fill="auto"/>
            <w:vAlign w:val="bottom"/>
          </w:tcPr>
          <w:p w14:paraId="795CE23F" w14:textId="77777777" w:rsidR="00C47EAA" w:rsidRPr="006E16DD" w:rsidRDefault="00C47EAA" w:rsidP="003F1F7C">
            <w:pPr>
              <w:jc w:val="left"/>
              <w:rPr>
                <w:b/>
                <w:color w:val="auto"/>
              </w:rPr>
            </w:pPr>
            <w:r w:rsidRPr="006E16DD">
              <w:rPr>
                <w:rFonts w:eastAsia="Times New Roman" w:cs="Arial"/>
                <w:b/>
                <w:bCs/>
                <w:lang w:eastAsia="en-GB"/>
              </w:rPr>
              <w:t>Long-term expected rate of return on assets in the scheme:</w:t>
            </w:r>
          </w:p>
        </w:tc>
        <w:tc>
          <w:tcPr>
            <w:tcW w:w="929" w:type="pct"/>
            <w:tcBorders>
              <w:bottom w:val="nil"/>
            </w:tcBorders>
            <w:shd w:val="clear" w:color="auto" w:fill="auto"/>
            <w:vAlign w:val="bottom"/>
          </w:tcPr>
          <w:p w14:paraId="7B60773B" w14:textId="77777777" w:rsidR="00C47EAA" w:rsidRPr="006E16DD" w:rsidRDefault="00C47EAA" w:rsidP="00C47EAA">
            <w:pPr>
              <w:tabs>
                <w:tab w:val="center" w:pos="884"/>
              </w:tabs>
              <w:jc w:val="center"/>
              <w:rPr>
                <w:color w:val="auto"/>
              </w:rPr>
            </w:pPr>
          </w:p>
        </w:tc>
        <w:tc>
          <w:tcPr>
            <w:tcW w:w="966" w:type="pct"/>
            <w:tcBorders>
              <w:bottom w:val="nil"/>
            </w:tcBorders>
            <w:shd w:val="clear" w:color="auto" w:fill="auto"/>
            <w:vAlign w:val="bottom"/>
          </w:tcPr>
          <w:p w14:paraId="3ECB0573" w14:textId="77777777" w:rsidR="00C47EAA" w:rsidRPr="00C47EAA" w:rsidRDefault="00C47EAA" w:rsidP="00C47EAA">
            <w:pPr>
              <w:tabs>
                <w:tab w:val="center" w:pos="1026"/>
              </w:tabs>
              <w:jc w:val="center"/>
              <w:rPr>
                <w:color w:val="auto"/>
              </w:rPr>
            </w:pPr>
          </w:p>
        </w:tc>
      </w:tr>
      <w:tr w:rsidR="00C47EAA" w:rsidRPr="00052104" w14:paraId="6F28C1BD" w14:textId="77777777" w:rsidTr="003F1F7C">
        <w:trPr>
          <w:trHeight w:val="369"/>
        </w:trPr>
        <w:tc>
          <w:tcPr>
            <w:tcW w:w="3105" w:type="pct"/>
            <w:shd w:val="clear" w:color="auto" w:fill="auto"/>
            <w:vAlign w:val="bottom"/>
          </w:tcPr>
          <w:p w14:paraId="563F98F8" w14:textId="77777777" w:rsidR="00C47EAA" w:rsidRPr="006E16DD" w:rsidRDefault="00C47EAA" w:rsidP="003F1F7C">
            <w:pPr>
              <w:jc w:val="left"/>
              <w:rPr>
                <w:color w:val="auto"/>
              </w:rPr>
            </w:pPr>
            <w:r w:rsidRPr="006E16DD">
              <w:rPr>
                <w:rFonts w:eastAsia="Times New Roman" w:cs="Arial"/>
                <w:lang w:eastAsia="en-GB"/>
              </w:rPr>
              <w:t>Equity investments</w:t>
            </w:r>
          </w:p>
        </w:tc>
        <w:tc>
          <w:tcPr>
            <w:tcW w:w="929" w:type="pct"/>
            <w:tcBorders>
              <w:bottom w:val="nil"/>
            </w:tcBorders>
            <w:shd w:val="clear" w:color="auto" w:fill="auto"/>
            <w:vAlign w:val="bottom"/>
          </w:tcPr>
          <w:p w14:paraId="60DC36FC" w14:textId="77777777" w:rsidR="00C47EAA" w:rsidRPr="006E16DD" w:rsidRDefault="008A6B0E" w:rsidP="00C47EAA">
            <w:pPr>
              <w:tabs>
                <w:tab w:val="center" w:pos="884"/>
              </w:tabs>
              <w:jc w:val="center"/>
              <w:rPr>
                <w:color w:val="auto"/>
              </w:rPr>
            </w:pPr>
            <w:r w:rsidRPr="006E16DD">
              <w:rPr>
                <w:color w:val="auto"/>
              </w:rPr>
              <w:t>6.5%</w:t>
            </w:r>
          </w:p>
        </w:tc>
        <w:tc>
          <w:tcPr>
            <w:tcW w:w="966" w:type="pct"/>
            <w:tcBorders>
              <w:bottom w:val="nil"/>
            </w:tcBorders>
            <w:shd w:val="clear" w:color="auto" w:fill="auto"/>
            <w:vAlign w:val="bottom"/>
          </w:tcPr>
          <w:p w14:paraId="7B365A07" w14:textId="77777777" w:rsidR="00C47EAA" w:rsidRPr="00052104" w:rsidRDefault="00C47EAA" w:rsidP="00C47EAA">
            <w:pPr>
              <w:tabs>
                <w:tab w:val="center" w:pos="1026"/>
              </w:tabs>
              <w:jc w:val="center"/>
              <w:rPr>
                <w:color w:val="auto"/>
              </w:rPr>
            </w:pPr>
            <w:r>
              <w:rPr>
                <w:color w:val="auto"/>
              </w:rPr>
              <w:t>7.00%</w:t>
            </w:r>
          </w:p>
        </w:tc>
      </w:tr>
      <w:tr w:rsidR="00C47EAA" w:rsidRPr="00052104" w14:paraId="5F6B42A2" w14:textId="77777777" w:rsidTr="003F1F7C">
        <w:trPr>
          <w:trHeight w:val="369"/>
        </w:trPr>
        <w:tc>
          <w:tcPr>
            <w:tcW w:w="3105" w:type="pct"/>
            <w:shd w:val="clear" w:color="auto" w:fill="auto"/>
            <w:vAlign w:val="bottom"/>
          </w:tcPr>
          <w:p w14:paraId="099D71F7" w14:textId="77777777" w:rsidR="00C47EAA" w:rsidRPr="006E16DD" w:rsidRDefault="00C47EAA" w:rsidP="003F1F7C">
            <w:pPr>
              <w:jc w:val="left"/>
              <w:rPr>
                <w:color w:val="auto"/>
              </w:rPr>
            </w:pPr>
            <w:r w:rsidRPr="006E16DD">
              <w:rPr>
                <w:rFonts w:eastAsia="Times New Roman" w:cs="Arial"/>
                <w:lang w:eastAsia="en-GB"/>
              </w:rPr>
              <w:t>Bonds</w:t>
            </w:r>
          </w:p>
        </w:tc>
        <w:tc>
          <w:tcPr>
            <w:tcW w:w="929" w:type="pct"/>
            <w:tcBorders>
              <w:bottom w:val="nil"/>
            </w:tcBorders>
            <w:shd w:val="clear" w:color="auto" w:fill="auto"/>
            <w:vAlign w:val="bottom"/>
          </w:tcPr>
          <w:p w14:paraId="7829BF68" w14:textId="77777777" w:rsidR="00C47EAA" w:rsidRPr="006E16DD" w:rsidRDefault="006E16DD" w:rsidP="00C47EAA">
            <w:pPr>
              <w:tabs>
                <w:tab w:val="center" w:pos="884"/>
              </w:tabs>
              <w:jc w:val="center"/>
              <w:rPr>
                <w:color w:val="auto"/>
              </w:rPr>
            </w:pPr>
            <w:r w:rsidRPr="006E16DD">
              <w:rPr>
                <w:color w:val="auto"/>
              </w:rPr>
              <w:t>2.4%</w:t>
            </w:r>
          </w:p>
        </w:tc>
        <w:tc>
          <w:tcPr>
            <w:tcW w:w="966" w:type="pct"/>
            <w:tcBorders>
              <w:bottom w:val="nil"/>
            </w:tcBorders>
            <w:shd w:val="clear" w:color="auto" w:fill="auto"/>
            <w:vAlign w:val="bottom"/>
          </w:tcPr>
          <w:p w14:paraId="74A0FF33" w14:textId="77777777" w:rsidR="00C47EAA" w:rsidRDefault="00C47EAA" w:rsidP="00C47EAA">
            <w:pPr>
              <w:tabs>
                <w:tab w:val="center" w:pos="1026"/>
              </w:tabs>
              <w:jc w:val="center"/>
              <w:rPr>
                <w:color w:val="auto"/>
              </w:rPr>
            </w:pPr>
            <w:r>
              <w:rPr>
                <w:color w:val="auto"/>
              </w:rPr>
              <w:t>4.08%</w:t>
            </w:r>
          </w:p>
        </w:tc>
      </w:tr>
      <w:tr w:rsidR="00C47EAA" w:rsidRPr="00052104" w14:paraId="4E39367A" w14:textId="77777777" w:rsidTr="003F1F7C">
        <w:trPr>
          <w:trHeight w:val="369"/>
        </w:trPr>
        <w:tc>
          <w:tcPr>
            <w:tcW w:w="3105" w:type="pct"/>
            <w:shd w:val="clear" w:color="auto" w:fill="auto"/>
            <w:vAlign w:val="bottom"/>
          </w:tcPr>
          <w:p w14:paraId="30E82B7A" w14:textId="77777777" w:rsidR="00C47EAA" w:rsidRPr="006E16DD" w:rsidRDefault="00C47EAA" w:rsidP="003F1F7C">
            <w:pPr>
              <w:jc w:val="left"/>
              <w:rPr>
                <w:color w:val="auto"/>
              </w:rPr>
            </w:pPr>
            <w:r w:rsidRPr="006E16DD">
              <w:rPr>
                <w:rFonts w:eastAsia="Times New Roman" w:cs="Arial"/>
                <w:lang w:eastAsia="en-GB"/>
              </w:rPr>
              <w:t>Other</w:t>
            </w:r>
          </w:p>
        </w:tc>
        <w:tc>
          <w:tcPr>
            <w:tcW w:w="929" w:type="pct"/>
            <w:tcBorders>
              <w:bottom w:val="nil"/>
            </w:tcBorders>
            <w:shd w:val="clear" w:color="auto" w:fill="auto"/>
            <w:vAlign w:val="bottom"/>
          </w:tcPr>
          <w:p w14:paraId="55D8AD01" w14:textId="77777777" w:rsidR="00C47EAA" w:rsidRPr="006E16DD" w:rsidRDefault="008A6B0E" w:rsidP="00C47EAA">
            <w:pPr>
              <w:tabs>
                <w:tab w:val="center" w:pos="884"/>
              </w:tabs>
              <w:jc w:val="center"/>
              <w:rPr>
                <w:color w:val="auto"/>
              </w:rPr>
            </w:pPr>
            <w:r w:rsidRPr="006E16DD">
              <w:rPr>
                <w:color w:val="auto"/>
              </w:rPr>
              <w:t>Dependent on type of asset</w:t>
            </w:r>
          </w:p>
        </w:tc>
        <w:tc>
          <w:tcPr>
            <w:tcW w:w="966" w:type="pct"/>
            <w:tcBorders>
              <w:bottom w:val="nil"/>
            </w:tcBorders>
            <w:shd w:val="clear" w:color="auto" w:fill="auto"/>
            <w:vAlign w:val="bottom"/>
          </w:tcPr>
          <w:p w14:paraId="7471D65A" w14:textId="77777777" w:rsidR="00C47EAA" w:rsidRDefault="00C47EAA" w:rsidP="00C47EAA">
            <w:pPr>
              <w:tabs>
                <w:tab w:val="center" w:pos="1026"/>
              </w:tabs>
              <w:jc w:val="center"/>
              <w:rPr>
                <w:color w:val="auto"/>
              </w:rPr>
            </w:pPr>
            <w:r>
              <w:rPr>
                <w:color w:val="auto"/>
              </w:rPr>
              <w:t xml:space="preserve">Dependent </w:t>
            </w:r>
            <w:r w:rsidRPr="00C47EAA">
              <w:rPr>
                <w:color w:val="auto"/>
              </w:rPr>
              <w:t>on type of asset</w:t>
            </w:r>
          </w:p>
        </w:tc>
      </w:tr>
      <w:tr w:rsidR="00C47EAA" w:rsidRPr="00052104" w14:paraId="5C6E4BB3" w14:textId="77777777" w:rsidTr="003F1F7C">
        <w:trPr>
          <w:trHeight w:val="369"/>
        </w:trPr>
        <w:tc>
          <w:tcPr>
            <w:tcW w:w="3105" w:type="pct"/>
            <w:shd w:val="clear" w:color="auto" w:fill="auto"/>
            <w:vAlign w:val="bottom"/>
          </w:tcPr>
          <w:p w14:paraId="03EBC2DC" w14:textId="77777777" w:rsidR="00C47EAA" w:rsidRPr="00AB1FE7" w:rsidRDefault="00C47EAA" w:rsidP="003F1F7C">
            <w:pPr>
              <w:jc w:val="left"/>
              <w:rPr>
                <w:b/>
                <w:color w:val="auto"/>
              </w:rPr>
            </w:pPr>
            <w:r w:rsidRPr="00AB1FE7">
              <w:rPr>
                <w:rFonts w:eastAsia="Times New Roman" w:cs="Arial"/>
                <w:b/>
                <w:lang w:eastAsia="en-GB"/>
              </w:rPr>
              <w:t>Mortality assumptions:</w:t>
            </w:r>
          </w:p>
        </w:tc>
        <w:tc>
          <w:tcPr>
            <w:tcW w:w="929" w:type="pct"/>
            <w:tcBorders>
              <w:bottom w:val="nil"/>
            </w:tcBorders>
            <w:shd w:val="clear" w:color="auto" w:fill="auto"/>
            <w:vAlign w:val="bottom"/>
          </w:tcPr>
          <w:p w14:paraId="069F31EA" w14:textId="77777777" w:rsidR="00C47EAA" w:rsidRPr="00AB1FE7" w:rsidRDefault="00C47EAA" w:rsidP="00C47EAA">
            <w:pPr>
              <w:tabs>
                <w:tab w:val="center" w:pos="884"/>
              </w:tabs>
              <w:jc w:val="center"/>
              <w:rPr>
                <w:color w:val="auto"/>
              </w:rPr>
            </w:pPr>
          </w:p>
        </w:tc>
        <w:tc>
          <w:tcPr>
            <w:tcW w:w="966" w:type="pct"/>
            <w:tcBorders>
              <w:bottom w:val="nil"/>
            </w:tcBorders>
            <w:shd w:val="clear" w:color="auto" w:fill="auto"/>
            <w:vAlign w:val="bottom"/>
          </w:tcPr>
          <w:p w14:paraId="244A9622" w14:textId="77777777" w:rsidR="00C47EAA" w:rsidRPr="00AB1FE7" w:rsidRDefault="00C47EAA" w:rsidP="00C47EAA">
            <w:pPr>
              <w:tabs>
                <w:tab w:val="center" w:pos="1026"/>
              </w:tabs>
              <w:jc w:val="center"/>
              <w:rPr>
                <w:color w:val="auto"/>
              </w:rPr>
            </w:pPr>
          </w:p>
        </w:tc>
      </w:tr>
      <w:tr w:rsidR="00C47EAA" w:rsidRPr="00052104" w14:paraId="2047E901" w14:textId="77777777" w:rsidTr="003F1F7C">
        <w:trPr>
          <w:trHeight w:val="369"/>
        </w:trPr>
        <w:tc>
          <w:tcPr>
            <w:tcW w:w="3105" w:type="pct"/>
            <w:shd w:val="clear" w:color="auto" w:fill="auto"/>
            <w:vAlign w:val="bottom"/>
          </w:tcPr>
          <w:p w14:paraId="0E5AF875" w14:textId="77777777" w:rsidR="00C47EAA" w:rsidRPr="00AB1FE7" w:rsidRDefault="00C47EAA" w:rsidP="003F1F7C">
            <w:pPr>
              <w:jc w:val="left"/>
              <w:rPr>
                <w:color w:val="auto"/>
              </w:rPr>
            </w:pPr>
            <w:r w:rsidRPr="00AB1FE7">
              <w:rPr>
                <w:rFonts w:eastAsia="Times New Roman" w:cs="Arial"/>
                <w:lang w:eastAsia="en-GB"/>
              </w:rPr>
              <w:t>Longevity at 65 current pensioners:</w:t>
            </w:r>
          </w:p>
        </w:tc>
        <w:tc>
          <w:tcPr>
            <w:tcW w:w="929" w:type="pct"/>
            <w:tcBorders>
              <w:bottom w:val="nil"/>
            </w:tcBorders>
            <w:shd w:val="clear" w:color="auto" w:fill="auto"/>
            <w:vAlign w:val="bottom"/>
          </w:tcPr>
          <w:p w14:paraId="52FA5F98" w14:textId="77777777" w:rsidR="00C47EAA" w:rsidRPr="00AB1FE7" w:rsidRDefault="00C47EAA" w:rsidP="00C47EAA">
            <w:pPr>
              <w:tabs>
                <w:tab w:val="center" w:pos="884"/>
              </w:tabs>
              <w:jc w:val="center"/>
              <w:rPr>
                <w:color w:val="auto"/>
              </w:rPr>
            </w:pPr>
          </w:p>
        </w:tc>
        <w:tc>
          <w:tcPr>
            <w:tcW w:w="966" w:type="pct"/>
            <w:tcBorders>
              <w:bottom w:val="nil"/>
            </w:tcBorders>
            <w:shd w:val="clear" w:color="auto" w:fill="auto"/>
            <w:vAlign w:val="bottom"/>
          </w:tcPr>
          <w:p w14:paraId="6A3221CF" w14:textId="77777777" w:rsidR="00C47EAA" w:rsidRPr="00AB1FE7" w:rsidRDefault="00C47EAA" w:rsidP="00C47EAA">
            <w:pPr>
              <w:tabs>
                <w:tab w:val="center" w:pos="1026"/>
              </w:tabs>
              <w:jc w:val="center"/>
              <w:rPr>
                <w:color w:val="auto"/>
              </w:rPr>
            </w:pPr>
          </w:p>
        </w:tc>
      </w:tr>
      <w:tr w:rsidR="00C47EAA" w:rsidRPr="00052104" w14:paraId="55789AB3" w14:textId="77777777" w:rsidTr="003F1F7C">
        <w:trPr>
          <w:trHeight w:val="369"/>
        </w:trPr>
        <w:tc>
          <w:tcPr>
            <w:tcW w:w="3105" w:type="pct"/>
            <w:shd w:val="clear" w:color="auto" w:fill="auto"/>
            <w:vAlign w:val="bottom"/>
          </w:tcPr>
          <w:p w14:paraId="01C286EF" w14:textId="77777777" w:rsidR="00C47EAA" w:rsidRPr="00AB1FE7" w:rsidRDefault="00C47EAA" w:rsidP="00C47EAA">
            <w:pPr>
              <w:jc w:val="left"/>
              <w:rPr>
                <w:color w:val="auto"/>
              </w:rPr>
            </w:pPr>
            <w:r w:rsidRPr="00AB1FE7">
              <w:rPr>
                <w:color w:val="auto"/>
              </w:rPr>
              <w:t>Men</w:t>
            </w:r>
          </w:p>
        </w:tc>
        <w:tc>
          <w:tcPr>
            <w:tcW w:w="929" w:type="pct"/>
            <w:tcBorders>
              <w:bottom w:val="nil"/>
            </w:tcBorders>
            <w:shd w:val="clear" w:color="auto" w:fill="auto"/>
            <w:vAlign w:val="bottom"/>
          </w:tcPr>
          <w:p w14:paraId="1EBF41D0" w14:textId="7C8DAC48" w:rsidR="00C47EAA" w:rsidRPr="00AB1FE7" w:rsidRDefault="00AB1FE7" w:rsidP="001F2704">
            <w:pPr>
              <w:tabs>
                <w:tab w:val="center" w:pos="884"/>
              </w:tabs>
              <w:jc w:val="center"/>
              <w:rPr>
                <w:color w:val="auto"/>
              </w:rPr>
            </w:pPr>
            <w:r w:rsidRPr="00AB1FE7">
              <w:rPr>
                <w:color w:val="auto"/>
              </w:rPr>
              <w:t>22.</w:t>
            </w:r>
            <w:r w:rsidR="001F2704">
              <w:rPr>
                <w:color w:val="auto"/>
              </w:rPr>
              <w:t>9</w:t>
            </w:r>
            <w:r w:rsidRPr="00AB1FE7">
              <w:rPr>
                <w:color w:val="auto"/>
              </w:rPr>
              <w:t xml:space="preserve"> years</w:t>
            </w:r>
          </w:p>
        </w:tc>
        <w:tc>
          <w:tcPr>
            <w:tcW w:w="966" w:type="pct"/>
            <w:tcBorders>
              <w:bottom w:val="nil"/>
            </w:tcBorders>
            <w:shd w:val="clear" w:color="auto" w:fill="auto"/>
            <w:vAlign w:val="bottom"/>
          </w:tcPr>
          <w:p w14:paraId="2A4C8AE1" w14:textId="77777777" w:rsidR="00C47EAA" w:rsidRPr="00AB1FE7" w:rsidRDefault="00C47EAA" w:rsidP="00C47EAA">
            <w:pPr>
              <w:tabs>
                <w:tab w:val="center" w:pos="1026"/>
              </w:tabs>
              <w:jc w:val="center"/>
              <w:rPr>
                <w:color w:val="auto"/>
              </w:rPr>
            </w:pPr>
            <w:r w:rsidRPr="00AB1FE7">
              <w:rPr>
                <w:color w:val="auto"/>
              </w:rPr>
              <w:t>22.8 years</w:t>
            </w:r>
          </w:p>
        </w:tc>
      </w:tr>
      <w:tr w:rsidR="00C47EAA" w:rsidRPr="00052104" w14:paraId="7C082804" w14:textId="77777777" w:rsidTr="003F1F7C">
        <w:trPr>
          <w:trHeight w:val="369"/>
        </w:trPr>
        <w:tc>
          <w:tcPr>
            <w:tcW w:w="3105" w:type="pct"/>
            <w:shd w:val="clear" w:color="auto" w:fill="auto"/>
            <w:vAlign w:val="bottom"/>
          </w:tcPr>
          <w:p w14:paraId="0ED3B161" w14:textId="77777777" w:rsidR="00C47EAA" w:rsidRPr="00AB1FE7" w:rsidRDefault="00C47EAA" w:rsidP="00C47EAA">
            <w:pPr>
              <w:jc w:val="left"/>
              <w:rPr>
                <w:color w:val="auto"/>
              </w:rPr>
            </w:pPr>
            <w:r w:rsidRPr="00AB1FE7">
              <w:rPr>
                <w:color w:val="auto"/>
              </w:rPr>
              <w:t>Women</w:t>
            </w:r>
          </w:p>
        </w:tc>
        <w:tc>
          <w:tcPr>
            <w:tcW w:w="929" w:type="pct"/>
            <w:tcBorders>
              <w:bottom w:val="nil"/>
            </w:tcBorders>
            <w:shd w:val="clear" w:color="auto" w:fill="auto"/>
            <w:vAlign w:val="bottom"/>
          </w:tcPr>
          <w:p w14:paraId="6A487C60" w14:textId="62174EF9" w:rsidR="00C47EAA" w:rsidRPr="00AB1FE7" w:rsidRDefault="00AB1FE7" w:rsidP="001F2704">
            <w:pPr>
              <w:tabs>
                <w:tab w:val="center" w:pos="884"/>
              </w:tabs>
              <w:jc w:val="center"/>
              <w:rPr>
                <w:color w:val="auto"/>
              </w:rPr>
            </w:pPr>
            <w:r w:rsidRPr="00AB1FE7">
              <w:rPr>
                <w:color w:val="auto"/>
              </w:rPr>
              <w:t>2</w:t>
            </w:r>
            <w:r w:rsidR="001F2704">
              <w:rPr>
                <w:color w:val="auto"/>
              </w:rPr>
              <w:t>5.4</w:t>
            </w:r>
            <w:r w:rsidRPr="00AB1FE7">
              <w:rPr>
                <w:color w:val="auto"/>
              </w:rPr>
              <w:t xml:space="preserve"> years</w:t>
            </w:r>
          </w:p>
        </w:tc>
        <w:tc>
          <w:tcPr>
            <w:tcW w:w="966" w:type="pct"/>
            <w:tcBorders>
              <w:bottom w:val="nil"/>
            </w:tcBorders>
            <w:shd w:val="clear" w:color="auto" w:fill="auto"/>
            <w:vAlign w:val="bottom"/>
          </w:tcPr>
          <w:p w14:paraId="79D85A2B" w14:textId="77777777" w:rsidR="00C47EAA" w:rsidRPr="00AB1FE7" w:rsidRDefault="00C47EAA" w:rsidP="00C47EAA">
            <w:pPr>
              <w:tabs>
                <w:tab w:val="center" w:pos="1026"/>
              </w:tabs>
              <w:jc w:val="center"/>
              <w:rPr>
                <w:color w:val="auto"/>
              </w:rPr>
            </w:pPr>
            <w:r w:rsidRPr="00AB1FE7">
              <w:rPr>
                <w:color w:val="auto"/>
              </w:rPr>
              <w:t>25.3 years</w:t>
            </w:r>
          </w:p>
        </w:tc>
      </w:tr>
      <w:tr w:rsidR="00C47EAA" w:rsidRPr="00052104" w14:paraId="3A0549B8" w14:textId="77777777" w:rsidTr="003F1F7C">
        <w:trPr>
          <w:trHeight w:val="369"/>
        </w:trPr>
        <w:tc>
          <w:tcPr>
            <w:tcW w:w="3105" w:type="pct"/>
            <w:shd w:val="clear" w:color="auto" w:fill="auto"/>
            <w:vAlign w:val="bottom"/>
          </w:tcPr>
          <w:p w14:paraId="5FF42028" w14:textId="77777777" w:rsidR="00C47EAA" w:rsidRPr="00AB1FE7" w:rsidRDefault="00C47EAA" w:rsidP="00C47EAA">
            <w:pPr>
              <w:jc w:val="left"/>
              <w:rPr>
                <w:color w:val="auto"/>
              </w:rPr>
            </w:pPr>
            <w:r w:rsidRPr="00AB1FE7">
              <w:rPr>
                <w:rFonts w:eastAsia="Times New Roman" w:cs="Arial"/>
                <w:lang w:eastAsia="en-GB"/>
              </w:rPr>
              <w:t>Longevity at 65 for future pensioners:</w:t>
            </w:r>
          </w:p>
        </w:tc>
        <w:tc>
          <w:tcPr>
            <w:tcW w:w="929" w:type="pct"/>
            <w:tcBorders>
              <w:bottom w:val="nil"/>
            </w:tcBorders>
            <w:shd w:val="clear" w:color="auto" w:fill="auto"/>
            <w:vAlign w:val="bottom"/>
          </w:tcPr>
          <w:p w14:paraId="33827E5E" w14:textId="77777777" w:rsidR="00C47EAA" w:rsidRPr="00AB1FE7" w:rsidRDefault="00C47EAA" w:rsidP="00C47EAA">
            <w:pPr>
              <w:tabs>
                <w:tab w:val="center" w:pos="884"/>
              </w:tabs>
              <w:jc w:val="center"/>
              <w:rPr>
                <w:color w:val="auto"/>
              </w:rPr>
            </w:pPr>
          </w:p>
        </w:tc>
        <w:tc>
          <w:tcPr>
            <w:tcW w:w="966" w:type="pct"/>
            <w:tcBorders>
              <w:bottom w:val="nil"/>
            </w:tcBorders>
            <w:shd w:val="clear" w:color="auto" w:fill="auto"/>
            <w:vAlign w:val="bottom"/>
          </w:tcPr>
          <w:p w14:paraId="30369BD7" w14:textId="77777777" w:rsidR="00C47EAA" w:rsidRPr="00AB1FE7" w:rsidRDefault="00C47EAA" w:rsidP="00C47EAA">
            <w:pPr>
              <w:tabs>
                <w:tab w:val="center" w:pos="1026"/>
              </w:tabs>
              <w:jc w:val="center"/>
              <w:rPr>
                <w:color w:val="auto"/>
              </w:rPr>
            </w:pPr>
          </w:p>
        </w:tc>
      </w:tr>
      <w:tr w:rsidR="00C47EAA" w:rsidRPr="00052104" w14:paraId="6937E5BF" w14:textId="77777777" w:rsidTr="003F1F7C">
        <w:trPr>
          <w:trHeight w:val="369"/>
        </w:trPr>
        <w:tc>
          <w:tcPr>
            <w:tcW w:w="3105" w:type="pct"/>
            <w:shd w:val="clear" w:color="auto" w:fill="auto"/>
            <w:vAlign w:val="bottom"/>
          </w:tcPr>
          <w:p w14:paraId="77E9DDAD" w14:textId="77777777" w:rsidR="00C47EAA" w:rsidRPr="00AB1FE7" w:rsidRDefault="00C47EAA" w:rsidP="00C47EAA">
            <w:pPr>
              <w:jc w:val="left"/>
              <w:rPr>
                <w:color w:val="auto"/>
              </w:rPr>
            </w:pPr>
            <w:r w:rsidRPr="00AB1FE7">
              <w:rPr>
                <w:color w:val="auto"/>
              </w:rPr>
              <w:t>Men</w:t>
            </w:r>
          </w:p>
        </w:tc>
        <w:tc>
          <w:tcPr>
            <w:tcW w:w="929" w:type="pct"/>
            <w:tcBorders>
              <w:bottom w:val="nil"/>
            </w:tcBorders>
            <w:shd w:val="clear" w:color="auto" w:fill="auto"/>
            <w:vAlign w:val="bottom"/>
          </w:tcPr>
          <w:p w14:paraId="61EA1AC6" w14:textId="333D9A5F" w:rsidR="00C47EAA" w:rsidRPr="00AB1FE7" w:rsidRDefault="00AB1FE7" w:rsidP="001F2704">
            <w:pPr>
              <w:tabs>
                <w:tab w:val="center" w:pos="884"/>
              </w:tabs>
              <w:jc w:val="center"/>
              <w:rPr>
                <w:color w:val="auto"/>
              </w:rPr>
            </w:pPr>
            <w:r w:rsidRPr="00AB1FE7">
              <w:rPr>
                <w:color w:val="auto"/>
              </w:rPr>
              <w:t>2</w:t>
            </w:r>
            <w:r w:rsidR="001F2704">
              <w:rPr>
                <w:color w:val="auto"/>
              </w:rPr>
              <w:t>5.1</w:t>
            </w:r>
            <w:r w:rsidRPr="00AB1FE7">
              <w:rPr>
                <w:color w:val="auto"/>
              </w:rPr>
              <w:t xml:space="preserve"> years</w:t>
            </w:r>
          </w:p>
        </w:tc>
        <w:tc>
          <w:tcPr>
            <w:tcW w:w="966" w:type="pct"/>
            <w:tcBorders>
              <w:bottom w:val="nil"/>
            </w:tcBorders>
            <w:shd w:val="clear" w:color="auto" w:fill="auto"/>
            <w:vAlign w:val="bottom"/>
          </w:tcPr>
          <w:p w14:paraId="6D12118B" w14:textId="77777777" w:rsidR="00C47EAA" w:rsidRPr="00AB1FE7" w:rsidRDefault="00C47EAA" w:rsidP="00C47EAA">
            <w:pPr>
              <w:tabs>
                <w:tab w:val="center" w:pos="1026"/>
              </w:tabs>
              <w:jc w:val="center"/>
              <w:rPr>
                <w:color w:val="auto"/>
              </w:rPr>
            </w:pPr>
            <w:r w:rsidRPr="00AB1FE7">
              <w:rPr>
                <w:color w:val="auto"/>
              </w:rPr>
              <w:t>25.0 years</w:t>
            </w:r>
          </w:p>
        </w:tc>
      </w:tr>
      <w:tr w:rsidR="00C47EAA" w:rsidRPr="00052104" w14:paraId="45DB8A9B" w14:textId="77777777" w:rsidTr="003F1F7C">
        <w:trPr>
          <w:trHeight w:val="369"/>
        </w:trPr>
        <w:tc>
          <w:tcPr>
            <w:tcW w:w="3105" w:type="pct"/>
            <w:shd w:val="clear" w:color="auto" w:fill="auto"/>
            <w:vAlign w:val="bottom"/>
          </w:tcPr>
          <w:p w14:paraId="2075D217" w14:textId="77777777" w:rsidR="00C47EAA" w:rsidRPr="00AB1FE7" w:rsidRDefault="00C47EAA" w:rsidP="00C47EAA">
            <w:pPr>
              <w:jc w:val="left"/>
              <w:rPr>
                <w:color w:val="auto"/>
              </w:rPr>
            </w:pPr>
            <w:r w:rsidRPr="00AB1FE7">
              <w:rPr>
                <w:color w:val="auto"/>
              </w:rPr>
              <w:t>Women</w:t>
            </w:r>
          </w:p>
        </w:tc>
        <w:tc>
          <w:tcPr>
            <w:tcW w:w="929" w:type="pct"/>
            <w:tcBorders>
              <w:bottom w:val="nil"/>
            </w:tcBorders>
            <w:shd w:val="clear" w:color="auto" w:fill="auto"/>
            <w:vAlign w:val="bottom"/>
          </w:tcPr>
          <w:p w14:paraId="63097FF0" w14:textId="5D580846" w:rsidR="00C47EAA" w:rsidRPr="00AB1FE7" w:rsidRDefault="00AB1FE7" w:rsidP="001F2704">
            <w:pPr>
              <w:tabs>
                <w:tab w:val="center" w:pos="884"/>
              </w:tabs>
              <w:jc w:val="center"/>
              <w:rPr>
                <w:color w:val="auto"/>
              </w:rPr>
            </w:pPr>
            <w:r w:rsidRPr="00AB1FE7">
              <w:rPr>
                <w:color w:val="auto"/>
              </w:rPr>
              <w:t>2</w:t>
            </w:r>
            <w:r w:rsidR="001F2704">
              <w:rPr>
                <w:color w:val="auto"/>
              </w:rPr>
              <w:t>7.8</w:t>
            </w:r>
            <w:r w:rsidRPr="00AB1FE7">
              <w:rPr>
                <w:color w:val="auto"/>
              </w:rPr>
              <w:t xml:space="preserve"> years</w:t>
            </w:r>
          </w:p>
        </w:tc>
        <w:tc>
          <w:tcPr>
            <w:tcW w:w="966" w:type="pct"/>
            <w:tcBorders>
              <w:bottom w:val="nil"/>
            </w:tcBorders>
            <w:shd w:val="clear" w:color="auto" w:fill="auto"/>
            <w:vAlign w:val="bottom"/>
          </w:tcPr>
          <w:p w14:paraId="7E7E143E" w14:textId="77777777" w:rsidR="00C47EAA" w:rsidRPr="00AB1FE7" w:rsidRDefault="00C47EAA" w:rsidP="00C47EAA">
            <w:pPr>
              <w:tabs>
                <w:tab w:val="center" w:pos="1026"/>
              </w:tabs>
              <w:jc w:val="center"/>
              <w:rPr>
                <w:color w:val="auto"/>
              </w:rPr>
            </w:pPr>
            <w:r w:rsidRPr="00AB1FE7">
              <w:rPr>
                <w:color w:val="auto"/>
              </w:rPr>
              <w:t>27.7 years</w:t>
            </w:r>
          </w:p>
        </w:tc>
      </w:tr>
      <w:tr w:rsidR="000A6E92" w:rsidRPr="00052104" w14:paraId="36B26541" w14:textId="77777777" w:rsidTr="003F1F7C">
        <w:trPr>
          <w:trHeight w:val="369"/>
        </w:trPr>
        <w:tc>
          <w:tcPr>
            <w:tcW w:w="3105" w:type="pct"/>
            <w:shd w:val="clear" w:color="auto" w:fill="auto"/>
            <w:vAlign w:val="bottom"/>
          </w:tcPr>
          <w:p w14:paraId="12612E5C" w14:textId="77777777" w:rsidR="000A6E92" w:rsidRPr="00AB1FE7" w:rsidRDefault="000A6E92" w:rsidP="00C47EAA">
            <w:pPr>
              <w:jc w:val="left"/>
              <w:rPr>
                <w:color w:val="auto"/>
              </w:rPr>
            </w:pPr>
          </w:p>
        </w:tc>
        <w:tc>
          <w:tcPr>
            <w:tcW w:w="929" w:type="pct"/>
            <w:tcBorders>
              <w:bottom w:val="nil"/>
            </w:tcBorders>
            <w:shd w:val="clear" w:color="auto" w:fill="auto"/>
            <w:vAlign w:val="bottom"/>
          </w:tcPr>
          <w:p w14:paraId="353C2EED" w14:textId="77777777" w:rsidR="000A6E92" w:rsidRPr="00AB1FE7" w:rsidRDefault="000A6E92" w:rsidP="00C47EAA">
            <w:pPr>
              <w:tabs>
                <w:tab w:val="center" w:pos="884"/>
              </w:tabs>
              <w:jc w:val="center"/>
              <w:rPr>
                <w:color w:val="auto"/>
              </w:rPr>
            </w:pPr>
          </w:p>
        </w:tc>
        <w:tc>
          <w:tcPr>
            <w:tcW w:w="966" w:type="pct"/>
            <w:tcBorders>
              <w:bottom w:val="nil"/>
            </w:tcBorders>
            <w:shd w:val="clear" w:color="auto" w:fill="auto"/>
            <w:vAlign w:val="bottom"/>
          </w:tcPr>
          <w:p w14:paraId="60E11A14" w14:textId="77777777" w:rsidR="000A6E92" w:rsidRPr="00AB1FE7" w:rsidRDefault="000A6E92" w:rsidP="00C47EAA">
            <w:pPr>
              <w:tabs>
                <w:tab w:val="center" w:pos="1026"/>
              </w:tabs>
              <w:jc w:val="center"/>
              <w:rPr>
                <w:color w:val="auto"/>
              </w:rPr>
            </w:pPr>
          </w:p>
        </w:tc>
      </w:tr>
      <w:tr w:rsidR="00C47EAA" w:rsidRPr="00052104" w14:paraId="0646D844" w14:textId="77777777" w:rsidTr="003F1F7C">
        <w:trPr>
          <w:trHeight w:val="369"/>
        </w:trPr>
        <w:tc>
          <w:tcPr>
            <w:tcW w:w="3105" w:type="pct"/>
            <w:shd w:val="clear" w:color="auto" w:fill="auto"/>
            <w:vAlign w:val="bottom"/>
          </w:tcPr>
          <w:p w14:paraId="74E34F58" w14:textId="77777777" w:rsidR="00C47EAA" w:rsidRPr="00AB1FE7" w:rsidRDefault="00C47EAA" w:rsidP="00C47EAA">
            <w:pPr>
              <w:jc w:val="left"/>
              <w:rPr>
                <w:color w:val="auto"/>
              </w:rPr>
            </w:pPr>
            <w:r w:rsidRPr="00AB1FE7">
              <w:rPr>
                <w:color w:val="auto"/>
              </w:rPr>
              <w:t>Rate of inflation (CPI)</w:t>
            </w:r>
          </w:p>
        </w:tc>
        <w:tc>
          <w:tcPr>
            <w:tcW w:w="929" w:type="pct"/>
            <w:tcBorders>
              <w:bottom w:val="nil"/>
            </w:tcBorders>
            <w:shd w:val="clear" w:color="auto" w:fill="auto"/>
            <w:vAlign w:val="bottom"/>
          </w:tcPr>
          <w:p w14:paraId="4F67CFEA" w14:textId="77777777" w:rsidR="00C47EAA" w:rsidRPr="00AB1FE7" w:rsidRDefault="00AB1FE7" w:rsidP="00C47EAA">
            <w:pPr>
              <w:tabs>
                <w:tab w:val="center" w:pos="884"/>
              </w:tabs>
              <w:jc w:val="center"/>
              <w:rPr>
                <w:color w:val="auto"/>
              </w:rPr>
            </w:pPr>
            <w:r w:rsidRPr="00AB1FE7">
              <w:rPr>
                <w:color w:val="auto"/>
              </w:rPr>
              <w:t>2.00%</w:t>
            </w:r>
          </w:p>
        </w:tc>
        <w:tc>
          <w:tcPr>
            <w:tcW w:w="966" w:type="pct"/>
            <w:tcBorders>
              <w:bottom w:val="nil"/>
            </w:tcBorders>
            <w:shd w:val="clear" w:color="auto" w:fill="auto"/>
            <w:vAlign w:val="bottom"/>
          </w:tcPr>
          <w:p w14:paraId="5CA0220B" w14:textId="77777777" w:rsidR="00C47EAA" w:rsidRPr="00AB1FE7" w:rsidRDefault="00C47EAA" w:rsidP="00C47EAA">
            <w:pPr>
              <w:tabs>
                <w:tab w:val="center" w:pos="1026"/>
              </w:tabs>
              <w:jc w:val="center"/>
              <w:rPr>
                <w:color w:val="auto"/>
              </w:rPr>
            </w:pPr>
            <w:r w:rsidRPr="00AB1FE7">
              <w:rPr>
                <w:color w:val="auto"/>
              </w:rPr>
              <w:t>2.40%</w:t>
            </w:r>
          </w:p>
        </w:tc>
      </w:tr>
      <w:tr w:rsidR="00C47EAA" w:rsidRPr="00052104" w14:paraId="6C5F95A8" w14:textId="77777777" w:rsidTr="00C47EAA">
        <w:trPr>
          <w:trHeight w:val="369"/>
        </w:trPr>
        <w:tc>
          <w:tcPr>
            <w:tcW w:w="3105" w:type="pct"/>
            <w:shd w:val="clear" w:color="auto" w:fill="auto"/>
            <w:vAlign w:val="bottom"/>
          </w:tcPr>
          <w:p w14:paraId="66E35B21" w14:textId="77777777" w:rsidR="00C47EAA" w:rsidRPr="00AB1FE7" w:rsidRDefault="00C47EAA" w:rsidP="00C47EAA">
            <w:pPr>
              <w:jc w:val="left"/>
              <w:rPr>
                <w:color w:val="auto"/>
              </w:rPr>
            </w:pPr>
            <w:r w:rsidRPr="00AB1FE7">
              <w:rPr>
                <w:color w:val="auto"/>
              </w:rPr>
              <w:t>Rate of increase in salaries</w:t>
            </w:r>
          </w:p>
        </w:tc>
        <w:tc>
          <w:tcPr>
            <w:tcW w:w="929" w:type="pct"/>
            <w:tcBorders>
              <w:bottom w:val="nil"/>
            </w:tcBorders>
            <w:shd w:val="clear" w:color="auto" w:fill="auto"/>
            <w:vAlign w:val="bottom"/>
          </w:tcPr>
          <w:p w14:paraId="3B2BE432" w14:textId="77777777" w:rsidR="00C47EAA" w:rsidRPr="00AB1FE7" w:rsidRDefault="00AB1FE7" w:rsidP="00C47EAA">
            <w:pPr>
              <w:tabs>
                <w:tab w:val="center" w:pos="884"/>
              </w:tabs>
              <w:jc w:val="center"/>
              <w:rPr>
                <w:color w:val="auto"/>
              </w:rPr>
            </w:pPr>
            <w:r w:rsidRPr="00AB1FE7">
              <w:rPr>
                <w:color w:val="auto"/>
              </w:rPr>
              <w:t>3.50%</w:t>
            </w:r>
          </w:p>
        </w:tc>
        <w:tc>
          <w:tcPr>
            <w:tcW w:w="966" w:type="pct"/>
            <w:tcBorders>
              <w:bottom w:val="nil"/>
            </w:tcBorders>
            <w:shd w:val="clear" w:color="auto" w:fill="auto"/>
            <w:vAlign w:val="bottom"/>
          </w:tcPr>
          <w:p w14:paraId="1DDE1886" w14:textId="77777777" w:rsidR="00C47EAA" w:rsidRPr="00AB1FE7" w:rsidRDefault="00C47EAA" w:rsidP="00C47EAA">
            <w:pPr>
              <w:tabs>
                <w:tab w:val="center" w:pos="1026"/>
              </w:tabs>
              <w:jc w:val="center"/>
              <w:rPr>
                <w:color w:val="auto"/>
              </w:rPr>
            </w:pPr>
            <w:r w:rsidRPr="00AB1FE7">
              <w:rPr>
                <w:color w:val="auto"/>
              </w:rPr>
              <w:t>3.90%</w:t>
            </w:r>
          </w:p>
        </w:tc>
      </w:tr>
      <w:tr w:rsidR="00C47EAA" w:rsidRPr="00052104" w14:paraId="3C73E426" w14:textId="77777777" w:rsidTr="00C47EAA">
        <w:trPr>
          <w:trHeight w:val="369"/>
        </w:trPr>
        <w:tc>
          <w:tcPr>
            <w:tcW w:w="3105" w:type="pct"/>
            <w:shd w:val="clear" w:color="auto" w:fill="auto"/>
            <w:vAlign w:val="bottom"/>
          </w:tcPr>
          <w:p w14:paraId="29FD4B17" w14:textId="77777777" w:rsidR="00C47EAA" w:rsidRPr="00AB1FE7" w:rsidRDefault="00C47EAA" w:rsidP="00C47EAA">
            <w:pPr>
              <w:jc w:val="left"/>
              <w:rPr>
                <w:color w:val="auto"/>
              </w:rPr>
            </w:pPr>
            <w:r w:rsidRPr="00AB1FE7">
              <w:rPr>
                <w:color w:val="auto"/>
              </w:rPr>
              <w:t>Rate of increase in pensions</w:t>
            </w:r>
          </w:p>
        </w:tc>
        <w:tc>
          <w:tcPr>
            <w:tcW w:w="929" w:type="pct"/>
            <w:tcBorders>
              <w:top w:val="nil"/>
              <w:bottom w:val="nil"/>
            </w:tcBorders>
            <w:shd w:val="clear" w:color="auto" w:fill="auto"/>
            <w:vAlign w:val="bottom"/>
          </w:tcPr>
          <w:p w14:paraId="75366AF9" w14:textId="77777777" w:rsidR="00C47EAA" w:rsidRPr="00AB1FE7" w:rsidRDefault="00AB1FE7" w:rsidP="00C47EAA">
            <w:pPr>
              <w:tabs>
                <w:tab w:val="center" w:pos="884"/>
              </w:tabs>
              <w:jc w:val="center"/>
              <w:rPr>
                <w:color w:val="auto"/>
              </w:rPr>
            </w:pPr>
            <w:r w:rsidRPr="00AB1FE7">
              <w:rPr>
                <w:color w:val="auto"/>
              </w:rPr>
              <w:t>2.00%</w:t>
            </w:r>
          </w:p>
        </w:tc>
        <w:tc>
          <w:tcPr>
            <w:tcW w:w="966" w:type="pct"/>
            <w:tcBorders>
              <w:top w:val="nil"/>
              <w:bottom w:val="nil"/>
            </w:tcBorders>
            <w:shd w:val="clear" w:color="auto" w:fill="auto"/>
            <w:vAlign w:val="bottom"/>
          </w:tcPr>
          <w:p w14:paraId="43B2C672" w14:textId="77777777" w:rsidR="00C47EAA" w:rsidRPr="00AB1FE7" w:rsidRDefault="00C47EAA" w:rsidP="00C47EAA">
            <w:pPr>
              <w:tabs>
                <w:tab w:val="center" w:pos="1026"/>
              </w:tabs>
              <w:jc w:val="center"/>
              <w:rPr>
                <w:color w:val="auto"/>
              </w:rPr>
            </w:pPr>
            <w:r w:rsidRPr="00AB1FE7">
              <w:rPr>
                <w:color w:val="auto"/>
              </w:rPr>
              <w:t>2.40%</w:t>
            </w:r>
          </w:p>
        </w:tc>
      </w:tr>
      <w:tr w:rsidR="00C47EAA" w:rsidRPr="00C47EAA" w14:paraId="5B5E7DB6" w14:textId="77777777" w:rsidTr="00C47EAA">
        <w:trPr>
          <w:trHeight w:val="369"/>
        </w:trPr>
        <w:tc>
          <w:tcPr>
            <w:tcW w:w="3105" w:type="pct"/>
            <w:shd w:val="clear" w:color="auto" w:fill="auto"/>
            <w:vAlign w:val="bottom"/>
          </w:tcPr>
          <w:p w14:paraId="45044C63" w14:textId="77777777" w:rsidR="00C47EAA" w:rsidRPr="00AB1FE7" w:rsidRDefault="00C47EAA" w:rsidP="00C47EAA">
            <w:pPr>
              <w:jc w:val="left"/>
              <w:rPr>
                <w:color w:val="auto"/>
              </w:rPr>
            </w:pPr>
            <w:r w:rsidRPr="00AB1FE7">
              <w:rPr>
                <w:color w:val="auto"/>
              </w:rPr>
              <w:t>Rate for discounting scheme liabilities</w:t>
            </w:r>
          </w:p>
        </w:tc>
        <w:tc>
          <w:tcPr>
            <w:tcW w:w="929" w:type="pct"/>
            <w:tcBorders>
              <w:top w:val="nil"/>
              <w:bottom w:val="single" w:sz="4" w:space="0" w:color="auto"/>
            </w:tcBorders>
            <w:shd w:val="clear" w:color="auto" w:fill="auto"/>
            <w:vAlign w:val="bottom"/>
          </w:tcPr>
          <w:p w14:paraId="50F34FD9" w14:textId="77777777" w:rsidR="00C47EAA" w:rsidRPr="00AB1FE7" w:rsidRDefault="00AB1FE7" w:rsidP="00C47EAA">
            <w:pPr>
              <w:tabs>
                <w:tab w:val="center" w:pos="884"/>
              </w:tabs>
              <w:jc w:val="center"/>
              <w:rPr>
                <w:color w:val="auto"/>
              </w:rPr>
            </w:pPr>
            <w:r w:rsidRPr="00AB1FE7">
              <w:rPr>
                <w:color w:val="auto"/>
              </w:rPr>
              <w:t>3.20%</w:t>
            </w:r>
          </w:p>
        </w:tc>
        <w:tc>
          <w:tcPr>
            <w:tcW w:w="966" w:type="pct"/>
            <w:tcBorders>
              <w:top w:val="nil"/>
              <w:bottom w:val="single" w:sz="4" w:space="0" w:color="auto"/>
            </w:tcBorders>
            <w:shd w:val="clear" w:color="auto" w:fill="auto"/>
            <w:vAlign w:val="bottom"/>
          </w:tcPr>
          <w:p w14:paraId="214B2887" w14:textId="77777777" w:rsidR="00C47EAA" w:rsidRPr="00AB1FE7" w:rsidRDefault="00C47EAA" w:rsidP="00C47EAA">
            <w:pPr>
              <w:tabs>
                <w:tab w:val="center" w:pos="1026"/>
              </w:tabs>
              <w:jc w:val="center"/>
              <w:rPr>
                <w:color w:val="auto"/>
              </w:rPr>
            </w:pPr>
            <w:r w:rsidRPr="00AB1FE7">
              <w:rPr>
                <w:color w:val="auto"/>
              </w:rPr>
              <w:t>4.40%</w:t>
            </w:r>
          </w:p>
        </w:tc>
      </w:tr>
    </w:tbl>
    <w:p w14:paraId="53099192" w14:textId="77777777" w:rsidR="00E77545" w:rsidRDefault="00E77545" w:rsidP="00C2570F">
      <w:pPr>
        <w:rPr>
          <w:lang w:eastAsia="en-GB"/>
        </w:rPr>
      </w:pPr>
    </w:p>
    <w:p w14:paraId="312281CE" w14:textId="77777777" w:rsidR="000A6E92" w:rsidRDefault="00966418" w:rsidP="00C2570F">
      <w:pPr>
        <w:rPr>
          <w:lang w:eastAsia="en-GB"/>
        </w:rPr>
      </w:pPr>
      <w:r w:rsidRPr="00AB1FE7">
        <w:rPr>
          <w:lang w:eastAsia="en-GB"/>
        </w:rPr>
        <w:t>The rate of return is not applicable to the Teachers</w:t>
      </w:r>
      <w:r w:rsidR="00FC11A1">
        <w:rPr>
          <w:lang w:eastAsia="en-GB"/>
        </w:rPr>
        <w:t>'</w:t>
      </w:r>
      <w:r w:rsidRPr="00AB1FE7">
        <w:rPr>
          <w:lang w:eastAsia="en-GB"/>
        </w:rPr>
        <w:t xml:space="preserve"> Pension Scheme since it has no assets to cover its liabilities. The Lancashire County Pension Fund's assets consist of the following categories: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43"/>
        <w:gridCol w:w="1666"/>
        <w:gridCol w:w="1741"/>
      </w:tblGrid>
      <w:tr w:rsidR="00107F8E" w:rsidRPr="00052104" w14:paraId="0F39BA11" w14:textId="77777777" w:rsidTr="00A06955">
        <w:trPr>
          <w:trHeight w:val="369"/>
          <w:tblHeader/>
        </w:trPr>
        <w:tc>
          <w:tcPr>
            <w:tcW w:w="3370" w:type="pct"/>
            <w:shd w:val="clear" w:color="auto" w:fill="D0CECE"/>
            <w:vAlign w:val="bottom"/>
          </w:tcPr>
          <w:p w14:paraId="13DA87AB" w14:textId="77777777" w:rsidR="00107F8E" w:rsidRPr="00AB1FE7" w:rsidRDefault="00107F8E" w:rsidP="003F1F7C">
            <w:pPr>
              <w:jc w:val="left"/>
              <w:rPr>
                <w:color w:val="auto"/>
              </w:rPr>
            </w:pPr>
          </w:p>
        </w:tc>
        <w:tc>
          <w:tcPr>
            <w:tcW w:w="797" w:type="pct"/>
            <w:shd w:val="clear" w:color="auto" w:fill="D0CECE"/>
            <w:vAlign w:val="bottom"/>
          </w:tcPr>
          <w:p w14:paraId="419357B4" w14:textId="77777777" w:rsidR="00107F8E" w:rsidRPr="00AB1FE7" w:rsidRDefault="00107F8E" w:rsidP="003F1F7C">
            <w:pPr>
              <w:jc w:val="center"/>
              <w:rPr>
                <w:b/>
                <w:color w:val="auto"/>
              </w:rPr>
            </w:pPr>
            <w:r w:rsidRPr="00AB1FE7">
              <w:rPr>
                <w:b/>
                <w:color w:val="auto"/>
              </w:rPr>
              <w:t>31/03/2015</w:t>
            </w:r>
          </w:p>
        </w:tc>
        <w:tc>
          <w:tcPr>
            <w:tcW w:w="833" w:type="pct"/>
            <w:shd w:val="clear" w:color="auto" w:fill="D0CECE"/>
            <w:vAlign w:val="bottom"/>
          </w:tcPr>
          <w:p w14:paraId="4C987127" w14:textId="77777777" w:rsidR="00107F8E" w:rsidRPr="00052104" w:rsidRDefault="00107F8E" w:rsidP="003F1F7C">
            <w:pPr>
              <w:jc w:val="center"/>
              <w:rPr>
                <w:b/>
                <w:color w:val="auto"/>
              </w:rPr>
            </w:pPr>
            <w:r>
              <w:rPr>
                <w:b/>
                <w:color w:val="auto"/>
              </w:rPr>
              <w:t>31/03/2014</w:t>
            </w:r>
          </w:p>
        </w:tc>
      </w:tr>
      <w:tr w:rsidR="00107F8E" w:rsidRPr="00052104" w14:paraId="261B86FB" w14:textId="77777777" w:rsidTr="00A06955">
        <w:trPr>
          <w:trHeight w:val="369"/>
          <w:tblHeader/>
        </w:trPr>
        <w:tc>
          <w:tcPr>
            <w:tcW w:w="3370" w:type="pct"/>
            <w:shd w:val="clear" w:color="auto" w:fill="D0CECE"/>
            <w:vAlign w:val="bottom"/>
          </w:tcPr>
          <w:p w14:paraId="34A3C9EF" w14:textId="77777777" w:rsidR="00107F8E" w:rsidRPr="00AB1FE7" w:rsidRDefault="00107F8E" w:rsidP="003F1F7C">
            <w:pPr>
              <w:jc w:val="left"/>
              <w:rPr>
                <w:color w:val="auto"/>
              </w:rPr>
            </w:pPr>
          </w:p>
        </w:tc>
        <w:tc>
          <w:tcPr>
            <w:tcW w:w="797" w:type="pct"/>
            <w:shd w:val="clear" w:color="auto" w:fill="D0CECE"/>
            <w:vAlign w:val="bottom"/>
          </w:tcPr>
          <w:p w14:paraId="0A86B2AA" w14:textId="77777777" w:rsidR="00107F8E" w:rsidRPr="00AB1FE7" w:rsidRDefault="00107F8E" w:rsidP="003F1F7C">
            <w:pPr>
              <w:jc w:val="center"/>
              <w:rPr>
                <w:b/>
                <w:color w:val="auto"/>
              </w:rPr>
            </w:pPr>
            <w:r w:rsidRPr="00AB1FE7">
              <w:rPr>
                <w:b/>
                <w:color w:val="auto"/>
              </w:rPr>
              <w:t>%</w:t>
            </w:r>
          </w:p>
        </w:tc>
        <w:tc>
          <w:tcPr>
            <w:tcW w:w="833" w:type="pct"/>
            <w:shd w:val="clear" w:color="auto" w:fill="D0CECE"/>
            <w:vAlign w:val="bottom"/>
          </w:tcPr>
          <w:p w14:paraId="6C80D941" w14:textId="77777777" w:rsidR="00107F8E" w:rsidRPr="00052104" w:rsidRDefault="00107F8E" w:rsidP="003F1F7C">
            <w:pPr>
              <w:jc w:val="center"/>
              <w:rPr>
                <w:b/>
                <w:color w:val="auto"/>
              </w:rPr>
            </w:pPr>
            <w:r>
              <w:rPr>
                <w:b/>
                <w:color w:val="auto"/>
              </w:rPr>
              <w:t>%</w:t>
            </w:r>
          </w:p>
        </w:tc>
      </w:tr>
      <w:tr w:rsidR="00107F8E" w:rsidRPr="00052104" w14:paraId="1B90A63B" w14:textId="77777777" w:rsidTr="003F1F7C">
        <w:trPr>
          <w:trHeight w:val="369"/>
        </w:trPr>
        <w:tc>
          <w:tcPr>
            <w:tcW w:w="3370" w:type="pct"/>
            <w:shd w:val="clear" w:color="auto" w:fill="auto"/>
            <w:vAlign w:val="bottom"/>
          </w:tcPr>
          <w:p w14:paraId="0916021C" w14:textId="77777777" w:rsidR="00107F8E" w:rsidRPr="00AB1FE7" w:rsidRDefault="00107F8E" w:rsidP="003F1F7C">
            <w:pPr>
              <w:jc w:val="left"/>
              <w:rPr>
                <w:color w:val="auto"/>
              </w:rPr>
            </w:pPr>
            <w:r w:rsidRPr="00AB1FE7">
              <w:rPr>
                <w:color w:val="auto"/>
              </w:rPr>
              <w:t>Equity investments</w:t>
            </w:r>
          </w:p>
        </w:tc>
        <w:tc>
          <w:tcPr>
            <w:tcW w:w="797" w:type="pct"/>
            <w:tcBorders>
              <w:bottom w:val="nil"/>
            </w:tcBorders>
            <w:shd w:val="clear" w:color="auto" w:fill="auto"/>
            <w:vAlign w:val="bottom"/>
          </w:tcPr>
          <w:p w14:paraId="2C5BA51E" w14:textId="77777777" w:rsidR="00107F8E" w:rsidRPr="00AB1FE7" w:rsidRDefault="00AB1FE7" w:rsidP="00A06955">
            <w:pPr>
              <w:tabs>
                <w:tab w:val="decimal" w:pos="782"/>
              </w:tabs>
              <w:rPr>
                <w:color w:val="auto"/>
              </w:rPr>
            </w:pPr>
            <w:r w:rsidRPr="00AB1FE7">
              <w:rPr>
                <w:color w:val="auto"/>
              </w:rPr>
              <w:t>49.2</w:t>
            </w:r>
          </w:p>
        </w:tc>
        <w:tc>
          <w:tcPr>
            <w:tcW w:w="833" w:type="pct"/>
            <w:tcBorders>
              <w:bottom w:val="nil"/>
            </w:tcBorders>
            <w:shd w:val="clear" w:color="auto" w:fill="auto"/>
            <w:vAlign w:val="bottom"/>
          </w:tcPr>
          <w:p w14:paraId="52DA4B89" w14:textId="77777777" w:rsidR="00107F8E" w:rsidRPr="00052104" w:rsidRDefault="00107F8E" w:rsidP="00A06955">
            <w:pPr>
              <w:tabs>
                <w:tab w:val="decimal" w:pos="817"/>
              </w:tabs>
              <w:rPr>
                <w:color w:val="auto"/>
              </w:rPr>
            </w:pPr>
            <w:r>
              <w:rPr>
                <w:color w:val="auto"/>
              </w:rPr>
              <w:t>57.7</w:t>
            </w:r>
          </w:p>
        </w:tc>
      </w:tr>
      <w:tr w:rsidR="00107F8E" w:rsidRPr="00052104" w14:paraId="44A54ACF" w14:textId="77777777" w:rsidTr="003F1F7C">
        <w:trPr>
          <w:trHeight w:val="369"/>
        </w:trPr>
        <w:tc>
          <w:tcPr>
            <w:tcW w:w="3370" w:type="pct"/>
            <w:shd w:val="clear" w:color="auto" w:fill="auto"/>
            <w:vAlign w:val="bottom"/>
          </w:tcPr>
          <w:p w14:paraId="1745E8A6" w14:textId="77777777" w:rsidR="00107F8E" w:rsidRPr="00AB1FE7" w:rsidRDefault="00107F8E" w:rsidP="003F1F7C">
            <w:pPr>
              <w:jc w:val="left"/>
              <w:rPr>
                <w:color w:val="auto"/>
              </w:rPr>
            </w:pPr>
            <w:r w:rsidRPr="00AB1FE7">
              <w:rPr>
                <w:color w:val="auto"/>
              </w:rPr>
              <w:t>Bonds</w:t>
            </w:r>
          </w:p>
        </w:tc>
        <w:tc>
          <w:tcPr>
            <w:tcW w:w="797" w:type="pct"/>
            <w:tcBorders>
              <w:top w:val="nil"/>
              <w:bottom w:val="nil"/>
            </w:tcBorders>
            <w:shd w:val="clear" w:color="auto" w:fill="auto"/>
            <w:vAlign w:val="bottom"/>
          </w:tcPr>
          <w:p w14:paraId="6FFAD928" w14:textId="77777777" w:rsidR="00107F8E" w:rsidRPr="00AB1FE7" w:rsidRDefault="00AB1FE7" w:rsidP="00A06955">
            <w:pPr>
              <w:tabs>
                <w:tab w:val="decimal" w:pos="782"/>
              </w:tabs>
              <w:rPr>
                <w:color w:val="auto"/>
              </w:rPr>
            </w:pPr>
            <w:r w:rsidRPr="00AB1FE7">
              <w:rPr>
                <w:color w:val="auto"/>
              </w:rPr>
              <w:t>4.5</w:t>
            </w:r>
          </w:p>
        </w:tc>
        <w:tc>
          <w:tcPr>
            <w:tcW w:w="833" w:type="pct"/>
            <w:tcBorders>
              <w:top w:val="nil"/>
              <w:bottom w:val="nil"/>
            </w:tcBorders>
            <w:shd w:val="clear" w:color="auto" w:fill="auto"/>
            <w:vAlign w:val="bottom"/>
          </w:tcPr>
          <w:p w14:paraId="0569BDDC" w14:textId="77777777" w:rsidR="00107F8E" w:rsidRPr="00052104" w:rsidRDefault="00107F8E" w:rsidP="00A06955">
            <w:pPr>
              <w:tabs>
                <w:tab w:val="decimal" w:pos="817"/>
              </w:tabs>
              <w:rPr>
                <w:color w:val="auto"/>
              </w:rPr>
            </w:pPr>
            <w:r>
              <w:rPr>
                <w:color w:val="auto"/>
              </w:rPr>
              <w:t>12.3</w:t>
            </w:r>
          </w:p>
        </w:tc>
      </w:tr>
      <w:tr w:rsidR="00107F8E" w:rsidRPr="00052104" w14:paraId="2F9790BE" w14:textId="77777777" w:rsidTr="003F1F7C">
        <w:trPr>
          <w:trHeight w:val="369"/>
        </w:trPr>
        <w:tc>
          <w:tcPr>
            <w:tcW w:w="3370" w:type="pct"/>
            <w:shd w:val="clear" w:color="auto" w:fill="auto"/>
            <w:vAlign w:val="bottom"/>
          </w:tcPr>
          <w:p w14:paraId="1433AF49" w14:textId="77777777" w:rsidR="00107F8E" w:rsidRPr="00AB1FE7" w:rsidRDefault="00107F8E" w:rsidP="003F1F7C">
            <w:pPr>
              <w:jc w:val="left"/>
              <w:rPr>
                <w:color w:val="auto"/>
              </w:rPr>
            </w:pPr>
            <w:r w:rsidRPr="00AB1FE7">
              <w:rPr>
                <w:color w:val="auto"/>
              </w:rPr>
              <w:t>Other assets</w:t>
            </w:r>
          </w:p>
        </w:tc>
        <w:tc>
          <w:tcPr>
            <w:tcW w:w="797" w:type="pct"/>
            <w:tcBorders>
              <w:top w:val="nil"/>
              <w:bottom w:val="single" w:sz="4" w:space="0" w:color="auto"/>
            </w:tcBorders>
            <w:shd w:val="clear" w:color="auto" w:fill="auto"/>
            <w:vAlign w:val="bottom"/>
          </w:tcPr>
          <w:p w14:paraId="1DD82CF5" w14:textId="77777777" w:rsidR="00107F8E" w:rsidRPr="00AB1FE7" w:rsidRDefault="00AB1FE7" w:rsidP="00A06955">
            <w:pPr>
              <w:tabs>
                <w:tab w:val="decimal" w:pos="782"/>
              </w:tabs>
              <w:rPr>
                <w:color w:val="auto"/>
              </w:rPr>
            </w:pPr>
            <w:r w:rsidRPr="00AB1FE7">
              <w:rPr>
                <w:color w:val="auto"/>
              </w:rPr>
              <w:t>46.3</w:t>
            </w:r>
          </w:p>
        </w:tc>
        <w:tc>
          <w:tcPr>
            <w:tcW w:w="833" w:type="pct"/>
            <w:tcBorders>
              <w:top w:val="nil"/>
              <w:bottom w:val="single" w:sz="4" w:space="0" w:color="auto"/>
            </w:tcBorders>
            <w:shd w:val="clear" w:color="auto" w:fill="auto"/>
            <w:vAlign w:val="bottom"/>
          </w:tcPr>
          <w:p w14:paraId="094177A4" w14:textId="77777777" w:rsidR="00107F8E" w:rsidRPr="00052104" w:rsidRDefault="00107F8E" w:rsidP="00A06955">
            <w:pPr>
              <w:tabs>
                <w:tab w:val="decimal" w:pos="817"/>
              </w:tabs>
              <w:rPr>
                <w:color w:val="auto"/>
              </w:rPr>
            </w:pPr>
            <w:r>
              <w:rPr>
                <w:color w:val="auto"/>
              </w:rPr>
              <w:t>30.0</w:t>
            </w:r>
          </w:p>
        </w:tc>
      </w:tr>
      <w:tr w:rsidR="00107F8E" w:rsidRPr="00052104" w14:paraId="1C3E0274" w14:textId="77777777" w:rsidTr="003F1F7C">
        <w:trPr>
          <w:trHeight w:val="369"/>
        </w:trPr>
        <w:tc>
          <w:tcPr>
            <w:tcW w:w="3370" w:type="pct"/>
            <w:shd w:val="clear" w:color="auto" w:fill="auto"/>
            <w:vAlign w:val="bottom"/>
          </w:tcPr>
          <w:p w14:paraId="64988B68" w14:textId="77777777" w:rsidR="00107F8E" w:rsidRPr="00AB1FE7" w:rsidRDefault="00107F8E" w:rsidP="003F1F7C">
            <w:pPr>
              <w:jc w:val="left"/>
              <w:rPr>
                <w:b/>
                <w:color w:val="auto"/>
              </w:rPr>
            </w:pPr>
          </w:p>
        </w:tc>
        <w:tc>
          <w:tcPr>
            <w:tcW w:w="797" w:type="pct"/>
            <w:tcBorders>
              <w:top w:val="single" w:sz="4" w:space="0" w:color="auto"/>
              <w:bottom w:val="single" w:sz="4" w:space="0" w:color="auto"/>
            </w:tcBorders>
            <w:shd w:val="clear" w:color="auto" w:fill="auto"/>
            <w:vAlign w:val="bottom"/>
          </w:tcPr>
          <w:p w14:paraId="4B291270" w14:textId="77777777" w:rsidR="00107F8E" w:rsidRPr="00AB1FE7" w:rsidRDefault="00AB1FE7" w:rsidP="00A06955">
            <w:pPr>
              <w:tabs>
                <w:tab w:val="decimal" w:pos="782"/>
              </w:tabs>
              <w:rPr>
                <w:b/>
                <w:color w:val="auto"/>
              </w:rPr>
            </w:pPr>
            <w:r w:rsidRPr="00AB1FE7">
              <w:rPr>
                <w:b/>
                <w:color w:val="auto"/>
              </w:rPr>
              <w:t>100.0</w:t>
            </w:r>
          </w:p>
        </w:tc>
        <w:tc>
          <w:tcPr>
            <w:tcW w:w="833" w:type="pct"/>
            <w:tcBorders>
              <w:top w:val="single" w:sz="4" w:space="0" w:color="auto"/>
              <w:bottom w:val="single" w:sz="4" w:space="0" w:color="auto"/>
            </w:tcBorders>
            <w:shd w:val="clear" w:color="auto" w:fill="auto"/>
            <w:vAlign w:val="bottom"/>
          </w:tcPr>
          <w:p w14:paraId="01B51D9F" w14:textId="77777777" w:rsidR="00107F8E" w:rsidRDefault="00107F8E" w:rsidP="00A06955">
            <w:pPr>
              <w:tabs>
                <w:tab w:val="decimal" w:pos="817"/>
              </w:tabs>
              <w:rPr>
                <w:b/>
                <w:color w:val="auto"/>
              </w:rPr>
            </w:pPr>
            <w:r>
              <w:rPr>
                <w:b/>
                <w:color w:val="auto"/>
              </w:rPr>
              <w:t>100.0</w:t>
            </w:r>
          </w:p>
        </w:tc>
      </w:tr>
    </w:tbl>
    <w:p w14:paraId="11F0DDA2" w14:textId="77777777" w:rsidR="00966418" w:rsidRDefault="00966418" w:rsidP="00C2570F">
      <w:pPr>
        <w:rPr>
          <w:lang w:eastAsia="en-GB"/>
        </w:rPr>
      </w:pPr>
    </w:p>
    <w:p w14:paraId="607350E3" w14:textId="29AFD7A2" w:rsidR="00107F8E" w:rsidRPr="00D305D0" w:rsidRDefault="00C26050" w:rsidP="00C2570F">
      <w:pPr>
        <w:rPr>
          <w:b/>
          <w:lang w:eastAsia="en-GB"/>
        </w:rPr>
      </w:pPr>
      <w:r w:rsidRPr="00D305D0">
        <w:rPr>
          <w:b/>
          <w:lang w:eastAsia="en-GB"/>
        </w:rPr>
        <w:t xml:space="preserve">Sensitivity </w:t>
      </w:r>
      <w:r w:rsidR="008E7863">
        <w:rPr>
          <w:b/>
          <w:lang w:eastAsia="en-GB"/>
        </w:rPr>
        <w:t>a</w:t>
      </w:r>
      <w:r w:rsidRPr="00D305D0">
        <w:rPr>
          <w:b/>
          <w:lang w:eastAsia="en-GB"/>
        </w:rPr>
        <w:t>nalysis</w:t>
      </w:r>
    </w:p>
    <w:p w14:paraId="42F307C8" w14:textId="15425680" w:rsidR="00C26050" w:rsidRDefault="00C26050" w:rsidP="00C2570F">
      <w:pPr>
        <w:rPr>
          <w:szCs w:val="22"/>
        </w:rPr>
      </w:pPr>
      <w:r w:rsidRPr="00D305D0">
        <w:rPr>
          <w:szCs w:val="22"/>
        </w:rPr>
        <w:t xml:space="preserve">The methods used to carry out the sensitivity analyses presented above for the material assumptions are the same as those the </w:t>
      </w:r>
      <w:r w:rsidR="00E820B6">
        <w:rPr>
          <w:szCs w:val="22"/>
        </w:rPr>
        <w:t>council</w:t>
      </w:r>
      <w:r w:rsidR="00E820B6" w:rsidRPr="00D305D0">
        <w:rPr>
          <w:szCs w:val="22"/>
        </w:rPr>
        <w:t xml:space="preserve"> </w:t>
      </w:r>
      <w:r w:rsidRPr="00D305D0">
        <w:rPr>
          <w:szCs w:val="22"/>
        </w:rPr>
        <w:t>has used previously. The calculations alter the relevant assumption by the amount specified, whilst assuming that all other variables remain the same. This approach is not necessarily realistic, since some assumptions are related: for example, if the scenario is to show the effect if inflation is higher than expected, it might be reasonable to expect that nominal yields on corporate bonds will increase also. However, it enables the reader to isolate one effect from another.</w:t>
      </w:r>
    </w:p>
    <w:p w14:paraId="62BD5810" w14:textId="77777777" w:rsidR="00C26050" w:rsidRDefault="00C26050" w:rsidP="00C2570F">
      <w:pPr>
        <w:rPr>
          <w:szCs w:val="22"/>
        </w:rPr>
      </w:pPr>
    </w:p>
    <w:p w14:paraId="29F0296E" w14:textId="77777777" w:rsidR="009B53E2" w:rsidRDefault="009B53E2" w:rsidP="00C2570F">
      <w:pPr>
        <w:rPr>
          <w:szCs w:val="22"/>
        </w:rPr>
      </w:pPr>
    </w:p>
    <w:p w14:paraId="14E85357" w14:textId="77777777" w:rsidR="00C26050" w:rsidRDefault="00C26050" w:rsidP="00C2570F">
      <w:pPr>
        <w:rPr>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89"/>
        <w:gridCol w:w="1942"/>
        <w:gridCol w:w="2019"/>
      </w:tblGrid>
      <w:tr w:rsidR="00C26050" w:rsidRPr="006E0DBD" w14:paraId="169EC1BB" w14:textId="77777777" w:rsidTr="00A06955">
        <w:trPr>
          <w:trHeight w:val="369"/>
          <w:tblHeader/>
        </w:trPr>
        <w:tc>
          <w:tcPr>
            <w:tcW w:w="3105" w:type="pct"/>
            <w:shd w:val="clear" w:color="auto" w:fill="D0CECE"/>
            <w:vAlign w:val="bottom"/>
          </w:tcPr>
          <w:p w14:paraId="2FD1F398" w14:textId="77777777" w:rsidR="00C26050" w:rsidRPr="008A6B0E" w:rsidRDefault="00C26050" w:rsidP="003F1F7C">
            <w:pPr>
              <w:jc w:val="left"/>
              <w:rPr>
                <w:color w:val="auto"/>
              </w:rPr>
            </w:pPr>
          </w:p>
        </w:tc>
        <w:tc>
          <w:tcPr>
            <w:tcW w:w="1895" w:type="pct"/>
            <w:gridSpan w:val="2"/>
            <w:shd w:val="clear" w:color="auto" w:fill="D0CECE"/>
            <w:vAlign w:val="bottom"/>
          </w:tcPr>
          <w:p w14:paraId="247AD088" w14:textId="77777777" w:rsidR="00C26050" w:rsidRPr="008A6B0E" w:rsidRDefault="00C26050" w:rsidP="003F1F7C">
            <w:pPr>
              <w:jc w:val="center"/>
              <w:rPr>
                <w:b/>
                <w:color w:val="auto"/>
              </w:rPr>
            </w:pPr>
            <w:r w:rsidRPr="008A6B0E">
              <w:rPr>
                <w:b/>
                <w:color w:val="auto"/>
              </w:rPr>
              <w:t>Impact on the Defined Benefit Obligation in the Scheme</w:t>
            </w:r>
          </w:p>
        </w:tc>
      </w:tr>
      <w:tr w:rsidR="00C26050" w:rsidRPr="006E0DBD" w14:paraId="2153BE59" w14:textId="77777777" w:rsidTr="00A06955">
        <w:trPr>
          <w:trHeight w:val="369"/>
          <w:tblHeader/>
        </w:trPr>
        <w:tc>
          <w:tcPr>
            <w:tcW w:w="3105" w:type="pct"/>
            <w:shd w:val="clear" w:color="auto" w:fill="D0CECE"/>
            <w:vAlign w:val="bottom"/>
          </w:tcPr>
          <w:p w14:paraId="637AF1FB" w14:textId="77777777" w:rsidR="00C26050" w:rsidRPr="008A6B0E" w:rsidRDefault="00C26050" w:rsidP="003F1F7C">
            <w:pPr>
              <w:jc w:val="left"/>
              <w:rPr>
                <w:color w:val="auto"/>
              </w:rPr>
            </w:pPr>
          </w:p>
        </w:tc>
        <w:tc>
          <w:tcPr>
            <w:tcW w:w="929" w:type="pct"/>
            <w:shd w:val="clear" w:color="auto" w:fill="D0CECE"/>
            <w:vAlign w:val="bottom"/>
          </w:tcPr>
          <w:p w14:paraId="7EA21C39" w14:textId="77777777" w:rsidR="00C26050" w:rsidRPr="008A6B0E" w:rsidRDefault="00C26050" w:rsidP="003F1F7C">
            <w:pPr>
              <w:jc w:val="center"/>
              <w:rPr>
                <w:b/>
                <w:color w:val="auto"/>
              </w:rPr>
            </w:pPr>
            <w:r w:rsidRPr="008A6B0E">
              <w:rPr>
                <w:b/>
                <w:color w:val="auto"/>
              </w:rPr>
              <w:t>Increase in Assumption</w:t>
            </w:r>
          </w:p>
        </w:tc>
        <w:tc>
          <w:tcPr>
            <w:tcW w:w="966" w:type="pct"/>
            <w:shd w:val="clear" w:color="auto" w:fill="D0CECE"/>
            <w:vAlign w:val="bottom"/>
          </w:tcPr>
          <w:p w14:paraId="2C21A215" w14:textId="77777777" w:rsidR="00C26050" w:rsidRPr="008A6B0E" w:rsidRDefault="00C26050" w:rsidP="003F1F7C">
            <w:pPr>
              <w:jc w:val="center"/>
              <w:rPr>
                <w:b/>
                <w:color w:val="auto"/>
              </w:rPr>
            </w:pPr>
            <w:r w:rsidRPr="008A6B0E">
              <w:rPr>
                <w:b/>
                <w:color w:val="auto"/>
              </w:rPr>
              <w:t>Decrease in Assumption</w:t>
            </w:r>
          </w:p>
        </w:tc>
      </w:tr>
      <w:tr w:rsidR="00C26050" w:rsidRPr="006E0DBD" w14:paraId="5DD79617" w14:textId="77777777" w:rsidTr="00A06955">
        <w:trPr>
          <w:trHeight w:val="369"/>
          <w:tblHeader/>
        </w:trPr>
        <w:tc>
          <w:tcPr>
            <w:tcW w:w="3105" w:type="pct"/>
            <w:shd w:val="clear" w:color="auto" w:fill="D0CECE"/>
            <w:vAlign w:val="bottom"/>
          </w:tcPr>
          <w:p w14:paraId="24BA1115" w14:textId="77777777" w:rsidR="00C26050" w:rsidRPr="008A6B0E" w:rsidRDefault="00C26050" w:rsidP="003F1F7C">
            <w:pPr>
              <w:jc w:val="left"/>
              <w:rPr>
                <w:color w:val="auto"/>
              </w:rPr>
            </w:pPr>
          </w:p>
        </w:tc>
        <w:tc>
          <w:tcPr>
            <w:tcW w:w="929" w:type="pct"/>
            <w:shd w:val="clear" w:color="auto" w:fill="D0CECE"/>
            <w:vAlign w:val="bottom"/>
          </w:tcPr>
          <w:p w14:paraId="112E27AD" w14:textId="77777777" w:rsidR="00C26050" w:rsidRPr="008A6B0E" w:rsidRDefault="00C26050" w:rsidP="003F1F7C">
            <w:pPr>
              <w:jc w:val="center"/>
              <w:rPr>
                <w:b/>
                <w:color w:val="auto"/>
              </w:rPr>
            </w:pPr>
            <w:r w:rsidRPr="008A6B0E">
              <w:rPr>
                <w:b/>
                <w:color w:val="auto"/>
              </w:rPr>
              <w:t>£m</w:t>
            </w:r>
          </w:p>
        </w:tc>
        <w:tc>
          <w:tcPr>
            <w:tcW w:w="966" w:type="pct"/>
            <w:shd w:val="clear" w:color="auto" w:fill="D0CECE"/>
            <w:vAlign w:val="bottom"/>
          </w:tcPr>
          <w:p w14:paraId="32B4D18B" w14:textId="77777777" w:rsidR="00C26050" w:rsidRPr="008A6B0E" w:rsidRDefault="00C26050" w:rsidP="003F1F7C">
            <w:pPr>
              <w:jc w:val="center"/>
              <w:rPr>
                <w:b/>
                <w:color w:val="auto"/>
              </w:rPr>
            </w:pPr>
            <w:r w:rsidRPr="008A6B0E">
              <w:rPr>
                <w:b/>
                <w:color w:val="auto"/>
              </w:rPr>
              <w:t>£m</w:t>
            </w:r>
          </w:p>
        </w:tc>
      </w:tr>
      <w:tr w:rsidR="00C26050" w:rsidRPr="006E0DBD" w14:paraId="529ED614" w14:textId="77777777" w:rsidTr="003F1F7C">
        <w:trPr>
          <w:trHeight w:val="369"/>
        </w:trPr>
        <w:tc>
          <w:tcPr>
            <w:tcW w:w="3105" w:type="pct"/>
            <w:shd w:val="clear" w:color="auto" w:fill="auto"/>
            <w:vAlign w:val="bottom"/>
          </w:tcPr>
          <w:p w14:paraId="32A5CCF8" w14:textId="77777777" w:rsidR="00C26050" w:rsidRPr="008A6B0E" w:rsidRDefault="00C26050" w:rsidP="003F1F7C">
            <w:pPr>
              <w:jc w:val="left"/>
              <w:rPr>
                <w:color w:val="auto"/>
              </w:rPr>
            </w:pPr>
            <w:r w:rsidRPr="008A6B0E">
              <w:rPr>
                <w:color w:val="auto"/>
              </w:rPr>
              <w:t>Longevity (increase or decrease in 1 year)</w:t>
            </w:r>
          </w:p>
        </w:tc>
        <w:tc>
          <w:tcPr>
            <w:tcW w:w="929" w:type="pct"/>
            <w:tcBorders>
              <w:bottom w:val="nil"/>
            </w:tcBorders>
            <w:shd w:val="clear" w:color="auto" w:fill="auto"/>
            <w:vAlign w:val="bottom"/>
          </w:tcPr>
          <w:p w14:paraId="1DB50D0E" w14:textId="51DA556B" w:rsidR="00C26050" w:rsidRPr="008A6B0E" w:rsidRDefault="00D305D0" w:rsidP="00955619">
            <w:pPr>
              <w:tabs>
                <w:tab w:val="decimal" w:pos="884"/>
              </w:tabs>
              <w:rPr>
                <w:color w:val="auto"/>
              </w:rPr>
            </w:pPr>
            <w:r w:rsidRPr="008A6B0E">
              <w:rPr>
                <w:color w:val="auto"/>
              </w:rPr>
              <w:t>67.47</w:t>
            </w:r>
          </w:p>
        </w:tc>
        <w:tc>
          <w:tcPr>
            <w:tcW w:w="966" w:type="pct"/>
            <w:tcBorders>
              <w:bottom w:val="nil"/>
            </w:tcBorders>
            <w:shd w:val="clear" w:color="auto" w:fill="auto"/>
            <w:vAlign w:val="bottom"/>
          </w:tcPr>
          <w:p w14:paraId="45C28616" w14:textId="400BD76B" w:rsidR="00C26050" w:rsidRPr="008A6B0E" w:rsidRDefault="00D305D0" w:rsidP="00955619">
            <w:pPr>
              <w:tabs>
                <w:tab w:val="decimal" w:pos="885"/>
              </w:tabs>
              <w:rPr>
                <w:color w:val="auto"/>
              </w:rPr>
            </w:pPr>
            <w:r w:rsidRPr="008A6B0E">
              <w:rPr>
                <w:color w:val="auto"/>
              </w:rPr>
              <w:t>(67.47)</w:t>
            </w:r>
          </w:p>
        </w:tc>
      </w:tr>
      <w:tr w:rsidR="00C26050" w:rsidRPr="006E0DBD" w14:paraId="1F332FAA" w14:textId="77777777" w:rsidTr="003F1F7C">
        <w:trPr>
          <w:trHeight w:val="369"/>
        </w:trPr>
        <w:tc>
          <w:tcPr>
            <w:tcW w:w="3105" w:type="pct"/>
            <w:shd w:val="clear" w:color="auto" w:fill="auto"/>
            <w:vAlign w:val="bottom"/>
          </w:tcPr>
          <w:p w14:paraId="3287A02C" w14:textId="77777777" w:rsidR="00C26050" w:rsidRPr="008A6B0E" w:rsidRDefault="00C26050" w:rsidP="003F1F7C">
            <w:pPr>
              <w:jc w:val="left"/>
              <w:rPr>
                <w:color w:val="auto"/>
              </w:rPr>
            </w:pPr>
            <w:r w:rsidRPr="008A6B0E">
              <w:rPr>
                <w:color w:val="auto"/>
              </w:rPr>
              <w:t>Rate of inflation (increase or decrease by 1%)</w:t>
            </w:r>
          </w:p>
        </w:tc>
        <w:tc>
          <w:tcPr>
            <w:tcW w:w="929" w:type="pct"/>
            <w:tcBorders>
              <w:bottom w:val="nil"/>
            </w:tcBorders>
            <w:shd w:val="clear" w:color="auto" w:fill="auto"/>
            <w:vAlign w:val="bottom"/>
          </w:tcPr>
          <w:p w14:paraId="181888D6" w14:textId="77777777" w:rsidR="00C26050" w:rsidRPr="008A6B0E" w:rsidRDefault="00D305D0" w:rsidP="00955619">
            <w:pPr>
              <w:tabs>
                <w:tab w:val="decimal" w:pos="884"/>
              </w:tabs>
              <w:rPr>
                <w:color w:val="auto"/>
              </w:rPr>
            </w:pPr>
            <w:r w:rsidRPr="008A6B0E">
              <w:rPr>
                <w:color w:val="auto"/>
              </w:rPr>
              <w:t>624.74</w:t>
            </w:r>
          </w:p>
        </w:tc>
        <w:tc>
          <w:tcPr>
            <w:tcW w:w="966" w:type="pct"/>
            <w:tcBorders>
              <w:bottom w:val="nil"/>
            </w:tcBorders>
            <w:shd w:val="clear" w:color="auto" w:fill="auto"/>
            <w:vAlign w:val="bottom"/>
          </w:tcPr>
          <w:p w14:paraId="00462CD9" w14:textId="77777777" w:rsidR="00C26050" w:rsidRPr="008A6B0E" w:rsidRDefault="00D305D0" w:rsidP="00955619">
            <w:pPr>
              <w:tabs>
                <w:tab w:val="decimal" w:pos="885"/>
              </w:tabs>
              <w:rPr>
                <w:color w:val="auto"/>
              </w:rPr>
            </w:pPr>
            <w:r w:rsidRPr="008A6B0E">
              <w:rPr>
                <w:color w:val="auto"/>
              </w:rPr>
              <w:t xml:space="preserve">     (624.74)</w:t>
            </w:r>
          </w:p>
        </w:tc>
      </w:tr>
      <w:tr w:rsidR="00C26050" w:rsidRPr="006E0DBD" w14:paraId="66690E79" w14:textId="77777777" w:rsidTr="00C26050">
        <w:trPr>
          <w:trHeight w:val="369"/>
        </w:trPr>
        <w:tc>
          <w:tcPr>
            <w:tcW w:w="3105" w:type="pct"/>
            <w:shd w:val="clear" w:color="auto" w:fill="auto"/>
            <w:vAlign w:val="bottom"/>
          </w:tcPr>
          <w:p w14:paraId="09B85465" w14:textId="77777777" w:rsidR="00C26050" w:rsidRPr="008A6B0E" w:rsidRDefault="00C26050" w:rsidP="003F1F7C">
            <w:pPr>
              <w:jc w:val="left"/>
              <w:rPr>
                <w:color w:val="auto"/>
              </w:rPr>
            </w:pPr>
            <w:r w:rsidRPr="008A6B0E">
              <w:rPr>
                <w:color w:val="auto"/>
              </w:rPr>
              <w:t>Rate of increase in salaries (increase or decrease by 1%)</w:t>
            </w:r>
          </w:p>
        </w:tc>
        <w:tc>
          <w:tcPr>
            <w:tcW w:w="929" w:type="pct"/>
            <w:tcBorders>
              <w:bottom w:val="nil"/>
            </w:tcBorders>
            <w:shd w:val="clear" w:color="auto" w:fill="auto"/>
            <w:vAlign w:val="bottom"/>
          </w:tcPr>
          <w:p w14:paraId="7F8A5B10" w14:textId="77777777" w:rsidR="00C26050" w:rsidRPr="008A6B0E" w:rsidRDefault="008A6B0E" w:rsidP="00955619">
            <w:pPr>
              <w:tabs>
                <w:tab w:val="decimal" w:pos="884"/>
              </w:tabs>
              <w:rPr>
                <w:color w:val="auto"/>
              </w:rPr>
            </w:pPr>
            <w:r w:rsidRPr="008A6B0E">
              <w:rPr>
                <w:color w:val="auto"/>
              </w:rPr>
              <w:t>139.81</w:t>
            </w:r>
          </w:p>
        </w:tc>
        <w:tc>
          <w:tcPr>
            <w:tcW w:w="966" w:type="pct"/>
            <w:tcBorders>
              <w:bottom w:val="nil"/>
            </w:tcBorders>
            <w:shd w:val="clear" w:color="auto" w:fill="auto"/>
            <w:vAlign w:val="bottom"/>
          </w:tcPr>
          <w:p w14:paraId="79D473BD" w14:textId="77777777" w:rsidR="00C26050" w:rsidRPr="008A6B0E" w:rsidRDefault="008A6B0E" w:rsidP="00955619">
            <w:pPr>
              <w:tabs>
                <w:tab w:val="decimal" w:pos="885"/>
              </w:tabs>
              <w:rPr>
                <w:color w:val="auto"/>
              </w:rPr>
            </w:pPr>
            <w:r w:rsidRPr="008A6B0E">
              <w:rPr>
                <w:color w:val="auto"/>
              </w:rPr>
              <w:t>(139.81)</w:t>
            </w:r>
          </w:p>
        </w:tc>
      </w:tr>
      <w:tr w:rsidR="00C26050" w:rsidRPr="006E0DBD" w14:paraId="7B76C750" w14:textId="77777777" w:rsidTr="00C26050">
        <w:trPr>
          <w:trHeight w:val="369"/>
        </w:trPr>
        <w:tc>
          <w:tcPr>
            <w:tcW w:w="3105" w:type="pct"/>
            <w:shd w:val="clear" w:color="auto" w:fill="auto"/>
            <w:vAlign w:val="bottom"/>
          </w:tcPr>
          <w:p w14:paraId="675D18B0" w14:textId="77777777" w:rsidR="00C26050" w:rsidRPr="008A6B0E" w:rsidRDefault="00C26050" w:rsidP="003F1F7C">
            <w:pPr>
              <w:jc w:val="left"/>
              <w:rPr>
                <w:color w:val="auto"/>
              </w:rPr>
            </w:pPr>
            <w:r w:rsidRPr="008A6B0E">
              <w:rPr>
                <w:color w:val="auto"/>
              </w:rPr>
              <w:t>Rate for discounting scheme liabilities (increase or decrease by 1%)</w:t>
            </w:r>
          </w:p>
        </w:tc>
        <w:tc>
          <w:tcPr>
            <w:tcW w:w="929" w:type="pct"/>
            <w:tcBorders>
              <w:top w:val="nil"/>
              <w:bottom w:val="single" w:sz="4" w:space="0" w:color="auto"/>
            </w:tcBorders>
            <w:shd w:val="clear" w:color="auto" w:fill="auto"/>
            <w:vAlign w:val="bottom"/>
          </w:tcPr>
          <w:p w14:paraId="798904E1" w14:textId="77777777" w:rsidR="00C26050" w:rsidRPr="008A6B0E" w:rsidRDefault="008A6B0E" w:rsidP="00955619">
            <w:pPr>
              <w:tabs>
                <w:tab w:val="decimal" w:pos="884"/>
              </w:tabs>
              <w:rPr>
                <w:color w:val="auto"/>
              </w:rPr>
            </w:pPr>
            <w:r w:rsidRPr="008A6B0E">
              <w:rPr>
                <w:color w:val="auto"/>
              </w:rPr>
              <w:t>(613.62)</w:t>
            </w:r>
          </w:p>
        </w:tc>
        <w:tc>
          <w:tcPr>
            <w:tcW w:w="966" w:type="pct"/>
            <w:tcBorders>
              <w:top w:val="nil"/>
              <w:bottom w:val="single" w:sz="4" w:space="0" w:color="auto"/>
            </w:tcBorders>
            <w:shd w:val="clear" w:color="auto" w:fill="auto"/>
            <w:vAlign w:val="bottom"/>
          </w:tcPr>
          <w:p w14:paraId="188D2FFD" w14:textId="77777777" w:rsidR="00C26050" w:rsidRPr="008A6B0E" w:rsidRDefault="008A6B0E" w:rsidP="00955619">
            <w:pPr>
              <w:tabs>
                <w:tab w:val="decimal" w:pos="885"/>
              </w:tabs>
              <w:rPr>
                <w:color w:val="auto"/>
              </w:rPr>
            </w:pPr>
            <w:r w:rsidRPr="008A6B0E">
              <w:rPr>
                <w:color w:val="auto"/>
              </w:rPr>
              <w:t>613.62</w:t>
            </w:r>
          </w:p>
        </w:tc>
      </w:tr>
    </w:tbl>
    <w:p w14:paraId="16C93011" w14:textId="77777777" w:rsidR="00C26050" w:rsidRDefault="00C26050" w:rsidP="00C2570F">
      <w:pPr>
        <w:rPr>
          <w:highlight w:val="yellow"/>
          <w:lang w:eastAsia="en-GB"/>
        </w:rPr>
      </w:pPr>
    </w:p>
    <w:p w14:paraId="61F4EA2F" w14:textId="77777777" w:rsidR="009A34B3" w:rsidRPr="006E0DBD" w:rsidRDefault="009A34B3" w:rsidP="00C2570F">
      <w:pPr>
        <w:rPr>
          <w:highlight w:val="yellow"/>
          <w:lang w:eastAsia="en-GB"/>
        </w:rPr>
      </w:pPr>
    </w:p>
    <w:p w14:paraId="4D4E433A" w14:textId="6DCD6263" w:rsidR="00042A67" w:rsidRPr="00A06955" w:rsidRDefault="00042A67" w:rsidP="00042A67">
      <w:pPr>
        <w:pStyle w:val="Heading1"/>
      </w:pPr>
      <w:r>
        <w:br w:type="page"/>
      </w:r>
      <w:r w:rsidRPr="00A06955">
        <w:t xml:space="preserve">Other </w:t>
      </w:r>
      <w:r w:rsidR="008E7863">
        <w:t>f</w:t>
      </w:r>
      <w:r w:rsidRPr="00A06955">
        <w:t>unds</w:t>
      </w:r>
    </w:p>
    <w:p w14:paraId="4E75EDE6" w14:textId="09811578" w:rsidR="00042A67" w:rsidRPr="00A06955" w:rsidRDefault="00042A67" w:rsidP="00042A67">
      <w:pPr>
        <w:pStyle w:val="Heading2"/>
      </w:pPr>
      <w:r w:rsidRPr="00A06955">
        <w:t xml:space="preserve">Trust and </w:t>
      </w:r>
      <w:r w:rsidR="008E7863">
        <w:t>s</w:t>
      </w:r>
      <w:r w:rsidRPr="00A06955">
        <w:t xml:space="preserve">pecial </w:t>
      </w:r>
      <w:r w:rsidR="008E7863">
        <w:t>f</w:t>
      </w:r>
      <w:r w:rsidRPr="00A06955">
        <w:t>unds</w:t>
      </w:r>
    </w:p>
    <w:p w14:paraId="1D3464A0" w14:textId="77777777" w:rsidR="00042A67" w:rsidRPr="00A06955" w:rsidRDefault="00042A67" w:rsidP="00042A67">
      <w:pPr>
        <w:rPr>
          <w:lang w:eastAsia="en-GB"/>
        </w:rPr>
      </w:pPr>
      <w:r w:rsidRPr="00A06955">
        <w:rPr>
          <w:lang w:eastAsia="en-GB"/>
        </w:rPr>
        <w:t>We manage several small trust and special funds. Most of the trust funds have been set up as a result of gifts and bequests to be used for the benefit of children, students or clients at a particular school, college or home, or in a specific area. The capital accounts in the table below show the value of the investment money that has been bequeathed.</w:t>
      </w:r>
    </w:p>
    <w:p w14:paraId="7E052051" w14:textId="77777777" w:rsidR="00042A67" w:rsidRPr="00A06955" w:rsidRDefault="00042A67" w:rsidP="00042A67">
      <w:pPr>
        <w:rPr>
          <w:lang w:eastAsia="en-GB"/>
        </w:rPr>
      </w:pPr>
      <w:r w:rsidRPr="00A06955">
        <w:rPr>
          <w:lang w:eastAsia="en-GB"/>
        </w:rPr>
        <w:t>Each fund balance is invested in line with the terms of the relevant trust deed. The annual income is used to meet the aims of the trust, for example by providing school prizes.</w:t>
      </w:r>
    </w:p>
    <w:p w14:paraId="25B5CD98" w14:textId="77777777" w:rsidR="00042A67" w:rsidRPr="00A06955" w:rsidRDefault="00042A67" w:rsidP="00042A67">
      <w:pPr>
        <w:rPr>
          <w:lang w:eastAsia="en-GB"/>
        </w:rPr>
      </w:pPr>
      <w:r w:rsidRPr="00A06955">
        <w:rPr>
          <w:lang w:eastAsia="en-GB"/>
        </w:rPr>
        <w:t>The revenue accounts record the day-to-day transactions of the funds, including income earned from investments and payments made to beneficiaries.</w:t>
      </w:r>
    </w:p>
    <w:p w14:paraId="4A9D17F6" w14:textId="77777777" w:rsidR="00042A67" w:rsidRDefault="00042A67" w:rsidP="00042A67">
      <w:pPr>
        <w:rPr>
          <w:lang w:eastAsia="en-GB"/>
        </w:rPr>
      </w:pPr>
      <w:r w:rsidRPr="00A06955">
        <w:rPr>
          <w:lang w:eastAsia="en-GB"/>
        </w:rPr>
        <w:t>The movements on fund balances are summarised below.</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35"/>
        <w:gridCol w:w="1528"/>
        <w:gridCol w:w="1388"/>
        <w:gridCol w:w="1388"/>
        <w:gridCol w:w="1388"/>
        <w:gridCol w:w="1323"/>
      </w:tblGrid>
      <w:tr w:rsidR="003F1F7C" w:rsidRPr="00C0047D" w14:paraId="2CA707CA" w14:textId="77777777" w:rsidTr="00A06955">
        <w:trPr>
          <w:trHeight w:val="369"/>
          <w:tblHeader/>
        </w:trPr>
        <w:tc>
          <w:tcPr>
            <w:tcW w:w="1643" w:type="pct"/>
            <w:shd w:val="clear" w:color="auto" w:fill="D0CECE"/>
            <w:vAlign w:val="bottom"/>
          </w:tcPr>
          <w:p w14:paraId="07AD06BF" w14:textId="77777777" w:rsidR="003F1F7C" w:rsidRPr="006E0DBD" w:rsidRDefault="003F1F7C" w:rsidP="003F1F7C">
            <w:pPr>
              <w:jc w:val="center"/>
              <w:rPr>
                <w:b/>
                <w:color w:val="auto"/>
                <w:highlight w:val="yellow"/>
                <w:u w:val="single"/>
              </w:rPr>
            </w:pPr>
          </w:p>
        </w:tc>
        <w:tc>
          <w:tcPr>
            <w:tcW w:w="731" w:type="pct"/>
            <w:shd w:val="clear" w:color="auto" w:fill="D0CECE"/>
            <w:vAlign w:val="bottom"/>
          </w:tcPr>
          <w:p w14:paraId="13E880B7" w14:textId="2EFB8E32" w:rsidR="003F1F7C" w:rsidRPr="00A06955" w:rsidRDefault="003F1F7C" w:rsidP="001D1A6F">
            <w:pPr>
              <w:jc w:val="center"/>
              <w:rPr>
                <w:b/>
                <w:color w:val="auto"/>
              </w:rPr>
            </w:pPr>
            <w:r w:rsidRPr="00A06955">
              <w:rPr>
                <w:b/>
                <w:color w:val="auto"/>
              </w:rPr>
              <w:t>Adult</w:t>
            </w:r>
            <w:r w:rsidR="001D1A6F" w:rsidRPr="00A06955">
              <w:rPr>
                <w:b/>
                <w:color w:val="auto"/>
              </w:rPr>
              <w:t xml:space="preserve"> Services, Health</w:t>
            </w:r>
            <w:r w:rsidRPr="00A06955">
              <w:rPr>
                <w:b/>
                <w:color w:val="auto"/>
              </w:rPr>
              <w:t xml:space="preserve"> &amp; </w:t>
            </w:r>
            <w:r w:rsidR="001D1A6F" w:rsidRPr="00A06955">
              <w:rPr>
                <w:b/>
                <w:color w:val="auto"/>
              </w:rPr>
              <w:t>Wellbeing</w:t>
            </w:r>
          </w:p>
        </w:tc>
        <w:tc>
          <w:tcPr>
            <w:tcW w:w="664" w:type="pct"/>
            <w:shd w:val="clear" w:color="auto" w:fill="D0CECE"/>
            <w:vAlign w:val="bottom"/>
          </w:tcPr>
          <w:p w14:paraId="599EB037" w14:textId="77777777" w:rsidR="003F1F7C" w:rsidRPr="00A06955" w:rsidRDefault="003F1F7C" w:rsidP="003F1F7C">
            <w:pPr>
              <w:jc w:val="center"/>
              <w:rPr>
                <w:b/>
                <w:color w:val="auto"/>
              </w:rPr>
            </w:pPr>
            <w:r w:rsidRPr="00A06955">
              <w:rPr>
                <w:b/>
                <w:color w:val="auto"/>
              </w:rPr>
              <w:t>Children &amp; Young People</w:t>
            </w:r>
          </w:p>
        </w:tc>
        <w:tc>
          <w:tcPr>
            <w:tcW w:w="664" w:type="pct"/>
            <w:shd w:val="clear" w:color="auto" w:fill="D0CECE"/>
            <w:vAlign w:val="bottom"/>
          </w:tcPr>
          <w:p w14:paraId="37DB0F9D" w14:textId="77777777" w:rsidR="003F1F7C" w:rsidRPr="00A06955" w:rsidRDefault="003F1F7C" w:rsidP="003F1F7C">
            <w:pPr>
              <w:jc w:val="center"/>
              <w:rPr>
                <w:b/>
                <w:color w:val="auto"/>
              </w:rPr>
            </w:pPr>
            <w:r w:rsidRPr="00A06955">
              <w:rPr>
                <w:b/>
                <w:color w:val="auto"/>
              </w:rPr>
              <w:t>Other</w:t>
            </w:r>
          </w:p>
        </w:tc>
        <w:tc>
          <w:tcPr>
            <w:tcW w:w="664" w:type="pct"/>
            <w:shd w:val="clear" w:color="auto" w:fill="D0CECE"/>
            <w:vAlign w:val="bottom"/>
          </w:tcPr>
          <w:p w14:paraId="69F2C782" w14:textId="77777777" w:rsidR="003F1F7C" w:rsidRPr="00A06955" w:rsidRDefault="003F1F7C" w:rsidP="003F1F7C">
            <w:pPr>
              <w:jc w:val="center"/>
              <w:rPr>
                <w:b/>
                <w:color w:val="auto"/>
              </w:rPr>
            </w:pPr>
            <w:r w:rsidRPr="00A06955">
              <w:rPr>
                <w:b/>
                <w:color w:val="auto"/>
              </w:rPr>
              <w:t>Total</w:t>
            </w:r>
          </w:p>
        </w:tc>
        <w:tc>
          <w:tcPr>
            <w:tcW w:w="633" w:type="pct"/>
            <w:shd w:val="clear" w:color="auto" w:fill="D0CECE"/>
            <w:vAlign w:val="bottom"/>
          </w:tcPr>
          <w:p w14:paraId="21DCBF63" w14:textId="77777777" w:rsidR="003F1F7C" w:rsidRPr="00C0047D" w:rsidRDefault="003F1F7C" w:rsidP="003F1F7C">
            <w:pPr>
              <w:jc w:val="center"/>
              <w:rPr>
                <w:b/>
                <w:color w:val="auto"/>
              </w:rPr>
            </w:pPr>
            <w:r w:rsidRPr="00C0047D">
              <w:rPr>
                <w:b/>
                <w:color w:val="auto"/>
              </w:rPr>
              <w:t>Total</w:t>
            </w:r>
          </w:p>
        </w:tc>
      </w:tr>
      <w:tr w:rsidR="003F1F7C" w:rsidRPr="00C0047D" w14:paraId="4F04B8B3" w14:textId="77777777" w:rsidTr="00A06955">
        <w:trPr>
          <w:trHeight w:val="369"/>
          <w:tblHeader/>
        </w:trPr>
        <w:tc>
          <w:tcPr>
            <w:tcW w:w="1643" w:type="pct"/>
            <w:shd w:val="clear" w:color="auto" w:fill="D0CECE"/>
            <w:vAlign w:val="bottom"/>
          </w:tcPr>
          <w:p w14:paraId="1EE2AD85" w14:textId="77777777" w:rsidR="003F1F7C" w:rsidRPr="006E0DBD" w:rsidRDefault="003F1F7C" w:rsidP="003F1F7C">
            <w:pPr>
              <w:jc w:val="center"/>
              <w:rPr>
                <w:b/>
                <w:color w:val="auto"/>
                <w:highlight w:val="yellow"/>
                <w:u w:val="single"/>
              </w:rPr>
            </w:pPr>
          </w:p>
        </w:tc>
        <w:tc>
          <w:tcPr>
            <w:tcW w:w="731" w:type="pct"/>
            <w:shd w:val="clear" w:color="auto" w:fill="D0CECE"/>
            <w:vAlign w:val="bottom"/>
          </w:tcPr>
          <w:p w14:paraId="792798AF" w14:textId="77777777" w:rsidR="003F1F7C" w:rsidRPr="00A06955" w:rsidRDefault="003F1F7C" w:rsidP="003F1F7C">
            <w:pPr>
              <w:jc w:val="center"/>
              <w:rPr>
                <w:b/>
                <w:color w:val="auto"/>
              </w:rPr>
            </w:pPr>
            <w:r w:rsidRPr="00A06955">
              <w:rPr>
                <w:b/>
                <w:color w:val="auto"/>
              </w:rPr>
              <w:t>2014/15</w:t>
            </w:r>
          </w:p>
        </w:tc>
        <w:tc>
          <w:tcPr>
            <w:tcW w:w="664" w:type="pct"/>
            <w:shd w:val="clear" w:color="auto" w:fill="D0CECE"/>
            <w:vAlign w:val="bottom"/>
          </w:tcPr>
          <w:p w14:paraId="7F197BD0" w14:textId="77777777" w:rsidR="003F1F7C" w:rsidRPr="00A06955" w:rsidRDefault="003F1F7C" w:rsidP="003F1F7C">
            <w:pPr>
              <w:jc w:val="center"/>
              <w:rPr>
                <w:b/>
                <w:color w:val="auto"/>
              </w:rPr>
            </w:pPr>
            <w:r w:rsidRPr="00A06955">
              <w:rPr>
                <w:b/>
                <w:color w:val="auto"/>
              </w:rPr>
              <w:t>2014/15</w:t>
            </w:r>
          </w:p>
        </w:tc>
        <w:tc>
          <w:tcPr>
            <w:tcW w:w="664" w:type="pct"/>
            <w:shd w:val="clear" w:color="auto" w:fill="D0CECE"/>
            <w:vAlign w:val="bottom"/>
          </w:tcPr>
          <w:p w14:paraId="0FAFDFB7" w14:textId="77777777" w:rsidR="003F1F7C" w:rsidRPr="00A06955" w:rsidRDefault="003F1F7C" w:rsidP="003F1F7C">
            <w:pPr>
              <w:jc w:val="center"/>
              <w:rPr>
                <w:b/>
                <w:color w:val="auto"/>
              </w:rPr>
            </w:pPr>
            <w:r w:rsidRPr="00A06955">
              <w:rPr>
                <w:b/>
                <w:color w:val="auto"/>
              </w:rPr>
              <w:t>2014/15</w:t>
            </w:r>
          </w:p>
        </w:tc>
        <w:tc>
          <w:tcPr>
            <w:tcW w:w="664" w:type="pct"/>
            <w:shd w:val="clear" w:color="auto" w:fill="D0CECE"/>
            <w:vAlign w:val="bottom"/>
          </w:tcPr>
          <w:p w14:paraId="69261A6A" w14:textId="77777777" w:rsidR="003F1F7C" w:rsidRPr="00A06955" w:rsidRDefault="003F1F7C" w:rsidP="003F1F7C">
            <w:pPr>
              <w:jc w:val="center"/>
              <w:rPr>
                <w:b/>
                <w:color w:val="auto"/>
              </w:rPr>
            </w:pPr>
            <w:r w:rsidRPr="00A06955">
              <w:rPr>
                <w:b/>
                <w:color w:val="auto"/>
              </w:rPr>
              <w:t>2014/15</w:t>
            </w:r>
          </w:p>
        </w:tc>
        <w:tc>
          <w:tcPr>
            <w:tcW w:w="633" w:type="pct"/>
            <w:shd w:val="clear" w:color="auto" w:fill="D0CECE"/>
            <w:vAlign w:val="bottom"/>
          </w:tcPr>
          <w:p w14:paraId="75D0316A" w14:textId="77777777" w:rsidR="003F1F7C" w:rsidRPr="00C0047D" w:rsidRDefault="003F1F7C" w:rsidP="003F1F7C">
            <w:pPr>
              <w:jc w:val="center"/>
              <w:rPr>
                <w:b/>
                <w:color w:val="auto"/>
              </w:rPr>
            </w:pPr>
            <w:r>
              <w:rPr>
                <w:b/>
                <w:color w:val="auto"/>
              </w:rPr>
              <w:t>2013/14</w:t>
            </w:r>
          </w:p>
        </w:tc>
      </w:tr>
      <w:tr w:rsidR="003F1F7C" w:rsidRPr="00C0047D" w14:paraId="677DBE82" w14:textId="77777777" w:rsidTr="00A06955">
        <w:trPr>
          <w:trHeight w:val="369"/>
          <w:tblHeader/>
        </w:trPr>
        <w:tc>
          <w:tcPr>
            <w:tcW w:w="1643" w:type="pct"/>
            <w:shd w:val="clear" w:color="auto" w:fill="D0CECE"/>
            <w:vAlign w:val="bottom"/>
          </w:tcPr>
          <w:p w14:paraId="032E9B59" w14:textId="77777777" w:rsidR="003F1F7C" w:rsidRPr="006E0DBD" w:rsidRDefault="003F1F7C" w:rsidP="003F1F7C">
            <w:pPr>
              <w:jc w:val="left"/>
              <w:rPr>
                <w:color w:val="auto"/>
                <w:highlight w:val="yellow"/>
              </w:rPr>
            </w:pPr>
          </w:p>
        </w:tc>
        <w:tc>
          <w:tcPr>
            <w:tcW w:w="731" w:type="pct"/>
            <w:shd w:val="clear" w:color="auto" w:fill="D0CECE"/>
            <w:vAlign w:val="bottom"/>
          </w:tcPr>
          <w:p w14:paraId="2E0A6386" w14:textId="77777777" w:rsidR="003F1F7C" w:rsidRPr="00A06955" w:rsidRDefault="003F1F7C" w:rsidP="003F1F7C">
            <w:pPr>
              <w:jc w:val="center"/>
              <w:rPr>
                <w:b/>
                <w:color w:val="auto"/>
              </w:rPr>
            </w:pPr>
            <w:r w:rsidRPr="00A06955">
              <w:rPr>
                <w:b/>
                <w:color w:val="auto"/>
              </w:rPr>
              <w:t>£000s</w:t>
            </w:r>
          </w:p>
        </w:tc>
        <w:tc>
          <w:tcPr>
            <w:tcW w:w="664" w:type="pct"/>
            <w:shd w:val="clear" w:color="auto" w:fill="D0CECE"/>
            <w:vAlign w:val="bottom"/>
          </w:tcPr>
          <w:p w14:paraId="5F98DC61" w14:textId="77777777" w:rsidR="003F1F7C" w:rsidRPr="00A06955" w:rsidRDefault="003F1F7C" w:rsidP="003F1F7C">
            <w:pPr>
              <w:jc w:val="center"/>
              <w:rPr>
                <w:b/>
                <w:color w:val="auto"/>
              </w:rPr>
            </w:pPr>
            <w:r w:rsidRPr="00A06955">
              <w:rPr>
                <w:b/>
                <w:color w:val="auto"/>
              </w:rPr>
              <w:t>£000s</w:t>
            </w:r>
          </w:p>
        </w:tc>
        <w:tc>
          <w:tcPr>
            <w:tcW w:w="664" w:type="pct"/>
            <w:shd w:val="clear" w:color="auto" w:fill="D0CECE"/>
            <w:vAlign w:val="bottom"/>
          </w:tcPr>
          <w:p w14:paraId="064B57C6" w14:textId="77777777" w:rsidR="003F1F7C" w:rsidRPr="00A06955" w:rsidRDefault="003F1F7C" w:rsidP="003F1F7C">
            <w:pPr>
              <w:jc w:val="center"/>
              <w:rPr>
                <w:b/>
                <w:color w:val="auto"/>
              </w:rPr>
            </w:pPr>
            <w:r w:rsidRPr="00A06955">
              <w:rPr>
                <w:b/>
                <w:color w:val="auto"/>
              </w:rPr>
              <w:t>£000s</w:t>
            </w:r>
          </w:p>
        </w:tc>
        <w:tc>
          <w:tcPr>
            <w:tcW w:w="664" w:type="pct"/>
            <w:shd w:val="clear" w:color="auto" w:fill="D0CECE"/>
            <w:vAlign w:val="bottom"/>
          </w:tcPr>
          <w:p w14:paraId="1372F4F0" w14:textId="77777777" w:rsidR="003F1F7C" w:rsidRPr="00A06955" w:rsidRDefault="003F1F7C" w:rsidP="003F1F7C">
            <w:pPr>
              <w:jc w:val="center"/>
              <w:rPr>
                <w:b/>
                <w:color w:val="auto"/>
              </w:rPr>
            </w:pPr>
            <w:r w:rsidRPr="00A06955">
              <w:rPr>
                <w:b/>
                <w:color w:val="auto"/>
              </w:rPr>
              <w:t>£000s</w:t>
            </w:r>
          </w:p>
        </w:tc>
        <w:tc>
          <w:tcPr>
            <w:tcW w:w="633" w:type="pct"/>
            <w:shd w:val="clear" w:color="auto" w:fill="D0CECE"/>
            <w:vAlign w:val="bottom"/>
          </w:tcPr>
          <w:p w14:paraId="3C2B62E5" w14:textId="77777777" w:rsidR="003F1F7C" w:rsidRPr="00C0047D" w:rsidRDefault="003F1F7C" w:rsidP="003F1F7C">
            <w:pPr>
              <w:jc w:val="center"/>
              <w:rPr>
                <w:b/>
                <w:color w:val="auto"/>
              </w:rPr>
            </w:pPr>
            <w:r w:rsidRPr="00C0047D">
              <w:rPr>
                <w:b/>
                <w:color w:val="auto"/>
              </w:rPr>
              <w:t>£</w:t>
            </w:r>
            <w:r>
              <w:rPr>
                <w:b/>
                <w:color w:val="auto"/>
              </w:rPr>
              <w:t>000s</w:t>
            </w:r>
          </w:p>
        </w:tc>
      </w:tr>
      <w:tr w:rsidR="003F1F7C" w:rsidRPr="00C0047D" w14:paraId="70BB0AC0" w14:textId="77777777" w:rsidTr="003F1F7C">
        <w:trPr>
          <w:trHeight w:val="369"/>
        </w:trPr>
        <w:tc>
          <w:tcPr>
            <w:tcW w:w="1643" w:type="pct"/>
            <w:shd w:val="clear" w:color="auto" w:fill="auto"/>
            <w:vAlign w:val="bottom"/>
          </w:tcPr>
          <w:p w14:paraId="5E0280D4" w14:textId="77777777" w:rsidR="003F1F7C" w:rsidRPr="00A06955" w:rsidRDefault="003F1F7C" w:rsidP="003F1F7C">
            <w:pPr>
              <w:jc w:val="left"/>
              <w:rPr>
                <w:color w:val="auto"/>
                <w:u w:val="single"/>
              </w:rPr>
            </w:pPr>
            <w:r w:rsidRPr="00A06955">
              <w:rPr>
                <w:color w:val="auto"/>
                <w:u w:val="single"/>
              </w:rPr>
              <w:t>Capital Accounts</w:t>
            </w:r>
          </w:p>
        </w:tc>
        <w:tc>
          <w:tcPr>
            <w:tcW w:w="731" w:type="pct"/>
            <w:shd w:val="clear" w:color="auto" w:fill="auto"/>
            <w:vAlign w:val="bottom"/>
          </w:tcPr>
          <w:p w14:paraId="21152BAB" w14:textId="77777777" w:rsidR="003F1F7C" w:rsidRPr="00A06955" w:rsidRDefault="003F1F7C" w:rsidP="003F1F7C">
            <w:pPr>
              <w:tabs>
                <w:tab w:val="decimal" w:pos="601"/>
              </w:tabs>
              <w:rPr>
                <w:color w:val="auto"/>
              </w:rPr>
            </w:pPr>
          </w:p>
        </w:tc>
        <w:tc>
          <w:tcPr>
            <w:tcW w:w="664" w:type="pct"/>
            <w:vAlign w:val="bottom"/>
          </w:tcPr>
          <w:p w14:paraId="4439131E" w14:textId="77777777" w:rsidR="003F1F7C" w:rsidRPr="00A06955" w:rsidRDefault="003F1F7C" w:rsidP="003F1F7C">
            <w:pPr>
              <w:tabs>
                <w:tab w:val="decimal" w:pos="602"/>
              </w:tabs>
              <w:rPr>
                <w:color w:val="auto"/>
              </w:rPr>
            </w:pPr>
          </w:p>
        </w:tc>
        <w:tc>
          <w:tcPr>
            <w:tcW w:w="664" w:type="pct"/>
            <w:vAlign w:val="bottom"/>
          </w:tcPr>
          <w:p w14:paraId="5C9F3120" w14:textId="77777777" w:rsidR="003F1F7C" w:rsidRPr="00A06955" w:rsidRDefault="003F1F7C" w:rsidP="003F1F7C">
            <w:pPr>
              <w:tabs>
                <w:tab w:val="decimal" w:pos="767"/>
              </w:tabs>
              <w:rPr>
                <w:color w:val="auto"/>
              </w:rPr>
            </w:pPr>
          </w:p>
        </w:tc>
        <w:tc>
          <w:tcPr>
            <w:tcW w:w="664" w:type="pct"/>
            <w:shd w:val="clear" w:color="auto" w:fill="auto"/>
            <w:vAlign w:val="bottom"/>
          </w:tcPr>
          <w:p w14:paraId="622C808C" w14:textId="77777777" w:rsidR="003F1F7C" w:rsidRPr="00A06955" w:rsidRDefault="003F1F7C" w:rsidP="003F1F7C">
            <w:pPr>
              <w:tabs>
                <w:tab w:val="decimal" w:pos="785"/>
              </w:tabs>
              <w:rPr>
                <w:color w:val="auto"/>
              </w:rPr>
            </w:pPr>
          </w:p>
        </w:tc>
        <w:tc>
          <w:tcPr>
            <w:tcW w:w="633" w:type="pct"/>
            <w:shd w:val="clear" w:color="auto" w:fill="auto"/>
            <w:vAlign w:val="bottom"/>
          </w:tcPr>
          <w:p w14:paraId="604C7896" w14:textId="77777777" w:rsidR="003F1F7C" w:rsidRPr="00C0047D" w:rsidRDefault="003F1F7C" w:rsidP="003F1F7C">
            <w:pPr>
              <w:tabs>
                <w:tab w:val="decimal" w:pos="602"/>
              </w:tabs>
              <w:rPr>
                <w:color w:val="auto"/>
              </w:rPr>
            </w:pPr>
          </w:p>
        </w:tc>
      </w:tr>
      <w:tr w:rsidR="003F1F7C" w:rsidRPr="00C0047D" w14:paraId="1A900A29" w14:textId="77777777" w:rsidTr="003F1F7C">
        <w:trPr>
          <w:trHeight w:val="369"/>
        </w:trPr>
        <w:tc>
          <w:tcPr>
            <w:tcW w:w="1643" w:type="pct"/>
            <w:shd w:val="clear" w:color="auto" w:fill="auto"/>
            <w:vAlign w:val="bottom"/>
          </w:tcPr>
          <w:p w14:paraId="5298560B" w14:textId="77777777" w:rsidR="003F1F7C" w:rsidRPr="00A06955" w:rsidRDefault="003F1F7C" w:rsidP="003F1F7C">
            <w:pPr>
              <w:jc w:val="left"/>
              <w:rPr>
                <w:color w:val="auto"/>
              </w:rPr>
            </w:pPr>
            <w:r w:rsidRPr="00A06955">
              <w:rPr>
                <w:color w:val="auto"/>
              </w:rPr>
              <w:t>Balances at 1 April</w:t>
            </w:r>
          </w:p>
        </w:tc>
        <w:tc>
          <w:tcPr>
            <w:tcW w:w="731" w:type="pct"/>
            <w:shd w:val="clear" w:color="auto" w:fill="auto"/>
            <w:vAlign w:val="bottom"/>
          </w:tcPr>
          <w:p w14:paraId="3929CC39" w14:textId="798C4746" w:rsidR="003F1F7C" w:rsidRPr="00A06955" w:rsidRDefault="00F0378D" w:rsidP="003F1F7C">
            <w:pPr>
              <w:tabs>
                <w:tab w:val="decimal" w:pos="601"/>
              </w:tabs>
              <w:rPr>
                <w:color w:val="auto"/>
              </w:rPr>
            </w:pPr>
            <w:r>
              <w:rPr>
                <w:color w:val="auto"/>
              </w:rPr>
              <w:t>(</w:t>
            </w:r>
            <w:r w:rsidR="001D1A6F" w:rsidRPr="00A06955">
              <w:rPr>
                <w:color w:val="auto"/>
              </w:rPr>
              <w:t>3.5</w:t>
            </w:r>
            <w:r>
              <w:rPr>
                <w:color w:val="auto"/>
              </w:rPr>
              <w:t>)</w:t>
            </w:r>
          </w:p>
        </w:tc>
        <w:tc>
          <w:tcPr>
            <w:tcW w:w="664" w:type="pct"/>
            <w:vAlign w:val="bottom"/>
          </w:tcPr>
          <w:p w14:paraId="138C7396" w14:textId="311F33FE" w:rsidR="003F1F7C" w:rsidRPr="00A06955" w:rsidRDefault="00F0378D" w:rsidP="003F1F7C">
            <w:pPr>
              <w:tabs>
                <w:tab w:val="decimal" w:pos="602"/>
              </w:tabs>
              <w:rPr>
                <w:color w:val="auto"/>
              </w:rPr>
            </w:pPr>
            <w:r>
              <w:rPr>
                <w:color w:val="auto"/>
              </w:rPr>
              <w:t>(</w:t>
            </w:r>
            <w:r w:rsidR="001D1A6F" w:rsidRPr="00A06955">
              <w:rPr>
                <w:color w:val="auto"/>
              </w:rPr>
              <w:t>196.4</w:t>
            </w:r>
            <w:r>
              <w:rPr>
                <w:color w:val="auto"/>
              </w:rPr>
              <w:t>)</w:t>
            </w:r>
          </w:p>
        </w:tc>
        <w:tc>
          <w:tcPr>
            <w:tcW w:w="664" w:type="pct"/>
            <w:vAlign w:val="bottom"/>
          </w:tcPr>
          <w:p w14:paraId="0E3B02E8" w14:textId="3D00D51D" w:rsidR="003F1F7C" w:rsidRPr="00A06955" w:rsidRDefault="00F0378D" w:rsidP="00E03053">
            <w:pPr>
              <w:tabs>
                <w:tab w:val="decimal" w:pos="767"/>
              </w:tabs>
              <w:rPr>
                <w:color w:val="auto"/>
              </w:rPr>
            </w:pPr>
            <w:r>
              <w:rPr>
                <w:color w:val="auto"/>
              </w:rPr>
              <w:t>(</w:t>
            </w:r>
            <w:r w:rsidR="00E03053" w:rsidRPr="00A06955">
              <w:rPr>
                <w:color w:val="auto"/>
              </w:rPr>
              <w:t>0.8</w:t>
            </w:r>
            <w:r>
              <w:rPr>
                <w:color w:val="auto"/>
              </w:rPr>
              <w:t>)</w:t>
            </w:r>
          </w:p>
        </w:tc>
        <w:tc>
          <w:tcPr>
            <w:tcW w:w="664" w:type="pct"/>
            <w:shd w:val="clear" w:color="auto" w:fill="auto"/>
            <w:vAlign w:val="bottom"/>
          </w:tcPr>
          <w:p w14:paraId="08EB47B7" w14:textId="1449E553" w:rsidR="003F1F7C" w:rsidRPr="00A06955" w:rsidRDefault="00F0378D" w:rsidP="001D1A6F">
            <w:pPr>
              <w:tabs>
                <w:tab w:val="decimal" w:pos="785"/>
              </w:tabs>
              <w:rPr>
                <w:color w:val="auto"/>
              </w:rPr>
            </w:pPr>
            <w:r>
              <w:rPr>
                <w:color w:val="auto"/>
              </w:rPr>
              <w:t>(</w:t>
            </w:r>
            <w:r w:rsidR="001D1A6F" w:rsidRPr="00A06955">
              <w:rPr>
                <w:color w:val="auto"/>
              </w:rPr>
              <w:t>200.7</w:t>
            </w:r>
            <w:r>
              <w:rPr>
                <w:color w:val="auto"/>
              </w:rPr>
              <w:t>)</w:t>
            </w:r>
          </w:p>
        </w:tc>
        <w:tc>
          <w:tcPr>
            <w:tcW w:w="633" w:type="pct"/>
            <w:shd w:val="clear" w:color="auto" w:fill="auto"/>
            <w:vAlign w:val="bottom"/>
          </w:tcPr>
          <w:p w14:paraId="452AEB42" w14:textId="22286963" w:rsidR="003F1F7C" w:rsidRPr="00C0047D" w:rsidRDefault="00F0378D" w:rsidP="003F1F7C">
            <w:pPr>
              <w:tabs>
                <w:tab w:val="decimal" w:pos="602"/>
              </w:tabs>
              <w:rPr>
                <w:color w:val="auto"/>
              </w:rPr>
            </w:pPr>
            <w:r>
              <w:rPr>
                <w:color w:val="auto"/>
              </w:rPr>
              <w:t>(</w:t>
            </w:r>
            <w:r w:rsidR="00BF33FC">
              <w:rPr>
                <w:color w:val="auto"/>
              </w:rPr>
              <w:t>198.2</w:t>
            </w:r>
            <w:r>
              <w:rPr>
                <w:color w:val="auto"/>
              </w:rPr>
              <w:t>)</w:t>
            </w:r>
          </w:p>
        </w:tc>
      </w:tr>
      <w:tr w:rsidR="003F1F7C" w:rsidRPr="00C0047D" w14:paraId="5FEAB791" w14:textId="77777777" w:rsidTr="003F1F7C">
        <w:trPr>
          <w:trHeight w:val="369"/>
        </w:trPr>
        <w:tc>
          <w:tcPr>
            <w:tcW w:w="1643" w:type="pct"/>
            <w:shd w:val="clear" w:color="auto" w:fill="auto"/>
            <w:vAlign w:val="bottom"/>
          </w:tcPr>
          <w:p w14:paraId="22E28FCD" w14:textId="77777777" w:rsidR="003F1F7C" w:rsidRPr="00A06955" w:rsidRDefault="003F1F7C" w:rsidP="003F1F7C">
            <w:pPr>
              <w:jc w:val="left"/>
              <w:rPr>
                <w:color w:val="auto"/>
              </w:rPr>
            </w:pPr>
            <w:r w:rsidRPr="00A06955">
              <w:rPr>
                <w:rFonts w:eastAsia="Times New Roman" w:cs="Arial"/>
                <w:lang w:eastAsia="en-GB"/>
              </w:rPr>
              <w:t>Net Movement in funds</w:t>
            </w:r>
          </w:p>
        </w:tc>
        <w:tc>
          <w:tcPr>
            <w:tcW w:w="731" w:type="pct"/>
            <w:tcBorders>
              <w:bottom w:val="single" w:sz="4" w:space="0" w:color="auto"/>
            </w:tcBorders>
            <w:shd w:val="clear" w:color="auto" w:fill="auto"/>
            <w:vAlign w:val="bottom"/>
          </w:tcPr>
          <w:p w14:paraId="68B37B32" w14:textId="6696AE5C" w:rsidR="003F1F7C" w:rsidRPr="00A06955" w:rsidRDefault="00F0378D" w:rsidP="003F1F7C">
            <w:pPr>
              <w:tabs>
                <w:tab w:val="decimal" w:pos="601"/>
              </w:tabs>
              <w:rPr>
                <w:color w:val="auto"/>
              </w:rPr>
            </w:pPr>
            <w:r>
              <w:rPr>
                <w:color w:val="auto"/>
              </w:rPr>
              <w:t>(</w:t>
            </w:r>
            <w:r w:rsidR="001D1A6F" w:rsidRPr="00A06955">
              <w:rPr>
                <w:color w:val="auto"/>
              </w:rPr>
              <w:t>0.3</w:t>
            </w:r>
            <w:r>
              <w:rPr>
                <w:color w:val="auto"/>
              </w:rPr>
              <w:t>)</w:t>
            </w:r>
          </w:p>
        </w:tc>
        <w:tc>
          <w:tcPr>
            <w:tcW w:w="664" w:type="pct"/>
            <w:tcBorders>
              <w:bottom w:val="single" w:sz="4" w:space="0" w:color="auto"/>
            </w:tcBorders>
            <w:vAlign w:val="bottom"/>
          </w:tcPr>
          <w:p w14:paraId="488A1131" w14:textId="3238B9CB" w:rsidR="003F1F7C" w:rsidRPr="00A06955" w:rsidRDefault="00F0378D" w:rsidP="003F1F7C">
            <w:pPr>
              <w:tabs>
                <w:tab w:val="decimal" w:pos="602"/>
              </w:tabs>
              <w:rPr>
                <w:color w:val="auto"/>
              </w:rPr>
            </w:pPr>
            <w:r>
              <w:rPr>
                <w:color w:val="auto"/>
              </w:rPr>
              <w:t>(</w:t>
            </w:r>
            <w:r w:rsidR="001D1A6F" w:rsidRPr="00A06955">
              <w:rPr>
                <w:color w:val="auto"/>
              </w:rPr>
              <w:t>18.2</w:t>
            </w:r>
            <w:r>
              <w:rPr>
                <w:color w:val="auto"/>
              </w:rPr>
              <w:t>)</w:t>
            </w:r>
          </w:p>
        </w:tc>
        <w:tc>
          <w:tcPr>
            <w:tcW w:w="664" w:type="pct"/>
            <w:tcBorders>
              <w:bottom w:val="single" w:sz="4" w:space="0" w:color="auto"/>
            </w:tcBorders>
            <w:vAlign w:val="bottom"/>
          </w:tcPr>
          <w:p w14:paraId="73C27172" w14:textId="77777777" w:rsidR="003F1F7C" w:rsidRPr="00A06955" w:rsidRDefault="003F1F7C" w:rsidP="003F1F7C">
            <w:pPr>
              <w:tabs>
                <w:tab w:val="decimal" w:pos="767"/>
              </w:tabs>
              <w:rPr>
                <w:color w:val="auto"/>
              </w:rPr>
            </w:pPr>
            <w:r w:rsidRPr="00A06955">
              <w:rPr>
                <w:color w:val="auto"/>
              </w:rPr>
              <w:t>-</w:t>
            </w:r>
          </w:p>
        </w:tc>
        <w:tc>
          <w:tcPr>
            <w:tcW w:w="664" w:type="pct"/>
            <w:tcBorders>
              <w:bottom w:val="single" w:sz="4" w:space="0" w:color="auto"/>
            </w:tcBorders>
            <w:shd w:val="clear" w:color="auto" w:fill="auto"/>
            <w:vAlign w:val="bottom"/>
          </w:tcPr>
          <w:p w14:paraId="05870ACB" w14:textId="0903CE55" w:rsidR="003F1F7C" w:rsidRPr="00A06955" w:rsidRDefault="00F0378D" w:rsidP="003F1F7C">
            <w:pPr>
              <w:tabs>
                <w:tab w:val="decimal" w:pos="785"/>
              </w:tabs>
              <w:rPr>
                <w:color w:val="auto"/>
              </w:rPr>
            </w:pPr>
            <w:r>
              <w:rPr>
                <w:color w:val="auto"/>
              </w:rPr>
              <w:t>(</w:t>
            </w:r>
            <w:r w:rsidR="001D1A6F" w:rsidRPr="00A06955">
              <w:rPr>
                <w:color w:val="auto"/>
              </w:rPr>
              <w:t>18.</w:t>
            </w:r>
            <w:r w:rsidR="00E14702" w:rsidRPr="00A06955">
              <w:rPr>
                <w:color w:val="auto"/>
              </w:rPr>
              <w:t>5</w:t>
            </w:r>
            <w:r>
              <w:rPr>
                <w:color w:val="auto"/>
              </w:rPr>
              <w:t>)</w:t>
            </w:r>
          </w:p>
        </w:tc>
        <w:tc>
          <w:tcPr>
            <w:tcW w:w="633" w:type="pct"/>
            <w:tcBorders>
              <w:bottom w:val="single" w:sz="4" w:space="0" w:color="auto"/>
            </w:tcBorders>
            <w:shd w:val="clear" w:color="auto" w:fill="auto"/>
            <w:vAlign w:val="bottom"/>
          </w:tcPr>
          <w:p w14:paraId="28B5C246" w14:textId="0D710027" w:rsidR="003F1F7C" w:rsidRPr="00C0047D" w:rsidRDefault="00F0378D" w:rsidP="003F1F7C">
            <w:pPr>
              <w:tabs>
                <w:tab w:val="decimal" w:pos="602"/>
              </w:tabs>
              <w:rPr>
                <w:color w:val="auto"/>
              </w:rPr>
            </w:pPr>
            <w:r>
              <w:rPr>
                <w:color w:val="auto"/>
              </w:rPr>
              <w:t>(</w:t>
            </w:r>
            <w:r w:rsidR="00BF33FC">
              <w:rPr>
                <w:color w:val="auto"/>
              </w:rPr>
              <w:t>2.5</w:t>
            </w:r>
            <w:r>
              <w:rPr>
                <w:color w:val="auto"/>
              </w:rPr>
              <w:t>)</w:t>
            </w:r>
          </w:p>
        </w:tc>
      </w:tr>
      <w:tr w:rsidR="003F1F7C" w:rsidRPr="00C0047D" w14:paraId="4C46F271" w14:textId="77777777" w:rsidTr="003F1F7C">
        <w:trPr>
          <w:trHeight w:val="369"/>
        </w:trPr>
        <w:tc>
          <w:tcPr>
            <w:tcW w:w="1643" w:type="pct"/>
            <w:shd w:val="clear" w:color="auto" w:fill="auto"/>
            <w:vAlign w:val="bottom"/>
          </w:tcPr>
          <w:p w14:paraId="4A912219" w14:textId="77777777" w:rsidR="003F1F7C" w:rsidRPr="00A06955" w:rsidRDefault="003F1F7C" w:rsidP="003F1F7C">
            <w:pPr>
              <w:jc w:val="left"/>
              <w:rPr>
                <w:b/>
                <w:color w:val="auto"/>
              </w:rPr>
            </w:pPr>
            <w:r w:rsidRPr="00A06955">
              <w:rPr>
                <w:b/>
                <w:color w:val="auto"/>
              </w:rPr>
              <w:t>Balances at 31 March</w:t>
            </w:r>
          </w:p>
        </w:tc>
        <w:tc>
          <w:tcPr>
            <w:tcW w:w="731" w:type="pct"/>
            <w:tcBorders>
              <w:top w:val="single" w:sz="4" w:space="0" w:color="auto"/>
              <w:bottom w:val="nil"/>
            </w:tcBorders>
            <w:shd w:val="clear" w:color="auto" w:fill="auto"/>
            <w:vAlign w:val="bottom"/>
          </w:tcPr>
          <w:p w14:paraId="3CD5EC8D" w14:textId="0780B112" w:rsidR="003F1F7C" w:rsidRPr="00A06955" w:rsidRDefault="00F0378D" w:rsidP="003F1F7C">
            <w:pPr>
              <w:tabs>
                <w:tab w:val="decimal" w:pos="601"/>
              </w:tabs>
              <w:rPr>
                <w:b/>
                <w:color w:val="auto"/>
              </w:rPr>
            </w:pPr>
            <w:r>
              <w:rPr>
                <w:b/>
                <w:color w:val="auto"/>
              </w:rPr>
              <w:t>(</w:t>
            </w:r>
            <w:r w:rsidR="001D1A6F" w:rsidRPr="00A06955">
              <w:rPr>
                <w:b/>
                <w:color w:val="auto"/>
              </w:rPr>
              <w:t>3.8</w:t>
            </w:r>
            <w:r>
              <w:rPr>
                <w:b/>
                <w:color w:val="auto"/>
              </w:rPr>
              <w:t>)</w:t>
            </w:r>
          </w:p>
        </w:tc>
        <w:tc>
          <w:tcPr>
            <w:tcW w:w="664" w:type="pct"/>
            <w:tcBorders>
              <w:top w:val="single" w:sz="4" w:space="0" w:color="auto"/>
              <w:bottom w:val="nil"/>
            </w:tcBorders>
            <w:vAlign w:val="bottom"/>
          </w:tcPr>
          <w:p w14:paraId="75E0C465" w14:textId="3138DB4F" w:rsidR="003F1F7C" w:rsidRPr="00A06955" w:rsidRDefault="001E587C" w:rsidP="00E03053">
            <w:pPr>
              <w:tabs>
                <w:tab w:val="decimal" w:pos="602"/>
              </w:tabs>
              <w:rPr>
                <w:b/>
                <w:color w:val="auto"/>
              </w:rPr>
            </w:pPr>
            <w:r>
              <w:rPr>
                <w:b/>
                <w:color w:val="auto"/>
              </w:rPr>
              <w:t>(</w:t>
            </w:r>
            <w:r w:rsidR="001D1A6F" w:rsidRPr="00A06955">
              <w:rPr>
                <w:b/>
                <w:color w:val="auto"/>
              </w:rPr>
              <w:t>214.</w:t>
            </w:r>
            <w:r w:rsidR="00E03053" w:rsidRPr="00A06955">
              <w:rPr>
                <w:b/>
                <w:color w:val="auto"/>
              </w:rPr>
              <w:t>6</w:t>
            </w:r>
            <w:r>
              <w:rPr>
                <w:b/>
                <w:color w:val="auto"/>
              </w:rPr>
              <w:t>)</w:t>
            </w:r>
          </w:p>
        </w:tc>
        <w:tc>
          <w:tcPr>
            <w:tcW w:w="664" w:type="pct"/>
            <w:tcBorders>
              <w:top w:val="single" w:sz="4" w:space="0" w:color="auto"/>
              <w:bottom w:val="nil"/>
            </w:tcBorders>
            <w:vAlign w:val="bottom"/>
          </w:tcPr>
          <w:p w14:paraId="4ADB5B77" w14:textId="68A0BEB9" w:rsidR="003F1F7C" w:rsidRPr="00A06955" w:rsidRDefault="00F0378D" w:rsidP="003F1F7C">
            <w:pPr>
              <w:tabs>
                <w:tab w:val="decimal" w:pos="767"/>
              </w:tabs>
              <w:rPr>
                <w:b/>
                <w:color w:val="auto"/>
              </w:rPr>
            </w:pPr>
            <w:r>
              <w:rPr>
                <w:b/>
                <w:color w:val="auto"/>
              </w:rPr>
              <w:t>(</w:t>
            </w:r>
            <w:r w:rsidR="00E03053" w:rsidRPr="00A06955">
              <w:rPr>
                <w:b/>
                <w:color w:val="auto"/>
              </w:rPr>
              <w:t>0.8</w:t>
            </w:r>
            <w:r>
              <w:rPr>
                <w:b/>
                <w:color w:val="auto"/>
              </w:rPr>
              <w:t>)</w:t>
            </w:r>
          </w:p>
        </w:tc>
        <w:tc>
          <w:tcPr>
            <w:tcW w:w="664" w:type="pct"/>
            <w:tcBorders>
              <w:top w:val="single" w:sz="4" w:space="0" w:color="auto"/>
              <w:bottom w:val="nil"/>
            </w:tcBorders>
            <w:shd w:val="clear" w:color="auto" w:fill="auto"/>
            <w:vAlign w:val="bottom"/>
          </w:tcPr>
          <w:p w14:paraId="5C50B8F9" w14:textId="4E80E8F0" w:rsidR="003F1F7C" w:rsidRPr="00A06955" w:rsidRDefault="00F0378D" w:rsidP="00E14702">
            <w:pPr>
              <w:tabs>
                <w:tab w:val="decimal" w:pos="785"/>
              </w:tabs>
              <w:rPr>
                <w:b/>
                <w:color w:val="auto"/>
              </w:rPr>
            </w:pPr>
            <w:r>
              <w:rPr>
                <w:b/>
                <w:color w:val="auto"/>
              </w:rPr>
              <w:t>(</w:t>
            </w:r>
            <w:r w:rsidR="001D1A6F" w:rsidRPr="00A06955">
              <w:rPr>
                <w:b/>
                <w:color w:val="auto"/>
              </w:rPr>
              <w:t>219.</w:t>
            </w:r>
            <w:r w:rsidR="00E14702" w:rsidRPr="00A06955">
              <w:rPr>
                <w:b/>
                <w:color w:val="auto"/>
              </w:rPr>
              <w:t>2</w:t>
            </w:r>
            <w:r>
              <w:rPr>
                <w:b/>
                <w:color w:val="auto"/>
              </w:rPr>
              <w:t>)</w:t>
            </w:r>
          </w:p>
        </w:tc>
        <w:tc>
          <w:tcPr>
            <w:tcW w:w="633" w:type="pct"/>
            <w:tcBorders>
              <w:top w:val="single" w:sz="4" w:space="0" w:color="auto"/>
              <w:bottom w:val="nil"/>
            </w:tcBorders>
            <w:shd w:val="clear" w:color="auto" w:fill="auto"/>
            <w:vAlign w:val="bottom"/>
          </w:tcPr>
          <w:p w14:paraId="1FD51302" w14:textId="2A432160" w:rsidR="003F1F7C" w:rsidRPr="00C0047D" w:rsidRDefault="00F0378D" w:rsidP="003F1F7C">
            <w:pPr>
              <w:tabs>
                <w:tab w:val="decimal" w:pos="602"/>
              </w:tabs>
              <w:rPr>
                <w:b/>
                <w:color w:val="auto"/>
              </w:rPr>
            </w:pPr>
            <w:r>
              <w:rPr>
                <w:b/>
                <w:color w:val="auto"/>
              </w:rPr>
              <w:t>(</w:t>
            </w:r>
            <w:r w:rsidR="00BF33FC">
              <w:rPr>
                <w:b/>
                <w:color w:val="auto"/>
              </w:rPr>
              <w:t>200.7</w:t>
            </w:r>
            <w:r>
              <w:rPr>
                <w:b/>
                <w:color w:val="auto"/>
              </w:rPr>
              <w:t>)</w:t>
            </w:r>
          </w:p>
        </w:tc>
      </w:tr>
      <w:tr w:rsidR="003F1F7C" w:rsidRPr="00C0047D" w14:paraId="66498323" w14:textId="77777777" w:rsidTr="003F1F7C">
        <w:trPr>
          <w:trHeight w:val="178"/>
        </w:trPr>
        <w:tc>
          <w:tcPr>
            <w:tcW w:w="1643" w:type="pct"/>
            <w:shd w:val="clear" w:color="auto" w:fill="auto"/>
            <w:vAlign w:val="bottom"/>
          </w:tcPr>
          <w:p w14:paraId="58CFB42A" w14:textId="77777777" w:rsidR="003F1F7C" w:rsidRPr="00A06955" w:rsidRDefault="003F1F7C" w:rsidP="003F1F7C">
            <w:pPr>
              <w:jc w:val="left"/>
              <w:rPr>
                <w:b/>
                <w:color w:val="auto"/>
              </w:rPr>
            </w:pPr>
          </w:p>
        </w:tc>
        <w:tc>
          <w:tcPr>
            <w:tcW w:w="731" w:type="pct"/>
            <w:tcBorders>
              <w:top w:val="nil"/>
            </w:tcBorders>
            <w:shd w:val="clear" w:color="auto" w:fill="auto"/>
            <w:vAlign w:val="bottom"/>
          </w:tcPr>
          <w:p w14:paraId="333F844D" w14:textId="77777777" w:rsidR="003F1F7C" w:rsidRPr="00A06955" w:rsidRDefault="003F1F7C" w:rsidP="003F1F7C">
            <w:pPr>
              <w:tabs>
                <w:tab w:val="decimal" w:pos="601"/>
              </w:tabs>
              <w:rPr>
                <w:b/>
                <w:color w:val="auto"/>
              </w:rPr>
            </w:pPr>
          </w:p>
        </w:tc>
        <w:tc>
          <w:tcPr>
            <w:tcW w:w="664" w:type="pct"/>
            <w:tcBorders>
              <w:top w:val="nil"/>
            </w:tcBorders>
            <w:vAlign w:val="bottom"/>
          </w:tcPr>
          <w:p w14:paraId="26C35E08" w14:textId="77777777" w:rsidR="003F1F7C" w:rsidRPr="00A06955" w:rsidRDefault="003F1F7C" w:rsidP="003F1F7C">
            <w:pPr>
              <w:tabs>
                <w:tab w:val="decimal" w:pos="602"/>
              </w:tabs>
              <w:rPr>
                <w:b/>
                <w:color w:val="auto"/>
              </w:rPr>
            </w:pPr>
          </w:p>
        </w:tc>
        <w:tc>
          <w:tcPr>
            <w:tcW w:w="664" w:type="pct"/>
            <w:tcBorders>
              <w:top w:val="nil"/>
            </w:tcBorders>
            <w:vAlign w:val="bottom"/>
          </w:tcPr>
          <w:p w14:paraId="2FFB2D80" w14:textId="77777777" w:rsidR="003F1F7C" w:rsidRPr="00A06955" w:rsidRDefault="003F1F7C" w:rsidP="003F1F7C">
            <w:pPr>
              <w:tabs>
                <w:tab w:val="decimal" w:pos="767"/>
              </w:tabs>
              <w:rPr>
                <w:b/>
                <w:color w:val="auto"/>
              </w:rPr>
            </w:pPr>
          </w:p>
        </w:tc>
        <w:tc>
          <w:tcPr>
            <w:tcW w:w="664" w:type="pct"/>
            <w:tcBorders>
              <w:top w:val="nil"/>
            </w:tcBorders>
            <w:shd w:val="clear" w:color="auto" w:fill="auto"/>
            <w:vAlign w:val="bottom"/>
          </w:tcPr>
          <w:p w14:paraId="520D641C" w14:textId="77777777" w:rsidR="003F1F7C" w:rsidRPr="00A06955" w:rsidRDefault="003F1F7C" w:rsidP="003F1F7C">
            <w:pPr>
              <w:tabs>
                <w:tab w:val="decimal" w:pos="785"/>
              </w:tabs>
              <w:rPr>
                <w:b/>
                <w:color w:val="auto"/>
              </w:rPr>
            </w:pPr>
          </w:p>
        </w:tc>
        <w:tc>
          <w:tcPr>
            <w:tcW w:w="633" w:type="pct"/>
            <w:tcBorders>
              <w:top w:val="nil"/>
            </w:tcBorders>
            <w:shd w:val="clear" w:color="auto" w:fill="auto"/>
            <w:vAlign w:val="bottom"/>
          </w:tcPr>
          <w:p w14:paraId="66C6737D" w14:textId="77777777" w:rsidR="003F1F7C" w:rsidRPr="00C0047D" w:rsidRDefault="003F1F7C" w:rsidP="003F1F7C">
            <w:pPr>
              <w:tabs>
                <w:tab w:val="decimal" w:pos="602"/>
              </w:tabs>
              <w:rPr>
                <w:b/>
                <w:color w:val="auto"/>
              </w:rPr>
            </w:pPr>
          </w:p>
        </w:tc>
      </w:tr>
      <w:tr w:rsidR="003F1F7C" w:rsidRPr="00C0047D" w14:paraId="718061F2" w14:textId="77777777" w:rsidTr="003F1F7C">
        <w:trPr>
          <w:trHeight w:val="178"/>
        </w:trPr>
        <w:tc>
          <w:tcPr>
            <w:tcW w:w="1643" w:type="pct"/>
            <w:shd w:val="clear" w:color="auto" w:fill="auto"/>
            <w:vAlign w:val="bottom"/>
          </w:tcPr>
          <w:p w14:paraId="2D38B1CE" w14:textId="77777777" w:rsidR="003F1F7C" w:rsidRPr="00A06955" w:rsidRDefault="003F1F7C" w:rsidP="003F1F7C">
            <w:pPr>
              <w:jc w:val="left"/>
              <w:rPr>
                <w:color w:val="auto"/>
                <w:u w:val="single"/>
              </w:rPr>
            </w:pPr>
            <w:r w:rsidRPr="00A06955">
              <w:rPr>
                <w:color w:val="auto"/>
                <w:u w:val="single"/>
              </w:rPr>
              <w:t>Revenue Accounts</w:t>
            </w:r>
          </w:p>
        </w:tc>
        <w:tc>
          <w:tcPr>
            <w:tcW w:w="731" w:type="pct"/>
            <w:tcBorders>
              <w:top w:val="nil"/>
            </w:tcBorders>
            <w:shd w:val="clear" w:color="auto" w:fill="auto"/>
            <w:vAlign w:val="bottom"/>
          </w:tcPr>
          <w:p w14:paraId="7309E860" w14:textId="77777777" w:rsidR="003F1F7C" w:rsidRPr="00A06955" w:rsidRDefault="003F1F7C" w:rsidP="003F1F7C">
            <w:pPr>
              <w:tabs>
                <w:tab w:val="decimal" w:pos="601"/>
              </w:tabs>
              <w:rPr>
                <w:b/>
                <w:color w:val="auto"/>
              </w:rPr>
            </w:pPr>
          </w:p>
        </w:tc>
        <w:tc>
          <w:tcPr>
            <w:tcW w:w="664" w:type="pct"/>
            <w:tcBorders>
              <w:top w:val="nil"/>
            </w:tcBorders>
            <w:vAlign w:val="bottom"/>
          </w:tcPr>
          <w:p w14:paraId="5E24A216" w14:textId="77777777" w:rsidR="003F1F7C" w:rsidRPr="00A06955" w:rsidRDefault="003F1F7C" w:rsidP="003F1F7C">
            <w:pPr>
              <w:tabs>
                <w:tab w:val="decimal" w:pos="602"/>
              </w:tabs>
              <w:rPr>
                <w:b/>
                <w:color w:val="auto"/>
              </w:rPr>
            </w:pPr>
          </w:p>
        </w:tc>
        <w:tc>
          <w:tcPr>
            <w:tcW w:w="664" w:type="pct"/>
            <w:tcBorders>
              <w:top w:val="nil"/>
            </w:tcBorders>
            <w:vAlign w:val="bottom"/>
          </w:tcPr>
          <w:p w14:paraId="3E6AFF88" w14:textId="77777777" w:rsidR="003F1F7C" w:rsidRPr="00A06955" w:rsidRDefault="003F1F7C" w:rsidP="003F1F7C">
            <w:pPr>
              <w:tabs>
                <w:tab w:val="decimal" w:pos="767"/>
              </w:tabs>
              <w:rPr>
                <w:b/>
                <w:color w:val="auto"/>
              </w:rPr>
            </w:pPr>
          </w:p>
        </w:tc>
        <w:tc>
          <w:tcPr>
            <w:tcW w:w="664" w:type="pct"/>
            <w:tcBorders>
              <w:top w:val="nil"/>
            </w:tcBorders>
            <w:shd w:val="clear" w:color="auto" w:fill="auto"/>
            <w:vAlign w:val="bottom"/>
          </w:tcPr>
          <w:p w14:paraId="29D9E092" w14:textId="77777777" w:rsidR="003F1F7C" w:rsidRPr="00A06955" w:rsidRDefault="003F1F7C" w:rsidP="003F1F7C">
            <w:pPr>
              <w:tabs>
                <w:tab w:val="decimal" w:pos="785"/>
              </w:tabs>
              <w:rPr>
                <w:b/>
                <w:color w:val="auto"/>
              </w:rPr>
            </w:pPr>
          </w:p>
        </w:tc>
        <w:tc>
          <w:tcPr>
            <w:tcW w:w="633" w:type="pct"/>
            <w:tcBorders>
              <w:top w:val="nil"/>
            </w:tcBorders>
            <w:shd w:val="clear" w:color="auto" w:fill="auto"/>
            <w:vAlign w:val="bottom"/>
          </w:tcPr>
          <w:p w14:paraId="2689048D" w14:textId="77777777" w:rsidR="003F1F7C" w:rsidRPr="00C0047D" w:rsidRDefault="003F1F7C" w:rsidP="003F1F7C">
            <w:pPr>
              <w:tabs>
                <w:tab w:val="decimal" w:pos="602"/>
              </w:tabs>
              <w:rPr>
                <w:b/>
                <w:color w:val="auto"/>
              </w:rPr>
            </w:pPr>
          </w:p>
        </w:tc>
      </w:tr>
      <w:tr w:rsidR="003F1F7C" w:rsidRPr="00C0047D" w14:paraId="4AB4B0F9" w14:textId="77777777" w:rsidTr="003F1F7C">
        <w:trPr>
          <w:trHeight w:val="369"/>
        </w:trPr>
        <w:tc>
          <w:tcPr>
            <w:tcW w:w="1643" w:type="pct"/>
            <w:shd w:val="clear" w:color="auto" w:fill="auto"/>
            <w:vAlign w:val="bottom"/>
          </w:tcPr>
          <w:p w14:paraId="653A811D" w14:textId="77777777" w:rsidR="003F1F7C" w:rsidRPr="00A06955" w:rsidRDefault="003F1F7C" w:rsidP="003F1F7C">
            <w:pPr>
              <w:jc w:val="left"/>
              <w:rPr>
                <w:color w:val="auto"/>
              </w:rPr>
            </w:pPr>
            <w:r w:rsidRPr="00A06955">
              <w:rPr>
                <w:color w:val="auto"/>
              </w:rPr>
              <w:t>Balances at 1 April</w:t>
            </w:r>
          </w:p>
        </w:tc>
        <w:tc>
          <w:tcPr>
            <w:tcW w:w="731" w:type="pct"/>
            <w:shd w:val="clear" w:color="auto" w:fill="auto"/>
            <w:vAlign w:val="bottom"/>
          </w:tcPr>
          <w:p w14:paraId="10782DA6" w14:textId="0129E893" w:rsidR="003F1F7C" w:rsidRPr="00A06955" w:rsidRDefault="00F0378D" w:rsidP="003F1F7C">
            <w:pPr>
              <w:tabs>
                <w:tab w:val="decimal" w:pos="601"/>
              </w:tabs>
              <w:rPr>
                <w:color w:val="auto"/>
              </w:rPr>
            </w:pPr>
            <w:r>
              <w:rPr>
                <w:color w:val="auto"/>
              </w:rPr>
              <w:t>(</w:t>
            </w:r>
            <w:r w:rsidR="001D1A6F" w:rsidRPr="00A06955">
              <w:rPr>
                <w:color w:val="auto"/>
              </w:rPr>
              <w:t>6.7</w:t>
            </w:r>
            <w:r>
              <w:rPr>
                <w:color w:val="auto"/>
              </w:rPr>
              <w:t>)</w:t>
            </w:r>
          </w:p>
        </w:tc>
        <w:tc>
          <w:tcPr>
            <w:tcW w:w="664" w:type="pct"/>
            <w:vAlign w:val="bottom"/>
          </w:tcPr>
          <w:p w14:paraId="6D7BF34C" w14:textId="1013095D" w:rsidR="003F1F7C" w:rsidRPr="00A06955" w:rsidRDefault="00F0378D" w:rsidP="003F1F7C">
            <w:pPr>
              <w:tabs>
                <w:tab w:val="decimal" w:pos="602"/>
              </w:tabs>
              <w:rPr>
                <w:color w:val="auto"/>
              </w:rPr>
            </w:pPr>
            <w:r>
              <w:rPr>
                <w:color w:val="auto"/>
              </w:rPr>
              <w:t>(</w:t>
            </w:r>
            <w:r w:rsidR="001D1A6F" w:rsidRPr="00A06955">
              <w:rPr>
                <w:color w:val="auto"/>
              </w:rPr>
              <w:t>62.8</w:t>
            </w:r>
            <w:r>
              <w:rPr>
                <w:color w:val="auto"/>
              </w:rPr>
              <w:t>)</w:t>
            </w:r>
          </w:p>
        </w:tc>
        <w:tc>
          <w:tcPr>
            <w:tcW w:w="664" w:type="pct"/>
            <w:vAlign w:val="bottom"/>
          </w:tcPr>
          <w:p w14:paraId="47319B14" w14:textId="4CDD74E1" w:rsidR="003F1F7C" w:rsidRPr="00A06955" w:rsidRDefault="00F0378D" w:rsidP="00E14702">
            <w:pPr>
              <w:tabs>
                <w:tab w:val="decimal" w:pos="767"/>
              </w:tabs>
              <w:rPr>
                <w:color w:val="auto"/>
              </w:rPr>
            </w:pPr>
            <w:r>
              <w:rPr>
                <w:color w:val="auto"/>
              </w:rPr>
              <w:t>(</w:t>
            </w:r>
            <w:r w:rsidR="00E14702" w:rsidRPr="00A06955">
              <w:rPr>
                <w:color w:val="auto"/>
              </w:rPr>
              <w:t>19.9</w:t>
            </w:r>
            <w:r>
              <w:rPr>
                <w:color w:val="auto"/>
              </w:rPr>
              <w:t>)</w:t>
            </w:r>
          </w:p>
        </w:tc>
        <w:tc>
          <w:tcPr>
            <w:tcW w:w="664" w:type="pct"/>
            <w:shd w:val="clear" w:color="auto" w:fill="auto"/>
            <w:vAlign w:val="bottom"/>
          </w:tcPr>
          <w:p w14:paraId="55171A77" w14:textId="4B81C4A2" w:rsidR="003F1F7C" w:rsidRPr="00A06955" w:rsidRDefault="00F0378D" w:rsidP="00E14702">
            <w:pPr>
              <w:tabs>
                <w:tab w:val="decimal" w:pos="785"/>
              </w:tabs>
              <w:rPr>
                <w:color w:val="auto"/>
              </w:rPr>
            </w:pPr>
            <w:r>
              <w:rPr>
                <w:color w:val="auto"/>
              </w:rPr>
              <w:t>(</w:t>
            </w:r>
            <w:r w:rsidR="00086981" w:rsidRPr="00A06955">
              <w:rPr>
                <w:color w:val="auto"/>
              </w:rPr>
              <w:t>89.</w:t>
            </w:r>
            <w:r w:rsidR="00E14702" w:rsidRPr="00A06955">
              <w:rPr>
                <w:color w:val="auto"/>
              </w:rPr>
              <w:t>4</w:t>
            </w:r>
            <w:r>
              <w:rPr>
                <w:color w:val="auto"/>
              </w:rPr>
              <w:t>)</w:t>
            </w:r>
          </w:p>
        </w:tc>
        <w:tc>
          <w:tcPr>
            <w:tcW w:w="633" w:type="pct"/>
            <w:shd w:val="clear" w:color="auto" w:fill="auto"/>
            <w:vAlign w:val="bottom"/>
          </w:tcPr>
          <w:p w14:paraId="725F3D04" w14:textId="4C5CC316" w:rsidR="003F1F7C" w:rsidRPr="00C0047D" w:rsidRDefault="00F0378D" w:rsidP="003F1F7C">
            <w:pPr>
              <w:tabs>
                <w:tab w:val="decimal" w:pos="602"/>
              </w:tabs>
              <w:rPr>
                <w:color w:val="auto"/>
              </w:rPr>
            </w:pPr>
            <w:r>
              <w:rPr>
                <w:color w:val="auto"/>
              </w:rPr>
              <w:t>(</w:t>
            </w:r>
            <w:r w:rsidR="00BF33FC">
              <w:rPr>
                <w:color w:val="auto"/>
              </w:rPr>
              <w:t>77.2</w:t>
            </w:r>
            <w:r>
              <w:rPr>
                <w:color w:val="auto"/>
              </w:rPr>
              <w:t>)</w:t>
            </w:r>
          </w:p>
        </w:tc>
      </w:tr>
      <w:tr w:rsidR="003F1F7C" w:rsidRPr="00C0047D" w14:paraId="4777537D" w14:textId="77777777" w:rsidTr="003F1F7C">
        <w:trPr>
          <w:trHeight w:val="369"/>
        </w:trPr>
        <w:tc>
          <w:tcPr>
            <w:tcW w:w="1643" w:type="pct"/>
            <w:shd w:val="clear" w:color="auto" w:fill="auto"/>
            <w:vAlign w:val="bottom"/>
          </w:tcPr>
          <w:p w14:paraId="10F6174D" w14:textId="77777777" w:rsidR="003F1F7C" w:rsidRPr="00A06955" w:rsidRDefault="003F1F7C" w:rsidP="003F1F7C">
            <w:pPr>
              <w:jc w:val="left"/>
              <w:rPr>
                <w:color w:val="auto"/>
              </w:rPr>
            </w:pPr>
            <w:r w:rsidRPr="00A06955">
              <w:rPr>
                <w:color w:val="auto"/>
              </w:rPr>
              <w:t>Income received</w:t>
            </w:r>
          </w:p>
        </w:tc>
        <w:tc>
          <w:tcPr>
            <w:tcW w:w="731" w:type="pct"/>
            <w:shd w:val="clear" w:color="auto" w:fill="auto"/>
            <w:vAlign w:val="bottom"/>
          </w:tcPr>
          <w:p w14:paraId="4BE8AC74" w14:textId="77777777" w:rsidR="003F1F7C" w:rsidRPr="00A06955" w:rsidRDefault="003F1F7C" w:rsidP="003F1F7C">
            <w:pPr>
              <w:tabs>
                <w:tab w:val="decimal" w:pos="601"/>
              </w:tabs>
              <w:rPr>
                <w:color w:val="auto"/>
              </w:rPr>
            </w:pPr>
            <w:r w:rsidRPr="00A06955">
              <w:rPr>
                <w:color w:val="auto"/>
              </w:rPr>
              <w:t>-</w:t>
            </w:r>
          </w:p>
        </w:tc>
        <w:tc>
          <w:tcPr>
            <w:tcW w:w="664" w:type="pct"/>
            <w:vAlign w:val="bottom"/>
          </w:tcPr>
          <w:p w14:paraId="382CC2EC" w14:textId="42BBEFE8" w:rsidR="003F1F7C" w:rsidRPr="00A06955" w:rsidRDefault="00F0378D" w:rsidP="003F1F7C">
            <w:pPr>
              <w:tabs>
                <w:tab w:val="decimal" w:pos="602"/>
              </w:tabs>
              <w:rPr>
                <w:color w:val="auto"/>
              </w:rPr>
            </w:pPr>
            <w:r>
              <w:rPr>
                <w:color w:val="auto"/>
              </w:rPr>
              <w:t>(</w:t>
            </w:r>
            <w:r w:rsidR="00086981" w:rsidRPr="00A06955">
              <w:rPr>
                <w:color w:val="auto"/>
              </w:rPr>
              <w:t>4.9</w:t>
            </w:r>
            <w:r>
              <w:rPr>
                <w:color w:val="auto"/>
              </w:rPr>
              <w:t>)</w:t>
            </w:r>
          </w:p>
        </w:tc>
        <w:tc>
          <w:tcPr>
            <w:tcW w:w="664" w:type="pct"/>
            <w:vAlign w:val="bottom"/>
          </w:tcPr>
          <w:p w14:paraId="283E96FA" w14:textId="00FEF905" w:rsidR="003F1F7C" w:rsidRPr="00A06955" w:rsidRDefault="00F0378D" w:rsidP="003F1F7C">
            <w:pPr>
              <w:tabs>
                <w:tab w:val="decimal" w:pos="767"/>
              </w:tabs>
              <w:rPr>
                <w:color w:val="auto"/>
              </w:rPr>
            </w:pPr>
            <w:r>
              <w:rPr>
                <w:color w:val="auto"/>
              </w:rPr>
              <w:t>(</w:t>
            </w:r>
            <w:r w:rsidR="00086981" w:rsidRPr="00A06955">
              <w:rPr>
                <w:color w:val="auto"/>
              </w:rPr>
              <w:t>15.5</w:t>
            </w:r>
            <w:r>
              <w:rPr>
                <w:color w:val="auto"/>
              </w:rPr>
              <w:t>)</w:t>
            </w:r>
          </w:p>
        </w:tc>
        <w:tc>
          <w:tcPr>
            <w:tcW w:w="664" w:type="pct"/>
            <w:shd w:val="clear" w:color="auto" w:fill="auto"/>
            <w:vAlign w:val="bottom"/>
          </w:tcPr>
          <w:p w14:paraId="0432B3FD" w14:textId="38309828" w:rsidR="003F1F7C" w:rsidRPr="00A06955" w:rsidRDefault="00F0378D" w:rsidP="00E14702">
            <w:pPr>
              <w:tabs>
                <w:tab w:val="decimal" w:pos="785"/>
              </w:tabs>
              <w:rPr>
                <w:color w:val="auto"/>
              </w:rPr>
            </w:pPr>
            <w:r>
              <w:rPr>
                <w:color w:val="auto"/>
              </w:rPr>
              <w:t>(</w:t>
            </w:r>
            <w:r w:rsidR="00086981" w:rsidRPr="00A06955">
              <w:rPr>
                <w:color w:val="auto"/>
              </w:rPr>
              <w:t>20.</w:t>
            </w:r>
            <w:r w:rsidR="00E14702" w:rsidRPr="00A06955">
              <w:rPr>
                <w:color w:val="auto"/>
              </w:rPr>
              <w:t>4</w:t>
            </w:r>
            <w:r>
              <w:rPr>
                <w:color w:val="auto"/>
              </w:rPr>
              <w:t>)</w:t>
            </w:r>
          </w:p>
        </w:tc>
        <w:tc>
          <w:tcPr>
            <w:tcW w:w="633" w:type="pct"/>
            <w:shd w:val="clear" w:color="auto" w:fill="auto"/>
            <w:vAlign w:val="bottom"/>
          </w:tcPr>
          <w:p w14:paraId="282FA91C" w14:textId="22C7A52B" w:rsidR="003F1F7C" w:rsidRPr="00C0047D" w:rsidRDefault="00F0378D" w:rsidP="003F1F7C">
            <w:pPr>
              <w:tabs>
                <w:tab w:val="decimal" w:pos="602"/>
              </w:tabs>
              <w:rPr>
                <w:color w:val="auto"/>
              </w:rPr>
            </w:pPr>
            <w:r>
              <w:rPr>
                <w:color w:val="auto"/>
              </w:rPr>
              <w:t>(</w:t>
            </w:r>
            <w:r w:rsidR="00BF33FC">
              <w:rPr>
                <w:color w:val="auto"/>
              </w:rPr>
              <w:t>23.0</w:t>
            </w:r>
            <w:r>
              <w:rPr>
                <w:color w:val="auto"/>
              </w:rPr>
              <w:t>)</w:t>
            </w:r>
          </w:p>
        </w:tc>
      </w:tr>
      <w:tr w:rsidR="003F1F7C" w:rsidRPr="00C0047D" w14:paraId="08FC3BF4" w14:textId="77777777" w:rsidTr="003F1F7C">
        <w:trPr>
          <w:trHeight w:val="369"/>
        </w:trPr>
        <w:tc>
          <w:tcPr>
            <w:tcW w:w="1643" w:type="pct"/>
            <w:shd w:val="clear" w:color="auto" w:fill="auto"/>
            <w:vAlign w:val="bottom"/>
          </w:tcPr>
          <w:p w14:paraId="47CAC4B7" w14:textId="77777777" w:rsidR="003F1F7C" w:rsidRPr="00A06955" w:rsidRDefault="003F1F7C" w:rsidP="003F1F7C">
            <w:pPr>
              <w:jc w:val="left"/>
              <w:rPr>
                <w:color w:val="auto"/>
              </w:rPr>
            </w:pPr>
            <w:r w:rsidRPr="00A06955">
              <w:rPr>
                <w:color w:val="auto"/>
              </w:rPr>
              <w:t>Less payments during the year</w:t>
            </w:r>
          </w:p>
        </w:tc>
        <w:tc>
          <w:tcPr>
            <w:tcW w:w="731" w:type="pct"/>
            <w:tcBorders>
              <w:bottom w:val="single" w:sz="4" w:space="0" w:color="auto"/>
            </w:tcBorders>
            <w:shd w:val="clear" w:color="auto" w:fill="auto"/>
            <w:vAlign w:val="bottom"/>
          </w:tcPr>
          <w:p w14:paraId="48E9864F" w14:textId="77777777" w:rsidR="003F1F7C" w:rsidRPr="00A06955" w:rsidRDefault="003F1F7C" w:rsidP="003F1F7C">
            <w:pPr>
              <w:tabs>
                <w:tab w:val="decimal" w:pos="601"/>
              </w:tabs>
              <w:rPr>
                <w:color w:val="auto"/>
              </w:rPr>
            </w:pPr>
            <w:r w:rsidRPr="00A06955">
              <w:rPr>
                <w:color w:val="auto"/>
              </w:rPr>
              <w:t>-</w:t>
            </w:r>
          </w:p>
        </w:tc>
        <w:tc>
          <w:tcPr>
            <w:tcW w:w="664" w:type="pct"/>
            <w:tcBorders>
              <w:bottom w:val="single" w:sz="4" w:space="0" w:color="auto"/>
            </w:tcBorders>
            <w:vAlign w:val="bottom"/>
          </w:tcPr>
          <w:p w14:paraId="41D258C5" w14:textId="77777777" w:rsidR="003F1F7C" w:rsidRPr="00A06955" w:rsidRDefault="003F1F7C" w:rsidP="003F1F7C">
            <w:pPr>
              <w:tabs>
                <w:tab w:val="decimal" w:pos="602"/>
              </w:tabs>
              <w:rPr>
                <w:color w:val="auto"/>
              </w:rPr>
            </w:pPr>
            <w:r w:rsidRPr="00A06955">
              <w:rPr>
                <w:color w:val="auto"/>
              </w:rPr>
              <w:t>-</w:t>
            </w:r>
          </w:p>
        </w:tc>
        <w:tc>
          <w:tcPr>
            <w:tcW w:w="664" w:type="pct"/>
            <w:tcBorders>
              <w:bottom w:val="single" w:sz="4" w:space="0" w:color="auto"/>
            </w:tcBorders>
            <w:vAlign w:val="bottom"/>
          </w:tcPr>
          <w:p w14:paraId="3DA44FC3" w14:textId="5B6BBA22" w:rsidR="003F1F7C" w:rsidRPr="00A06955" w:rsidRDefault="00086981" w:rsidP="00E03053">
            <w:pPr>
              <w:tabs>
                <w:tab w:val="decimal" w:pos="767"/>
              </w:tabs>
              <w:rPr>
                <w:color w:val="auto"/>
              </w:rPr>
            </w:pPr>
            <w:r w:rsidRPr="00A06955">
              <w:rPr>
                <w:color w:val="auto"/>
              </w:rPr>
              <w:t>11.</w:t>
            </w:r>
            <w:r w:rsidR="00E03053" w:rsidRPr="00A06955">
              <w:rPr>
                <w:color w:val="auto"/>
              </w:rPr>
              <w:t>0</w:t>
            </w:r>
          </w:p>
        </w:tc>
        <w:tc>
          <w:tcPr>
            <w:tcW w:w="664" w:type="pct"/>
            <w:tcBorders>
              <w:bottom w:val="single" w:sz="4" w:space="0" w:color="auto"/>
            </w:tcBorders>
            <w:shd w:val="clear" w:color="auto" w:fill="auto"/>
            <w:vAlign w:val="bottom"/>
          </w:tcPr>
          <w:p w14:paraId="6394CFA4" w14:textId="34F5693A" w:rsidR="003F1F7C" w:rsidRPr="00A06955" w:rsidRDefault="00086981" w:rsidP="00E14702">
            <w:pPr>
              <w:tabs>
                <w:tab w:val="decimal" w:pos="785"/>
              </w:tabs>
              <w:rPr>
                <w:color w:val="auto"/>
              </w:rPr>
            </w:pPr>
            <w:r w:rsidRPr="00A06955">
              <w:rPr>
                <w:color w:val="auto"/>
              </w:rPr>
              <w:t>11.</w:t>
            </w:r>
            <w:r w:rsidR="00E14702" w:rsidRPr="00A06955">
              <w:rPr>
                <w:color w:val="auto"/>
              </w:rPr>
              <w:t>0</w:t>
            </w:r>
          </w:p>
        </w:tc>
        <w:tc>
          <w:tcPr>
            <w:tcW w:w="633" w:type="pct"/>
            <w:tcBorders>
              <w:bottom w:val="single" w:sz="4" w:space="0" w:color="auto"/>
            </w:tcBorders>
            <w:shd w:val="clear" w:color="auto" w:fill="auto"/>
            <w:vAlign w:val="bottom"/>
          </w:tcPr>
          <w:p w14:paraId="5EEEC4AE" w14:textId="3C57AA7A" w:rsidR="003F1F7C" w:rsidRPr="00C0047D" w:rsidRDefault="00BF33FC" w:rsidP="003F1F7C">
            <w:pPr>
              <w:tabs>
                <w:tab w:val="decimal" w:pos="602"/>
              </w:tabs>
              <w:rPr>
                <w:color w:val="auto"/>
              </w:rPr>
            </w:pPr>
            <w:r>
              <w:rPr>
                <w:color w:val="auto"/>
              </w:rPr>
              <w:t>7.7</w:t>
            </w:r>
          </w:p>
        </w:tc>
      </w:tr>
      <w:tr w:rsidR="003F1F7C" w:rsidRPr="00C0047D" w14:paraId="1FDA39A6" w14:textId="77777777" w:rsidTr="003F1F7C">
        <w:trPr>
          <w:trHeight w:val="369"/>
        </w:trPr>
        <w:tc>
          <w:tcPr>
            <w:tcW w:w="1643" w:type="pct"/>
            <w:shd w:val="clear" w:color="auto" w:fill="auto"/>
            <w:vAlign w:val="bottom"/>
          </w:tcPr>
          <w:p w14:paraId="4F94B2F7" w14:textId="77777777" w:rsidR="003F1F7C" w:rsidRPr="00A06955" w:rsidRDefault="003F1F7C" w:rsidP="003F1F7C">
            <w:pPr>
              <w:jc w:val="left"/>
              <w:rPr>
                <w:b/>
                <w:color w:val="auto"/>
              </w:rPr>
            </w:pPr>
            <w:r w:rsidRPr="00A06955">
              <w:rPr>
                <w:b/>
                <w:color w:val="auto"/>
              </w:rPr>
              <w:t>Balances at 31 March</w:t>
            </w:r>
          </w:p>
        </w:tc>
        <w:tc>
          <w:tcPr>
            <w:tcW w:w="731" w:type="pct"/>
            <w:tcBorders>
              <w:top w:val="single" w:sz="4" w:space="0" w:color="auto"/>
              <w:bottom w:val="nil"/>
            </w:tcBorders>
            <w:shd w:val="clear" w:color="auto" w:fill="auto"/>
            <w:vAlign w:val="bottom"/>
          </w:tcPr>
          <w:p w14:paraId="16A297D5" w14:textId="1B9DDA82" w:rsidR="003F1F7C" w:rsidRPr="00A06955" w:rsidRDefault="00F0378D" w:rsidP="003F1F7C">
            <w:pPr>
              <w:tabs>
                <w:tab w:val="decimal" w:pos="601"/>
              </w:tabs>
              <w:rPr>
                <w:b/>
                <w:color w:val="auto"/>
              </w:rPr>
            </w:pPr>
            <w:r>
              <w:rPr>
                <w:b/>
                <w:color w:val="auto"/>
              </w:rPr>
              <w:t>(</w:t>
            </w:r>
            <w:r w:rsidR="00086981" w:rsidRPr="00A06955">
              <w:rPr>
                <w:b/>
                <w:color w:val="auto"/>
              </w:rPr>
              <w:t>6.7</w:t>
            </w:r>
            <w:r>
              <w:rPr>
                <w:b/>
                <w:color w:val="auto"/>
              </w:rPr>
              <w:t>)</w:t>
            </w:r>
          </w:p>
        </w:tc>
        <w:tc>
          <w:tcPr>
            <w:tcW w:w="664" w:type="pct"/>
            <w:tcBorders>
              <w:top w:val="single" w:sz="4" w:space="0" w:color="auto"/>
              <w:bottom w:val="nil"/>
            </w:tcBorders>
            <w:vAlign w:val="bottom"/>
          </w:tcPr>
          <w:p w14:paraId="76A781A5" w14:textId="1EF2C402" w:rsidR="003F1F7C" w:rsidRPr="00A06955" w:rsidRDefault="00F0378D" w:rsidP="00E03053">
            <w:pPr>
              <w:tabs>
                <w:tab w:val="decimal" w:pos="602"/>
              </w:tabs>
              <w:rPr>
                <w:b/>
                <w:color w:val="auto"/>
              </w:rPr>
            </w:pPr>
            <w:r>
              <w:rPr>
                <w:b/>
                <w:color w:val="auto"/>
              </w:rPr>
              <w:t>(</w:t>
            </w:r>
            <w:r w:rsidR="00086981" w:rsidRPr="00A06955">
              <w:rPr>
                <w:b/>
                <w:color w:val="auto"/>
              </w:rPr>
              <w:t>67.</w:t>
            </w:r>
            <w:r w:rsidR="00E03053" w:rsidRPr="00A06955">
              <w:rPr>
                <w:b/>
                <w:color w:val="auto"/>
              </w:rPr>
              <w:t>7</w:t>
            </w:r>
            <w:r>
              <w:rPr>
                <w:b/>
                <w:color w:val="auto"/>
              </w:rPr>
              <w:t>)</w:t>
            </w:r>
          </w:p>
        </w:tc>
        <w:tc>
          <w:tcPr>
            <w:tcW w:w="664" w:type="pct"/>
            <w:tcBorders>
              <w:top w:val="single" w:sz="4" w:space="0" w:color="auto"/>
              <w:bottom w:val="nil"/>
            </w:tcBorders>
            <w:vAlign w:val="bottom"/>
          </w:tcPr>
          <w:p w14:paraId="13258AC9" w14:textId="23425C5A" w:rsidR="003F1F7C" w:rsidRPr="00A06955" w:rsidRDefault="00F0378D" w:rsidP="00E14702">
            <w:pPr>
              <w:tabs>
                <w:tab w:val="decimal" w:pos="767"/>
              </w:tabs>
              <w:rPr>
                <w:b/>
                <w:color w:val="auto"/>
              </w:rPr>
            </w:pPr>
            <w:r>
              <w:rPr>
                <w:b/>
                <w:color w:val="auto"/>
              </w:rPr>
              <w:t>(</w:t>
            </w:r>
            <w:r w:rsidR="00086981" w:rsidRPr="00A06955">
              <w:rPr>
                <w:b/>
                <w:color w:val="auto"/>
              </w:rPr>
              <w:t>24.</w:t>
            </w:r>
            <w:r w:rsidR="00E14702" w:rsidRPr="00A06955">
              <w:rPr>
                <w:b/>
                <w:color w:val="auto"/>
              </w:rPr>
              <w:t>4</w:t>
            </w:r>
            <w:r>
              <w:rPr>
                <w:b/>
                <w:color w:val="auto"/>
              </w:rPr>
              <w:t>)</w:t>
            </w:r>
          </w:p>
        </w:tc>
        <w:tc>
          <w:tcPr>
            <w:tcW w:w="664" w:type="pct"/>
            <w:tcBorders>
              <w:top w:val="single" w:sz="4" w:space="0" w:color="auto"/>
              <w:bottom w:val="nil"/>
            </w:tcBorders>
            <w:shd w:val="clear" w:color="auto" w:fill="auto"/>
            <w:vAlign w:val="bottom"/>
          </w:tcPr>
          <w:p w14:paraId="2249ED9B" w14:textId="2CF89964" w:rsidR="003F1F7C" w:rsidRPr="00A06955" w:rsidRDefault="00F0378D" w:rsidP="00E14702">
            <w:pPr>
              <w:tabs>
                <w:tab w:val="decimal" w:pos="785"/>
              </w:tabs>
              <w:rPr>
                <w:b/>
                <w:color w:val="auto"/>
              </w:rPr>
            </w:pPr>
            <w:r>
              <w:rPr>
                <w:b/>
                <w:color w:val="auto"/>
              </w:rPr>
              <w:t>(</w:t>
            </w:r>
            <w:r w:rsidR="00086981" w:rsidRPr="00A06955">
              <w:rPr>
                <w:b/>
                <w:color w:val="auto"/>
              </w:rPr>
              <w:t>98.</w:t>
            </w:r>
            <w:r w:rsidR="00E14702" w:rsidRPr="00A06955">
              <w:rPr>
                <w:b/>
                <w:color w:val="auto"/>
              </w:rPr>
              <w:t>8</w:t>
            </w:r>
            <w:r>
              <w:rPr>
                <w:b/>
                <w:color w:val="auto"/>
              </w:rPr>
              <w:t>)</w:t>
            </w:r>
          </w:p>
        </w:tc>
        <w:tc>
          <w:tcPr>
            <w:tcW w:w="633" w:type="pct"/>
            <w:tcBorders>
              <w:top w:val="single" w:sz="4" w:space="0" w:color="auto"/>
              <w:bottom w:val="nil"/>
            </w:tcBorders>
            <w:shd w:val="clear" w:color="auto" w:fill="auto"/>
            <w:vAlign w:val="bottom"/>
          </w:tcPr>
          <w:p w14:paraId="092D09B6" w14:textId="14B1A6F4" w:rsidR="003F1F7C" w:rsidRPr="00C0047D" w:rsidRDefault="00F0378D" w:rsidP="003F1F7C">
            <w:pPr>
              <w:tabs>
                <w:tab w:val="decimal" w:pos="602"/>
              </w:tabs>
              <w:rPr>
                <w:b/>
                <w:color w:val="auto"/>
              </w:rPr>
            </w:pPr>
            <w:r>
              <w:rPr>
                <w:b/>
                <w:color w:val="auto"/>
              </w:rPr>
              <w:t>(</w:t>
            </w:r>
            <w:r w:rsidR="00BF33FC">
              <w:rPr>
                <w:b/>
                <w:color w:val="auto"/>
              </w:rPr>
              <w:t>92.5</w:t>
            </w:r>
            <w:r>
              <w:rPr>
                <w:b/>
                <w:color w:val="auto"/>
              </w:rPr>
              <w:t>)</w:t>
            </w:r>
          </w:p>
        </w:tc>
      </w:tr>
      <w:tr w:rsidR="003F1F7C" w:rsidRPr="00C0047D" w14:paraId="1A1DA2F4" w14:textId="77777777" w:rsidTr="003F1F7C">
        <w:trPr>
          <w:trHeight w:val="369"/>
        </w:trPr>
        <w:tc>
          <w:tcPr>
            <w:tcW w:w="1643" w:type="pct"/>
            <w:shd w:val="clear" w:color="auto" w:fill="auto"/>
            <w:vAlign w:val="bottom"/>
          </w:tcPr>
          <w:p w14:paraId="11E2676E" w14:textId="77777777" w:rsidR="003F1F7C" w:rsidRPr="00A06955" w:rsidRDefault="003F1F7C" w:rsidP="003F1F7C">
            <w:pPr>
              <w:jc w:val="left"/>
              <w:rPr>
                <w:b/>
                <w:color w:val="auto"/>
              </w:rPr>
            </w:pPr>
          </w:p>
        </w:tc>
        <w:tc>
          <w:tcPr>
            <w:tcW w:w="731" w:type="pct"/>
            <w:tcBorders>
              <w:top w:val="nil"/>
            </w:tcBorders>
            <w:shd w:val="clear" w:color="auto" w:fill="auto"/>
            <w:vAlign w:val="bottom"/>
          </w:tcPr>
          <w:p w14:paraId="35A69D6F" w14:textId="77777777" w:rsidR="003F1F7C" w:rsidRPr="00A06955" w:rsidRDefault="003F1F7C" w:rsidP="003F1F7C">
            <w:pPr>
              <w:tabs>
                <w:tab w:val="decimal" w:pos="601"/>
              </w:tabs>
              <w:rPr>
                <w:b/>
                <w:color w:val="auto"/>
              </w:rPr>
            </w:pPr>
          </w:p>
        </w:tc>
        <w:tc>
          <w:tcPr>
            <w:tcW w:w="664" w:type="pct"/>
            <w:tcBorders>
              <w:top w:val="nil"/>
            </w:tcBorders>
            <w:vAlign w:val="bottom"/>
          </w:tcPr>
          <w:p w14:paraId="53F2872F" w14:textId="77777777" w:rsidR="003F1F7C" w:rsidRPr="00A06955" w:rsidRDefault="003F1F7C" w:rsidP="003F1F7C">
            <w:pPr>
              <w:tabs>
                <w:tab w:val="decimal" w:pos="602"/>
              </w:tabs>
              <w:rPr>
                <w:b/>
                <w:color w:val="auto"/>
              </w:rPr>
            </w:pPr>
          </w:p>
        </w:tc>
        <w:tc>
          <w:tcPr>
            <w:tcW w:w="664" w:type="pct"/>
            <w:tcBorders>
              <w:top w:val="nil"/>
            </w:tcBorders>
            <w:vAlign w:val="bottom"/>
          </w:tcPr>
          <w:p w14:paraId="1A390A71" w14:textId="77777777" w:rsidR="003F1F7C" w:rsidRPr="00A06955" w:rsidRDefault="003F1F7C" w:rsidP="003F1F7C">
            <w:pPr>
              <w:tabs>
                <w:tab w:val="decimal" w:pos="767"/>
              </w:tabs>
              <w:rPr>
                <w:b/>
                <w:color w:val="auto"/>
              </w:rPr>
            </w:pPr>
          </w:p>
        </w:tc>
        <w:tc>
          <w:tcPr>
            <w:tcW w:w="664" w:type="pct"/>
            <w:tcBorders>
              <w:top w:val="nil"/>
              <w:bottom w:val="nil"/>
            </w:tcBorders>
            <w:shd w:val="clear" w:color="auto" w:fill="auto"/>
            <w:vAlign w:val="bottom"/>
          </w:tcPr>
          <w:p w14:paraId="195247E7" w14:textId="77777777" w:rsidR="003F1F7C" w:rsidRPr="00A06955" w:rsidRDefault="003F1F7C" w:rsidP="003F1F7C">
            <w:pPr>
              <w:tabs>
                <w:tab w:val="decimal" w:pos="785"/>
              </w:tabs>
              <w:rPr>
                <w:b/>
                <w:color w:val="auto"/>
              </w:rPr>
            </w:pPr>
          </w:p>
        </w:tc>
        <w:tc>
          <w:tcPr>
            <w:tcW w:w="633" w:type="pct"/>
            <w:tcBorders>
              <w:top w:val="nil"/>
              <w:bottom w:val="nil"/>
            </w:tcBorders>
            <w:shd w:val="clear" w:color="auto" w:fill="auto"/>
            <w:vAlign w:val="bottom"/>
          </w:tcPr>
          <w:p w14:paraId="049D1AE6" w14:textId="77777777" w:rsidR="003F1F7C" w:rsidRPr="00C0047D" w:rsidRDefault="003F1F7C" w:rsidP="003F1F7C">
            <w:pPr>
              <w:tabs>
                <w:tab w:val="decimal" w:pos="602"/>
              </w:tabs>
              <w:rPr>
                <w:b/>
                <w:color w:val="auto"/>
              </w:rPr>
            </w:pPr>
          </w:p>
        </w:tc>
      </w:tr>
      <w:tr w:rsidR="003F1F7C" w:rsidRPr="00C0047D" w14:paraId="6B9C307B" w14:textId="77777777" w:rsidTr="003F1F7C">
        <w:trPr>
          <w:trHeight w:val="369"/>
        </w:trPr>
        <w:tc>
          <w:tcPr>
            <w:tcW w:w="1643" w:type="pct"/>
            <w:shd w:val="clear" w:color="auto" w:fill="auto"/>
            <w:vAlign w:val="bottom"/>
          </w:tcPr>
          <w:p w14:paraId="7E01235C" w14:textId="77777777" w:rsidR="003F1F7C" w:rsidRPr="00A06955" w:rsidRDefault="003F1F7C" w:rsidP="003F1F7C">
            <w:pPr>
              <w:jc w:val="left"/>
              <w:rPr>
                <w:b/>
                <w:color w:val="auto"/>
              </w:rPr>
            </w:pPr>
            <w:r w:rsidRPr="00A06955">
              <w:rPr>
                <w:b/>
                <w:color w:val="auto"/>
              </w:rPr>
              <w:t xml:space="preserve">Aggregate Balances at </w:t>
            </w:r>
          </w:p>
          <w:p w14:paraId="0CB66D85" w14:textId="77777777" w:rsidR="003F1F7C" w:rsidRPr="00A06955" w:rsidRDefault="003F1F7C" w:rsidP="003F1F7C">
            <w:pPr>
              <w:jc w:val="left"/>
              <w:rPr>
                <w:b/>
                <w:color w:val="auto"/>
              </w:rPr>
            </w:pPr>
            <w:r w:rsidRPr="00A06955">
              <w:rPr>
                <w:b/>
                <w:color w:val="auto"/>
              </w:rPr>
              <w:t>31 March (Capital Revenue)</w:t>
            </w:r>
          </w:p>
        </w:tc>
        <w:tc>
          <w:tcPr>
            <w:tcW w:w="731" w:type="pct"/>
            <w:tcBorders>
              <w:top w:val="single" w:sz="4" w:space="0" w:color="auto"/>
            </w:tcBorders>
            <w:shd w:val="clear" w:color="auto" w:fill="auto"/>
            <w:vAlign w:val="bottom"/>
          </w:tcPr>
          <w:p w14:paraId="4D944CC6" w14:textId="0C43A425" w:rsidR="003F1F7C" w:rsidRPr="00A06955" w:rsidRDefault="00F0378D" w:rsidP="003F1F7C">
            <w:pPr>
              <w:tabs>
                <w:tab w:val="decimal" w:pos="601"/>
              </w:tabs>
              <w:rPr>
                <w:b/>
                <w:color w:val="auto"/>
              </w:rPr>
            </w:pPr>
            <w:r>
              <w:rPr>
                <w:b/>
                <w:color w:val="auto"/>
              </w:rPr>
              <w:t>(</w:t>
            </w:r>
            <w:r w:rsidR="00086981" w:rsidRPr="00A06955">
              <w:rPr>
                <w:b/>
                <w:color w:val="auto"/>
              </w:rPr>
              <w:t>10.5</w:t>
            </w:r>
            <w:r>
              <w:rPr>
                <w:b/>
                <w:color w:val="auto"/>
              </w:rPr>
              <w:t>)</w:t>
            </w:r>
          </w:p>
        </w:tc>
        <w:tc>
          <w:tcPr>
            <w:tcW w:w="664" w:type="pct"/>
            <w:tcBorders>
              <w:top w:val="single" w:sz="4" w:space="0" w:color="auto"/>
            </w:tcBorders>
            <w:vAlign w:val="bottom"/>
          </w:tcPr>
          <w:p w14:paraId="4D523061" w14:textId="12D8572F" w:rsidR="003F1F7C" w:rsidRPr="00A06955" w:rsidRDefault="00F0378D" w:rsidP="00E03053">
            <w:pPr>
              <w:tabs>
                <w:tab w:val="decimal" w:pos="602"/>
              </w:tabs>
              <w:rPr>
                <w:b/>
                <w:color w:val="auto"/>
              </w:rPr>
            </w:pPr>
            <w:r>
              <w:rPr>
                <w:b/>
                <w:color w:val="auto"/>
              </w:rPr>
              <w:t>(</w:t>
            </w:r>
            <w:r w:rsidR="00086981" w:rsidRPr="00A06955">
              <w:rPr>
                <w:b/>
                <w:color w:val="auto"/>
              </w:rPr>
              <w:t>282.</w:t>
            </w:r>
            <w:r w:rsidR="00E03053" w:rsidRPr="00A06955">
              <w:rPr>
                <w:b/>
                <w:color w:val="auto"/>
              </w:rPr>
              <w:t>3</w:t>
            </w:r>
            <w:r>
              <w:rPr>
                <w:b/>
                <w:color w:val="auto"/>
              </w:rPr>
              <w:t>)</w:t>
            </w:r>
          </w:p>
        </w:tc>
        <w:tc>
          <w:tcPr>
            <w:tcW w:w="664" w:type="pct"/>
            <w:tcBorders>
              <w:top w:val="single" w:sz="4" w:space="0" w:color="auto"/>
            </w:tcBorders>
            <w:vAlign w:val="bottom"/>
          </w:tcPr>
          <w:p w14:paraId="6516DB05" w14:textId="4F0BEBB3" w:rsidR="003F1F7C" w:rsidRPr="00A06955" w:rsidRDefault="00F0378D" w:rsidP="003F1F7C">
            <w:pPr>
              <w:tabs>
                <w:tab w:val="decimal" w:pos="767"/>
              </w:tabs>
              <w:rPr>
                <w:b/>
                <w:color w:val="auto"/>
              </w:rPr>
            </w:pPr>
            <w:r>
              <w:rPr>
                <w:b/>
                <w:color w:val="auto"/>
              </w:rPr>
              <w:t>(</w:t>
            </w:r>
            <w:r w:rsidR="00086981" w:rsidRPr="00A06955">
              <w:rPr>
                <w:b/>
                <w:color w:val="auto"/>
              </w:rPr>
              <w:t>25.2</w:t>
            </w:r>
            <w:r>
              <w:rPr>
                <w:b/>
                <w:color w:val="auto"/>
              </w:rPr>
              <w:t>)</w:t>
            </w:r>
          </w:p>
        </w:tc>
        <w:tc>
          <w:tcPr>
            <w:tcW w:w="664" w:type="pct"/>
            <w:tcBorders>
              <w:top w:val="single" w:sz="4" w:space="0" w:color="auto"/>
            </w:tcBorders>
            <w:shd w:val="clear" w:color="auto" w:fill="auto"/>
            <w:vAlign w:val="bottom"/>
          </w:tcPr>
          <w:p w14:paraId="38DD2A3B" w14:textId="11416F8F" w:rsidR="003F1F7C" w:rsidRPr="00A06955" w:rsidRDefault="00F0378D" w:rsidP="00E14702">
            <w:pPr>
              <w:tabs>
                <w:tab w:val="decimal" w:pos="785"/>
              </w:tabs>
              <w:rPr>
                <w:b/>
                <w:color w:val="auto"/>
              </w:rPr>
            </w:pPr>
            <w:r>
              <w:rPr>
                <w:b/>
                <w:color w:val="auto"/>
              </w:rPr>
              <w:t>(</w:t>
            </w:r>
            <w:r w:rsidR="00086981" w:rsidRPr="00A06955">
              <w:rPr>
                <w:b/>
                <w:color w:val="auto"/>
              </w:rPr>
              <w:t>318.</w:t>
            </w:r>
            <w:r w:rsidR="00E14702" w:rsidRPr="00A06955">
              <w:rPr>
                <w:b/>
                <w:color w:val="auto"/>
              </w:rPr>
              <w:t>0</w:t>
            </w:r>
            <w:r>
              <w:rPr>
                <w:b/>
                <w:color w:val="auto"/>
              </w:rPr>
              <w:t>)</w:t>
            </w:r>
          </w:p>
        </w:tc>
        <w:tc>
          <w:tcPr>
            <w:tcW w:w="633" w:type="pct"/>
            <w:tcBorders>
              <w:top w:val="single" w:sz="4" w:space="0" w:color="auto"/>
            </w:tcBorders>
            <w:shd w:val="clear" w:color="auto" w:fill="auto"/>
            <w:vAlign w:val="bottom"/>
          </w:tcPr>
          <w:p w14:paraId="17A9E3FD" w14:textId="374E6225" w:rsidR="003F1F7C" w:rsidRPr="00C0047D" w:rsidRDefault="00F0378D" w:rsidP="003F1F7C">
            <w:pPr>
              <w:tabs>
                <w:tab w:val="decimal" w:pos="602"/>
              </w:tabs>
              <w:rPr>
                <w:b/>
                <w:color w:val="auto"/>
              </w:rPr>
            </w:pPr>
            <w:r>
              <w:rPr>
                <w:b/>
                <w:color w:val="auto"/>
              </w:rPr>
              <w:t>(</w:t>
            </w:r>
            <w:r w:rsidR="00BF33FC">
              <w:rPr>
                <w:b/>
                <w:color w:val="auto"/>
              </w:rPr>
              <w:t>293.2</w:t>
            </w:r>
            <w:r>
              <w:rPr>
                <w:b/>
                <w:color w:val="auto"/>
              </w:rPr>
              <w:t>)</w:t>
            </w:r>
          </w:p>
        </w:tc>
      </w:tr>
    </w:tbl>
    <w:p w14:paraId="61FCDB23" w14:textId="77777777" w:rsidR="00042A67" w:rsidRDefault="00042A67" w:rsidP="00042A67">
      <w:pPr>
        <w:rPr>
          <w:lang w:eastAsia="en-GB"/>
        </w:rPr>
      </w:pPr>
    </w:p>
    <w:p w14:paraId="3C6FC2AE" w14:textId="77777777" w:rsidR="00BD38BE" w:rsidRDefault="00BD38BE" w:rsidP="00042A67">
      <w:pPr>
        <w:rPr>
          <w:lang w:eastAsia="en-GB"/>
        </w:rPr>
      </w:pPr>
    </w:p>
    <w:p w14:paraId="2ADB31C9" w14:textId="77777777" w:rsidR="00E640FC" w:rsidRDefault="00E640FC" w:rsidP="00042A67">
      <w:pPr>
        <w:rPr>
          <w:lang w:eastAsia="en-GB"/>
        </w:rPr>
      </w:pPr>
    </w:p>
    <w:p w14:paraId="3611C33D" w14:textId="77777777" w:rsidR="00E640FC" w:rsidRDefault="00E640FC" w:rsidP="00042A67">
      <w:pPr>
        <w:rPr>
          <w:lang w:eastAsia="en-GB"/>
        </w:rPr>
      </w:pPr>
    </w:p>
    <w:p w14:paraId="584241A6" w14:textId="77777777" w:rsidR="00BA2C0C" w:rsidRDefault="00BA2C0C" w:rsidP="00BA2C0C">
      <w:pPr>
        <w:jc w:val="center"/>
        <w:rPr>
          <w:sz w:val="52"/>
          <w:szCs w:val="52"/>
          <w:lang w:eastAsia="en-GB"/>
        </w:rPr>
      </w:pPr>
    </w:p>
    <w:p w14:paraId="00DD5C2B" w14:textId="77777777" w:rsidR="00BA2C0C" w:rsidRDefault="00BA2C0C" w:rsidP="00BA2C0C">
      <w:pPr>
        <w:jc w:val="center"/>
        <w:rPr>
          <w:sz w:val="52"/>
          <w:szCs w:val="52"/>
          <w:lang w:eastAsia="en-GB"/>
        </w:rPr>
      </w:pPr>
    </w:p>
    <w:p w14:paraId="47258F73" w14:textId="77777777" w:rsidR="00BA2C0C" w:rsidRDefault="00BA2C0C" w:rsidP="00BA2C0C">
      <w:pPr>
        <w:jc w:val="center"/>
        <w:rPr>
          <w:sz w:val="52"/>
          <w:szCs w:val="52"/>
          <w:lang w:eastAsia="en-GB"/>
        </w:rPr>
      </w:pPr>
    </w:p>
    <w:p w14:paraId="7D6DC006" w14:textId="77777777" w:rsidR="00902718" w:rsidRDefault="00902718" w:rsidP="00BA2C0C">
      <w:pPr>
        <w:jc w:val="center"/>
        <w:rPr>
          <w:sz w:val="52"/>
          <w:szCs w:val="52"/>
          <w:lang w:eastAsia="en-GB"/>
        </w:rPr>
      </w:pPr>
    </w:p>
    <w:p w14:paraId="766CA33B" w14:textId="77777777" w:rsidR="00902718" w:rsidRDefault="00902718" w:rsidP="00BA2C0C">
      <w:pPr>
        <w:jc w:val="center"/>
        <w:rPr>
          <w:sz w:val="52"/>
          <w:szCs w:val="52"/>
          <w:lang w:eastAsia="en-GB"/>
        </w:rPr>
      </w:pPr>
    </w:p>
    <w:p w14:paraId="40BF14C8" w14:textId="77777777" w:rsidR="00902718" w:rsidRDefault="00902718" w:rsidP="00BA2C0C">
      <w:pPr>
        <w:jc w:val="center"/>
        <w:rPr>
          <w:sz w:val="52"/>
          <w:szCs w:val="52"/>
          <w:lang w:eastAsia="en-GB"/>
        </w:rPr>
      </w:pPr>
    </w:p>
    <w:p w14:paraId="7D8D0A5A" w14:textId="77777777" w:rsidR="00902718" w:rsidRDefault="00902718" w:rsidP="00BA2C0C">
      <w:pPr>
        <w:jc w:val="center"/>
        <w:rPr>
          <w:sz w:val="52"/>
          <w:szCs w:val="52"/>
          <w:lang w:eastAsia="en-GB"/>
        </w:rPr>
      </w:pPr>
    </w:p>
    <w:p w14:paraId="26D32CC3" w14:textId="77777777" w:rsidR="00902718" w:rsidRDefault="00902718" w:rsidP="00BA2C0C">
      <w:pPr>
        <w:jc w:val="center"/>
        <w:rPr>
          <w:sz w:val="52"/>
          <w:szCs w:val="52"/>
          <w:lang w:eastAsia="en-GB"/>
        </w:rPr>
      </w:pPr>
    </w:p>
    <w:p w14:paraId="0E68F74E" w14:textId="77777777" w:rsidR="00902718" w:rsidRDefault="00902718" w:rsidP="00BA2C0C">
      <w:pPr>
        <w:jc w:val="center"/>
        <w:rPr>
          <w:sz w:val="52"/>
          <w:szCs w:val="52"/>
          <w:lang w:eastAsia="en-GB"/>
        </w:rPr>
      </w:pPr>
    </w:p>
    <w:p w14:paraId="6BE4233B" w14:textId="77777777" w:rsidR="00902718" w:rsidRDefault="00902718" w:rsidP="00BA2C0C">
      <w:pPr>
        <w:jc w:val="center"/>
        <w:rPr>
          <w:sz w:val="52"/>
          <w:szCs w:val="52"/>
          <w:lang w:eastAsia="en-GB"/>
        </w:rPr>
      </w:pPr>
    </w:p>
    <w:p w14:paraId="78348228" w14:textId="77777777" w:rsidR="00B868AF" w:rsidRDefault="00B868AF" w:rsidP="00BA2C0C">
      <w:pPr>
        <w:jc w:val="center"/>
        <w:rPr>
          <w:sz w:val="28"/>
          <w:szCs w:val="28"/>
          <w:lang w:eastAsia="en-GB"/>
        </w:rPr>
      </w:pPr>
    </w:p>
    <w:p w14:paraId="117236B7" w14:textId="77777777" w:rsidR="00B868AF" w:rsidRDefault="00B868AF" w:rsidP="00BA2C0C">
      <w:pPr>
        <w:jc w:val="center"/>
        <w:rPr>
          <w:sz w:val="28"/>
          <w:szCs w:val="28"/>
          <w:lang w:eastAsia="en-GB"/>
        </w:rPr>
      </w:pPr>
    </w:p>
    <w:p w14:paraId="2A287B9B" w14:textId="2867370E" w:rsidR="00902718" w:rsidRPr="008D0533" w:rsidRDefault="00902718" w:rsidP="00BA2C0C">
      <w:pPr>
        <w:jc w:val="center"/>
        <w:rPr>
          <w:sz w:val="28"/>
          <w:szCs w:val="28"/>
          <w:lang w:eastAsia="en-GB"/>
        </w:rPr>
      </w:pPr>
      <w:r w:rsidRPr="008D0533">
        <w:rPr>
          <w:sz w:val="28"/>
          <w:szCs w:val="28"/>
          <w:lang w:eastAsia="en-GB"/>
        </w:rPr>
        <w:t>This page is left intentionally blank</w:t>
      </w:r>
    </w:p>
    <w:p w14:paraId="6E1AB5CF" w14:textId="77777777" w:rsidR="00902718" w:rsidRDefault="00902718" w:rsidP="00BA2C0C">
      <w:pPr>
        <w:jc w:val="center"/>
        <w:rPr>
          <w:sz w:val="52"/>
          <w:szCs w:val="52"/>
          <w:lang w:eastAsia="en-GB"/>
        </w:rPr>
      </w:pPr>
    </w:p>
    <w:p w14:paraId="11BDB180" w14:textId="77777777" w:rsidR="00902718" w:rsidRDefault="00902718" w:rsidP="00BA2C0C">
      <w:pPr>
        <w:jc w:val="center"/>
        <w:rPr>
          <w:sz w:val="52"/>
          <w:szCs w:val="52"/>
          <w:lang w:eastAsia="en-GB"/>
        </w:rPr>
      </w:pPr>
    </w:p>
    <w:p w14:paraId="354F332C" w14:textId="77777777" w:rsidR="00902718" w:rsidRDefault="00902718" w:rsidP="00BA2C0C">
      <w:pPr>
        <w:jc w:val="center"/>
        <w:rPr>
          <w:sz w:val="52"/>
          <w:szCs w:val="52"/>
          <w:lang w:eastAsia="en-GB"/>
        </w:rPr>
      </w:pPr>
    </w:p>
    <w:p w14:paraId="3A6AF740" w14:textId="77777777" w:rsidR="00902718" w:rsidRDefault="00902718" w:rsidP="00BA2C0C">
      <w:pPr>
        <w:jc w:val="center"/>
        <w:rPr>
          <w:sz w:val="52"/>
          <w:szCs w:val="52"/>
          <w:lang w:eastAsia="en-GB"/>
        </w:rPr>
      </w:pPr>
    </w:p>
    <w:p w14:paraId="349C2B0B" w14:textId="77777777" w:rsidR="00902718" w:rsidRDefault="00902718" w:rsidP="00BA2C0C">
      <w:pPr>
        <w:jc w:val="center"/>
        <w:rPr>
          <w:sz w:val="52"/>
          <w:szCs w:val="52"/>
          <w:lang w:eastAsia="en-GB"/>
        </w:rPr>
      </w:pPr>
    </w:p>
    <w:p w14:paraId="662C01D6" w14:textId="77777777" w:rsidR="00902718" w:rsidRDefault="00902718" w:rsidP="00BA2C0C">
      <w:pPr>
        <w:jc w:val="center"/>
        <w:rPr>
          <w:sz w:val="52"/>
          <w:szCs w:val="52"/>
          <w:lang w:eastAsia="en-GB"/>
        </w:rPr>
      </w:pPr>
    </w:p>
    <w:p w14:paraId="414F5B77" w14:textId="77777777" w:rsidR="00902718" w:rsidRDefault="00902718" w:rsidP="00BA2C0C">
      <w:pPr>
        <w:jc w:val="center"/>
        <w:rPr>
          <w:sz w:val="52"/>
          <w:szCs w:val="52"/>
          <w:lang w:eastAsia="en-GB"/>
        </w:rPr>
      </w:pPr>
    </w:p>
    <w:p w14:paraId="1C74AD37" w14:textId="77777777" w:rsidR="00902718" w:rsidRDefault="00902718" w:rsidP="00BA2C0C">
      <w:pPr>
        <w:jc w:val="center"/>
        <w:rPr>
          <w:sz w:val="52"/>
          <w:szCs w:val="52"/>
          <w:lang w:eastAsia="en-GB"/>
        </w:rPr>
      </w:pPr>
    </w:p>
    <w:p w14:paraId="4325C74F" w14:textId="77777777" w:rsidR="00902718" w:rsidRDefault="00902718" w:rsidP="00BA2C0C">
      <w:pPr>
        <w:jc w:val="center"/>
        <w:rPr>
          <w:sz w:val="52"/>
          <w:szCs w:val="52"/>
          <w:lang w:eastAsia="en-GB"/>
        </w:rPr>
      </w:pPr>
    </w:p>
    <w:p w14:paraId="1B5C019C" w14:textId="77777777" w:rsidR="00902718" w:rsidRDefault="00902718" w:rsidP="00BA2C0C">
      <w:pPr>
        <w:jc w:val="center"/>
        <w:rPr>
          <w:sz w:val="52"/>
          <w:szCs w:val="52"/>
          <w:lang w:eastAsia="en-GB"/>
        </w:rPr>
      </w:pPr>
    </w:p>
    <w:p w14:paraId="33B68455" w14:textId="77777777" w:rsidR="00902718" w:rsidRDefault="00902718" w:rsidP="00BA2C0C">
      <w:pPr>
        <w:jc w:val="center"/>
        <w:rPr>
          <w:sz w:val="52"/>
          <w:szCs w:val="52"/>
          <w:lang w:eastAsia="en-GB"/>
        </w:rPr>
      </w:pPr>
    </w:p>
    <w:p w14:paraId="7BFF6F5E" w14:textId="77777777" w:rsidR="00902718" w:rsidRDefault="00902718" w:rsidP="00BA2C0C">
      <w:pPr>
        <w:jc w:val="center"/>
        <w:rPr>
          <w:sz w:val="52"/>
          <w:szCs w:val="52"/>
          <w:lang w:eastAsia="en-GB"/>
        </w:rPr>
      </w:pPr>
    </w:p>
    <w:p w14:paraId="1F2F0BAE" w14:textId="77777777" w:rsidR="0056479B" w:rsidRDefault="0056479B" w:rsidP="008D0533">
      <w:pPr>
        <w:rPr>
          <w:sz w:val="52"/>
          <w:szCs w:val="52"/>
          <w:lang w:eastAsia="en-GB"/>
        </w:rPr>
        <w:sectPr w:rsidR="0056479B" w:rsidSect="00B801F4">
          <w:headerReference w:type="even" r:id="rId28"/>
          <w:headerReference w:type="default" r:id="rId29"/>
          <w:footerReference w:type="default" r:id="rId30"/>
          <w:headerReference w:type="first" r:id="rId31"/>
          <w:pgSz w:w="11900" w:h="16840" w:code="9"/>
          <w:pgMar w:top="720" w:right="720" w:bottom="720" w:left="720" w:header="284" w:footer="284" w:gutter="0"/>
          <w:cols w:space="292"/>
          <w:docGrid w:linePitch="326"/>
        </w:sectPr>
      </w:pPr>
    </w:p>
    <w:p w14:paraId="37C55554" w14:textId="2CFDC9AF" w:rsidR="00902718" w:rsidRDefault="00902718" w:rsidP="008D0533">
      <w:pPr>
        <w:rPr>
          <w:sz w:val="52"/>
          <w:szCs w:val="52"/>
          <w:lang w:eastAsia="en-GB"/>
        </w:rPr>
      </w:pPr>
    </w:p>
    <w:p w14:paraId="397892A0" w14:textId="77777777" w:rsidR="00902718" w:rsidRDefault="00902718" w:rsidP="00902718">
      <w:pPr>
        <w:jc w:val="center"/>
        <w:rPr>
          <w:sz w:val="52"/>
          <w:szCs w:val="52"/>
          <w:lang w:eastAsia="en-GB"/>
        </w:rPr>
      </w:pPr>
    </w:p>
    <w:p w14:paraId="619DCA7B" w14:textId="77777777" w:rsidR="00902718" w:rsidRDefault="00902718" w:rsidP="00902718">
      <w:pPr>
        <w:jc w:val="center"/>
        <w:rPr>
          <w:sz w:val="52"/>
          <w:szCs w:val="52"/>
          <w:lang w:eastAsia="en-GB"/>
        </w:rPr>
      </w:pPr>
    </w:p>
    <w:p w14:paraId="1238A28F" w14:textId="77777777" w:rsidR="00902718" w:rsidRDefault="00902718" w:rsidP="00902718">
      <w:pPr>
        <w:jc w:val="center"/>
        <w:rPr>
          <w:sz w:val="52"/>
          <w:szCs w:val="52"/>
          <w:lang w:eastAsia="en-GB"/>
        </w:rPr>
      </w:pPr>
      <w:r w:rsidRPr="00BA2C0C">
        <w:rPr>
          <w:sz w:val="52"/>
          <w:szCs w:val="52"/>
          <w:lang w:eastAsia="en-GB"/>
        </w:rPr>
        <w:t>Lancashire County Pension Fund</w:t>
      </w:r>
    </w:p>
    <w:p w14:paraId="21C0F2F6" w14:textId="77777777" w:rsidR="00902718" w:rsidRDefault="00902718" w:rsidP="00902718">
      <w:pPr>
        <w:jc w:val="center"/>
        <w:rPr>
          <w:sz w:val="52"/>
          <w:szCs w:val="52"/>
          <w:lang w:eastAsia="en-GB"/>
        </w:rPr>
      </w:pPr>
    </w:p>
    <w:p w14:paraId="023584E3" w14:textId="77777777" w:rsidR="00902718" w:rsidRDefault="00902718" w:rsidP="00902718">
      <w:pPr>
        <w:jc w:val="center"/>
        <w:rPr>
          <w:sz w:val="52"/>
          <w:szCs w:val="52"/>
          <w:lang w:eastAsia="en-GB"/>
        </w:rPr>
      </w:pPr>
    </w:p>
    <w:p w14:paraId="5A37B0CF" w14:textId="77777777" w:rsidR="00902718" w:rsidRDefault="00902718" w:rsidP="00902718">
      <w:pPr>
        <w:jc w:val="center"/>
        <w:rPr>
          <w:sz w:val="52"/>
          <w:szCs w:val="52"/>
          <w:lang w:eastAsia="en-GB"/>
        </w:rPr>
      </w:pPr>
    </w:p>
    <w:p w14:paraId="2586E5D2" w14:textId="77777777" w:rsidR="00902718" w:rsidRDefault="00902718" w:rsidP="00902718">
      <w:pPr>
        <w:jc w:val="center"/>
        <w:rPr>
          <w:sz w:val="52"/>
          <w:szCs w:val="52"/>
          <w:lang w:eastAsia="en-GB"/>
        </w:rPr>
      </w:pPr>
    </w:p>
    <w:p w14:paraId="432B73FE" w14:textId="77777777" w:rsidR="00902718" w:rsidRDefault="00902718" w:rsidP="00902718">
      <w:pPr>
        <w:jc w:val="center"/>
        <w:rPr>
          <w:sz w:val="52"/>
          <w:szCs w:val="52"/>
          <w:lang w:eastAsia="en-GB"/>
        </w:rPr>
      </w:pPr>
    </w:p>
    <w:p w14:paraId="750DB4C8" w14:textId="77777777" w:rsidR="00902718" w:rsidRDefault="00902718" w:rsidP="00902718">
      <w:pPr>
        <w:jc w:val="center"/>
        <w:rPr>
          <w:sz w:val="52"/>
          <w:szCs w:val="52"/>
          <w:lang w:eastAsia="en-GB"/>
        </w:rPr>
      </w:pPr>
    </w:p>
    <w:p w14:paraId="29DD50DF" w14:textId="77777777" w:rsidR="00902718" w:rsidRDefault="00902718" w:rsidP="00902718">
      <w:pPr>
        <w:jc w:val="center"/>
        <w:rPr>
          <w:sz w:val="52"/>
          <w:szCs w:val="52"/>
          <w:lang w:eastAsia="en-GB"/>
        </w:rPr>
      </w:pPr>
    </w:p>
    <w:p w14:paraId="2A744A5D" w14:textId="77777777" w:rsidR="00902718" w:rsidRDefault="00902718" w:rsidP="00902718">
      <w:pPr>
        <w:jc w:val="center"/>
        <w:rPr>
          <w:sz w:val="52"/>
          <w:szCs w:val="52"/>
          <w:lang w:eastAsia="en-GB"/>
        </w:rPr>
      </w:pPr>
      <w:r>
        <w:rPr>
          <w:sz w:val="52"/>
          <w:szCs w:val="52"/>
          <w:lang w:eastAsia="en-GB"/>
        </w:rPr>
        <w:t>Accounts</w:t>
      </w:r>
    </w:p>
    <w:p w14:paraId="4A5592F9" w14:textId="77777777" w:rsidR="00902718" w:rsidRDefault="00902718" w:rsidP="00902718">
      <w:pPr>
        <w:jc w:val="center"/>
        <w:rPr>
          <w:sz w:val="52"/>
          <w:szCs w:val="52"/>
          <w:lang w:eastAsia="en-GB"/>
        </w:rPr>
      </w:pPr>
      <w:r>
        <w:rPr>
          <w:sz w:val="52"/>
          <w:szCs w:val="52"/>
          <w:lang w:eastAsia="en-GB"/>
        </w:rPr>
        <w:t>2014 / 2015</w:t>
      </w:r>
    </w:p>
    <w:p w14:paraId="4FF43558" w14:textId="77777777" w:rsidR="00902718" w:rsidRDefault="00902718" w:rsidP="00902718">
      <w:pPr>
        <w:jc w:val="center"/>
        <w:rPr>
          <w:sz w:val="52"/>
          <w:szCs w:val="52"/>
          <w:lang w:eastAsia="en-GB"/>
        </w:rPr>
      </w:pPr>
    </w:p>
    <w:p w14:paraId="66AF5778" w14:textId="77777777" w:rsidR="00902718" w:rsidRDefault="00902718" w:rsidP="00902718">
      <w:pPr>
        <w:jc w:val="center"/>
        <w:rPr>
          <w:sz w:val="52"/>
          <w:szCs w:val="52"/>
          <w:lang w:eastAsia="en-GB"/>
        </w:rPr>
      </w:pPr>
    </w:p>
    <w:p w14:paraId="6FBB8303" w14:textId="77777777" w:rsidR="00902718" w:rsidRDefault="00902718" w:rsidP="00902718">
      <w:pPr>
        <w:jc w:val="center"/>
        <w:rPr>
          <w:sz w:val="52"/>
          <w:szCs w:val="52"/>
          <w:lang w:eastAsia="en-GB"/>
        </w:rPr>
      </w:pPr>
    </w:p>
    <w:p w14:paraId="079E03ED" w14:textId="77777777" w:rsidR="00902718" w:rsidRDefault="00902718" w:rsidP="00902718">
      <w:pPr>
        <w:jc w:val="center"/>
        <w:rPr>
          <w:sz w:val="52"/>
          <w:szCs w:val="52"/>
          <w:lang w:eastAsia="en-GB"/>
        </w:rPr>
      </w:pPr>
    </w:p>
    <w:p w14:paraId="54095C0F" w14:textId="77777777" w:rsidR="00902718" w:rsidRDefault="00902718" w:rsidP="00902718">
      <w:pPr>
        <w:jc w:val="center"/>
        <w:rPr>
          <w:sz w:val="52"/>
          <w:szCs w:val="52"/>
          <w:lang w:eastAsia="en-GB"/>
        </w:rPr>
      </w:pPr>
    </w:p>
    <w:p w14:paraId="061D97CD" w14:textId="77777777" w:rsidR="00902718" w:rsidRPr="00BA2C0C" w:rsidRDefault="00902718" w:rsidP="00902718">
      <w:pPr>
        <w:jc w:val="center"/>
        <w:rPr>
          <w:sz w:val="52"/>
          <w:szCs w:val="52"/>
          <w:lang w:eastAsia="en-GB"/>
        </w:rPr>
      </w:pPr>
    </w:p>
    <w:p w14:paraId="3855399D" w14:textId="77777777" w:rsidR="00902718" w:rsidRDefault="00902718" w:rsidP="00902718">
      <w:pPr>
        <w:rPr>
          <w:lang w:eastAsia="en-GB"/>
        </w:rPr>
      </w:pPr>
    </w:p>
    <w:p w14:paraId="389000F8" w14:textId="77777777" w:rsidR="00902718" w:rsidRDefault="00902718" w:rsidP="00902718">
      <w:pPr>
        <w:rPr>
          <w:lang w:eastAsia="en-GB"/>
        </w:rPr>
      </w:pPr>
    </w:p>
    <w:p w14:paraId="07820822" w14:textId="77777777" w:rsidR="00902718" w:rsidRDefault="00902718" w:rsidP="00902718">
      <w:pPr>
        <w:rPr>
          <w:lang w:eastAsia="en-GB"/>
        </w:rPr>
      </w:pPr>
    </w:p>
    <w:p w14:paraId="71894067" w14:textId="77777777" w:rsidR="00902718" w:rsidRDefault="00902718" w:rsidP="00902718">
      <w:pPr>
        <w:rPr>
          <w:lang w:eastAsia="en-GB"/>
        </w:rPr>
      </w:pPr>
    </w:p>
    <w:p w14:paraId="7AF6FFE3" w14:textId="77777777" w:rsidR="00B801F4" w:rsidRPr="00B801F4" w:rsidRDefault="00B801F4" w:rsidP="00B801F4">
      <w:pPr>
        <w:rPr>
          <w:b/>
          <w:sz w:val="40"/>
          <w:szCs w:val="40"/>
        </w:rPr>
      </w:pPr>
      <w:r w:rsidRPr="00B801F4">
        <w:rPr>
          <w:b/>
          <w:sz w:val="40"/>
          <w:szCs w:val="40"/>
        </w:rPr>
        <w:t>Accounts of the Fund</w:t>
      </w:r>
    </w:p>
    <w:p w14:paraId="70C3A7F7" w14:textId="77777777" w:rsidR="00B801F4" w:rsidRPr="00B801F4" w:rsidRDefault="00B801F4" w:rsidP="00B801F4">
      <w:pPr>
        <w:rPr>
          <w:b/>
          <w:sz w:val="40"/>
          <w:szCs w:val="40"/>
        </w:rPr>
      </w:pPr>
    </w:p>
    <w:p w14:paraId="1D0F9C5A" w14:textId="77777777" w:rsidR="00B801F4" w:rsidRPr="00B801F4" w:rsidRDefault="00B801F4" w:rsidP="00B801F4">
      <w:pPr>
        <w:rPr>
          <w:b/>
          <w:sz w:val="32"/>
          <w:szCs w:val="32"/>
        </w:rPr>
      </w:pPr>
      <w:r w:rsidRPr="00B801F4">
        <w:rPr>
          <w:b/>
          <w:sz w:val="32"/>
          <w:szCs w:val="32"/>
        </w:rPr>
        <w:t>Responsibilities for the statement of accounts</w:t>
      </w:r>
    </w:p>
    <w:p w14:paraId="7AEDF8A4" w14:textId="77777777" w:rsidR="00B801F4" w:rsidRPr="00B801F4" w:rsidRDefault="00B801F4" w:rsidP="00B801F4"/>
    <w:p w14:paraId="1668A484" w14:textId="77777777" w:rsidR="00B801F4" w:rsidRPr="00B801F4" w:rsidRDefault="00B801F4" w:rsidP="00B801F4">
      <w:pPr>
        <w:keepNext/>
        <w:outlineLvl w:val="3"/>
        <w:rPr>
          <w:b/>
          <w:snapToGrid w:val="0"/>
          <w:sz w:val="32"/>
          <w:szCs w:val="32"/>
        </w:rPr>
      </w:pPr>
      <w:r w:rsidRPr="00B801F4">
        <w:rPr>
          <w:b/>
          <w:snapToGrid w:val="0"/>
          <w:sz w:val="32"/>
          <w:szCs w:val="32"/>
        </w:rPr>
        <w:t>The responsibilities of the administering authority</w:t>
      </w:r>
    </w:p>
    <w:p w14:paraId="477C1606" w14:textId="77777777" w:rsidR="00B801F4" w:rsidRPr="00B801F4" w:rsidRDefault="00B801F4" w:rsidP="00B801F4">
      <w:r w:rsidRPr="00B801F4">
        <w:t>The administering authority is required:</w:t>
      </w:r>
    </w:p>
    <w:p w14:paraId="7E65B540" w14:textId="20E62895" w:rsidR="00B801F4" w:rsidRPr="00B801F4" w:rsidRDefault="00B801F4" w:rsidP="00717919">
      <w:pPr>
        <w:numPr>
          <w:ilvl w:val="0"/>
          <w:numId w:val="70"/>
        </w:numPr>
        <w:autoSpaceDE/>
        <w:autoSpaceDN/>
        <w:adjustRightInd/>
        <w:spacing w:after="0"/>
        <w:jc w:val="left"/>
      </w:pPr>
      <w:r w:rsidRPr="00B801F4">
        <w:t xml:space="preserve">To make arrangements for the proper administration of the financial affairs of the Lancashire County Pension Fund (Pension Fund), and to ensure that an officer has the responsibility for the administration of those affairs.  For Lancashire County Council, the respective officer is the </w:t>
      </w:r>
      <w:r w:rsidR="0014608E">
        <w:t>Section 151 officer</w:t>
      </w:r>
      <w:r w:rsidRPr="00B801F4">
        <w:t xml:space="preserve">, who is also the </w:t>
      </w:r>
      <w:r w:rsidR="0014608E">
        <w:t>Section 151 officer</w:t>
      </w:r>
      <w:r w:rsidRPr="00B801F4">
        <w:t xml:space="preserve"> to the Pension Fund;</w:t>
      </w:r>
    </w:p>
    <w:p w14:paraId="1EE7469F" w14:textId="77777777" w:rsidR="00B801F4" w:rsidRPr="00B801F4" w:rsidRDefault="00B801F4" w:rsidP="00B801F4">
      <w:pPr>
        <w:autoSpaceDE/>
        <w:autoSpaceDN/>
        <w:adjustRightInd/>
        <w:spacing w:after="0"/>
        <w:ind w:left="360"/>
        <w:jc w:val="left"/>
      </w:pPr>
    </w:p>
    <w:p w14:paraId="298D0AAB" w14:textId="77777777" w:rsidR="00B801F4" w:rsidRPr="00B801F4" w:rsidRDefault="00B801F4" w:rsidP="00717919">
      <w:pPr>
        <w:numPr>
          <w:ilvl w:val="0"/>
          <w:numId w:val="70"/>
        </w:numPr>
        <w:autoSpaceDE/>
        <w:autoSpaceDN/>
        <w:adjustRightInd/>
        <w:spacing w:after="0"/>
        <w:jc w:val="left"/>
      </w:pPr>
      <w:r w:rsidRPr="00B801F4">
        <w:t>To manage its affairs to secure economic, efficient and effective use of resources, and to safeguard its assets.</w:t>
      </w:r>
    </w:p>
    <w:p w14:paraId="22DF11D9" w14:textId="77777777" w:rsidR="00B801F4" w:rsidRPr="00B801F4" w:rsidRDefault="00B801F4" w:rsidP="00B801F4"/>
    <w:p w14:paraId="62BC6F7F" w14:textId="46860C8B" w:rsidR="00B801F4" w:rsidRPr="00B801F4" w:rsidRDefault="00B801F4" w:rsidP="00B801F4">
      <w:pPr>
        <w:keepNext/>
        <w:jc w:val="left"/>
        <w:outlineLvl w:val="3"/>
        <w:rPr>
          <w:b/>
          <w:snapToGrid w:val="0"/>
          <w:sz w:val="32"/>
          <w:szCs w:val="32"/>
        </w:rPr>
      </w:pPr>
      <w:r w:rsidRPr="00B801F4">
        <w:rPr>
          <w:b/>
          <w:snapToGrid w:val="0"/>
          <w:sz w:val="32"/>
          <w:szCs w:val="32"/>
        </w:rPr>
        <w:t xml:space="preserve">The responsibilities of the </w:t>
      </w:r>
      <w:r w:rsidR="0014608E">
        <w:rPr>
          <w:b/>
          <w:snapToGrid w:val="0"/>
          <w:sz w:val="32"/>
          <w:szCs w:val="32"/>
        </w:rPr>
        <w:t>Section 151 officer</w:t>
      </w:r>
      <w:r w:rsidRPr="00B801F4">
        <w:rPr>
          <w:b/>
          <w:snapToGrid w:val="0"/>
          <w:sz w:val="32"/>
          <w:szCs w:val="32"/>
        </w:rPr>
        <w:t xml:space="preserve"> to the Pension Fund</w:t>
      </w:r>
    </w:p>
    <w:p w14:paraId="720E47C8" w14:textId="40CF50B5" w:rsidR="00B801F4" w:rsidRPr="00B801F4" w:rsidRDefault="00B801F4" w:rsidP="00B801F4">
      <w:pPr>
        <w:jc w:val="left"/>
      </w:pPr>
      <w:r w:rsidRPr="00B801F4">
        <w:t xml:space="preserve">The </w:t>
      </w:r>
      <w:r w:rsidR="0014608E">
        <w:t xml:space="preserve">Section 151 officer </w:t>
      </w:r>
      <w:r w:rsidRPr="00B801F4">
        <w:t xml:space="preserve"> to the Pension Fund is responsible for the preparation of the Pension Fund’s statement of accounts.  In accordance with the CIPFA Code of Practice on Local Authority Accounting in Great Britain (the Code), the statement is required to present fairly the financial position of the Pension Fund at the accounting date, and its income and expenditure for the year then ended.</w:t>
      </w:r>
    </w:p>
    <w:p w14:paraId="28E4AC08" w14:textId="77777777" w:rsidR="00B801F4" w:rsidRPr="00B801F4" w:rsidRDefault="00B801F4" w:rsidP="00B801F4"/>
    <w:p w14:paraId="67A889CB" w14:textId="077DA904" w:rsidR="00B801F4" w:rsidRPr="00B801F4" w:rsidRDefault="00B801F4" w:rsidP="00B801F4">
      <w:pPr>
        <w:jc w:val="left"/>
      </w:pPr>
      <w:r w:rsidRPr="00B801F4">
        <w:t xml:space="preserve">In preparing this statement of accounts, </w:t>
      </w:r>
      <w:r w:rsidR="0014608E">
        <w:t>the Section 151 officer</w:t>
      </w:r>
      <w:r w:rsidRPr="00B801F4">
        <w:t xml:space="preserve"> to the Pension Fund has:</w:t>
      </w:r>
    </w:p>
    <w:p w14:paraId="47BB173F" w14:textId="77777777" w:rsidR="00B801F4" w:rsidRPr="00B801F4" w:rsidRDefault="00B801F4" w:rsidP="00717919">
      <w:pPr>
        <w:numPr>
          <w:ilvl w:val="0"/>
          <w:numId w:val="70"/>
        </w:numPr>
        <w:autoSpaceDE/>
        <w:autoSpaceDN/>
        <w:adjustRightInd/>
        <w:spacing w:after="0"/>
        <w:jc w:val="left"/>
      </w:pPr>
      <w:r w:rsidRPr="00B801F4">
        <w:t>Selected suitable accounting policies and then applied them consistently;</w:t>
      </w:r>
    </w:p>
    <w:p w14:paraId="6F77B84E" w14:textId="77777777" w:rsidR="00B801F4" w:rsidRPr="00B801F4" w:rsidRDefault="00B801F4" w:rsidP="00717919">
      <w:pPr>
        <w:numPr>
          <w:ilvl w:val="0"/>
          <w:numId w:val="70"/>
        </w:numPr>
        <w:autoSpaceDE/>
        <w:autoSpaceDN/>
        <w:adjustRightInd/>
        <w:spacing w:after="0"/>
        <w:jc w:val="left"/>
      </w:pPr>
      <w:r w:rsidRPr="00B801F4">
        <w:t>Made judgements and estimates that were reasonable and prudent;</w:t>
      </w:r>
    </w:p>
    <w:p w14:paraId="5EE6822B" w14:textId="77777777" w:rsidR="00B801F4" w:rsidRPr="00B801F4" w:rsidRDefault="00B801F4" w:rsidP="00717919">
      <w:pPr>
        <w:numPr>
          <w:ilvl w:val="0"/>
          <w:numId w:val="70"/>
        </w:numPr>
        <w:autoSpaceDE/>
        <w:autoSpaceDN/>
        <w:adjustRightInd/>
        <w:spacing w:after="0"/>
        <w:jc w:val="left"/>
      </w:pPr>
      <w:r w:rsidRPr="00B801F4">
        <w:t>Complied with the Code.</w:t>
      </w:r>
    </w:p>
    <w:p w14:paraId="4C1C92F2" w14:textId="77777777" w:rsidR="00B801F4" w:rsidRPr="00B801F4" w:rsidRDefault="00B801F4" w:rsidP="00B801F4"/>
    <w:p w14:paraId="7F3E3A42" w14:textId="28093A22" w:rsidR="00B801F4" w:rsidRPr="00B801F4" w:rsidRDefault="00B801F4" w:rsidP="00B801F4">
      <w:pPr>
        <w:jc w:val="left"/>
      </w:pPr>
      <w:r w:rsidRPr="00B801F4">
        <w:t xml:space="preserve">In addition, the </w:t>
      </w:r>
      <w:r w:rsidR="0014608E">
        <w:t>Section 151 officer</w:t>
      </w:r>
      <w:r w:rsidRPr="00B801F4">
        <w:t xml:space="preserve"> to the Pension Fund has:</w:t>
      </w:r>
    </w:p>
    <w:p w14:paraId="114DE8D8" w14:textId="77777777" w:rsidR="00B801F4" w:rsidRPr="00B801F4" w:rsidRDefault="00B801F4" w:rsidP="00717919">
      <w:pPr>
        <w:numPr>
          <w:ilvl w:val="0"/>
          <w:numId w:val="70"/>
        </w:numPr>
        <w:autoSpaceDE/>
        <w:autoSpaceDN/>
        <w:adjustRightInd/>
        <w:spacing w:after="0"/>
        <w:jc w:val="left"/>
      </w:pPr>
      <w:r w:rsidRPr="00B801F4">
        <w:t>Kept proper accounting records which were up to date;</w:t>
      </w:r>
    </w:p>
    <w:p w14:paraId="74EA6B7A" w14:textId="77777777" w:rsidR="00B801F4" w:rsidRPr="00B801F4" w:rsidRDefault="00B801F4" w:rsidP="00717919">
      <w:pPr>
        <w:numPr>
          <w:ilvl w:val="0"/>
          <w:numId w:val="70"/>
        </w:numPr>
        <w:autoSpaceDE/>
        <w:autoSpaceDN/>
        <w:adjustRightInd/>
        <w:spacing w:after="0"/>
        <w:jc w:val="left"/>
      </w:pPr>
      <w:r w:rsidRPr="00B801F4">
        <w:t>Taken responsible steps for the prevention and detection of fraud and other irregularities.</w:t>
      </w:r>
    </w:p>
    <w:p w14:paraId="602A0C52" w14:textId="77777777" w:rsidR="00B801F4" w:rsidRPr="00B801F4" w:rsidRDefault="00B801F4" w:rsidP="00B801F4">
      <w:pPr>
        <w:keepNext/>
        <w:spacing w:line="360" w:lineRule="auto"/>
        <w:jc w:val="left"/>
        <w:outlineLvl w:val="4"/>
        <w:rPr>
          <w:b/>
          <w:u w:val="single"/>
        </w:rPr>
      </w:pPr>
    </w:p>
    <w:p w14:paraId="4827A04C" w14:textId="77777777" w:rsidR="00B801F4" w:rsidRPr="00B801F4" w:rsidRDefault="00B801F4" w:rsidP="00B801F4">
      <w:pPr>
        <w:jc w:val="left"/>
      </w:pPr>
      <w:r w:rsidRPr="00B801F4">
        <w:t>The Statement of Accounts relate to the financial year ended 31 March 2015 and include the Fund Account and the Statement of Net Assets which are prepared in accordance with standard accounting practice as outlined in the notes to the accounts of the Pension Fund.</w:t>
      </w:r>
    </w:p>
    <w:p w14:paraId="333D5CC6" w14:textId="77777777" w:rsidR="00B801F4" w:rsidRPr="00B801F4" w:rsidRDefault="00B801F4" w:rsidP="00B801F4"/>
    <w:p w14:paraId="76541A26" w14:textId="77777777" w:rsidR="00B801F4" w:rsidRPr="00B801F4" w:rsidRDefault="00B801F4" w:rsidP="00B801F4"/>
    <w:p w14:paraId="137C1506" w14:textId="77777777" w:rsidR="00B801F4" w:rsidRPr="00B801F4" w:rsidRDefault="00B801F4" w:rsidP="00B801F4"/>
    <w:p w14:paraId="1A3F4C57" w14:textId="064D6529" w:rsidR="00B801F4" w:rsidRPr="00B801F4" w:rsidRDefault="00695740" w:rsidP="00B801F4">
      <w:pPr>
        <w:rPr>
          <w:b/>
        </w:rPr>
      </w:pPr>
      <w:r>
        <w:rPr>
          <w:b/>
        </w:rPr>
        <w:t>Abigail Leech</w:t>
      </w:r>
      <w:r w:rsidR="00B801F4" w:rsidRPr="00B801F4">
        <w:rPr>
          <w:b/>
        </w:rPr>
        <w:t xml:space="preserve"> </w:t>
      </w:r>
      <w:r>
        <w:rPr>
          <w:b/>
        </w:rPr>
        <w:t>AC</w:t>
      </w:r>
      <w:r w:rsidR="00B801F4" w:rsidRPr="00B801F4">
        <w:rPr>
          <w:b/>
        </w:rPr>
        <w:t>A</w:t>
      </w:r>
    </w:p>
    <w:p w14:paraId="1D79BE54" w14:textId="2CC3856C" w:rsidR="00695740" w:rsidRDefault="00695740" w:rsidP="00B801F4">
      <w:pPr>
        <w:rPr>
          <w:b/>
        </w:rPr>
      </w:pPr>
      <w:r>
        <w:rPr>
          <w:b/>
        </w:rPr>
        <w:t>Acting Section 151 Officer</w:t>
      </w:r>
    </w:p>
    <w:p w14:paraId="540940FA" w14:textId="78ACF5DD" w:rsidR="00B801F4" w:rsidRDefault="00B801F4" w:rsidP="00B801F4">
      <w:pPr>
        <w:rPr>
          <w:b/>
        </w:rPr>
      </w:pPr>
      <w:r w:rsidRPr="00B801F4">
        <w:rPr>
          <w:b/>
        </w:rPr>
        <w:t>2</w:t>
      </w:r>
      <w:r w:rsidR="00695740">
        <w:rPr>
          <w:b/>
        </w:rPr>
        <w:t>8</w:t>
      </w:r>
      <w:r w:rsidRPr="00B801F4">
        <w:rPr>
          <w:b/>
        </w:rPr>
        <w:t xml:space="preserve">th </w:t>
      </w:r>
      <w:r w:rsidR="00695740">
        <w:rPr>
          <w:b/>
        </w:rPr>
        <w:t>September</w:t>
      </w:r>
      <w:r w:rsidRPr="00B801F4">
        <w:rPr>
          <w:b/>
        </w:rPr>
        <w:t xml:space="preserve"> 2015</w:t>
      </w:r>
    </w:p>
    <w:p w14:paraId="0507F236" w14:textId="77777777" w:rsidR="0014608E" w:rsidRDefault="0014608E" w:rsidP="00B801F4">
      <w:pPr>
        <w:rPr>
          <w:b/>
        </w:rPr>
      </w:pPr>
    </w:p>
    <w:p w14:paraId="1CE3BC83" w14:textId="77777777" w:rsidR="0014608E" w:rsidRPr="00B801F4" w:rsidRDefault="0014608E" w:rsidP="00B801F4">
      <w:pPr>
        <w:rPr>
          <w:b/>
        </w:rPr>
      </w:pPr>
    </w:p>
    <w:p w14:paraId="020E90BD" w14:textId="77777777" w:rsidR="00B801F4" w:rsidRPr="00B801F4" w:rsidRDefault="00B801F4" w:rsidP="00B801F4">
      <w:pPr>
        <w:rPr>
          <w:b/>
          <w:sz w:val="40"/>
          <w:szCs w:val="40"/>
        </w:rPr>
      </w:pPr>
      <w:r w:rsidRPr="00B801F4">
        <w:rPr>
          <w:b/>
          <w:sz w:val="40"/>
          <w:szCs w:val="40"/>
        </w:rPr>
        <w:t>Annual Governance Statement 2014/15</w:t>
      </w:r>
    </w:p>
    <w:p w14:paraId="03D354F1" w14:textId="77777777" w:rsidR="00B801F4" w:rsidRPr="00B801F4" w:rsidRDefault="00B801F4" w:rsidP="00B801F4">
      <w:pPr>
        <w:rPr>
          <w:u w:val="single"/>
        </w:rPr>
      </w:pPr>
    </w:p>
    <w:p w14:paraId="5D6E5075" w14:textId="77777777" w:rsidR="00B801F4" w:rsidRPr="00B801F4" w:rsidRDefault="00B801F4" w:rsidP="00B801F4">
      <w:pPr>
        <w:rPr>
          <w:b/>
        </w:rPr>
      </w:pPr>
      <w:r w:rsidRPr="00B801F4">
        <w:rPr>
          <w:b/>
        </w:rPr>
        <w:t>Introduction</w:t>
      </w:r>
    </w:p>
    <w:p w14:paraId="6C117E18" w14:textId="77777777" w:rsidR="00B801F4" w:rsidRPr="00B801F4" w:rsidRDefault="00B801F4" w:rsidP="00B801F4">
      <w:r w:rsidRPr="00B801F4">
        <w:t>The Lancashire County Pension Fund is a Pension Fund within the Local Government Pension Scheme (LGPS) which is a funded pension scheme created under the terms of the Superannuation Act 1972. Lancashire County Council is the body appointed under statute to act as the Administering Authority for the Fund.</w:t>
      </w:r>
    </w:p>
    <w:p w14:paraId="761F5B52" w14:textId="77777777" w:rsidR="00B801F4" w:rsidRPr="00B801F4" w:rsidRDefault="00B801F4" w:rsidP="00B801F4">
      <w:r w:rsidRPr="00B801F4">
        <w:t>At 31</w:t>
      </w:r>
      <w:r w:rsidRPr="00B801F4">
        <w:rPr>
          <w:vertAlign w:val="superscript"/>
        </w:rPr>
        <w:t>st</w:t>
      </w:r>
      <w:r w:rsidRPr="00B801F4">
        <w:t xml:space="preserve"> March 2015 the Lancashire County Pension Fund provides a means of pension saving and retirement security for 153,203</w:t>
      </w:r>
      <w:r w:rsidRPr="00B801F4">
        <w:rPr>
          <w:color w:val="FF0000"/>
        </w:rPr>
        <w:t xml:space="preserve"> </w:t>
      </w:r>
      <w:r w:rsidRPr="00B801F4">
        <w:t>members across 218 organisations with active members and a range of other organisations with only deferred or pensioner members. The Fund is one of the largest funds within the LGPS.</w:t>
      </w:r>
    </w:p>
    <w:p w14:paraId="2BFF5BB1" w14:textId="77777777" w:rsidR="00B801F4" w:rsidRPr="00B801F4" w:rsidRDefault="00B801F4" w:rsidP="00B801F4">
      <w:r w:rsidRPr="00B801F4">
        <w:t>While the Fund is technically not a separate legal entity it does have its own specific governance arrangements and controls which sit within Lancashire County Council's overall governance framework. Given both the scale of the Pension Fund and the very different nature of its operations from those of Lancashire County Council more generally it is appropriate to conduct a separate annual review of the governance arrangements of the Pension Fund and this statement sets out that review.</w:t>
      </w:r>
    </w:p>
    <w:p w14:paraId="7E6D555C" w14:textId="77777777" w:rsidR="00B801F4" w:rsidRPr="00B801F4" w:rsidRDefault="00B801F4" w:rsidP="00B801F4"/>
    <w:p w14:paraId="4370B63D" w14:textId="77777777" w:rsidR="00B801F4" w:rsidRPr="00B801F4" w:rsidRDefault="00B801F4" w:rsidP="00B801F4">
      <w:pPr>
        <w:rPr>
          <w:b/>
        </w:rPr>
      </w:pPr>
      <w:r w:rsidRPr="00B801F4">
        <w:rPr>
          <w:b/>
        </w:rPr>
        <w:t>The Pension Fund's Responsibilities</w:t>
      </w:r>
    </w:p>
    <w:p w14:paraId="560C19E6" w14:textId="77777777" w:rsidR="00B801F4" w:rsidRPr="00B801F4" w:rsidRDefault="00B801F4" w:rsidP="00B801F4">
      <w:r w:rsidRPr="00B801F4">
        <w:t>The Pension Fund is responsible for ensuring that its business is conducted in accordance with the law and proper standards and that what is, in effect, pensioners' money provided in large part from the public purse is safeguarded and properly accounted for. The Fund has a responsibility under local government legislation to make arrangements which secure continuous improvement in the way in which its functions are delivered.</w:t>
      </w:r>
    </w:p>
    <w:p w14:paraId="294A814B" w14:textId="77777777" w:rsidR="00B801F4" w:rsidRPr="00B801F4" w:rsidRDefault="00B801F4" w:rsidP="00B801F4">
      <w:r w:rsidRPr="00B801F4">
        <w:t>In discharging this overall responsibility the Pension Fund is responsible for putting in place proper arrangements for the governance of its affairs and facilitating the effective exercise of its functions including arrangements for the management of risk.</w:t>
      </w:r>
    </w:p>
    <w:p w14:paraId="2A4EF3F0" w14:textId="77777777" w:rsidR="00B801F4" w:rsidRPr="00B801F4" w:rsidRDefault="00B801F4" w:rsidP="00B801F4">
      <w:r w:rsidRPr="00B801F4">
        <w:t>The Fund has adopted its own Governance Policy Statement in line with the relevant regulations concerning the governance of funds within the LGPS. This statement has regard to relevant standards such as the Myners' principles. The Governance Policy Statement is available through the following link</w:t>
      </w:r>
    </w:p>
    <w:p w14:paraId="31F101ED" w14:textId="77777777" w:rsidR="00B801F4" w:rsidRPr="00B801F4" w:rsidRDefault="00081119" w:rsidP="00B801F4">
      <w:hyperlink r:id="rId32" w:history="1">
        <w:r w:rsidR="00B801F4" w:rsidRPr="00B801F4">
          <w:rPr>
            <w:rFonts w:cs="Arial"/>
            <w:color w:val="0000FF"/>
            <w:u w:val="single"/>
          </w:rPr>
          <w:t>http://www.yourpensionservice.org.uk/local_government/index.asp?siteid=5921&amp;pageid=33736&amp;e=e</w:t>
        </w:r>
      </w:hyperlink>
      <w:r w:rsidR="00B801F4" w:rsidRPr="00B801F4">
        <w:t xml:space="preserve"> </w:t>
      </w:r>
    </w:p>
    <w:p w14:paraId="05E39C5F" w14:textId="77777777" w:rsidR="00B801F4" w:rsidRPr="00B801F4" w:rsidRDefault="00B801F4" w:rsidP="00B801F4">
      <w:r w:rsidRPr="00B801F4">
        <w:t xml:space="preserve">In addition the operation of the Fund is subject to Lancashire County Council's Code of Corporate Governance which is consistent with the principles of the CIPFA/SOLACE Framework </w:t>
      </w:r>
      <w:r w:rsidRPr="00B801F4">
        <w:rPr>
          <w:i/>
        </w:rPr>
        <w:t>"Delivering Good Governance in Local Government"</w:t>
      </w:r>
      <w:r w:rsidRPr="00B801F4">
        <w:t>. The code is available from the County Council's website at the following link</w:t>
      </w:r>
    </w:p>
    <w:p w14:paraId="07F28FA1" w14:textId="77777777" w:rsidR="00B801F4" w:rsidRPr="00B801F4" w:rsidRDefault="00081119" w:rsidP="00B801F4">
      <w:hyperlink r:id="rId33" w:history="1">
        <w:r w:rsidR="00B801F4" w:rsidRPr="00B801F4">
          <w:rPr>
            <w:rFonts w:cs="Arial"/>
            <w:color w:val="0000FF"/>
            <w:u w:val="single"/>
          </w:rPr>
          <w:t>http://www3.lancashire.gov.uk/corporate/atoz/a_to_z/service.asp?u_id=1821&amp;tab=1</w:t>
        </w:r>
      </w:hyperlink>
      <w:r w:rsidR="00B801F4" w:rsidRPr="00B801F4">
        <w:t xml:space="preserve"> </w:t>
      </w:r>
    </w:p>
    <w:p w14:paraId="7F7CBFEB" w14:textId="77777777" w:rsidR="00B801F4" w:rsidRPr="00B801F4" w:rsidRDefault="00B801F4" w:rsidP="00B801F4">
      <w:r w:rsidRPr="00B801F4">
        <w:t>This statement sets out both how the Pension Fund has complied with its own Governance Policy Statement and Lancashire County Council's Code of Corporate Governance and also meets the requirements of the Accounts and Audit (England) Regulations which require all relevant bodies to prepare an annual governance statement.</w:t>
      </w:r>
    </w:p>
    <w:p w14:paraId="6FDB8F8E" w14:textId="77777777" w:rsidR="00B801F4" w:rsidRPr="00B801F4" w:rsidRDefault="00B801F4" w:rsidP="00B801F4"/>
    <w:p w14:paraId="551F3E16" w14:textId="77777777" w:rsidR="00B801F4" w:rsidRPr="00B801F4" w:rsidRDefault="00B801F4" w:rsidP="00B801F4">
      <w:pPr>
        <w:rPr>
          <w:b/>
        </w:rPr>
      </w:pPr>
      <w:r w:rsidRPr="00B801F4">
        <w:rPr>
          <w:b/>
        </w:rPr>
        <w:t>The Purpose of the Governance Framework</w:t>
      </w:r>
    </w:p>
    <w:p w14:paraId="2A9DA371" w14:textId="77777777" w:rsidR="00B801F4" w:rsidRPr="00B801F4" w:rsidRDefault="00B801F4" w:rsidP="00B801F4">
      <w:r w:rsidRPr="00B801F4">
        <w:t xml:space="preserve">The governance framework comprises the systems and processes, culture and values by which the Pension Fund is directed and controlled and the activities through which it engages with and informs stakeholders, including both fund members and employers. It enables the Fund to monitor the achievement of its strategic objectives and to consider whether those objectives have led to the delivery of appropriate and cost-effective outcomes. </w:t>
      </w:r>
    </w:p>
    <w:p w14:paraId="7C93EA88" w14:textId="77777777" w:rsidR="00B801F4" w:rsidRPr="00B801F4" w:rsidRDefault="00B801F4" w:rsidP="00B801F4">
      <w:r w:rsidRPr="00B801F4">
        <w:t>The system of internal control is a significant part of that framework and is designed to manage risk to a reasonable level. It cannot, particularly in the investment context, eliminate all risk and can therefore only provide reasonable and not absolute assurance of effectiveness. The system of internal control is based on an ongoing process designed to identify and prioritise risks to the achievement of the Fund's objectives, to evaluate the likelihood of those risks being realised and the impact should they be realised, and to manage them efficiently, effectively and economically.</w:t>
      </w:r>
    </w:p>
    <w:p w14:paraId="5199645B" w14:textId="77777777" w:rsidR="00B801F4" w:rsidRPr="00B801F4" w:rsidRDefault="00B801F4" w:rsidP="00B801F4">
      <w:r w:rsidRPr="00B801F4">
        <w:t>This statement reports on the annual review of the governance framework by officers which confirms that the framework has been in place within the Pension Fund for the year ended 31 March 2014.</w:t>
      </w:r>
    </w:p>
    <w:p w14:paraId="04ABE821" w14:textId="77777777" w:rsidR="00B801F4" w:rsidRPr="00B801F4" w:rsidRDefault="00B801F4" w:rsidP="00B801F4"/>
    <w:p w14:paraId="51F4F122" w14:textId="77777777" w:rsidR="00B801F4" w:rsidRPr="00B801F4" w:rsidRDefault="00B801F4" w:rsidP="00B801F4">
      <w:pPr>
        <w:rPr>
          <w:b/>
        </w:rPr>
      </w:pPr>
      <w:r w:rsidRPr="00B801F4">
        <w:rPr>
          <w:b/>
        </w:rPr>
        <w:t>The Fund's Governance Framework</w:t>
      </w:r>
    </w:p>
    <w:p w14:paraId="3CD39991" w14:textId="77777777" w:rsidR="00B801F4" w:rsidRPr="00B801F4" w:rsidRDefault="00B801F4" w:rsidP="00B801F4">
      <w:r w:rsidRPr="00B801F4">
        <w:t>The key elements of the systems and processes that comprise the Fund's governance framework are:</w:t>
      </w:r>
    </w:p>
    <w:p w14:paraId="1CB71EF4" w14:textId="77777777" w:rsidR="00B801F4" w:rsidRPr="00B801F4" w:rsidRDefault="00B801F4" w:rsidP="00B801F4"/>
    <w:p w14:paraId="382B30DC" w14:textId="77777777" w:rsidR="00B801F4" w:rsidRPr="00B801F4" w:rsidRDefault="00B801F4" w:rsidP="00B801F4">
      <w:pPr>
        <w:rPr>
          <w:b/>
        </w:rPr>
      </w:pPr>
      <w:r w:rsidRPr="00B801F4">
        <w:rPr>
          <w:b/>
        </w:rPr>
        <w:t>The identification and communication of the Fund's purpose objectives and intended outcomes to Fund members and employers.</w:t>
      </w:r>
    </w:p>
    <w:p w14:paraId="6BFE46EE" w14:textId="77777777" w:rsidR="00B801F4" w:rsidRPr="00B801F4" w:rsidRDefault="00B801F4" w:rsidP="00B801F4">
      <w:r w:rsidRPr="00B801F4">
        <w:t xml:space="preserve">The Fund has an established planning process focussed around the triennial actuarial review and the various teams providing services to the Fund produce annual service plans within the County Council's overall business planning framework. </w:t>
      </w:r>
    </w:p>
    <w:p w14:paraId="14F3FE97" w14:textId="77777777" w:rsidR="00B801F4" w:rsidRPr="00B801F4" w:rsidRDefault="00B801F4" w:rsidP="00B801F4"/>
    <w:p w14:paraId="6F7AB082" w14:textId="77777777" w:rsidR="00B801F4" w:rsidRPr="00B801F4" w:rsidRDefault="00B801F4" w:rsidP="00B801F4">
      <w:pPr>
        <w:rPr>
          <w:b/>
        </w:rPr>
      </w:pPr>
      <w:r w:rsidRPr="00B801F4">
        <w:rPr>
          <w:b/>
        </w:rPr>
        <w:t>Review of the Fund's objectives and intended outcomes and implications for the Fund's governance arrangements</w:t>
      </w:r>
    </w:p>
    <w:p w14:paraId="50D25A45" w14:textId="77777777" w:rsidR="00B801F4" w:rsidRPr="00B801F4" w:rsidRDefault="00B801F4" w:rsidP="00B801F4">
      <w:r w:rsidRPr="00B801F4">
        <w:t xml:space="preserve">Senior Managers review new and proposed legislation and the results of activities such as the triennial valuation on an ongoing basis and propose any necessary changes either to objectives and outcomes or the governance arrangements to the Pension Fund Committee. </w:t>
      </w:r>
    </w:p>
    <w:p w14:paraId="30DDEA66" w14:textId="77777777" w:rsidR="00B801F4" w:rsidRPr="00B801F4" w:rsidRDefault="00B801F4" w:rsidP="00B801F4">
      <w:r w:rsidRPr="00B801F4">
        <w:t>The Pension Fund Committee meets regularly and considers the various plans and strategies developed in order to meet the strategic objectives of the Fund and to monitor progress on the delivery of the strategic objectives.</w:t>
      </w:r>
    </w:p>
    <w:p w14:paraId="4C762305" w14:textId="77777777" w:rsidR="00B801F4" w:rsidRPr="00B801F4" w:rsidRDefault="00B801F4" w:rsidP="00B801F4">
      <w:r w:rsidRPr="00B801F4">
        <w:t>All reports considered by the Pension Fund Committee identify how the key risks involved in any proposed decision and the nature of mitigation, together with any legal or other issues that might arise.</w:t>
      </w:r>
    </w:p>
    <w:p w14:paraId="6B2A5A18" w14:textId="77777777" w:rsidR="00B801F4" w:rsidRPr="00B801F4" w:rsidRDefault="00B801F4" w:rsidP="00B801F4"/>
    <w:p w14:paraId="52CF3E68" w14:textId="77777777" w:rsidR="00B801F4" w:rsidRPr="00B801F4" w:rsidRDefault="00B801F4" w:rsidP="00B801F4">
      <w:pPr>
        <w:rPr>
          <w:b/>
        </w:rPr>
      </w:pPr>
      <w:r w:rsidRPr="00B801F4">
        <w:rPr>
          <w:b/>
        </w:rPr>
        <w:t>Measurement of the quality of services provided to Fund members and employers, ensuring they are delivered in line with the Fund's objectives and ensuring that they represent the best use of resources and value for money.</w:t>
      </w:r>
    </w:p>
    <w:p w14:paraId="739A0700" w14:textId="77777777" w:rsidR="00B801F4" w:rsidRPr="00B801F4" w:rsidRDefault="00B801F4" w:rsidP="00B801F4">
      <w:r w:rsidRPr="00B801F4">
        <w:t xml:space="preserve">The Pension Fund Committee has approved a strategic plan for the Fund setting out specific objectives in relation to the 4 dimensions of the running of a pension fund. These are reflected in the tasks included in the various team service plans for the year progress against which is measured through the County Council's overall performance management framework, which includes processes for monitoring and managing both individual and team performance. </w:t>
      </w:r>
    </w:p>
    <w:p w14:paraId="770B886D" w14:textId="77777777" w:rsidR="00B801F4" w:rsidRPr="00B801F4" w:rsidRDefault="00B801F4" w:rsidP="00B801F4">
      <w:r w:rsidRPr="00B801F4">
        <w:t>Reports on the performance of the Investment Strategy (and consequently the results achieved by the Investment Management Team) are reported to each meeting of the Pension Fund Committee. This reporting focuses not just on the performance of investments but on the scale of the Fund's liabilities. Asset allocation strategies are as efficient as possible in providing the best returns (net of fees) for the appropriate amount of risk and an appropriate level of fees.</w:t>
      </w:r>
    </w:p>
    <w:p w14:paraId="107DC080" w14:textId="77777777" w:rsidR="00B801F4" w:rsidRPr="00B801F4" w:rsidRDefault="00B801F4" w:rsidP="00B801F4">
      <w:r w:rsidRPr="00B801F4">
        <w:t xml:space="preserve">A six monthly report on the performance of the administration service is presented to the Pension Fund Committee each year and made available to all Fund members and stakeholders. This report shows, amongst other things, performance against target for a range of industry standard process targets. </w:t>
      </w:r>
    </w:p>
    <w:p w14:paraId="434EAE90" w14:textId="77777777" w:rsidR="00B801F4" w:rsidRPr="00B801F4" w:rsidRDefault="00B801F4" w:rsidP="00B801F4">
      <w:r w:rsidRPr="00B801F4">
        <w:t xml:space="preserve">A programme of ongoing review of both procedures and processes is maintained and the cost of the administration service charged to the Fund is maintained below the lower quartile cost of comparable authorities as published by the Department of Communities and Local Government. </w:t>
      </w:r>
    </w:p>
    <w:p w14:paraId="3C8BAFC4" w14:textId="77777777" w:rsidR="00B801F4" w:rsidRPr="00B801F4" w:rsidRDefault="00B801F4" w:rsidP="00B801F4"/>
    <w:p w14:paraId="55E2C9CB" w14:textId="77777777" w:rsidR="00B801F4" w:rsidRPr="00B801F4" w:rsidRDefault="00B801F4" w:rsidP="00B801F4">
      <w:pPr>
        <w:rPr>
          <w:b/>
        </w:rPr>
      </w:pPr>
      <w:r w:rsidRPr="00B801F4">
        <w:rPr>
          <w:b/>
        </w:rPr>
        <w:t>Definition and documentation of the roles and responsibilities of those involved in the management of the Fund with clear delegation arrangements and protocols for communication.</w:t>
      </w:r>
    </w:p>
    <w:p w14:paraId="7864578B" w14:textId="77777777" w:rsidR="00B801F4" w:rsidRPr="00B801F4" w:rsidRDefault="00B801F4" w:rsidP="00B801F4">
      <w:r w:rsidRPr="00B801F4">
        <w:t>Clear job descriptions exist for all staff involved in the management of the Fund and the delivery of services to Fund members and employers, and together with appropriate guidance documents and constitutional documents such as the Governance Policy Statement provide the basis on which the management of the Fund is undertaken within a defined framework of procedural governance. Matters reserved for the Pension Fund Committee and Senior officers are defined in the Governance Policy Statement and more widely (for example in relation to staffing matters) in the County Council's Constitution.</w:t>
      </w:r>
    </w:p>
    <w:p w14:paraId="3C7F77CB" w14:textId="77777777" w:rsidR="00B801F4" w:rsidRPr="00B801F4" w:rsidRDefault="00B801F4" w:rsidP="00B801F4"/>
    <w:p w14:paraId="012369D0" w14:textId="77777777" w:rsidR="00B801F4" w:rsidRPr="00B801F4" w:rsidRDefault="00B801F4" w:rsidP="00B801F4">
      <w:pPr>
        <w:rPr>
          <w:b/>
        </w:rPr>
      </w:pPr>
      <w:r w:rsidRPr="00B801F4">
        <w:rPr>
          <w:b/>
        </w:rPr>
        <w:t>Development communication and embedding codes of conduct, definition of the standards of behaviour for members and staff.</w:t>
      </w:r>
    </w:p>
    <w:p w14:paraId="5AEF81E3" w14:textId="77777777" w:rsidR="00B801F4" w:rsidRPr="00B801F4" w:rsidRDefault="00B801F4" w:rsidP="00B801F4">
      <w:r w:rsidRPr="00B801F4">
        <w:t xml:space="preserve">These matters are defined in law and the various codes of conduct and protocols contained within the County Council's constitution. Staff are reminded of the requirements of these codes on a regular basis, while specific training in relation to matters such as declarations of interest is provided to elected members following each set of County Council elections. </w:t>
      </w:r>
    </w:p>
    <w:p w14:paraId="3156BC5B" w14:textId="77777777" w:rsidR="00B801F4" w:rsidRPr="00B801F4" w:rsidRDefault="00B801F4" w:rsidP="00B801F4"/>
    <w:p w14:paraId="6784AF32" w14:textId="77777777" w:rsidR="00B801F4" w:rsidRPr="00B801F4" w:rsidRDefault="00B801F4" w:rsidP="00B801F4">
      <w:pPr>
        <w:rPr>
          <w:b/>
        </w:rPr>
      </w:pPr>
      <w:r w:rsidRPr="00B801F4">
        <w:rPr>
          <w:b/>
        </w:rPr>
        <w:t>Review of the effectiveness of the Fund's decision making framework including delegation arrangements and robustness of data.</w:t>
      </w:r>
    </w:p>
    <w:p w14:paraId="6841FD95" w14:textId="77777777" w:rsidR="00B801F4" w:rsidRPr="00B801F4" w:rsidRDefault="00B801F4" w:rsidP="00B801F4">
      <w:r w:rsidRPr="00B801F4">
        <w:t xml:space="preserve">The interaction between the Pension Fund Committee and the Investment Panel, including levels of delegation, has been reviewed and revised to better meet the needs of the Fund in terms of effective delivery of the Investment Strategy, and this is reflected in specific reporting arrangements in relation to investment activity. These arrangements will be reviewed in the light of the new statutory and regulatory framework that will be put in place by April 2015. </w:t>
      </w:r>
    </w:p>
    <w:p w14:paraId="46AA36F6" w14:textId="77777777" w:rsidR="00B801F4" w:rsidRPr="00B801F4" w:rsidRDefault="00B801F4" w:rsidP="00B801F4">
      <w:r w:rsidRPr="00B801F4">
        <w:t xml:space="preserve">The development of a more liability aware investment strategy and changes in the arrangements for data collection from fund employers will increase the amount and quality of information available to support decision making and therefore serve to strengthen the decision making process. </w:t>
      </w:r>
    </w:p>
    <w:p w14:paraId="0B0B628C" w14:textId="77777777" w:rsidR="00B801F4" w:rsidRPr="00B801F4" w:rsidRDefault="00B801F4" w:rsidP="00B801F4"/>
    <w:p w14:paraId="4ED04CE8" w14:textId="77777777" w:rsidR="00B801F4" w:rsidRPr="00B801F4" w:rsidRDefault="00B801F4" w:rsidP="00B801F4">
      <w:pPr>
        <w:rPr>
          <w:b/>
        </w:rPr>
      </w:pPr>
      <w:r w:rsidRPr="00B801F4">
        <w:rPr>
          <w:b/>
        </w:rPr>
        <w:t>Review and update of standing orders, standing financial instructions, a scheme of delegation and supporting procedure notes / manuals which define how decisions are taken and the processes and controls required to manage risks.</w:t>
      </w:r>
    </w:p>
    <w:p w14:paraId="28233507" w14:textId="77777777" w:rsidR="00B801F4" w:rsidRPr="00B801F4" w:rsidRDefault="00B801F4" w:rsidP="00B801F4">
      <w:r w:rsidRPr="00B801F4">
        <w:t>At the top level these requirements are set out in the Governance Policy Statement and within the County Council's Constitution. These are reviewed on a regular basis and are supported by a range of detailed materials appropriate to specific activities.</w:t>
      </w:r>
    </w:p>
    <w:p w14:paraId="69B611BA" w14:textId="77777777" w:rsidR="00B801F4" w:rsidRPr="00B801F4" w:rsidRDefault="00B801F4" w:rsidP="00B801F4">
      <w:r w:rsidRPr="00B801F4">
        <w:t>The management of risk is central to the Fund's activities and efforts have been made to formalise the Fund's risk register as well as increase awareness of risk in various contexts including:</w:t>
      </w:r>
    </w:p>
    <w:p w14:paraId="08D2F1A7" w14:textId="77777777" w:rsidR="00B801F4" w:rsidRPr="00B801F4" w:rsidRDefault="00B801F4" w:rsidP="00717919">
      <w:pPr>
        <w:numPr>
          <w:ilvl w:val="0"/>
          <w:numId w:val="82"/>
        </w:numPr>
        <w:autoSpaceDE/>
        <w:autoSpaceDN/>
        <w:adjustRightInd/>
        <w:spacing w:after="200" w:line="276" w:lineRule="auto"/>
        <w:contextualSpacing/>
        <w:jc w:val="left"/>
      </w:pPr>
      <w:r w:rsidRPr="00B801F4">
        <w:t>Investment decision making</w:t>
      </w:r>
    </w:p>
    <w:p w14:paraId="1F8D486B" w14:textId="77777777" w:rsidR="00B801F4" w:rsidRPr="00B801F4" w:rsidRDefault="00B801F4" w:rsidP="00717919">
      <w:pPr>
        <w:numPr>
          <w:ilvl w:val="0"/>
          <w:numId w:val="82"/>
        </w:numPr>
        <w:autoSpaceDE/>
        <w:autoSpaceDN/>
        <w:adjustRightInd/>
        <w:spacing w:after="200" w:line="276" w:lineRule="auto"/>
        <w:contextualSpacing/>
        <w:jc w:val="left"/>
      </w:pPr>
      <w:r w:rsidRPr="00B801F4">
        <w:t>Project Management and Delivery</w:t>
      </w:r>
    </w:p>
    <w:p w14:paraId="0A2005EB" w14:textId="77777777" w:rsidR="00B801F4" w:rsidRPr="00B801F4" w:rsidRDefault="00B801F4" w:rsidP="00717919">
      <w:pPr>
        <w:numPr>
          <w:ilvl w:val="0"/>
          <w:numId w:val="82"/>
        </w:numPr>
        <w:autoSpaceDE/>
        <w:autoSpaceDN/>
        <w:adjustRightInd/>
        <w:spacing w:after="200" w:line="276" w:lineRule="auto"/>
        <w:contextualSpacing/>
        <w:jc w:val="left"/>
      </w:pPr>
      <w:r w:rsidRPr="00B801F4">
        <w:t>Data Quality</w:t>
      </w:r>
    </w:p>
    <w:p w14:paraId="098FC212" w14:textId="77777777" w:rsidR="00B801F4" w:rsidRPr="00B801F4" w:rsidRDefault="00B801F4" w:rsidP="00717919">
      <w:pPr>
        <w:numPr>
          <w:ilvl w:val="0"/>
          <w:numId w:val="82"/>
        </w:numPr>
        <w:autoSpaceDE/>
        <w:autoSpaceDN/>
        <w:adjustRightInd/>
        <w:spacing w:after="200" w:line="276" w:lineRule="auto"/>
        <w:contextualSpacing/>
        <w:jc w:val="left"/>
        <w:rPr>
          <w:i/>
        </w:rPr>
      </w:pPr>
      <w:r w:rsidRPr="00B801F4">
        <w:t>Fund Employer Risks</w:t>
      </w:r>
    </w:p>
    <w:p w14:paraId="1281B778" w14:textId="77777777" w:rsidR="00717919" w:rsidRPr="00B801F4" w:rsidRDefault="00717919" w:rsidP="00B801F4">
      <w:pPr>
        <w:autoSpaceDE/>
        <w:autoSpaceDN/>
        <w:adjustRightInd/>
        <w:spacing w:after="200" w:line="276" w:lineRule="auto"/>
        <w:ind w:left="720"/>
        <w:contextualSpacing/>
        <w:jc w:val="left"/>
        <w:rPr>
          <w:i/>
        </w:rPr>
      </w:pPr>
    </w:p>
    <w:p w14:paraId="1A19942E" w14:textId="77777777" w:rsidR="00B801F4" w:rsidRPr="00B801F4" w:rsidRDefault="00B801F4" w:rsidP="00B801F4">
      <w:pPr>
        <w:rPr>
          <w:b/>
        </w:rPr>
      </w:pPr>
      <w:r w:rsidRPr="00B801F4">
        <w:rPr>
          <w:b/>
        </w:rPr>
        <w:t>Fulfilling the core functions of an Audit Committee</w:t>
      </w:r>
    </w:p>
    <w:p w14:paraId="62566FAB" w14:textId="77777777" w:rsidR="00B801F4" w:rsidRPr="00B801F4" w:rsidRDefault="00B801F4" w:rsidP="00B801F4">
      <w:r w:rsidRPr="00B801F4">
        <w:t>In relation to the Fund this role is performed by Lancashire County Council's Audit and Governance Committee, which conducts an annual review of its effectiveness in undertaking this role.</w:t>
      </w:r>
    </w:p>
    <w:p w14:paraId="2906CD7D" w14:textId="77777777" w:rsidR="00B801F4" w:rsidRPr="00B801F4" w:rsidRDefault="00B801F4" w:rsidP="00B801F4"/>
    <w:p w14:paraId="0505EA23" w14:textId="77777777" w:rsidR="00B801F4" w:rsidRPr="00B801F4" w:rsidRDefault="00B801F4" w:rsidP="00B801F4">
      <w:pPr>
        <w:rPr>
          <w:b/>
        </w:rPr>
      </w:pPr>
      <w:r w:rsidRPr="00B801F4">
        <w:rPr>
          <w:b/>
        </w:rPr>
        <w:t>The ensuring of compliance with relevant laws and regulations, internal policies and procedure and that expenditure is lawful</w:t>
      </w:r>
    </w:p>
    <w:p w14:paraId="4EF3FD42" w14:textId="77777777" w:rsidR="00B801F4" w:rsidRPr="00B801F4" w:rsidRDefault="00B801F4" w:rsidP="00B801F4">
      <w:r w:rsidRPr="00B801F4">
        <w:t xml:space="preserve">The key area of compliance from an operational point of view is with the various Local Government Pension Scheme Regulations covering both the structure and benefits payable by the Fund and the investment of funds. </w:t>
      </w:r>
    </w:p>
    <w:p w14:paraId="01479DD4" w14:textId="77777777" w:rsidR="00B801F4" w:rsidRPr="00B801F4" w:rsidRDefault="00B801F4" w:rsidP="00B801F4">
      <w:r w:rsidRPr="00B801F4">
        <w:t xml:space="preserve">Compliance with the Scheme Regulations is ensured by a dedicated technical team and the use of a pensions administration system specifically designed for the LGPS. </w:t>
      </w:r>
    </w:p>
    <w:p w14:paraId="337E811E" w14:textId="77777777" w:rsidR="00B801F4" w:rsidRPr="00B801F4" w:rsidRDefault="00B801F4" w:rsidP="00B801F4">
      <w:r w:rsidRPr="00B801F4">
        <w:t xml:space="preserve">The Fund's investments are managed in line with the relevant regulations with independent assurance in relation to compliance provided both by the Fund's custodian and an Investment Compliance Team which is managerially independently from the Investment Management Team. </w:t>
      </w:r>
    </w:p>
    <w:p w14:paraId="172C3119" w14:textId="77777777" w:rsidR="00B801F4" w:rsidRPr="00B801F4" w:rsidRDefault="00B801F4" w:rsidP="00B801F4">
      <w:r w:rsidRPr="00B801F4">
        <w:t>The Fund and its officers must also comply with a range of other laws and regulations applicable either to local authorities generally or to any organisation. These are managed through the specific accountabilities of individual managers or through the wider County Council's business processes with the Monitoring Officer providing advice on the impact of legislative changes when necessary.</w:t>
      </w:r>
    </w:p>
    <w:p w14:paraId="156438DB" w14:textId="77777777" w:rsidR="00B801F4" w:rsidRPr="00B801F4" w:rsidRDefault="00B801F4" w:rsidP="00B801F4">
      <w:r w:rsidRPr="00B801F4">
        <w:t>The basic system of financial control mirrors that of Lancashire County Council, and is centred on principles of appropriate segregation of duties, management supervision, delegation and accountability.</w:t>
      </w:r>
    </w:p>
    <w:p w14:paraId="40E5DE32" w14:textId="77777777" w:rsidR="00B801F4" w:rsidRPr="00B801F4" w:rsidRDefault="00B801F4" w:rsidP="00B801F4">
      <w:r w:rsidRPr="00B801F4">
        <w:t>Managers undertake maintenance of and input into the system, including review and reporting of actual performance against plans and budgets in the context of investments, administration and accounting.</w:t>
      </w:r>
    </w:p>
    <w:p w14:paraId="4D8A01F0" w14:textId="77777777" w:rsidR="00B801F4" w:rsidRPr="00B801F4" w:rsidRDefault="00B801F4" w:rsidP="00B801F4">
      <w:r w:rsidRPr="00B801F4">
        <w:t>The system of internal financial control can provide only reasonable and not absolute assurance that assets are safeguarded, that transactions are authorised and properly recorded, and that material errors or irregularities are either prevented or would be detected in a timely manner.</w:t>
      </w:r>
    </w:p>
    <w:p w14:paraId="42792735" w14:textId="77777777" w:rsidR="00B801F4" w:rsidRPr="00B801F4" w:rsidRDefault="00B801F4" w:rsidP="00B801F4">
      <w:r w:rsidRPr="00B801F4">
        <w:t>The Fund participates in the National Fraud Initiative, previously managed by the Audit Commission and actively investigates all data matches found as a result of this process. The results of this work are reported to the Pension Fund Committee. More generally Lancashire County Council's procedures for investigating allegations of fraud and corruption apply equally to the Fund.</w:t>
      </w:r>
    </w:p>
    <w:p w14:paraId="3CE1FFFC" w14:textId="77777777" w:rsidR="00B801F4" w:rsidRPr="00B801F4" w:rsidRDefault="00B801F4" w:rsidP="00B801F4"/>
    <w:p w14:paraId="45263752" w14:textId="77777777" w:rsidR="00B801F4" w:rsidRPr="00B801F4" w:rsidRDefault="00B801F4" w:rsidP="00B801F4">
      <w:pPr>
        <w:rPr>
          <w:b/>
        </w:rPr>
      </w:pPr>
      <w:r w:rsidRPr="00B801F4">
        <w:rPr>
          <w:b/>
        </w:rPr>
        <w:t>Whistle blowing and receiving and investigating complaints from the public</w:t>
      </w:r>
    </w:p>
    <w:p w14:paraId="66251748" w14:textId="77777777" w:rsidR="00B801F4" w:rsidRPr="00B801F4" w:rsidRDefault="00B801F4" w:rsidP="00B801F4">
      <w:r w:rsidRPr="00B801F4">
        <w:t xml:space="preserve">The Fund is covered by the County Council's whistle blowing policy, the effectiveness of which is reported to the Audit and Governance Committee annually. </w:t>
      </w:r>
    </w:p>
    <w:p w14:paraId="22B693B7" w14:textId="77777777" w:rsidR="00B801F4" w:rsidRDefault="00B801F4" w:rsidP="00B801F4">
      <w:r w:rsidRPr="00B801F4">
        <w:t>Complaint handling is carried out in line with either the Internal Dispute Resolution Procedure (in relation to complaints by members in relation to the level of benefit awarded) or the County Council's complaints procedure (in relation to other matters). These policies are publicly available and the numbers and outcomes of complaints under the Internal Dispute Resolution Procedure are reported annually in the Annual Administration Report.</w:t>
      </w:r>
    </w:p>
    <w:p w14:paraId="298690EA" w14:textId="77777777" w:rsidR="00B801F4" w:rsidRDefault="00B801F4" w:rsidP="00B801F4"/>
    <w:p w14:paraId="5270A5CB" w14:textId="77777777" w:rsidR="00695740" w:rsidRDefault="00695740" w:rsidP="00B801F4"/>
    <w:p w14:paraId="38C0ED00" w14:textId="514D9CD6" w:rsidR="00B801F4" w:rsidRPr="00B801F4" w:rsidRDefault="00B801F4" w:rsidP="00B801F4">
      <w:pPr>
        <w:rPr>
          <w:b/>
        </w:rPr>
      </w:pPr>
      <w:r w:rsidRPr="00B801F4">
        <w:rPr>
          <w:b/>
        </w:rPr>
        <w:t>Identifying the development needs of members and senior officers in relation to their roles and supporting them through appropriate training.</w:t>
      </w:r>
    </w:p>
    <w:p w14:paraId="5C50E8DF" w14:textId="77777777" w:rsidR="00B801F4" w:rsidRPr="00B801F4" w:rsidRDefault="00B801F4" w:rsidP="00B801F4">
      <w:r w:rsidRPr="00B801F4">
        <w:t>Elected members undertake training needs analysis linked to the CIPFA Knowledge and Skills Framework. This has resulted in the provision of access to a range of specific reading material and the provision of a programme of learning opportunities targeted at specific areas of identified need. In addition prior to major decisions coming before the Pension Fund Committee topic based training relating to the decision at hand is provided. The delivery of this programme is the responsibility of the Head of Investment Compliance.</w:t>
      </w:r>
    </w:p>
    <w:p w14:paraId="2702A4FB" w14:textId="77777777" w:rsidR="00B801F4" w:rsidRPr="00B801F4" w:rsidRDefault="00B801F4" w:rsidP="00B801F4">
      <w:r w:rsidRPr="00B801F4">
        <w:t xml:space="preserve">All staff are subject to an annual appraisal process which identifies specific training requirements and any knowledge gaps relevant to their role. Staff who are members of professional bodies also have ethical obligations to undertake Continuing Professional Development relevant to their role. </w:t>
      </w:r>
    </w:p>
    <w:p w14:paraId="2B7FEF3A" w14:textId="77777777" w:rsidR="00B801F4" w:rsidRPr="00B801F4" w:rsidRDefault="00B801F4" w:rsidP="00B801F4"/>
    <w:p w14:paraId="660946D4" w14:textId="77777777" w:rsidR="00B801F4" w:rsidRPr="00B801F4" w:rsidRDefault="00B801F4" w:rsidP="00B801F4">
      <w:pPr>
        <w:rPr>
          <w:b/>
        </w:rPr>
      </w:pPr>
      <w:r w:rsidRPr="00B801F4">
        <w:rPr>
          <w:b/>
        </w:rPr>
        <w:t>Establishment of clear channels of communication with all stakeholders ensuring accountability and encouraging open consultation.</w:t>
      </w:r>
    </w:p>
    <w:p w14:paraId="0CEF2D27" w14:textId="77777777" w:rsidR="00B801F4" w:rsidRPr="00B801F4" w:rsidRDefault="00B801F4" w:rsidP="00B801F4">
      <w:r w:rsidRPr="00B801F4">
        <w:t>The Fund maintains a Communications Policy Statement as part of its policy framework which sets out the way in which the Fund will engage with specific audiences and on what issues. The key channels of communication are:</w:t>
      </w:r>
    </w:p>
    <w:p w14:paraId="4EA3E77E" w14:textId="77777777" w:rsidR="00B801F4" w:rsidRPr="00B801F4" w:rsidRDefault="00B801F4" w:rsidP="00717919">
      <w:pPr>
        <w:numPr>
          <w:ilvl w:val="0"/>
          <w:numId w:val="83"/>
        </w:numPr>
        <w:autoSpaceDE/>
        <w:autoSpaceDN/>
        <w:adjustRightInd/>
        <w:spacing w:after="200" w:line="276" w:lineRule="auto"/>
        <w:contextualSpacing/>
        <w:jc w:val="left"/>
      </w:pPr>
      <w:r w:rsidRPr="00B801F4">
        <w:t>Newsletters for active, deferred and pensioner members;</w:t>
      </w:r>
    </w:p>
    <w:p w14:paraId="00F49AB4" w14:textId="77777777" w:rsidR="00B801F4" w:rsidRPr="00B801F4" w:rsidRDefault="00B801F4" w:rsidP="00717919">
      <w:pPr>
        <w:numPr>
          <w:ilvl w:val="0"/>
          <w:numId w:val="83"/>
        </w:numPr>
        <w:autoSpaceDE/>
        <w:autoSpaceDN/>
        <w:adjustRightInd/>
        <w:spacing w:after="200" w:line="276" w:lineRule="auto"/>
        <w:contextualSpacing/>
        <w:jc w:val="left"/>
      </w:pPr>
      <w:r w:rsidRPr="00B801F4">
        <w:t>Campaign materials focussed around scheme changes;</w:t>
      </w:r>
    </w:p>
    <w:p w14:paraId="42DF9B45" w14:textId="77777777" w:rsidR="00B801F4" w:rsidRPr="00B801F4" w:rsidRDefault="00B801F4" w:rsidP="00717919">
      <w:pPr>
        <w:numPr>
          <w:ilvl w:val="0"/>
          <w:numId w:val="83"/>
        </w:numPr>
        <w:autoSpaceDE/>
        <w:autoSpaceDN/>
        <w:adjustRightInd/>
        <w:spacing w:after="200" w:line="276" w:lineRule="auto"/>
        <w:contextualSpacing/>
        <w:jc w:val="left"/>
      </w:pPr>
      <w:r w:rsidRPr="00B801F4">
        <w:t>Workshops, conferences and guidance materials provided to employers</w:t>
      </w:r>
    </w:p>
    <w:p w14:paraId="17548288" w14:textId="77777777" w:rsidR="00B801F4" w:rsidRPr="00B801F4" w:rsidRDefault="00B801F4" w:rsidP="00717919">
      <w:pPr>
        <w:numPr>
          <w:ilvl w:val="0"/>
          <w:numId w:val="83"/>
        </w:numPr>
        <w:autoSpaceDE/>
        <w:autoSpaceDN/>
        <w:adjustRightInd/>
        <w:spacing w:after="200" w:line="276" w:lineRule="auto"/>
        <w:contextualSpacing/>
        <w:jc w:val="left"/>
      </w:pPr>
      <w:r w:rsidRPr="00B801F4">
        <w:t>The Fund's website, which contains an increasing transactional capability.</w:t>
      </w:r>
    </w:p>
    <w:p w14:paraId="20205FE5" w14:textId="77777777" w:rsidR="00B801F4" w:rsidRPr="00B801F4" w:rsidRDefault="00B801F4" w:rsidP="00717919">
      <w:pPr>
        <w:numPr>
          <w:ilvl w:val="0"/>
          <w:numId w:val="83"/>
        </w:numPr>
        <w:autoSpaceDE/>
        <w:autoSpaceDN/>
        <w:adjustRightInd/>
        <w:spacing w:after="200" w:line="276" w:lineRule="auto"/>
        <w:contextualSpacing/>
        <w:jc w:val="left"/>
      </w:pPr>
      <w:r w:rsidRPr="00B801F4">
        <w:t>An annual "brief" for Finance Directors of employer organisations providing information on the performance of the Fund and an update on specific issues of interest, such as the triennial valuation.</w:t>
      </w:r>
    </w:p>
    <w:p w14:paraId="150B886B" w14:textId="77777777" w:rsidR="00B801F4" w:rsidRPr="00B801F4" w:rsidRDefault="00B801F4" w:rsidP="00717919">
      <w:pPr>
        <w:numPr>
          <w:ilvl w:val="0"/>
          <w:numId w:val="83"/>
        </w:numPr>
        <w:autoSpaceDE/>
        <w:autoSpaceDN/>
        <w:adjustRightInd/>
        <w:spacing w:after="200" w:line="276" w:lineRule="auto"/>
        <w:contextualSpacing/>
        <w:jc w:val="left"/>
      </w:pPr>
      <w:r w:rsidRPr="00B801F4">
        <w:t>The publication of committee papers, minutes and various annual reports and policy documents on the internet.</w:t>
      </w:r>
    </w:p>
    <w:p w14:paraId="767D3B7F" w14:textId="77777777" w:rsidR="00B801F4" w:rsidRPr="00B801F4" w:rsidRDefault="00B801F4" w:rsidP="00B801F4">
      <w:pPr>
        <w:rPr>
          <w:b/>
        </w:rPr>
      </w:pPr>
    </w:p>
    <w:p w14:paraId="3D60740B" w14:textId="77777777" w:rsidR="00B801F4" w:rsidRPr="00B801F4" w:rsidRDefault="00B801F4" w:rsidP="00B801F4">
      <w:pPr>
        <w:rPr>
          <w:b/>
        </w:rPr>
      </w:pPr>
      <w:r w:rsidRPr="00B801F4">
        <w:rPr>
          <w:b/>
        </w:rPr>
        <w:t>The Incorporation of good governance arrangements in respect of partnerships and other group working and reflecting these in the Fund's overall governance arrangements.</w:t>
      </w:r>
    </w:p>
    <w:p w14:paraId="38509C0B" w14:textId="77777777" w:rsidR="00B801F4" w:rsidRPr="00B801F4" w:rsidRDefault="00B801F4" w:rsidP="00B801F4">
      <w:r w:rsidRPr="00B801F4">
        <w:t xml:space="preserve">The Fund is bound by Lancashire County Council's partnership protocol, which highlights the need for such arrangements to reflect good practice in terms of governance. The Fund itself has a limited number of "partnerships", which are largely in the form of jointly procured contracts for the provision of services for which suitable governance arrangements are in place. However, for all arrangements where there is a relationship between the Fund and another organisation the Fund seeks to spell out clearly the expectations and requirements on each party, whether in contractual form where appropriate or through a form of "service level agreement" where a contract is not appropriate. </w:t>
      </w:r>
    </w:p>
    <w:p w14:paraId="077F27DE" w14:textId="77777777" w:rsidR="00B801F4" w:rsidRPr="00B801F4" w:rsidRDefault="00B801F4" w:rsidP="00B801F4">
      <w:r w:rsidRPr="00B801F4">
        <w:t>The Fund seeks to comply with the principles set out in CIPFA's Statement "The Role of the Chief Finance Officer in Local Government", and the arrangements within Lancashire County Council comply with the principles of this statement. The Fund, however, is not a local authority in its own right and therefore the applicability of some elements of the statement within the context of the Fund is limited. During 2014/15 the County Treasurer, as the County Council's Chief Finance Officer, was separately appointed by the Full Council as Treasurer to the Lancashire County Pension Fund and consequently the Chief Officer responsible for fulfilling the County Council's duties as administering authority. Following a restructure of the County Council's management from 1</w:t>
      </w:r>
      <w:r w:rsidRPr="00B801F4">
        <w:rPr>
          <w:vertAlign w:val="superscript"/>
        </w:rPr>
        <w:t>st</w:t>
      </w:r>
      <w:r w:rsidRPr="00B801F4">
        <w:t xml:space="preserve"> April 2015 the functions of Chief Finance Officer have passed to the Director of Financial Resources while the responsibility for fulfilling the County Council's functions as administering authority have passed to the Director of the Lancashire County Pension Fund.</w:t>
      </w:r>
    </w:p>
    <w:p w14:paraId="34292945" w14:textId="77777777" w:rsidR="00B801F4" w:rsidRPr="00B801F4" w:rsidRDefault="00B801F4" w:rsidP="00B801F4">
      <w:r w:rsidRPr="00B801F4">
        <w:t xml:space="preserve">The Fund seeks to comply with the requirements of CIPFA's Knowledge and Skills Framework.  Training is ongoing and will continue to be focussed on the needs identified through an analysis of training needs. </w:t>
      </w:r>
    </w:p>
    <w:p w14:paraId="2A2109B2" w14:textId="77777777" w:rsidR="00B801F4" w:rsidRPr="00B801F4" w:rsidRDefault="00B801F4" w:rsidP="00B801F4">
      <w:r w:rsidRPr="00B801F4">
        <w:t>The Fund has, in line with the relevant LGPS regulations taken steps to separate its banking arrangements from those of the County Council and these have been reviewed by both internal and external auditors and been seen to be satisfactory. The Fund is also continuing to develop the way in which it uses its accounting system in order to gain greater efficiency in back office operations and make tasks such as accounts preparation easier.</w:t>
      </w:r>
    </w:p>
    <w:p w14:paraId="507DAC08" w14:textId="77777777" w:rsidR="00B801F4" w:rsidRPr="00B801F4" w:rsidRDefault="00B801F4" w:rsidP="00B801F4"/>
    <w:p w14:paraId="003D9BDB" w14:textId="77777777" w:rsidR="00B801F4" w:rsidRPr="00B801F4" w:rsidRDefault="00B801F4" w:rsidP="00B801F4">
      <w:pPr>
        <w:rPr>
          <w:b/>
        </w:rPr>
      </w:pPr>
      <w:r w:rsidRPr="00B801F4">
        <w:rPr>
          <w:b/>
        </w:rPr>
        <w:t>Review of Effectiveness</w:t>
      </w:r>
    </w:p>
    <w:p w14:paraId="5690D814" w14:textId="77777777" w:rsidR="00B801F4" w:rsidRPr="00B801F4" w:rsidRDefault="00B801F4" w:rsidP="00B801F4">
      <w:r w:rsidRPr="00B801F4">
        <w:t>The Pension Fund Committee is responsible for conducting, at least annually, a review of the effectiveness of its governance framework, including the system of internal control. The review of effectiveness is informed by the work of the senior managers responsible for the delivery of the Fund's various activities, who have a responsibility for the maintenance and development of the governance environment, the Chief Internal Auditor's annual report, and also reports of the external auditor and other review agencies such as the Pensions' Regulator and Pensions' Ombudsman.</w:t>
      </w:r>
    </w:p>
    <w:p w14:paraId="0DBE67F6" w14:textId="77777777" w:rsidR="00B801F4" w:rsidRPr="00B801F4" w:rsidRDefault="00B801F4" w:rsidP="00B801F4">
      <w:r w:rsidRPr="00B801F4">
        <w:t>The key planned activities of the Fund during 2014/15 were:</w:t>
      </w:r>
    </w:p>
    <w:p w14:paraId="5CA7116C" w14:textId="77777777" w:rsidR="00B801F4" w:rsidRPr="00B801F4" w:rsidRDefault="00B801F4" w:rsidP="00717919">
      <w:pPr>
        <w:numPr>
          <w:ilvl w:val="0"/>
          <w:numId w:val="84"/>
        </w:numPr>
        <w:autoSpaceDE/>
        <w:autoSpaceDN/>
        <w:adjustRightInd/>
        <w:spacing w:after="200" w:line="276" w:lineRule="auto"/>
        <w:contextualSpacing/>
        <w:jc w:val="left"/>
      </w:pPr>
      <w:r w:rsidRPr="00B801F4">
        <w:t>To work with the Pension Fund Committee to define more clearly the overall objectives and strategic planning framework for the Fund;</w:t>
      </w:r>
    </w:p>
    <w:p w14:paraId="105439E6" w14:textId="77777777" w:rsidR="00B801F4" w:rsidRPr="00B801F4" w:rsidRDefault="00B801F4" w:rsidP="00B801F4">
      <w:pPr>
        <w:ind w:left="720"/>
        <w:contextualSpacing/>
      </w:pPr>
    </w:p>
    <w:p w14:paraId="0A3DE1FB" w14:textId="77777777" w:rsidR="00B801F4" w:rsidRPr="00B801F4" w:rsidRDefault="00B801F4" w:rsidP="00717919">
      <w:pPr>
        <w:numPr>
          <w:ilvl w:val="0"/>
          <w:numId w:val="84"/>
        </w:numPr>
        <w:autoSpaceDE/>
        <w:autoSpaceDN/>
        <w:adjustRightInd/>
        <w:spacing w:after="200" w:line="276" w:lineRule="auto"/>
        <w:contextualSpacing/>
        <w:jc w:val="left"/>
      </w:pPr>
      <w:r w:rsidRPr="00B801F4">
        <w:t>To review and refresh, as necessary, those elements of the Fund's policy framework that have not yet been subject to review as part of the process of introducing LGPS 2014.</w:t>
      </w:r>
    </w:p>
    <w:p w14:paraId="03132138" w14:textId="77777777" w:rsidR="00B801F4" w:rsidRPr="00B801F4" w:rsidRDefault="00B801F4" w:rsidP="00B801F4">
      <w:pPr>
        <w:ind w:left="720"/>
        <w:contextualSpacing/>
      </w:pPr>
    </w:p>
    <w:p w14:paraId="0FEE1C51" w14:textId="77777777" w:rsidR="00B801F4" w:rsidRPr="00B801F4" w:rsidRDefault="00B801F4" w:rsidP="00717919">
      <w:pPr>
        <w:numPr>
          <w:ilvl w:val="0"/>
          <w:numId w:val="84"/>
        </w:numPr>
        <w:autoSpaceDE/>
        <w:autoSpaceDN/>
        <w:adjustRightInd/>
        <w:spacing w:after="200" w:line="276" w:lineRule="auto"/>
        <w:contextualSpacing/>
        <w:jc w:val="left"/>
      </w:pPr>
      <w:r w:rsidRPr="00B801F4">
        <w:t>To review the Fund's governance arrangements in the light of the Government's proposals for reform as part of LGPS 2014, including preparation for the new role for the Pensions' Regulator.</w:t>
      </w:r>
    </w:p>
    <w:p w14:paraId="3CC10108" w14:textId="77777777" w:rsidR="00B801F4" w:rsidRPr="00B801F4" w:rsidRDefault="00B801F4" w:rsidP="00B801F4">
      <w:pPr>
        <w:ind w:left="720"/>
        <w:contextualSpacing/>
      </w:pPr>
    </w:p>
    <w:p w14:paraId="535163D3" w14:textId="77777777" w:rsidR="00B801F4" w:rsidRPr="00B801F4" w:rsidRDefault="00B801F4" w:rsidP="00717919">
      <w:pPr>
        <w:numPr>
          <w:ilvl w:val="0"/>
          <w:numId w:val="84"/>
        </w:numPr>
        <w:autoSpaceDE/>
        <w:autoSpaceDN/>
        <w:adjustRightInd/>
        <w:spacing w:after="200" w:line="276" w:lineRule="auto"/>
        <w:contextualSpacing/>
        <w:jc w:val="left"/>
      </w:pPr>
      <w:r w:rsidRPr="00B801F4">
        <w:t>To work with members of the Pension Fund Committee and officers involved in the running of the Fund to ensure that they are able to comply with the requirements set out in the CIPFA Knowledge and Skills Framework.</w:t>
      </w:r>
    </w:p>
    <w:p w14:paraId="746F8046" w14:textId="77777777" w:rsidR="00B801F4" w:rsidRPr="00B801F4" w:rsidRDefault="00B801F4" w:rsidP="00B801F4">
      <w:pPr>
        <w:ind w:left="720"/>
        <w:contextualSpacing/>
      </w:pPr>
    </w:p>
    <w:p w14:paraId="7498E979" w14:textId="77777777" w:rsidR="00B801F4" w:rsidRPr="00B801F4" w:rsidRDefault="00B801F4" w:rsidP="00717919">
      <w:pPr>
        <w:numPr>
          <w:ilvl w:val="0"/>
          <w:numId w:val="84"/>
        </w:numPr>
        <w:autoSpaceDE/>
        <w:autoSpaceDN/>
        <w:adjustRightInd/>
        <w:spacing w:after="200" w:line="276" w:lineRule="auto"/>
        <w:contextualSpacing/>
        <w:jc w:val="left"/>
      </w:pPr>
      <w:r w:rsidRPr="00B801F4">
        <w:t>To develop and begin the implementation of a more "liability aware" strategy for the management of the Fund's investments, in particular reflecting the individual circumstances of employing organisations;</w:t>
      </w:r>
    </w:p>
    <w:p w14:paraId="2941C477" w14:textId="77777777" w:rsidR="00B801F4" w:rsidRPr="00B801F4" w:rsidRDefault="00B801F4" w:rsidP="00B801F4">
      <w:pPr>
        <w:ind w:left="720"/>
        <w:contextualSpacing/>
      </w:pPr>
    </w:p>
    <w:p w14:paraId="5B1AC64C" w14:textId="77777777" w:rsidR="00B801F4" w:rsidRPr="00B801F4" w:rsidRDefault="00B801F4" w:rsidP="00717919">
      <w:pPr>
        <w:numPr>
          <w:ilvl w:val="0"/>
          <w:numId w:val="84"/>
        </w:numPr>
        <w:autoSpaceDE/>
        <w:autoSpaceDN/>
        <w:adjustRightInd/>
        <w:spacing w:after="200" w:line="276" w:lineRule="auto"/>
        <w:contextualSpacing/>
        <w:jc w:val="left"/>
      </w:pPr>
      <w:r w:rsidRPr="00B801F4">
        <w:t>To embed the processes associated with the Fund's risk register in the management of the Fund.</w:t>
      </w:r>
    </w:p>
    <w:p w14:paraId="2D362CE0" w14:textId="77777777" w:rsidR="00B801F4" w:rsidRPr="00B801F4" w:rsidRDefault="00B801F4" w:rsidP="00B801F4">
      <w:pPr>
        <w:ind w:left="720"/>
        <w:contextualSpacing/>
      </w:pPr>
    </w:p>
    <w:p w14:paraId="126449FF" w14:textId="77777777" w:rsidR="00B801F4" w:rsidRPr="00B801F4" w:rsidRDefault="00B801F4" w:rsidP="00717919">
      <w:pPr>
        <w:numPr>
          <w:ilvl w:val="0"/>
          <w:numId w:val="84"/>
        </w:numPr>
        <w:autoSpaceDE/>
        <w:autoSpaceDN/>
        <w:adjustRightInd/>
        <w:spacing w:after="200" w:line="276" w:lineRule="auto"/>
        <w:contextualSpacing/>
        <w:jc w:val="left"/>
      </w:pPr>
      <w:r w:rsidRPr="00B801F4">
        <w:t>To review the transparency and scale of charges made by the County Council for services provided to the Fund.</w:t>
      </w:r>
    </w:p>
    <w:p w14:paraId="2C776D17" w14:textId="77777777" w:rsidR="00B801F4" w:rsidRPr="00B801F4" w:rsidRDefault="00B801F4" w:rsidP="00B801F4">
      <w:pPr>
        <w:ind w:left="720"/>
        <w:contextualSpacing/>
      </w:pPr>
    </w:p>
    <w:p w14:paraId="7CA0E0B2" w14:textId="77777777" w:rsidR="00B801F4" w:rsidRPr="00B801F4" w:rsidRDefault="00B801F4" w:rsidP="00717919">
      <w:pPr>
        <w:numPr>
          <w:ilvl w:val="0"/>
          <w:numId w:val="84"/>
        </w:numPr>
        <w:autoSpaceDE/>
        <w:autoSpaceDN/>
        <w:adjustRightInd/>
        <w:spacing w:after="200" w:line="276" w:lineRule="auto"/>
        <w:contextualSpacing/>
        <w:jc w:val="left"/>
      </w:pPr>
      <w:r w:rsidRPr="00B801F4">
        <w:t>To produce a formal Compliance Manual for the Fund consolidating currently disparate guidance notes and memoranda.</w:t>
      </w:r>
    </w:p>
    <w:p w14:paraId="42D90898" w14:textId="77777777" w:rsidR="00B801F4" w:rsidRPr="00B801F4" w:rsidRDefault="00B801F4" w:rsidP="00B801F4">
      <w:pPr>
        <w:ind w:left="720"/>
        <w:contextualSpacing/>
      </w:pPr>
    </w:p>
    <w:p w14:paraId="1B2B99D8" w14:textId="77777777" w:rsidR="00B801F4" w:rsidRPr="00B801F4" w:rsidRDefault="00B801F4" w:rsidP="00717919">
      <w:pPr>
        <w:numPr>
          <w:ilvl w:val="0"/>
          <w:numId w:val="84"/>
        </w:numPr>
        <w:autoSpaceDE/>
        <w:autoSpaceDN/>
        <w:adjustRightInd/>
        <w:spacing w:after="200" w:line="276" w:lineRule="auto"/>
        <w:contextualSpacing/>
        <w:jc w:val="left"/>
      </w:pPr>
      <w:r w:rsidRPr="00B801F4">
        <w:t xml:space="preserve">To formalise the arrangements for the management of the Fund's internal cash holdings by County Council staff into a clear investment mandate. </w:t>
      </w:r>
    </w:p>
    <w:p w14:paraId="72B9B926" w14:textId="77777777" w:rsidR="00B801F4" w:rsidRPr="00B801F4" w:rsidRDefault="00B801F4" w:rsidP="00B801F4">
      <w:pPr>
        <w:ind w:left="720"/>
        <w:contextualSpacing/>
      </w:pPr>
    </w:p>
    <w:p w14:paraId="5A00E429" w14:textId="77777777" w:rsidR="00B801F4" w:rsidRPr="00B801F4" w:rsidRDefault="00B801F4" w:rsidP="00B801F4">
      <w:r w:rsidRPr="00B801F4">
        <w:t>The Committee has overseen each of these processes and has continued the Governance arrangements of its predecessor which delegate executive authority to officers in appropriate circumstances with effective accountability and scrutiny arrangements. This process has embedded the arrangements agreed by the previous Pension Fund Committee which are set out in the Governance Policy Statement. In particular the Committee has reviewed and approved a formalisation of the Fund's overall arrangements for the management of the different categories of risk to which it is exposed.</w:t>
      </w:r>
    </w:p>
    <w:p w14:paraId="6F3DCE63" w14:textId="77777777" w:rsidR="00B801F4" w:rsidRPr="00B801F4" w:rsidRDefault="00B801F4" w:rsidP="00B801F4">
      <w:r w:rsidRPr="00B801F4">
        <w:t>During the Year changes were made to the Fund's overall governance arrangements to accommodate the creation of the new statutory Local Pension Board as an oversight body. This resulted in the discontinuation of the Pension Fund Administration Sub Committee, which oversaw a range of administration related matters.</w:t>
      </w:r>
    </w:p>
    <w:p w14:paraId="31238F79" w14:textId="77777777" w:rsidR="00B801F4" w:rsidRPr="00B801F4" w:rsidRDefault="00B801F4" w:rsidP="00B801F4">
      <w:r w:rsidRPr="00B801F4">
        <w:t>The Investment Panel ensures that appropriate due diligence is undertaken on new investments and ensures that they comply with the LGPS Investment Regulations. The Panel is chaired by the Treasurer and includes the Fund's two Independent Investment Advisers. The Panel continues to operate under delegated authority from the Pension Fund Committee.</w:t>
      </w:r>
    </w:p>
    <w:p w14:paraId="3C43D0D3" w14:textId="77777777" w:rsidR="00B801F4" w:rsidRPr="00B801F4" w:rsidRDefault="00B801F4" w:rsidP="00B801F4">
      <w:r w:rsidRPr="00B801F4">
        <w:t>Lancashire County Council's Democratic Services Team is responsible for supporting the Committee and its chair in managing Committee, Sub Committee and Investment Panel meetings. The County Secretary and Solicitor (from 1</w:t>
      </w:r>
      <w:r w:rsidRPr="00B801F4">
        <w:rPr>
          <w:vertAlign w:val="superscript"/>
        </w:rPr>
        <w:t>st</w:t>
      </w:r>
      <w:r w:rsidRPr="00B801F4">
        <w:t xml:space="preserve"> April 2015 the Director of Finance, Governance and Public Services) as the County Council's Monitoring Officer carries the same responsibilities in relation to the Fund.</w:t>
      </w:r>
    </w:p>
    <w:p w14:paraId="10AF0D84" w14:textId="77777777" w:rsidR="00B801F4" w:rsidRPr="00B801F4" w:rsidRDefault="00B801F4" w:rsidP="00B801F4">
      <w:r w:rsidRPr="00B801F4">
        <w:t>The Fund's Internal Audit Service is provided by the County Council's Internal Audit Service and the Chief Internal Auditor (from 1</w:t>
      </w:r>
      <w:r w:rsidRPr="00B801F4">
        <w:rPr>
          <w:vertAlign w:val="superscript"/>
        </w:rPr>
        <w:t>st</w:t>
      </w:r>
      <w:r w:rsidRPr="00B801F4">
        <w:t xml:space="preserve"> April 2015 the Head of Service – Internal Audit) was during the year managerially accountable to the County Treasurer, and from 1</w:t>
      </w:r>
      <w:r w:rsidRPr="00B801F4">
        <w:rPr>
          <w:vertAlign w:val="superscript"/>
        </w:rPr>
        <w:t>st</w:t>
      </w:r>
      <w:r w:rsidRPr="00B801F4">
        <w:t xml:space="preserve"> April 2015 will be managerially accountable to the Director of Legal and Democratic Services. The Chief Internal Auditor provides both a separate annual audit plan and annual report to the Pension Fund Committee, which are subject to approval by the Committee. The work of Internal Audit is carried out:</w:t>
      </w:r>
    </w:p>
    <w:p w14:paraId="26A632C8" w14:textId="77777777" w:rsidR="00B801F4" w:rsidRPr="00B801F4" w:rsidRDefault="00B801F4" w:rsidP="00717919">
      <w:pPr>
        <w:numPr>
          <w:ilvl w:val="0"/>
          <w:numId w:val="85"/>
        </w:numPr>
        <w:autoSpaceDE/>
        <w:autoSpaceDN/>
        <w:adjustRightInd/>
        <w:spacing w:after="200" w:line="276" w:lineRule="auto"/>
        <w:contextualSpacing/>
        <w:jc w:val="left"/>
      </w:pPr>
      <w:r w:rsidRPr="00B801F4">
        <w:t>In accordance with the standards set out in relevant professional guidance promulgated by CIPFA and the Institute of Internal Auditors and the requirements of International Public Sector Auditing Standards.</w:t>
      </w:r>
    </w:p>
    <w:p w14:paraId="50F6F47A" w14:textId="77777777" w:rsidR="00B801F4" w:rsidRPr="00B801F4" w:rsidRDefault="00B801F4" w:rsidP="00B801F4">
      <w:pPr>
        <w:ind w:left="720"/>
        <w:contextualSpacing/>
      </w:pPr>
    </w:p>
    <w:p w14:paraId="2D0DD3A6" w14:textId="77777777" w:rsidR="00B801F4" w:rsidRPr="00B801F4" w:rsidRDefault="00B801F4" w:rsidP="00717919">
      <w:pPr>
        <w:numPr>
          <w:ilvl w:val="0"/>
          <w:numId w:val="85"/>
        </w:numPr>
        <w:autoSpaceDE/>
        <w:autoSpaceDN/>
        <w:adjustRightInd/>
        <w:spacing w:after="200" w:line="276" w:lineRule="auto"/>
        <w:contextualSpacing/>
        <w:jc w:val="left"/>
      </w:pPr>
      <w:r w:rsidRPr="00B801F4">
        <w:t>Informed by an analysis of the risks to which the Fund is exposed. The Internal audit plan is developed with and agreed by the Chief Internal Auditor and the various senior managers responsible for aspects of the Fund's operations.</w:t>
      </w:r>
    </w:p>
    <w:p w14:paraId="067D4D4B" w14:textId="77777777" w:rsidR="00B801F4" w:rsidRPr="00B801F4" w:rsidRDefault="00B801F4" w:rsidP="00B801F4">
      <w:pPr>
        <w:ind w:left="720"/>
        <w:contextualSpacing/>
      </w:pPr>
    </w:p>
    <w:p w14:paraId="100ADC63" w14:textId="77777777" w:rsidR="00B801F4" w:rsidRPr="00B801F4" w:rsidRDefault="00B801F4" w:rsidP="00717919">
      <w:pPr>
        <w:numPr>
          <w:ilvl w:val="0"/>
          <w:numId w:val="85"/>
        </w:numPr>
        <w:autoSpaceDE/>
        <w:autoSpaceDN/>
        <w:adjustRightInd/>
        <w:spacing w:after="200" w:line="276" w:lineRule="auto"/>
        <w:contextualSpacing/>
        <w:jc w:val="left"/>
      </w:pPr>
      <w:r w:rsidRPr="00B801F4">
        <w:t>During the year the Chief Internal Auditor's reports include Internal Audit's opinion on the adequacy and effectiveness of the Fund's system of control.</w:t>
      </w:r>
    </w:p>
    <w:p w14:paraId="0BB586E7" w14:textId="77777777" w:rsidR="00B801F4" w:rsidRPr="00B801F4" w:rsidRDefault="00B801F4" w:rsidP="00B801F4">
      <w:r w:rsidRPr="00B801F4">
        <w:t>The Chief Auditor's Annual Report for 2014/15 indicates that she is able to provide substantial assurance over the controls operated by the Fund.</w:t>
      </w:r>
    </w:p>
    <w:p w14:paraId="4E050397" w14:textId="77777777" w:rsidR="00B801F4" w:rsidRPr="00B801F4" w:rsidRDefault="00B801F4" w:rsidP="00B801F4">
      <w:r w:rsidRPr="00B801F4">
        <w:t>External audit of the Fund is provided by Grant Thornton who were appointed by the Audit Commission as a consequence of being appointed as auditor for Lancashire County Council.</w:t>
      </w:r>
    </w:p>
    <w:p w14:paraId="3167901F" w14:textId="77777777" w:rsidR="00B801F4" w:rsidRPr="00B801F4" w:rsidRDefault="00B801F4" w:rsidP="00717919">
      <w:pPr>
        <w:numPr>
          <w:ilvl w:val="0"/>
          <w:numId w:val="86"/>
        </w:numPr>
        <w:autoSpaceDE/>
        <w:autoSpaceDN/>
        <w:adjustRightInd/>
        <w:spacing w:after="200" w:line="276" w:lineRule="auto"/>
        <w:contextualSpacing/>
        <w:jc w:val="left"/>
      </w:pPr>
      <w:r w:rsidRPr="00B801F4">
        <w:t>The work is performed to comply with international auditing standards.</w:t>
      </w:r>
    </w:p>
    <w:p w14:paraId="6D10CE0D" w14:textId="77777777" w:rsidR="00B801F4" w:rsidRPr="00B801F4" w:rsidRDefault="00B801F4" w:rsidP="00B801F4">
      <w:pPr>
        <w:ind w:left="720"/>
        <w:contextualSpacing/>
      </w:pPr>
    </w:p>
    <w:p w14:paraId="38BDABEE" w14:textId="77777777" w:rsidR="00B801F4" w:rsidRPr="00B801F4" w:rsidRDefault="00B801F4" w:rsidP="00717919">
      <w:pPr>
        <w:numPr>
          <w:ilvl w:val="0"/>
          <w:numId w:val="86"/>
        </w:numPr>
        <w:autoSpaceDE/>
        <w:autoSpaceDN/>
        <w:adjustRightInd/>
        <w:spacing w:after="200" w:line="276" w:lineRule="auto"/>
        <w:contextualSpacing/>
        <w:jc w:val="left"/>
      </w:pPr>
      <w:r w:rsidRPr="00B801F4">
        <w:t xml:space="preserve">The auditors take a risk based approach to audit planning as set out in the Code of Audit Practice. Grant Thornton will report on the audit of the Fund's financial statements. </w:t>
      </w:r>
    </w:p>
    <w:p w14:paraId="5F798FD1" w14:textId="77777777" w:rsidR="00B801F4" w:rsidRPr="00B801F4" w:rsidRDefault="00B801F4" w:rsidP="00B801F4">
      <w:pPr>
        <w:ind w:left="720"/>
        <w:contextualSpacing/>
      </w:pPr>
    </w:p>
    <w:p w14:paraId="558F3445" w14:textId="77777777" w:rsidR="00B801F4" w:rsidRPr="00B801F4" w:rsidRDefault="00B801F4" w:rsidP="00717919">
      <w:pPr>
        <w:numPr>
          <w:ilvl w:val="0"/>
          <w:numId w:val="86"/>
        </w:numPr>
        <w:autoSpaceDE/>
        <w:autoSpaceDN/>
        <w:adjustRightInd/>
        <w:spacing w:after="200" w:line="276" w:lineRule="auto"/>
        <w:contextualSpacing/>
        <w:jc w:val="left"/>
      </w:pPr>
      <w:r w:rsidRPr="00B801F4">
        <w:t>The audit will include a review of the system of internal control and the Annual Governance Statement within the context of the conduct of those reviews relating to the County Council.</w:t>
      </w:r>
    </w:p>
    <w:p w14:paraId="71D511C1" w14:textId="77777777" w:rsidR="00B801F4" w:rsidRPr="00B801F4" w:rsidRDefault="00B801F4" w:rsidP="00B801F4">
      <w:pPr>
        <w:ind w:left="720"/>
        <w:contextualSpacing/>
      </w:pPr>
    </w:p>
    <w:p w14:paraId="16171F63" w14:textId="77777777" w:rsidR="00B801F4" w:rsidRPr="00B801F4" w:rsidRDefault="00B801F4" w:rsidP="00717919">
      <w:pPr>
        <w:numPr>
          <w:ilvl w:val="0"/>
          <w:numId w:val="86"/>
        </w:numPr>
        <w:autoSpaceDE/>
        <w:autoSpaceDN/>
        <w:adjustRightInd/>
        <w:spacing w:after="200" w:line="276" w:lineRule="auto"/>
        <w:contextualSpacing/>
        <w:jc w:val="left"/>
      </w:pPr>
      <w:r w:rsidRPr="00B801F4">
        <w:t>Grant Thornton were appointed for five years following a procurement process managed by the Audit Commission.</w:t>
      </w:r>
    </w:p>
    <w:p w14:paraId="101BDFA0" w14:textId="77777777" w:rsidR="00B801F4" w:rsidRPr="00B801F4" w:rsidRDefault="00B801F4" w:rsidP="00B801F4">
      <w:pPr>
        <w:ind w:left="720"/>
        <w:contextualSpacing/>
      </w:pPr>
    </w:p>
    <w:p w14:paraId="185EBB9E" w14:textId="77777777" w:rsidR="00B801F4" w:rsidRPr="00B801F4" w:rsidRDefault="00B801F4" w:rsidP="00B801F4">
      <w:pPr>
        <w:autoSpaceDE/>
        <w:autoSpaceDN/>
        <w:adjustRightInd/>
        <w:spacing w:after="200" w:line="276" w:lineRule="auto"/>
        <w:ind w:left="720"/>
        <w:contextualSpacing/>
        <w:jc w:val="left"/>
      </w:pPr>
    </w:p>
    <w:p w14:paraId="0550629C" w14:textId="77777777" w:rsidR="00B801F4" w:rsidRPr="00B801F4" w:rsidRDefault="00B801F4" w:rsidP="00B801F4">
      <w:pPr>
        <w:rPr>
          <w:b/>
        </w:rPr>
      </w:pPr>
      <w:r w:rsidRPr="00B801F4">
        <w:rPr>
          <w:b/>
        </w:rPr>
        <w:t>Actions Planned for 2015/16</w:t>
      </w:r>
    </w:p>
    <w:p w14:paraId="77E3B5B6" w14:textId="77777777" w:rsidR="00B801F4" w:rsidRPr="00B801F4" w:rsidRDefault="00B801F4" w:rsidP="00B801F4">
      <w:r w:rsidRPr="00B801F4">
        <w:t>The following specific actions are proposed for completion during 2014/15.</w:t>
      </w:r>
    </w:p>
    <w:p w14:paraId="75BF0C69" w14:textId="77777777" w:rsidR="00B801F4" w:rsidRPr="00B801F4" w:rsidRDefault="00B801F4" w:rsidP="00717919">
      <w:pPr>
        <w:numPr>
          <w:ilvl w:val="0"/>
          <w:numId w:val="87"/>
        </w:numPr>
        <w:autoSpaceDE/>
        <w:autoSpaceDN/>
        <w:adjustRightInd/>
        <w:spacing w:after="200" w:line="276" w:lineRule="auto"/>
        <w:contextualSpacing/>
        <w:jc w:val="left"/>
      </w:pPr>
      <w:r w:rsidRPr="00B801F4">
        <w:t>A decision on whether to proceed with the development of a formalised collaborative arrangement with the London Pension Fund Authority that could require fundamental changes to the Fund's Governance arrangements.</w:t>
      </w:r>
    </w:p>
    <w:p w14:paraId="3D4C1DBE" w14:textId="77777777" w:rsidR="00B801F4" w:rsidRPr="00B801F4" w:rsidRDefault="00B801F4" w:rsidP="00717919">
      <w:pPr>
        <w:numPr>
          <w:ilvl w:val="0"/>
          <w:numId w:val="87"/>
        </w:numPr>
        <w:autoSpaceDE/>
        <w:autoSpaceDN/>
        <w:adjustRightInd/>
        <w:spacing w:after="200" w:line="276" w:lineRule="auto"/>
        <w:contextualSpacing/>
        <w:jc w:val="left"/>
      </w:pPr>
      <w:r w:rsidRPr="00B801F4">
        <w:t>A review of the Fund's governance arrangements in the light of both the proposed formal collaboration and the creation of the new Local Pension Board.</w:t>
      </w:r>
    </w:p>
    <w:p w14:paraId="2C1DD6C5" w14:textId="77777777" w:rsidR="00B801F4" w:rsidRPr="00B801F4" w:rsidRDefault="00B801F4" w:rsidP="00717919">
      <w:pPr>
        <w:numPr>
          <w:ilvl w:val="0"/>
          <w:numId w:val="87"/>
        </w:numPr>
        <w:autoSpaceDE/>
        <w:autoSpaceDN/>
        <w:adjustRightInd/>
        <w:spacing w:after="200" w:line="276" w:lineRule="auto"/>
        <w:contextualSpacing/>
        <w:jc w:val="left"/>
      </w:pPr>
      <w:r w:rsidRPr="00B801F4">
        <w:t>The further review of the Fund's policies and discretions in the light of LGPS 2014.</w:t>
      </w:r>
    </w:p>
    <w:p w14:paraId="0FC507C1" w14:textId="77777777" w:rsidR="00B801F4" w:rsidRPr="00B801F4" w:rsidRDefault="00B801F4" w:rsidP="00717919">
      <w:pPr>
        <w:numPr>
          <w:ilvl w:val="0"/>
          <w:numId w:val="87"/>
        </w:numPr>
        <w:autoSpaceDE/>
        <w:autoSpaceDN/>
        <w:adjustRightInd/>
        <w:spacing w:after="200" w:line="276" w:lineRule="auto"/>
        <w:contextualSpacing/>
        <w:jc w:val="left"/>
      </w:pPr>
      <w:r w:rsidRPr="00B801F4">
        <w:t>The development of new routes for engagement with both fund employers and fund members across a wider range of issues.</w:t>
      </w:r>
    </w:p>
    <w:p w14:paraId="14C735D5" w14:textId="77777777" w:rsidR="00B801F4" w:rsidRPr="00B801F4" w:rsidRDefault="00B801F4" w:rsidP="00717919">
      <w:pPr>
        <w:numPr>
          <w:ilvl w:val="0"/>
          <w:numId w:val="87"/>
        </w:numPr>
        <w:autoSpaceDE/>
        <w:autoSpaceDN/>
        <w:adjustRightInd/>
        <w:spacing w:after="200" w:line="276" w:lineRule="auto"/>
        <w:contextualSpacing/>
        <w:jc w:val="left"/>
      </w:pPr>
      <w:r w:rsidRPr="00B801F4">
        <w:t>The formalisation of employer risk assessment activity within the Fund's overall governance arrangements.</w:t>
      </w:r>
    </w:p>
    <w:p w14:paraId="3968E121" w14:textId="77777777" w:rsidR="00B801F4" w:rsidRDefault="00B801F4" w:rsidP="00B801F4">
      <w:pPr>
        <w:autoSpaceDE/>
        <w:autoSpaceDN/>
        <w:adjustRightInd/>
        <w:spacing w:after="200" w:line="276" w:lineRule="auto"/>
        <w:jc w:val="left"/>
      </w:pPr>
    </w:p>
    <w:p w14:paraId="0DEC0562" w14:textId="32974251" w:rsidR="008F01EE" w:rsidRPr="00B801F4" w:rsidRDefault="008F01EE" w:rsidP="00B801F4">
      <w:pPr>
        <w:autoSpaceDE/>
        <w:autoSpaceDN/>
        <w:adjustRightInd/>
        <w:spacing w:after="200" w:line="276" w:lineRule="auto"/>
        <w:jc w:val="left"/>
      </w:pPr>
      <w:r>
        <w:t>5 June 2015</w:t>
      </w:r>
    </w:p>
    <w:p w14:paraId="07918409" w14:textId="77777777" w:rsidR="00B801F4" w:rsidRPr="00B801F4" w:rsidRDefault="00B801F4" w:rsidP="00B801F4">
      <w:pPr>
        <w:autoSpaceDE/>
        <w:autoSpaceDN/>
        <w:adjustRightInd/>
        <w:spacing w:after="200" w:line="276" w:lineRule="auto"/>
        <w:jc w:val="left"/>
      </w:pPr>
    </w:p>
    <w:p w14:paraId="748306F6" w14:textId="77777777" w:rsidR="00B801F4" w:rsidRPr="00B801F4" w:rsidRDefault="00B801F4" w:rsidP="00B801F4"/>
    <w:p w14:paraId="61AF0653" w14:textId="77777777" w:rsidR="00B801F4" w:rsidRPr="00B801F4" w:rsidRDefault="00B801F4" w:rsidP="00B801F4"/>
    <w:p w14:paraId="12927AD7" w14:textId="1E610F3B" w:rsidR="00B801F4" w:rsidRPr="00B801F4" w:rsidRDefault="00B801F4" w:rsidP="00B801F4">
      <w:r w:rsidRPr="00B801F4">
        <w:t xml:space="preserve">County Councillor </w:t>
      </w:r>
      <w:r w:rsidR="008F01EE">
        <w:t>K Ellard</w:t>
      </w:r>
      <w:r w:rsidR="008F01EE">
        <w:tab/>
      </w:r>
      <w:r w:rsidRPr="00B801F4">
        <w:tab/>
      </w:r>
      <w:r w:rsidRPr="00B801F4">
        <w:tab/>
      </w:r>
      <w:r w:rsidRPr="00B801F4">
        <w:tab/>
        <w:t>George Graham</w:t>
      </w:r>
    </w:p>
    <w:p w14:paraId="187F5809" w14:textId="67677EA6" w:rsidR="00B801F4" w:rsidRPr="00B801F4" w:rsidRDefault="00B801F4" w:rsidP="00B801F4">
      <w:r w:rsidRPr="00B801F4">
        <w:t>Chair of the Pension Fund Committee</w:t>
      </w:r>
      <w:r w:rsidRPr="00B801F4">
        <w:tab/>
      </w:r>
      <w:r w:rsidRPr="00B801F4">
        <w:tab/>
        <w:t>Director</w:t>
      </w:r>
    </w:p>
    <w:p w14:paraId="68610126" w14:textId="2F9058D3" w:rsidR="00B801F4" w:rsidRPr="00B801F4" w:rsidRDefault="008F01EE" w:rsidP="00B801F4">
      <w:r>
        <w:tab/>
      </w:r>
      <w:r>
        <w:tab/>
      </w:r>
      <w:r>
        <w:tab/>
      </w:r>
      <w:r w:rsidR="00B801F4" w:rsidRPr="00B801F4">
        <w:tab/>
      </w:r>
      <w:r w:rsidR="00B801F4" w:rsidRPr="00B801F4">
        <w:tab/>
      </w:r>
      <w:r w:rsidR="00B801F4" w:rsidRPr="00B801F4">
        <w:tab/>
      </w:r>
      <w:r w:rsidR="00B801F4" w:rsidRPr="00B801F4">
        <w:tab/>
        <w:t>Lancashire County Pension Fund</w:t>
      </w:r>
    </w:p>
    <w:p w14:paraId="6C75EB44" w14:textId="77777777" w:rsidR="00B801F4" w:rsidRPr="00B801F4" w:rsidRDefault="00B801F4" w:rsidP="00B801F4"/>
    <w:p w14:paraId="02CF6F17" w14:textId="77777777" w:rsidR="00B801F4" w:rsidRPr="00B801F4" w:rsidRDefault="00B801F4" w:rsidP="00B801F4"/>
    <w:p w14:paraId="6AE581AC" w14:textId="77777777" w:rsidR="00B801F4" w:rsidRPr="00B801F4" w:rsidRDefault="00B801F4" w:rsidP="00B801F4">
      <w:pPr>
        <w:autoSpaceDE/>
        <w:autoSpaceDN/>
        <w:adjustRightInd/>
        <w:spacing w:after="0"/>
        <w:jc w:val="left"/>
        <w:rPr>
          <w:b/>
        </w:rPr>
      </w:pPr>
      <w:r w:rsidRPr="00B801F4">
        <w:rPr>
          <w:b/>
        </w:rPr>
        <w:br w:type="page"/>
      </w:r>
    </w:p>
    <w:p w14:paraId="25108319" w14:textId="77777777" w:rsidR="00695740" w:rsidRDefault="00B801F4" w:rsidP="00B801F4">
      <w:pPr>
        <w:keepNext/>
        <w:spacing w:before="120"/>
        <w:outlineLvl w:val="0"/>
        <w:rPr>
          <w:rFonts w:eastAsia="Times New Roman"/>
          <w:b/>
          <w:bCs/>
          <w:color w:val="auto"/>
          <w:sz w:val="32"/>
          <w:szCs w:val="32"/>
          <w:lang w:eastAsia="en-GB"/>
        </w:rPr>
      </w:pPr>
      <w:r w:rsidRPr="008D0533">
        <w:rPr>
          <w:rFonts w:eastAsia="Times New Roman"/>
          <w:b/>
          <w:bCs/>
          <w:color w:val="auto"/>
          <w:sz w:val="32"/>
          <w:szCs w:val="32"/>
          <w:lang w:eastAsia="en-GB"/>
        </w:rPr>
        <w:t>Independent auditor’s statement to the members of Lancashire County Council</w:t>
      </w:r>
      <w:r w:rsidR="00695740" w:rsidRPr="008D0533">
        <w:rPr>
          <w:rFonts w:eastAsia="Times New Roman"/>
          <w:b/>
          <w:bCs/>
          <w:color w:val="auto"/>
          <w:sz w:val="32"/>
          <w:szCs w:val="32"/>
          <w:lang w:eastAsia="en-GB"/>
        </w:rPr>
        <w:t>.</w:t>
      </w:r>
      <w:r w:rsidRPr="008D0533">
        <w:rPr>
          <w:rFonts w:eastAsia="Times New Roman"/>
          <w:b/>
          <w:bCs/>
          <w:color w:val="auto"/>
          <w:sz w:val="32"/>
          <w:szCs w:val="32"/>
          <w:lang w:eastAsia="en-GB"/>
        </w:rPr>
        <w:t xml:space="preserve"> </w:t>
      </w:r>
    </w:p>
    <w:p w14:paraId="3322AD68" w14:textId="6B8F7503" w:rsidR="00695740" w:rsidRPr="008D0533" w:rsidRDefault="00695740" w:rsidP="00695740">
      <w:pPr>
        <w:spacing w:after="0"/>
        <w:jc w:val="left"/>
        <w:rPr>
          <w:rFonts w:eastAsia="Cambria" w:cs="Arial"/>
          <w:color w:val="FFFFFF" w:themeColor="background1"/>
          <w:lang w:eastAsia="en-GB"/>
        </w:rPr>
      </w:pPr>
      <w:r w:rsidRPr="008D0533">
        <w:rPr>
          <w:rFonts w:eastAsia="Cambria" w:cs="Arial"/>
          <w:color w:val="FFFFFF" w:themeColor="background1"/>
          <w:lang w:eastAsia="en-GB"/>
        </w:rPr>
        <w:t>We have audited the pension fund financial statements of Lancashire County Council for the year ended 31 March 2015 under the Audit Commission Act 1998. The pension fund financial statements comprise the Fund Account, the Net Assets Statement and the related notes. The financial reporting framework that has been applied in their preparation is applicable law and the CIPFA/LASAAC Code of Practice on Local Authority Accounting in the United Kingdom 2014/15.</w:t>
      </w:r>
    </w:p>
    <w:p w14:paraId="7988E321" w14:textId="77777777" w:rsidR="00695740" w:rsidRPr="008D0533" w:rsidRDefault="00695740" w:rsidP="00695740">
      <w:pPr>
        <w:spacing w:after="0"/>
        <w:jc w:val="left"/>
        <w:rPr>
          <w:rFonts w:eastAsia="Cambria" w:cs="Arial"/>
          <w:color w:val="FFFFFF" w:themeColor="background1"/>
          <w:lang w:eastAsia="en-GB"/>
        </w:rPr>
      </w:pPr>
    </w:p>
    <w:p w14:paraId="46100EAD" w14:textId="77777777" w:rsidR="00695740" w:rsidRPr="008D0533" w:rsidRDefault="00695740" w:rsidP="008D0533">
      <w:pPr>
        <w:spacing w:after="0"/>
        <w:jc w:val="left"/>
        <w:rPr>
          <w:rFonts w:eastAsia="Cambria" w:cs="Arial"/>
          <w:color w:val="FFFFFF" w:themeColor="background1"/>
          <w:lang w:eastAsia="en-GB"/>
        </w:rPr>
      </w:pPr>
      <w:r w:rsidRPr="008D0533">
        <w:rPr>
          <w:rFonts w:eastAsia="Cambria" w:cs="Arial"/>
          <w:color w:val="FFFFFF" w:themeColor="background1"/>
          <w:lang w:eastAsia="en-GB"/>
        </w:rPr>
        <w:t>This report is made solely to the members of Lancashire County Council, as a body, in accordance with Part II of the Audit Commission Act 1998 and as set out in paragraph 48 of the Statement of Responsibilities of Auditors and Audited Bodies published by the Audit Commission in March 2010. Our audit work has been undertaken so that we might state to the members those matters we are required to state to them in an auditor's report and for no other purpose. To the fullest extent permitted by law, we do not accept or assume responsibility to anyone other than the Authority and the Authority's members as a body, for our audit work, for this report, or for the opinions we have formed.</w:t>
      </w:r>
    </w:p>
    <w:p w14:paraId="08B49C10" w14:textId="77777777" w:rsidR="00695740" w:rsidRPr="008D0533" w:rsidRDefault="00695740" w:rsidP="008D0533">
      <w:pPr>
        <w:spacing w:after="0"/>
        <w:jc w:val="left"/>
        <w:rPr>
          <w:rFonts w:eastAsia="Cambria" w:cs="Arial"/>
          <w:color w:val="FFFFFF" w:themeColor="background1"/>
          <w:lang w:eastAsia="en-GB"/>
        </w:rPr>
      </w:pPr>
    </w:p>
    <w:p w14:paraId="3AD6318C" w14:textId="77777777" w:rsidR="00695740" w:rsidRPr="008D0533" w:rsidRDefault="00695740" w:rsidP="00695740">
      <w:pPr>
        <w:spacing w:after="0"/>
        <w:jc w:val="left"/>
        <w:rPr>
          <w:rFonts w:eastAsia="Cambria" w:cs="Arial"/>
          <w:b/>
          <w:color w:val="FFFFFF" w:themeColor="background1"/>
          <w:lang w:eastAsia="en-GB"/>
        </w:rPr>
      </w:pPr>
      <w:r w:rsidRPr="008D0533">
        <w:rPr>
          <w:rFonts w:eastAsia="Cambria" w:cs="Arial"/>
          <w:b/>
          <w:color w:val="FFFFFF" w:themeColor="background1"/>
          <w:lang w:eastAsia="en-GB"/>
        </w:rPr>
        <w:t>Respective responsibilities of the Interim Director of Financial Resources and auditor</w:t>
      </w:r>
    </w:p>
    <w:p w14:paraId="52F89E4C" w14:textId="77777777" w:rsidR="00695740" w:rsidRPr="008D0533" w:rsidRDefault="00695740" w:rsidP="00695740">
      <w:pPr>
        <w:spacing w:after="0"/>
        <w:jc w:val="left"/>
        <w:rPr>
          <w:rFonts w:eastAsia="Cambria" w:cs="Arial"/>
          <w:b/>
          <w:color w:val="FFFFFF" w:themeColor="background1"/>
          <w:lang w:eastAsia="en-GB"/>
        </w:rPr>
      </w:pPr>
    </w:p>
    <w:p w14:paraId="126AE83B" w14:textId="77777777" w:rsidR="00695740" w:rsidRPr="008D0533" w:rsidRDefault="00695740" w:rsidP="008D0533">
      <w:pPr>
        <w:spacing w:after="0"/>
        <w:jc w:val="left"/>
        <w:rPr>
          <w:rFonts w:eastAsia="Cambria" w:cs="Arial"/>
          <w:color w:val="FFFFFF" w:themeColor="background1"/>
          <w:lang w:eastAsia="en-GB"/>
        </w:rPr>
      </w:pPr>
      <w:r w:rsidRPr="008D0533">
        <w:rPr>
          <w:rFonts w:eastAsia="Cambria" w:cs="Arial"/>
          <w:color w:val="FFFFFF" w:themeColor="background1"/>
          <w:lang w:eastAsia="en-GB"/>
        </w:rPr>
        <w:t>As explained more fully in the Statement of responsibilities for the statement of accounts the Interim Director of Financial Resources is responsible for the preparation of the Authority’s Statement of Accounts, which include the pension fund financial statements, in accordance with proper practices as set out in the CIPFA/LASAAC Code of Practice on Local Authority Accounting in the United Kingdom 2014/15, and for being satisfied that they give a true and fair view. Our responsibility is to audit and express an opinion on the pension fund financial statements in accordance with applicable law and International Standards on Auditing (UK and Ireland). Those standards also require us to comply with the Auditing Practices Board’s Ethical Standards for Auditors.</w:t>
      </w:r>
    </w:p>
    <w:p w14:paraId="1E7514CE" w14:textId="77777777" w:rsidR="00695740" w:rsidRPr="008D0533" w:rsidRDefault="00695740" w:rsidP="008D0533">
      <w:pPr>
        <w:spacing w:after="0"/>
        <w:jc w:val="left"/>
        <w:rPr>
          <w:rFonts w:eastAsia="Cambria" w:cs="Arial"/>
          <w:color w:val="FFFFFF" w:themeColor="background1"/>
          <w:lang w:eastAsia="en-GB"/>
        </w:rPr>
      </w:pPr>
    </w:p>
    <w:p w14:paraId="51C83333" w14:textId="77777777" w:rsidR="00695740" w:rsidRPr="008D0533" w:rsidRDefault="00695740" w:rsidP="00695740">
      <w:pPr>
        <w:spacing w:after="0"/>
        <w:jc w:val="left"/>
        <w:rPr>
          <w:rFonts w:eastAsia="Cambria" w:cs="Arial"/>
          <w:b/>
          <w:color w:val="FFFFFF" w:themeColor="background1"/>
          <w:lang w:eastAsia="en-GB"/>
        </w:rPr>
      </w:pPr>
      <w:r w:rsidRPr="008D0533">
        <w:rPr>
          <w:rFonts w:eastAsia="Cambria" w:cs="Arial"/>
          <w:b/>
          <w:color w:val="FFFFFF" w:themeColor="background1"/>
          <w:lang w:eastAsia="en-GB"/>
        </w:rPr>
        <w:t>Scope of the audit of the pension fund financial statements</w:t>
      </w:r>
    </w:p>
    <w:p w14:paraId="102E844F" w14:textId="77777777" w:rsidR="00695740" w:rsidRPr="008D0533" w:rsidRDefault="00695740" w:rsidP="00695740">
      <w:pPr>
        <w:spacing w:after="0"/>
        <w:jc w:val="left"/>
        <w:rPr>
          <w:rFonts w:eastAsia="Cambria" w:cs="Arial"/>
          <w:b/>
          <w:color w:val="FFFFFF" w:themeColor="background1"/>
          <w:lang w:eastAsia="en-GB"/>
        </w:rPr>
      </w:pPr>
    </w:p>
    <w:p w14:paraId="61275498" w14:textId="77777777" w:rsidR="00695740" w:rsidRPr="008D0533" w:rsidRDefault="00695740" w:rsidP="008D0533">
      <w:pPr>
        <w:spacing w:after="0"/>
        <w:jc w:val="left"/>
        <w:rPr>
          <w:rFonts w:eastAsia="Cambria" w:cs="Arial"/>
          <w:color w:val="FFFFFF" w:themeColor="background1"/>
          <w:lang w:eastAsia="en-GB"/>
        </w:rPr>
      </w:pPr>
      <w:r w:rsidRPr="008D0533">
        <w:rPr>
          <w:rFonts w:eastAsia="Cambria" w:cs="Arial"/>
          <w:color w:val="FFFFFF" w:themeColor="background1"/>
          <w:lang w:eastAsia="en-GB"/>
        </w:rPr>
        <w:t>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pension fund’s circumstances and have been consistently applied and adequately disclosed; the reasonableness of significant accounting estimates made by the Interim Director of Financial Resources; and the overall presentation of the pension fund financial statements.</w:t>
      </w:r>
    </w:p>
    <w:p w14:paraId="3E21D53F" w14:textId="77777777" w:rsidR="00695740" w:rsidRPr="008D0533" w:rsidRDefault="00695740" w:rsidP="008D0533">
      <w:pPr>
        <w:spacing w:after="0"/>
        <w:jc w:val="left"/>
        <w:rPr>
          <w:rFonts w:eastAsia="Cambria" w:cs="Arial"/>
          <w:color w:val="FFFFFF" w:themeColor="background1"/>
          <w:lang w:eastAsia="en-GB"/>
        </w:rPr>
      </w:pPr>
    </w:p>
    <w:p w14:paraId="5B879D77" w14:textId="77777777" w:rsidR="00695740" w:rsidRPr="008D0533" w:rsidRDefault="00695740" w:rsidP="008D0533">
      <w:pPr>
        <w:spacing w:after="0"/>
        <w:jc w:val="left"/>
        <w:rPr>
          <w:rFonts w:eastAsia="Cambria" w:cs="Arial"/>
          <w:color w:val="FFFFFF" w:themeColor="background1"/>
          <w:lang w:eastAsia="en-GB"/>
        </w:rPr>
      </w:pPr>
      <w:r w:rsidRPr="008D0533">
        <w:rPr>
          <w:rFonts w:eastAsia="Cambria" w:cs="Arial"/>
          <w:color w:val="FFFFFF" w:themeColor="background1"/>
          <w:lang w:eastAsia="en-GB"/>
        </w:rPr>
        <w:t>In addition, we read all the financial and non-financial information in the Introduction to identify material inconsistencies with the audited pension fund financial statements and to identify any information that is apparently materially incorrect based on, or materially inconsistent with, the knowledge acquired by us in the course of performing the audit. If we become aware of any apparent material misstatements or inconsistencies we consider the implications for our report.</w:t>
      </w:r>
    </w:p>
    <w:p w14:paraId="21CEE502" w14:textId="77777777" w:rsidR="00695740" w:rsidRPr="008D0533" w:rsidRDefault="00695740" w:rsidP="008D0533">
      <w:pPr>
        <w:spacing w:after="0"/>
        <w:jc w:val="left"/>
        <w:rPr>
          <w:rFonts w:eastAsia="Cambria" w:cs="Arial"/>
          <w:color w:val="FFFFFF" w:themeColor="background1"/>
          <w:lang w:eastAsia="en-GB"/>
        </w:rPr>
      </w:pPr>
    </w:p>
    <w:p w14:paraId="01AC85CC" w14:textId="22EEDFC5" w:rsidR="00B801F4" w:rsidRPr="008D0533" w:rsidRDefault="00B801F4" w:rsidP="008D0533">
      <w:pPr>
        <w:spacing w:after="0"/>
        <w:jc w:val="left"/>
        <w:rPr>
          <w:rFonts w:eastAsia="Cambria" w:cs="Arial"/>
          <w:color w:val="FFFFFF" w:themeColor="background1"/>
          <w:lang w:eastAsia="en-GB"/>
        </w:rPr>
      </w:pPr>
    </w:p>
    <w:p w14:paraId="2F9E0766" w14:textId="77777777" w:rsidR="00695740" w:rsidRPr="008D0533" w:rsidRDefault="00695740" w:rsidP="00695740">
      <w:pPr>
        <w:spacing w:after="0"/>
        <w:jc w:val="left"/>
        <w:rPr>
          <w:rFonts w:eastAsia="Cambria" w:cs="Arial"/>
          <w:b/>
          <w:color w:val="FFFFFF" w:themeColor="background1"/>
          <w:lang w:eastAsia="en-GB"/>
        </w:rPr>
      </w:pPr>
      <w:r w:rsidRPr="008D0533">
        <w:rPr>
          <w:rFonts w:eastAsia="Cambria" w:cs="Arial"/>
          <w:b/>
          <w:color w:val="FFFFFF" w:themeColor="background1"/>
          <w:lang w:eastAsia="en-GB"/>
        </w:rPr>
        <w:t>Opinion on the pension fund financial statements</w:t>
      </w:r>
    </w:p>
    <w:p w14:paraId="06C10852" w14:textId="77777777" w:rsidR="00792C96" w:rsidRPr="008D0533" w:rsidRDefault="00792C96" w:rsidP="00695740">
      <w:pPr>
        <w:spacing w:after="0"/>
        <w:jc w:val="left"/>
        <w:rPr>
          <w:rFonts w:eastAsia="Cambria" w:cs="Arial"/>
          <w:b/>
          <w:color w:val="FFFFFF" w:themeColor="background1"/>
          <w:lang w:eastAsia="en-GB"/>
        </w:rPr>
      </w:pPr>
    </w:p>
    <w:p w14:paraId="3F2D0390" w14:textId="77777777" w:rsidR="00792C96" w:rsidRPr="008D0533" w:rsidRDefault="00695740" w:rsidP="008D0533">
      <w:pPr>
        <w:spacing w:after="0"/>
        <w:jc w:val="left"/>
        <w:rPr>
          <w:rFonts w:eastAsia="Cambria" w:cs="Arial"/>
          <w:color w:val="FFFFFF" w:themeColor="background1"/>
          <w:lang w:eastAsia="en-GB"/>
        </w:rPr>
      </w:pPr>
      <w:r w:rsidRPr="008D0533">
        <w:rPr>
          <w:rFonts w:eastAsia="Cambria" w:cs="Arial"/>
          <w:color w:val="FFFFFF" w:themeColor="background1"/>
          <w:lang w:eastAsia="en-GB"/>
        </w:rPr>
        <w:t>In our opinion the pension fund’s financial statements:</w:t>
      </w:r>
      <w:r w:rsidR="00792C96" w:rsidRPr="008D0533">
        <w:rPr>
          <w:rFonts w:eastAsia="Cambria" w:cs="Arial"/>
          <w:color w:val="FFFFFF" w:themeColor="background1"/>
          <w:lang w:eastAsia="en-GB"/>
        </w:rPr>
        <w:t xml:space="preserve"> </w:t>
      </w:r>
      <w:r w:rsidRPr="008D0533">
        <w:rPr>
          <w:rFonts w:eastAsia="Cambria" w:cs="Arial"/>
          <w:color w:val="FFFFFF" w:themeColor="background1"/>
          <w:lang w:eastAsia="en-GB"/>
        </w:rPr>
        <w:t>give a true and fair view of the financial transactions of the pension fund during the year ended 31 March</w:t>
      </w:r>
      <w:r w:rsidR="00792C96" w:rsidRPr="008D0533">
        <w:rPr>
          <w:rFonts w:eastAsia="Cambria" w:cs="Arial"/>
          <w:color w:val="FFFFFF" w:themeColor="background1"/>
          <w:lang w:eastAsia="en-GB"/>
        </w:rPr>
        <w:t xml:space="preserve"> </w:t>
      </w:r>
      <w:r w:rsidRPr="008D0533">
        <w:rPr>
          <w:rFonts w:eastAsia="Cambria" w:cs="Arial"/>
          <w:color w:val="FFFFFF" w:themeColor="background1"/>
          <w:lang w:eastAsia="en-GB"/>
        </w:rPr>
        <w:t>2015 and of the amount and disposition of the fund’s assets and liabilities as at 31 March 2015; and</w:t>
      </w:r>
      <w:r w:rsidR="00792C96" w:rsidRPr="008D0533">
        <w:rPr>
          <w:rFonts w:eastAsia="Cambria" w:cs="Arial"/>
          <w:color w:val="FFFFFF" w:themeColor="background1"/>
          <w:lang w:eastAsia="en-GB"/>
        </w:rPr>
        <w:t xml:space="preserve"> </w:t>
      </w:r>
      <w:r w:rsidRPr="008D0533">
        <w:rPr>
          <w:rFonts w:eastAsia="Cambria" w:cs="Arial"/>
          <w:color w:val="FFFFFF" w:themeColor="background1"/>
          <w:lang w:eastAsia="en-GB"/>
        </w:rPr>
        <w:t>have been properly prepared in accordance with the CIPFA/LASAAC Code of Practice on Local Authority</w:t>
      </w:r>
      <w:r w:rsidR="00792C96" w:rsidRPr="008D0533">
        <w:rPr>
          <w:rFonts w:eastAsia="Cambria" w:cs="Arial"/>
          <w:color w:val="FFFFFF" w:themeColor="background1"/>
          <w:lang w:eastAsia="en-GB"/>
        </w:rPr>
        <w:t xml:space="preserve"> </w:t>
      </w:r>
      <w:r w:rsidRPr="008D0533">
        <w:rPr>
          <w:rFonts w:eastAsia="Cambria" w:cs="Arial"/>
          <w:color w:val="FFFFFF" w:themeColor="background1"/>
          <w:lang w:eastAsia="en-GB"/>
        </w:rPr>
        <w:t>Accounting in the United Kingdom 2014/15 and applicable law.</w:t>
      </w:r>
    </w:p>
    <w:p w14:paraId="0DDCE39D" w14:textId="77777777" w:rsidR="00792C96" w:rsidRPr="008D0533" w:rsidRDefault="00792C96" w:rsidP="00792C96">
      <w:pPr>
        <w:spacing w:after="0"/>
        <w:jc w:val="left"/>
        <w:rPr>
          <w:rFonts w:eastAsia="Cambria" w:cs="Arial"/>
          <w:b/>
          <w:color w:val="FFFFFF" w:themeColor="background1"/>
          <w:lang w:eastAsia="en-GB"/>
        </w:rPr>
      </w:pPr>
      <w:r w:rsidRPr="008D0533">
        <w:rPr>
          <w:rFonts w:eastAsia="Cambria" w:cs="Arial"/>
          <w:b/>
          <w:color w:val="FFFFFF" w:themeColor="background1"/>
          <w:lang w:eastAsia="en-GB"/>
        </w:rPr>
        <w:t>Opinion on other matters</w:t>
      </w:r>
    </w:p>
    <w:p w14:paraId="273E92C3" w14:textId="77777777" w:rsidR="00792C96" w:rsidRPr="008D0533" w:rsidRDefault="00792C96" w:rsidP="00792C96">
      <w:pPr>
        <w:spacing w:after="0"/>
        <w:jc w:val="left"/>
        <w:rPr>
          <w:rFonts w:eastAsia="Cambria" w:cs="Arial"/>
          <w:b/>
          <w:color w:val="FFFFFF" w:themeColor="background1"/>
          <w:lang w:eastAsia="en-GB"/>
        </w:rPr>
      </w:pPr>
    </w:p>
    <w:p w14:paraId="2DCD7F07" w14:textId="23DE80BC" w:rsidR="00792C96" w:rsidRPr="008D0533" w:rsidRDefault="00792C96" w:rsidP="00792C96">
      <w:pPr>
        <w:spacing w:after="0"/>
        <w:jc w:val="left"/>
        <w:rPr>
          <w:rFonts w:eastAsia="Cambria" w:cs="Arial"/>
          <w:color w:val="FFFFFF" w:themeColor="background1"/>
          <w:lang w:eastAsia="en-GB"/>
        </w:rPr>
      </w:pPr>
      <w:r w:rsidRPr="008D0533">
        <w:rPr>
          <w:rFonts w:eastAsia="Cambria" w:cs="Arial"/>
          <w:color w:val="FFFFFF" w:themeColor="background1"/>
          <w:lang w:eastAsia="en-GB"/>
        </w:rPr>
        <w:t>In our opinion, the information given in the Introduction for the financial year for which the pension fund financial statements are prepared is consistent with the pension fund financial statements.</w:t>
      </w:r>
    </w:p>
    <w:p w14:paraId="29FD7BF3" w14:textId="77777777" w:rsidR="00792C96" w:rsidRPr="008D0533" w:rsidRDefault="00792C96" w:rsidP="00792C96">
      <w:pPr>
        <w:spacing w:after="0"/>
        <w:jc w:val="left"/>
        <w:rPr>
          <w:rFonts w:eastAsia="Cambria" w:cs="Arial"/>
          <w:color w:val="FFFFFF" w:themeColor="background1"/>
          <w:lang w:eastAsia="en-GB"/>
        </w:rPr>
      </w:pPr>
    </w:p>
    <w:p w14:paraId="7C88CFF9" w14:textId="77777777" w:rsidR="00792C96" w:rsidRPr="008D0533" w:rsidRDefault="00792C96" w:rsidP="00792C96">
      <w:pPr>
        <w:spacing w:after="0"/>
        <w:jc w:val="left"/>
        <w:rPr>
          <w:rFonts w:eastAsia="Cambria" w:cs="Arial"/>
          <w:color w:val="FFFFFF" w:themeColor="background1"/>
          <w:lang w:eastAsia="en-GB"/>
        </w:rPr>
      </w:pPr>
    </w:p>
    <w:p w14:paraId="279F743A" w14:textId="77777777" w:rsidR="00792C96" w:rsidRPr="008D0533" w:rsidRDefault="00792C96" w:rsidP="00792C96">
      <w:pPr>
        <w:spacing w:after="0"/>
        <w:jc w:val="left"/>
        <w:rPr>
          <w:rFonts w:eastAsia="Cambria" w:cs="Arial"/>
          <w:color w:val="FFFFFF" w:themeColor="background1"/>
          <w:lang w:eastAsia="en-GB"/>
        </w:rPr>
      </w:pPr>
    </w:p>
    <w:p w14:paraId="2B3A96C9" w14:textId="77777777" w:rsidR="00792C96" w:rsidRPr="008D0533" w:rsidRDefault="00792C96" w:rsidP="00792C96">
      <w:pPr>
        <w:spacing w:after="0"/>
        <w:jc w:val="left"/>
        <w:rPr>
          <w:rFonts w:eastAsia="Cambria" w:cs="Arial"/>
          <w:color w:val="FFFFFF" w:themeColor="background1"/>
          <w:lang w:eastAsia="en-GB"/>
        </w:rPr>
      </w:pPr>
    </w:p>
    <w:p w14:paraId="01B75BF7" w14:textId="77777777" w:rsidR="00792C96" w:rsidRPr="008D0533" w:rsidRDefault="00792C96" w:rsidP="00792C96">
      <w:pPr>
        <w:spacing w:after="0"/>
        <w:jc w:val="left"/>
        <w:rPr>
          <w:rFonts w:eastAsia="Cambria" w:cs="Arial"/>
          <w:color w:val="FFFFFF" w:themeColor="background1"/>
          <w:lang w:eastAsia="en-GB"/>
        </w:rPr>
      </w:pPr>
    </w:p>
    <w:p w14:paraId="724FB605" w14:textId="77777777" w:rsidR="00792C96" w:rsidRPr="008D0533" w:rsidRDefault="00792C96" w:rsidP="00792C96">
      <w:pPr>
        <w:spacing w:after="0"/>
        <w:jc w:val="left"/>
        <w:rPr>
          <w:rFonts w:eastAsia="Cambria" w:cs="Arial"/>
          <w:color w:val="FFFFFF" w:themeColor="background1"/>
          <w:lang w:eastAsia="en-GB"/>
        </w:rPr>
      </w:pPr>
    </w:p>
    <w:p w14:paraId="3C9819CA" w14:textId="77777777" w:rsidR="00792C96" w:rsidRPr="008D0533" w:rsidRDefault="00792C96" w:rsidP="00792C96">
      <w:pPr>
        <w:spacing w:after="0"/>
        <w:jc w:val="left"/>
        <w:rPr>
          <w:rFonts w:eastAsia="Cambria" w:cs="Arial"/>
          <w:color w:val="FFFFFF" w:themeColor="background1"/>
          <w:lang w:eastAsia="en-GB"/>
        </w:rPr>
      </w:pPr>
    </w:p>
    <w:p w14:paraId="7706CCDC" w14:textId="77777777" w:rsidR="00792C96" w:rsidRPr="008D0533" w:rsidRDefault="00792C96" w:rsidP="00792C96">
      <w:pPr>
        <w:spacing w:after="0"/>
        <w:jc w:val="left"/>
        <w:rPr>
          <w:rFonts w:eastAsia="Cambria" w:cs="Arial"/>
          <w:color w:val="FFFFFF" w:themeColor="background1"/>
          <w:lang w:eastAsia="en-GB"/>
        </w:rPr>
      </w:pPr>
    </w:p>
    <w:p w14:paraId="5AEE0C2E" w14:textId="77777777" w:rsidR="00792C96" w:rsidRPr="008D0533" w:rsidRDefault="00792C96" w:rsidP="00792C96">
      <w:pPr>
        <w:spacing w:after="0"/>
        <w:jc w:val="left"/>
        <w:rPr>
          <w:rFonts w:eastAsia="Cambria" w:cs="Arial"/>
          <w:color w:val="FFFFFF" w:themeColor="background1"/>
          <w:lang w:eastAsia="en-GB"/>
        </w:rPr>
      </w:pPr>
    </w:p>
    <w:p w14:paraId="79562F14" w14:textId="77777777" w:rsidR="00792C96" w:rsidRPr="008D0533" w:rsidRDefault="00792C96" w:rsidP="00792C96">
      <w:pPr>
        <w:spacing w:after="0"/>
        <w:jc w:val="left"/>
        <w:rPr>
          <w:rFonts w:eastAsia="Cambria" w:cs="Arial"/>
          <w:color w:val="FFFFFF" w:themeColor="background1"/>
          <w:lang w:eastAsia="en-GB"/>
        </w:rPr>
      </w:pPr>
    </w:p>
    <w:p w14:paraId="3F8EF1B4" w14:textId="77777777" w:rsidR="00792C96" w:rsidRPr="008D0533" w:rsidRDefault="00792C96" w:rsidP="00792C96">
      <w:pPr>
        <w:spacing w:after="0"/>
        <w:jc w:val="left"/>
        <w:rPr>
          <w:rFonts w:eastAsia="Cambria" w:cs="Arial"/>
          <w:color w:val="FFFFFF" w:themeColor="background1"/>
          <w:lang w:eastAsia="en-GB"/>
        </w:rPr>
      </w:pPr>
      <w:r w:rsidRPr="008D0533">
        <w:rPr>
          <w:rFonts w:eastAsia="Cambria" w:cs="Arial"/>
          <w:color w:val="FFFFFF" w:themeColor="background1"/>
          <w:lang w:eastAsia="en-GB"/>
        </w:rPr>
        <w:t>Karen Murray</w:t>
      </w:r>
    </w:p>
    <w:p w14:paraId="69DB6F23" w14:textId="77777777" w:rsidR="00792C96" w:rsidRPr="008D0533" w:rsidRDefault="00792C96" w:rsidP="00792C96">
      <w:pPr>
        <w:spacing w:after="0"/>
        <w:jc w:val="left"/>
        <w:rPr>
          <w:rFonts w:eastAsia="Cambria" w:cs="Arial"/>
          <w:color w:val="FFFFFF" w:themeColor="background1"/>
          <w:lang w:eastAsia="en-GB"/>
        </w:rPr>
      </w:pPr>
      <w:r w:rsidRPr="008D0533">
        <w:rPr>
          <w:rFonts w:eastAsia="Cambria" w:cs="Arial"/>
          <w:color w:val="FFFFFF" w:themeColor="background1"/>
          <w:lang w:eastAsia="en-GB"/>
        </w:rPr>
        <w:t>for and on behalf of Grant Thornton UK LLP, Appointed Auditor</w:t>
      </w:r>
    </w:p>
    <w:p w14:paraId="7A590175" w14:textId="77777777" w:rsidR="00792C96" w:rsidRPr="008D0533" w:rsidRDefault="00792C96" w:rsidP="00792C96">
      <w:pPr>
        <w:spacing w:after="0"/>
        <w:jc w:val="left"/>
        <w:rPr>
          <w:rFonts w:eastAsia="Cambria" w:cs="Arial"/>
          <w:color w:val="FFFFFF" w:themeColor="background1"/>
          <w:lang w:eastAsia="en-GB"/>
        </w:rPr>
      </w:pPr>
    </w:p>
    <w:p w14:paraId="4399D49F" w14:textId="77777777" w:rsidR="00792C96" w:rsidRPr="008D0533" w:rsidRDefault="00792C96" w:rsidP="00792C96">
      <w:pPr>
        <w:spacing w:after="0"/>
        <w:jc w:val="left"/>
        <w:rPr>
          <w:rFonts w:eastAsia="Cambria" w:cs="Arial"/>
          <w:color w:val="FFFFFF" w:themeColor="background1"/>
          <w:lang w:eastAsia="en-GB"/>
        </w:rPr>
      </w:pPr>
    </w:p>
    <w:p w14:paraId="7F7EBFFC" w14:textId="77777777" w:rsidR="00792C96" w:rsidRPr="008D0533" w:rsidRDefault="00792C96" w:rsidP="00792C96">
      <w:pPr>
        <w:spacing w:after="0"/>
        <w:jc w:val="left"/>
        <w:rPr>
          <w:rFonts w:eastAsia="Cambria" w:cs="Arial"/>
          <w:color w:val="FFFFFF" w:themeColor="background1"/>
          <w:lang w:eastAsia="en-GB"/>
        </w:rPr>
      </w:pPr>
    </w:p>
    <w:p w14:paraId="22438F5F" w14:textId="77777777" w:rsidR="00792C96" w:rsidRPr="008D0533" w:rsidRDefault="00792C96" w:rsidP="00792C96">
      <w:pPr>
        <w:spacing w:after="0"/>
        <w:jc w:val="left"/>
        <w:rPr>
          <w:rFonts w:eastAsia="Cambria" w:cs="Arial"/>
          <w:color w:val="FFFFFF" w:themeColor="background1"/>
          <w:lang w:eastAsia="en-GB"/>
        </w:rPr>
      </w:pPr>
      <w:r w:rsidRPr="008D0533">
        <w:rPr>
          <w:rFonts w:eastAsia="Cambria" w:cs="Arial"/>
          <w:color w:val="FFFFFF" w:themeColor="background1"/>
          <w:lang w:eastAsia="en-GB"/>
        </w:rPr>
        <w:t>Grant Thornton UK LLP</w:t>
      </w:r>
    </w:p>
    <w:p w14:paraId="14DFFA71" w14:textId="77777777" w:rsidR="00792C96" w:rsidRPr="008D0533" w:rsidRDefault="00792C96" w:rsidP="00792C96">
      <w:pPr>
        <w:spacing w:after="0"/>
        <w:jc w:val="left"/>
        <w:rPr>
          <w:rFonts w:eastAsia="Cambria" w:cs="Arial"/>
          <w:color w:val="FFFFFF" w:themeColor="background1"/>
          <w:lang w:eastAsia="en-GB"/>
        </w:rPr>
      </w:pPr>
      <w:r w:rsidRPr="008D0533">
        <w:rPr>
          <w:rFonts w:eastAsia="Cambria" w:cs="Arial"/>
          <w:color w:val="FFFFFF" w:themeColor="background1"/>
          <w:lang w:eastAsia="en-GB"/>
        </w:rPr>
        <w:t>Chartered Accountants</w:t>
      </w:r>
    </w:p>
    <w:p w14:paraId="6F978D1A" w14:textId="77777777" w:rsidR="00792C96" w:rsidRPr="008D0533" w:rsidRDefault="00792C96" w:rsidP="00792C96">
      <w:pPr>
        <w:spacing w:after="0"/>
        <w:jc w:val="left"/>
        <w:rPr>
          <w:rFonts w:eastAsia="Cambria" w:cs="Arial"/>
          <w:color w:val="FFFFFF" w:themeColor="background1"/>
          <w:lang w:eastAsia="en-GB"/>
        </w:rPr>
      </w:pPr>
      <w:r w:rsidRPr="008D0533">
        <w:rPr>
          <w:rFonts w:eastAsia="Cambria" w:cs="Arial"/>
          <w:color w:val="FFFFFF" w:themeColor="background1"/>
          <w:lang w:eastAsia="en-GB"/>
        </w:rPr>
        <w:t>4 Hardman Square</w:t>
      </w:r>
    </w:p>
    <w:p w14:paraId="240D064C" w14:textId="77777777" w:rsidR="00792C96" w:rsidRPr="008D0533" w:rsidRDefault="00792C96" w:rsidP="00792C96">
      <w:pPr>
        <w:spacing w:after="0"/>
        <w:jc w:val="left"/>
        <w:rPr>
          <w:rFonts w:eastAsia="Cambria" w:cs="Arial"/>
          <w:color w:val="FFFFFF" w:themeColor="background1"/>
          <w:lang w:eastAsia="en-GB"/>
        </w:rPr>
      </w:pPr>
      <w:r w:rsidRPr="008D0533">
        <w:rPr>
          <w:rFonts w:eastAsia="Cambria" w:cs="Arial"/>
          <w:color w:val="FFFFFF" w:themeColor="background1"/>
          <w:lang w:eastAsia="en-GB"/>
        </w:rPr>
        <w:t>Spinningfields</w:t>
      </w:r>
    </w:p>
    <w:p w14:paraId="22B76229" w14:textId="77777777" w:rsidR="00792C96" w:rsidRPr="008D0533" w:rsidRDefault="00792C96" w:rsidP="00792C96">
      <w:pPr>
        <w:spacing w:after="0"/>
        <w:jc w:val="left"/>
        <w:rPr>
          <w:rFonts w:eastAsia="Cambria" w:cs="Arial"/>
          <w:color w:val="FFFFFF" w:themeColor="background1"/>
          <w:lang w:eastAsia="en-GB"/>
        </w:rPr>
      </w:pPr>
      <w:r w:rsidRPr="008D0533">
        <w:rPr>
          <w:rFonts w:eastAsia="Cambria" w:cs="Arial"/>
          <w:color w:val="FFFFFF" w:themeColor="background1"/>
          <w:lang w:eastAsia="en-GB"/>
        </w:rPr>
        <w:t>MANCHESTER</w:t>
      </w:r>
    </w:p>
    <w:p w14:paraId="703D7C7C" w14:textId="77777777" w:rsidR="00792C96" w:rsidRPr="008D0533" w:rsidRDefault="00792C96" w:rsidP="00792C96">
      <w:pPr>
        <w:spacing w:after="0"/>
        <w:jc w:val="left"/>
        <w:rPr>
          <w:rFonts w:eastAsia="Cambria" w:cs="Arial"/>
          <w:color w:val="FFFFFF" w:themeColor="background1"/>
          <w:lang w:eastAsia="en-GB"/>
        </w:rPr>
      </w:pPr>
      <w:r w:rsidRPr="008D0533">
        <w:rPr>
          <w:rFonts w:eastAsia="Cambria" w:cs="Arial"/>
          <w:color w:val="FFFFFF" w:themeColor="background1"/>
          <w:lang w:eastAsia="en-GB"/>
        </w:rPr>
        <w:t>M3 3EB</w:t>
      </w:r>
    </w:p>
    <w:p w14:paraId="32221BF2" w14:textId="77777777" w:rsidR="00792C96" w:rsidRPr="008D0533" w:rsidRDefault="00792C96" w:rsidP="00792C96">
      <w:pPr>
        <w:spacing w:after="0"/>
        <w:jc w:val="left"/>
        <w:rPr>
          <w:rFonts w:eastAsia="Cambria" w:cs="Arial"/>
          <w:color w:val="FFFFFF" w:themeColor="background1"/>
          <w:lang w:eastAsia="en-GB"/>
        </w:rPr>
      </w:pPr>
    </w:p>
    <w:p w14:paraId="6196EA47" w14:textId="77777777" w:rsidR="00792C96" w:rsidRPr="008D0533" w:rsidRDefault="00792C96" w:rsidP="00792C96">
      <w:pPr>
        <w:spacing w:after="0"/>
        <w:jc w:val="left"/>
        <w:rPr>
          <w:rFonts w:eastAsia="Cambria" w:cs="Arial"/>
          <w:color w:val="FFFFFF" w:themeColor="background1"/>
          <w:lang w:eastAsia="en-GB"/>
        </w:rPr>
      </w:pPr>
    </w:p>
    <w:p w14:paraId="55C256FC" w14:textId="01DD86BB" w:rsidR="00792C96" w:rsidRPr="008D0533" w:rsidRDefault="00792C96" w:rsidP="00792C96">
      <w:pPr>
        <w:spacing w:after="0"/>
        <w:jc w:val="left"/>
        <w:rPr>
          <w:rFonts w:eastAsia="Cambria" w:cs="Arial"/>
          <w:color w:val="FFFFFF" w:themeColor="background1"/>
          <w:lang w:eastAsia="en-GB"/>
        </w:rPr>
      </w:pPr>
      <w:r w:rsidRPr="008D0533">
        <w:rPr>
          <w:rFonts w:eastAsia="Cambria" w:cs="Arial"/>
          <w:color w:val="FFFFFF" w:themeColor="background1"/>
          <w:lang w:eastAsia="en-GB"/>
        </w:rPr>
        <w:t>28 September 2015</w:t>
      </w:r>
    </w:p>
    <w:p w14:paraId="1B8FE401" w14:textId="77777777" w:rsidR="00792C96" w:rsidRDefault="00792C96" w:rsidP="00792C96">
      <w:pPr>
        <w:spacing w:after="0"/>
        <w:jc w:val="left"/>
        <w:rPr>
          <w:rFonts w:eastAsia="Cambria" w:cs="Arial"/>
          <w:color w:val="auto"/>
          <w:lang w:eastAsia="en-GB"/>
        </w:rPr>
      </w:pPr>
    </w:p>
    <w:p w14:paraId="767AABF8" w14:textId="77777777" w:rsidR="00792C96" w:rsidRDefault="00792C96" w:rsidP="008D0533">
      <w:pPr>
        <w:spacing w:after="0"/>
        <w:jc w:val="left"/>
        <w:rPr>
          <w:rFonts w:eastAsia="Cambria" w:cs="Arial"/>
          <w:color w:val="auto"/>
          <w:lang w:eastAsia="en-GB"/>
        </w:rPr>
      </w:pPr>
    </w:p>
    <w:p w14:paraId="5295934A" w14:textId="4BFAFAF7" w:rsidR="00B801F4" w:rsidRPr="00B801F4" w:rsidRDefault="00B801F4" w:rsidP="008D0533">
      <w:pPr>
        <w:spacing w:after="0"/>
        <w:jc w:val="left"/>
      </w:pPr>
      <w:r w:rsidRPr="00B801F4">
        <w:br w:type="page"/>
      </w:r>
    </w:p>
    <w:p w14:paraId="71446A75" w14:textId="77777777" w:rsidR="00B801F4" w:rsidRPr="00B801F4" w:rsidRDefault="00B801F4" w:rsidP="00B801F4">
      <w:pPr>
        <w:jc w:val="center"/>
        <w:rPr>
          <w:rFonts w:cs="Arial"/>
          <w:b/>
          <w:bCs/>
          <w:sz w:val="40"/>
          <w:szCs w:val="40"/>
        </w:rPr>
      </w:pPr>
      <w:r w:rsidRPr="00B801F4">
        <w:rPr>
          <w:rFonts w:cs="Arial"/>
          <w:b/>
          <w:bCs/>
          <w:sz w:val="40"/>
          <w:szCs w:val="40"/>
        </w:rPr>
        <w:t xml:space="preserve"> Lancashire County Pension</w:t>
      </w:r>
      <w:r w:rsidRPr="00B801F4">
        <w:t xml:space="preserve"> </w:t>
      </w:r>
      <w:r w:rsidRPr="00B801F4">
        <w:rPr>
          <w:rFonts w:cs="Arial"/>
          <w:b/>
          <w:bCs/>
          <w:sz w:val="40"/>
          <w:szCs w:val="40"/>
        </w:rPr>
        <w:t xml:space="preserve">Fund </w:t>
      </w:r>
    </w:p>
    <w:p w14:paraId="68B50BE7" w14:textId="77777777" w:rsidR="00B801F4" w:rsidRPr="00B801F4" w:rsidRDefault="00B801F4" w:rsidP="00B801F4">
      <w:pPr>
        <w:jc w:val="center"/>
        <w:rPr>
          <w:rFonts w:cs="Arial"/>
          <w:b/>
          <w:bCs/>
          <w:sz w:val="40"/>
          <w:szCs w:val="40"/>
        </w:rPr>
      </w:pPr>
      <w:r w:rsidRPr="00B801F4">
        <w:rPr>
          <w:rFonts w:cs="Arial"/>
          <w:b/>
          <w:bCs/>
          <w:sz w:val="40"/>
          <w:szCs w:val="40"/>
        </w:rPr>
        <w:t>Fund account</w:t>
      </w:r>
    </w:p>
    <w:p w14:paraId="0496916F" w14:textId="77777777" w:rsidR="00B801F4" w:rsidRPr="00B801F4" w:rsidRDefault="00B801F4" w:rsidP="00B801F4">
      <w:pPr>
        <w:keepNext/>
        <w:spacing w:line="360" w:lineRule="auto"/>
        <w:jc w:val="center"/>
        <w:outlineLvl w:val="4"/>
        <w:rPr>
          <w:b/>
        </w:rPr>
      </w:pPr>
    </w:p>
    <w:tbl>
      <w:tblPr>
        <w:tblStyle w:val="TableGrid1"/>
        <w:tblW w:w="10629" w:type="dxa"/>
        <w:tblBorders>
          <w:insideH w:val="none" w:sz="0" w:space="0" w:color="auto"/>
          <w:insideV w:val="none" w:sz="0" w:space="0" w:color="auto"/>
        </w:tblBorders>
        <w:tblLayout w:type="fixed"/>
        <w:tblLook w:val="04A0" w:firstRow="1" w:lastRow="0" w:firstColumn="1" w:lastColumn="0" w:noHBand="0" w:noVBand="1"/>
      </w:tblPr>
      <w:tblGrid>
        <w:gridCol w:w="5211"/>
        <w:gridCol w:w="2157"/>
        <w:gridCol w:w="1418"/>
        <w:gridCol w:w="425"/>
        <w:gridCol w:w="1418"/>
      </w:tblGrid>
      <w:tr w:rsidR="00B801F4" w:rsidRPr="00B801F4" w14:paraId="52A7782D" w14:textId="77777777" w:rsidTr="00B801F4">
        <w:tc>
          <w:tcPr>
            <w:tcW w:w="5211" w:type="dxa"/>
            <w:tcBorders>
              <w:top w:val="single" w:sz="2" w:space="0" w:color="auto"/>
              <w:left w:val="single" w:sz="2" w:space="0" w:color="auto"/>
              <w:bottom w:val="nil"/>
            </w:tcBorders>
            <w:shd w:val="clear" w:color="auto" w:fill="A8D08D" w:themeFill="accent6" w:themeFillTint="99"/>
          </w:tcPr>
          <w:p w14:paraId="1F56141C" w14:textId="77777777" w:rsidR="00B801F4" w:rsidRPr="00B801F4" w:rsidRDefault="00B801F4" w:rsidP="00B801F4">
            <w:pPr>
              <w:keepNext/>
              <w:spacing w:line="360" w:lineRule="auto"/>
              <w:jc w:val="left"/>
              <w:outlineLvl w:val="4"/>
              <w:rPr>
                <w:rFonts w:cs="Arial"/>
                <w:b/>
                <w:u w:val="single"/>
              </w:rPr>
            </w:pPr>
          </w:p>
        </w:tc>
        <w:tc>
          <w:tcPr>
            <w:tcW w:w="2157" w:type="dxa"/>
            <w:tcBorders>
              <w:top w:val="single" w:sz="2" w:space="0" w:color="auto"/>
              <w:bottom w:val="nil"/>
            </w:tcBorders>
            <w:shd w:val="clear" w:color="auto" w:fill="A8D08D" w:themeFill="accent6" w:themeFillTint="99"/>
          </w:tcPr>
          <w:p w14:paraId="444E4645" w14:textId="77777777" w:rsidR="00B801F4" w:rsidRPr="00B801F4" w:rsidRDefault="00B801F4" w:rsidP="00B801F4">
            <w:pPr>
              <w:keepNext/>
              <w:spacing w:line="360" w:lineRule="auto"/>
              <w:jc w:val="center"/>
              <w:outlineLvl w:val="4"/>
              <w:rPr>
                <w:rFonts w:cs="Arial"/>
                <w:b/>
                <w:u w:val="single"/>
              </w:rPr>
            </w:pPr>
          </w:p>
        </w:tc>
        <w:tc>
          <w:tcPr>
            <w:tcW w:w="1418" w:type="dxa"/>
            <w:tcBorders>
              <w:top w:val="single" w:sz="2" w:space="0" w:color="auto"/>
              <w:bottom w:val="nil"/>
            </w:tcBorders>
            <w:shd w:val="clear" w:color="auto" w:fill="A8D08D" w:themeFill="accent6" w:themeFillTint="99"/>
            <w:vAlign w:val="center"/>
          </w:tcPr>
          <w:p w14:paraId="09EAA594" w14:textId="77777777" w:rsidR="00B801F4" w:rsidRPr="00B801F4" w:rsidRDefault="00B801F4" w:rsidP="00B801F4">
            <w:pPr>
              <w:keepNext/>
              <w:spacing w:line="360" w:lineRule="auto"/>
              <w:jc w:val="right"/>
              <w:outlineLvl w:val="4"/>
              <w:rPr>
                <w:rFonts w:cs="Arial"/>
                <w:b/>
              </w:rPr>
            </w:pPr>
            <w:r w:rsidRPr="00B801F4">
              <w:rPr>
                <w:rFonts w:cs="Arial"/>
                <w:b/>
              </w:rPr>
              <w:t>2014/15</w:t>
            </w:r>
          </w:p>
        </w:tc>
        <w:tc>
          <w:tcPr>
            <w:tcW w:w="425" w:type="dxa"/>
            <w:tcBorders>
              <w:top w:val="single" w:sz="2" w:space="0" w:color="auto"/>
              <w:bottom w:val="nil"/>
            </w:tcBorders>
            <w:shd w:val="clear" w:color="auto" w:fill="A8D08D" w:themeFill="accent6" w:themeFillTint="99"/>
            <w:vAlign w:val="center"/>
          </w:tcPr>
          <w:p w14:paraId="09DED072" w14:textId="77777777" w:rsidR="00B801F4" w:rsidRPr="00B801F4" w:rsidRDefault="00B801F4" w:rsidP="00B801F4">
            <w:pPr>
              <w:keepNext/>
              <w:spacing w:line="360" w:lineRule="auto"/>
              <w:jc w:val="right"/>
              <w:outlineLvl w:val="4"/>
              <w:rPr>
                <w:rFonts w:cs="Arial"/>
                <w:b/>
              </w:rPr>
            </w:pPr>
          </w:p>
        </w:tc>
        <w:tc>
          <w:tcPr>
            <w:tcW w:w="1418" w:type="dxa"/>
            <w:tcBorders>
              <w:top w:val="single" w:sz="2" w:space="0" w:color="auto"/>
              <w:bottom w:val="nil"/>
              <w:right w:val="single" w:sz="2" w:space="0" w:color="auto"/>
            </w:tcBorders>
            <w:shd w:val="clear" w:color="auto" w:fill="A8D08D" w:themeFill="accent6" w:themeFillTint="99"/>
            <w:vAlign w:val="center"/>
          </w:tcPr>
          <w:p w14:paraId="43EF694D" w14:textId="77777777" w:rsidR="00B801F4" w:rsidRPr="00B801F4" w:rsidRDefault="00B801F4" w:rsidP="00B801F4">
            <w:pPr>
              <w:keepNext/>
              <w:spacing w:line="360" w:lineRule="auto"/>
              <w:jc w:val="right"/>
              <w:outlineLvl w:val="4"/>
              <w:rPr>
                <w:rFonts w:cs="Arial"/>
                <w:b/>
              </w:rPr>
            </w:pPr>
            <w:r w:rsidRPr="00B801F4">
              <w:rPr>
                <w:rFonts w:cs="Arial"/>
                <w:b/>
              </w:rPr>
              <w:t>2013/14</w:t>
            </w:r>
          </w:p>
        </w:tc>
      </w:tr>
      <w:tr w:rsidR="00B801F4" w:rsidRPr="00B801F4" w14:paraId="66FF5C3B" w14:textId="77777777" w:rsidTr="00B801F4">
        <w:trPr>
          <w:trHeight w:val="464"/>
        </w:trPr>
        <w:tc>
          <w:tcPr>
            <w:tcW w:w="5211" w:type="dxa"/>
            <w:tcBorders>
              <w:top w:val="nil"/>
              <w:left w:val="single" w:sz="2" w:space="0" w:color="auto"/>
              <w:bottom w:val="single" w:sz="2" w:space="0" w:color="auto"/>
            </w:tcBorders>
            <w:shd w:val="clear" w:color="auto" w:fill="A8D08D" w:themeFill="accent6" w:themeFillTint="99"/>
          </w:tcPr>
          <w:p w14:paraId="7DBA41F1" w14:textId="77777777" w:rsidR="00B801F4" w:rsidRPr="00B801F4" w:rsidRDefault="00B801F4" w:rsidP="00B801F4">
            <w:pPr>
              <w:keepNext/>
              <w:spacing w:line="360" w:lineRule="auto"/>
              <w:jc w:val="center"/>
              <w:outlineLvl w:val="4"/>
              <w:rPr>
                <w:rFonts w:cs="Arial"/>
                <w:b/>
                <w:u w:val="single"/>
              </w:rPr>
            </w:pPr>
          </w:p>
        </w:tc>
        <w:tc>
          <w:tcPr>
            <w:tcW w:w="2157" w:type="dxa"/>
            <w:tcBorders>
              <w:top w:val="nil"/>
              <w:bottom w:val="single" w:sz="2" w:space="0" w:color="auto"/>
            </w:tcBorders>
            <w:shd w:val="clear" w:color="auto" w:fill="A8D08D" w:themeFill="accent6" w:themeFillTint="99"/>
          </w:tcPr>
          <w:p w14:paraId="6D80B475" w14:textId="77777777" w:rsidR="00B801F4" w:rsidRPr="00B801F4" w:rsidRDefault="00B801F4" w:rsidP="00B801F4">
            <w:pPr>
              <w:keepNext/>
              <w:spacing w:line="360" w:lineRule="auto"/>
              <w:jc w:val="center"/>
              <w:outlineLvl w:val="4"/>
              <w:rPr>
                <w:rFonts w:cs="Arial"/>
                <w:b/>
              </w:rPr>
            </w:pPr>
            <w:r w:rsidRPr="00B801F4">
              <w:rPr>
                <w:rFonts w:cs="Arial"/>
                <w:b/>
              </w:rPr>
              <w:t>Note</w:t>
            </w:r>
          </w:p>
        </w:tc>
        <w:tc>
          <w:tcPr>
            <w:tcW w:w="1418" w:type="dxa"/>
            <w:tcBorders>
              <w:top w:val="nil"/>
              <w:bottom w:val="single" w:sz="2" w:space="0" w:color="auto"/>
            </w:tcBorders>
            <w:shd w:val="clear" w:color="auto" w:fill="A8D08D" w:themeFill="accent6" w:themeFillTint="99"/>
            <w:vAlign w:val="center"/>
          </w:tcPr>
          <w:p w14:paraId="7D97DAB8" w14:textId="77777777" w:rsidR="00B801F4" w:rsidRPr="00B801F4" w:rsidRDefault="00B801F4" w:rsidP="00B801F4">
            <w:pPr>
              <w:keepNext/>
              <w:spacing w:line="360" w:lineRule="auto"/>
              <w:jc w:val="right"/>
              <w:outlineLvl w:val="4"/>
              <w:rPr>
                <w:rFonts w:cs="Arial"/>
                <w:b/>
              </w:rPr>
            </w:pPr>
            <w:r w:rsidRPr="00B801F4">
              <w:rPr>
                <w:rFonts w:cs="Arial"/>
                <w:b/>
              </w:rPr>
              <w:t>£m</w:t>
            </w:r>
          </w:p>
        </w:tc>
        <w:tc>
          <w:tcPr>
            <w:tcW w:w="425" w:type="dxa"/>
            <w:tcBorders>
              <w:top w:val="nil"/>
              <w:bottom w:val="single" w:sz="2" w:space="0" w:color="auto"/>
            </w:tcBorders>
            <w:shd w:val="clear" w:color="auto" w:fill="A8D08D" w:themeFill="accent6" w:themeFillTint="99"/>
            <w:vAlign w:val="center"/>
          </w:tcPr>
          <w:p w14:paraId="45AECC8A" w14:textId="77777777" w:rsidR="00B801F4" w:rsidRPr="00B801F4" w:rsidRDefault="00B801F4" w:rsidP="00B801F4">
            <w:pPr>
              <w:keepNext/>
              <w:spacing w:line="360" w:lineRule="auto"/>
              <w:jc w:val="right"/>
              <w:outlineLvl w:val="4"/>
              <w:rPr>
                <w:rFonts w:cs="Arial"/>
                <w:b/>
              </w:rPr>
            </w:pPr>
          </w:p>
        </w:tc>
        <w:tc>
          <w:tcPr>
            <w:tcW w:w="1418" w:type="dxa"/>
            <w:tcBorders>
              <w:top w:val="nil"/>
              <w:bottom w:val="single" w:sz="2" w:space="0" w:color="auto"/>
              <w:right w:val="single" w:sz="2" w:space="0" w:color="auto"/>
            </w:tcBorders>
            <w:shd w:val="clear" w:color="auto" w:fill="A8D08D" w:themeFill="accent6" w:themeFillTint="99"/>
            <w:vAlign w:val="center"/>
          </w:tcPr>
          <w:p w14:paraId="5DE9A22C" w14:textId="77777777" w:rsidR="00B801F4" w:rsidRPr="00B801F4" w:rsidRDefault="00B801F4" w:rsidP="00B801F4">
            <w:pPr>
              <w:keepNext/>
              <w:spacing w:line="360" w:lineRule="auto"/>
              <w:jc w:val="right"/>
              <w:outlineLvl w:val="4"/>
              <w:rPr>
                <w:rFonts w:cs="Arial"/>
                <w:b/>
              </w:rPr>
            </w:pPr>
            <w:r w:rsidRPr="00B801F4">
              <w:rPr>
                <w:rFonts w:cs="Arial"/>
                <w:b/>
              </w:rPr>
              <w:t>£m</w:t>
            </w:r>
          </w:p>
        </w:tc>
      </w:tr>
      <w:tr w:rsidR="00B801F4" w:rsidRPr="00B801F4" w14:paraId="7BBC4D23" w14:textId="77777777" w:rsidTr="00B801F4">
        <w:trPr>
          <w:trHeight w:val="838"/>
        </w:trPr>
        <w:tc>
          <w:tcPr>
            <w:tcW w:w="5211" w:type="dxa"/>
            <w:tcBorders>
              <w:top w:val="single" w:sz="2" w:space="0" w:color="auto"/>
              <w:left w:val="single" w:sz="2" w:space="0" w:color="auto"/>
              <w:bottom w:val="nil"/>
            </w:tcBorders>
            <w:shd w:val="clear" w:color="auto" w:fill="F1F7ED"/>
            <w:vAlign w:val="center"/>
          </w:tcPr>
          <w:p w14:paraId="6D823300" w14:textId="77777777" w:rsidR="00B801F4" w:rsidRPr="00B801F4" w:rsidRDefault="00B801F4" w:rsidP="00B801F4">
            <w:pPr>
              <w:jc w:val="left"/>
              <w:rPr>
                <w:rFonts w:cs="Arial"/>
                <w:b/>
              </w:rPr>
            </w:pPr>
            <w:r w:rsidRPr="00B801F4">
              <w:rPr>
                <w:rFonts w:cs="Arial"/>
                <w:b/>
              </w:rPr>
              <w:t>Dealing with members, employers and others directly involved in the Fund</w:t>
            </w:r>
          </w:p>
        </w:tc>
        <w:tc>
          <w:tcPr>
            <w:tcW w:w="2157" w:type="dxa"/>
            <w:tcBorders>
              <w:top w:val="single" w:sz="2" w:space="0" w:color="auto"/>
              <w:bottom w:val="nil"/>
            </w:tcBorders>
            <w:shd w:val="clear" w:color="auto" w:fill="F1F7ED"/>
            <w:vAlign w:val="center"/>
          </w:tcPr>
          <w:p w14:paraId="36EB7299" w14:textId="77777777" w:rsidR="00B801F4" w:rsidRPr="00B801F4" w:rsidRDefault="00B801F4" w:rsidP="00B801F4">
            <w:pPr>
              <w:jc w:val="center"/>
              <w:rPr>
                <w:rFonts w:cs="Arial"/>
              </w:rPr>
            </w:pPr>
          </w:p>
        </w:tc>
        <w:tc>
          <w:tcPr>
            <w:tcW w:w="1418" w:type="dxa"/>
            <w:tcBorders>
              <w:top w:val="single" w:sz="2" w:space="0" w:color="auto"/>
              <w:bottom w:val="nil"/>
            </w:tcBorders>
            <w:shd w:val="clear" w:color="auto" w:fill="F1F7ED"/>
            <w:vAlign w:val="center"/>
          </w:tcPr>
          <w:p w14:paraId="01982B22" w14:textId="77777777" w:rsidR="00B801F4" w:rsidRPr="00B801F4" w:rsidRDefault="00B801F4" w:rsidP="00B801F4">
            <w:pPr>
              <w:jc w:val="right"/>
              <w:rPr>
                <w:rFonts w:cs="Arial"/>
              </w:rPr>
            </w:pPr>
          </w:p>
        </w:tc>
        <w:tc>
          <w:tcPr>
            <w:tcW w:w="425" w:type="dxa"/>
            <w:tcBorders>
              <w:top w:val="single" w:sz="2" w:space="0" w:color="auto"/>
              <w:bottom w:val="nil"/>
            </w:tcBorders>
            <w:shd w:val="clear" w:color="auto" w:fill="F1F7ED"/>
            <w:vAlign w:val="center"/>
          </w:tcPr>
          <w:p w14:paraId="45BB58C5" w14:textId="77777777" w:rsidR="00B801F4" w:rsidRPr="00B801F4" w:rsidRDefault="00B801F4" w:rsidP="00B801F4">
            <w:pPr>
              <w:jc w:val="right"/>
              <w:rPr>
                <w:rFonts w:cs="Arial"/>
              </w:rPr>
            </w:pPr>
          </w:p>
        </w:tc>
        <w:tc>
          <w:tcPr>
            <w:tcW w:w="1418" w:type="dxa"/>
            <w:tcBorders>
              <w:top w:val="single" w:sz="2" w:space="0" w:color="auto"/>
              <w:bottom w:val="nil"/>
              <w:right w:val="single" w:sz="2" w:space="0" w:color="auto"/>
            </w:tcBorders>
            <w:shd w:val="clear" w:color="auto" w:fill="F1F7ED"/>
            <w:vAlign w:val="center"/>
          </w:tcPr>
          <w:p w14:paraId="3F4957DB" w14:textId="77777777" w:rsidR="00B801F4" w:rsidRPr="00B801F4" w:rsidRDefault="00B801F4" w:rsidP="00B801F4">
            <w:pPr>
              <w:jc w:val="right"/>
              <w:rPr>
                <w:rFonts w:cs="Arial"/>
              </w:rPr>
            </w:pPr>
          </w:p>
        </w:tc>
      </w:tr>
      <w:tr w:rsidR="00B801F4" w:rsidRPr="00B801F4" w14:paraId="1923528B" w14:textId="77777777" w:rsidTr="00B801F4">
        <w:trPr>
          <w:trHeight w:val="430"/>
        </w:trPr>
        <w:tc>
          <w:tcPr>
            <w:tcW w:w="5211" w:type="dxa"/>
            <w:tcBorders>
              <w:top w:val="nil"/>
              <w:left w:val="single" w:sz="2" w:space="0" w:color="auto"/>
              <w:bottom w:val="nil"/>
            </w:tcBorders>
            <w:vAlign w:val="center"/>
          </w:tcPr>
          <w:p w14:paraId="01E83D17" w14:textId="77777777" w:rsidR="00B801F4" w:rsidRPr="00B801F4" w:rsidRDefault="00B801F4" w:rsidP="00B801F4">
            <w:pPr>
              <w:jc w:val="left"/>
              <w:rPr>
                <w:rFonts w:cs="Arial"/>
              </w:rPr>
            </w:pPr>
            <w:r w:rsidRPr="00B801F4">
              <w:rPr>
                <w:rFonts w:cs="Arial"/>
              </w:rPr>
              <w:t>Contributions</w:t>
            </w:r>
          </w:p>
        </w:tc>
        <w:tc>
          <w:tcPr>
            <w:tcW w:w="2157" w:type="dxa"/>
            <w:tcBorders>
              <w:top w:val="nil"/>
              <w:bottom w:val="nil"/>
            </w:tcBorders>
            <w:vAlign w:val="center"/>
          </w:tcPr>
          <w:p w14:paraId="457C5B1F" w14:textId="77777777" w:rsidR="00B801F4" w:rsidRPr="00B801F4" w:rsidRDefault="00B801F4" w:rsidP="00B801F4">
            <w:pPr>
              <w:jc w:val="center"/>
              <w:rPr>
                <w:rFonts w:cs="Arial"/>
              </w:rPr>
            </w:pPr>
            <w:r w:rsidRPr="00B801F4">
              <w:rPr>
                <w:rFonts w:cs="Arial"/>
              </w:rPr>
              <w:t>6</w:t>
            </w:r>
          </w:p>
        </w:tc>
        <w:tc>
          <w:tcPr>
            <w:tcW w:w="1418" w:type="dxa"/>
            <w:tcBorders>
              <w:top w:val="nil"/>
              <w:bottom w:val="nil"/>
            </w:tcBorders>
            <w:vAlign w:val="center"/>
          </w:tcPr>
          <w:p w14:paraId="4EC07DD8" w14:textId="77777777" w:rsidR="00B801F4" w:rsidRPr="00B801F4" w:rsidRDefault="00B801F4" w:rsidP="00B801F4">
            <w:pPr>
              <w:jc w:val="right"/>
              <w:rPr>
                <w:rFonts w:cs="Arial"/>
              </w:rPr>
            </w:pPr>
            <w:r w:rsidRPr="00B801F4">
              <w:rPr>
                <w:rFonts w:cs="Arial"/>
              </w:rPr>
              <w:t>238.0</w:t>
            </w:r>
          </w:p>
        </w:tc>
        <w:tc>
          <w:tcPr>
            <w:tcW w:w="425" w:type="dxa"/>
            <w:tcBorders>
              <w:top w:val="nil"/>
              <w:bottom w:val="nil"/>
            </w:tcBorders>
            <w:vAlign w:val="center"/>
          </w:tcPr>
          <w:p w14:paraId="49A8A02F" w14:textId="77777777" w:rsidR="00B801F4" w:rsidRPr="00B801F4" w:rsidRDefault="00B801F4" w:rsidP="00B801F4">
            <w:pPr>
              <w:jc w:val="right"/>
              <w:rPr>
                <w:rFonts w:cs="Arial"/>
              </w:rPr>
            </w:pPr>
          </w:p>
        </w:tc>
        <w:tc>
          <w:tcPr>
            <w:tcW w:w="1418" w:type="dxa"/>
            <w:tcBorders>
              <w:top w:val="nil"/>
              <w:bottom w:val="nil"/>
              <w:right w:val="single" w:sz="2" w:space="0" w:color="auto"/>
            </w:tcBorders>
            <w:vAlign w:val="center"/>
          </w:tcPr>
          <w:p w14:paraId="6516074F" w14:textId="77777777" w:rsidR="00B801F4" w:rsidRPr="00B801F4" w:rsidRDefault="00B801F4" w:rsidP="00B801F4">
            <w:pPr>
              <w:jc w:val="right"/>
              <w:rPr>
                <w:rFonts w:cs="Arial"/>
              </w:rPr>
            </w:pPr>
            <w:r w:rsidRPr="00B801F4">
              <w:rPr>
                <w:rFonts w:cs="Arial"/>
              </w:rPr>
              <w:t>214.0</w:t>
            </w:r>
          </w:p>
        </w:tc>
      </w:tr>
      <w:tr w:rsidR="00B801F4" w:rsidRPr="00B801F4" w14:paraId="2F7ED22F" w14:textId="77777777" w:rsidTr="00B801F4">
        <w:trPr>
          <w:trHeight w:val="422"/>
        </w:trPr>
        <w:tc>
          <w:tcPr>
            <w:tcW w:w="5211" w:type="dxa"/>
            <w:tcBorders>
              <w:top w:val="nil"/>
              <w:left w:val="single" w:sz="2" w:space="0" w:color="auto"/>
              <w:bottom w:val="nil"/>
            </w:tcBorders>
            <w:vAlign w:val="center"/>
          </w:tcPr>
          <w:p w14:paraId="7B226719" w14:textId="77777777" w:rsidR="00B801F4" w:rsidRPr="00B801F4" w:rsidRDefault="00B801F4" w:rsidP="00B801F4">
            <w:pPr>
              <w:jc w:val="left"/>
              <w:rPr>
                <w:rFonts w:cs="Arial"/>
              </w:rPr>
            </w:pPr>
            <w:r w:rsidRPr="00B801F4">
              <w:rPr>
                <w:rFonts w:cs="Arial"/>
              </w:rPr>
              <w:t>Transfers in from other pension funds</w:t>
            </w:r>
          </w:p>
        </w:tc>
        <w:tc>
          <w:tcPr>
            <w:tcW w:w="2157" w:type="dxa"/>
            <w:tcBorders>
              <w:top w:val="nil"/>
              <w:bottom w:val="nil"/>
            </w:tcBorders>
            <w:vAlign w:val="center"/>
          </w:tcPr>
          <w:p w14:paraId="71DA2AA8" w14:textId="77777777" w:rsidR="00B801F4" w:rsidRPr="00B801F4" w:rsidRDefault="00B801F4" w:rsidP="00B801F4">
            <w:pPr>
              <w:jc w:val="center"/>
              <w:rPr>
                <w:rFonts w:cs="Arial"/>
              </w:rPr>
            </w:pPr>
            <w:r w:rsidRPr="00B801F4">
              <w:rPr>
                <w:rFonts w:cs="Arial"/>
              </w:rPr>
              <w:t>7</w:t>
            </w:r>
          </w:p>
        </w:tc>
        <w:tc>
          <w:tcPr>
            <w:tcW w:w="1418" w:type="dxa"/>
            <w:tcBorders>
              <w:top w:val="nil"/>
              <w:bottom w:val="single" w:sz="18" w:space="0" w:color="auto"/>
            </w:tcBorders>
            <w:vAlign w:val="center"/>
          </w:tcPr>
          <w:p w14:paraId="59A3638B" w14:textId="77777777" w:rsidR="00B801F4" w:rsidRPr="00B801F4" w:rsidRDefault="00B801F4" w:rsidP="00B801F4">
            <w:pPr>
              <w:jc w:val="right"/>
              <w:rPr>
                <w:rFonts w:cs="Arial"/>
              </w:rPr>
            </w:pPr>
            <w:r w:rsidRPr="00B801F4">
              <w:rPr>
                <w:rFonts w:cs="Arial"/>
              </w:rPr>
              <w:t>4.8</w:t>
            </w:r>
          </w:p>
        </w:tc>
        <w:tc>
          <w:tcPr>
            <w:tcW w:w="425" w:type="dxa"/>
            <w:tcBorders>
              <w:top w:val="nil"/>
              <w:bottom w:val="nil"/>
            </w:tcBorders>
            <w:vAlign w:val="center"/>
          </w:tcPr>
          <w:p w14:paraId="6C2EB6B7" w14:textId="77777777" w:rsidR="00B801F4" w:rsidRPr="00B801F4" w:rsidRDefault="00B801F4" w:rsidP="00B801F4">
            <w:pPr>
              <w:jc w:val="right"/>
              <w:rPr>
                <w:rFonts w:cs="Arial"/>
              </w:rPr>
            </w:pPr>
          </w:p>
        </w:tc>
        <w:tc>
          <w:tcPr>
            <w:tcW w:w="1418" w:type="dxa"/>
            <w:tcBorders>
              <w:top w:val="nil"/>
              <w:bottom w:val="single" w:sz="18" w:space="0" w:color="auto"/>
              <w:right w:val="single" w:sz="2" w:space="0" w:color="auto"/>
            </w:tcBorders>
            <w:vAlign w:val="center"/>
          </w:tcPr>
          <w:p w14:paraId="572487E9" w14:textId="77777777" w:rsidR="00B801F4" w:rsidRPr="00B801F4" w:rsidRDefault="00B801F4" w:rsidP="00B801F4">
            <w:pPr>
              <w:jc w:val="right"/>
              <w:rPr>
                <w:rFonts w:cs="Arial"/>
              </w:rPr>
            </w:pPr>
            <w:r w:rsidRPr="00B801F4">
              <w:rPr>
                <w:rFonts w:cs="Arial"/>
              </w:rPr>
              <w:t>7.1</w:t>
            </w:r>
          </w:p>
        </w:tc>
      </w:tr>
      <w:tr w:rsidR="00B801F4" w:rsidRPr="00B801F4" w14:paraId="422110EA" w14:textId="77777777" w:rsidTr="00B801F4">
        <w:tc>
          <w:tcPr>
            <w:tcW w:w="5211" w:type="dxa"/>
            <w:tcBorders>
              <w:top w:val="nil"/>
              <w:left w:val="single" w:sz="2" w:space="0" w:color="auto"/>
              <w:bottom w:val="nil"/>
            </w:tcBorders>
            <w:shd w:val="clear" w:color="auto" w:fill="F1F7ED"/>
            <w:vAlign w:val="center"/>
          </w:tcPr>
          <w:p w14:paraId="2F521510" w14:textId="77777777" w:rsidR="00B801F4" w:rsidRPr="00B801F4" w:rsidRDefault="00B801F4" w:rsidP="00B801F4">
            <w:pPr>
              <w:jc w:val="left"/>
              <w:rPr>
                <w:rFonts w:cs="Arial"/>
                <w:u w:val="single"/>
              </w:rPr>
            </w:pPr>
          </w:p>
        </w:tc>
        <w:tc>
          <w:tcPr>
            <w:tcW w:w="2157" w:type="dxa"/>
            <w:tcBorders>
              <w:top w:val="nil"/>
              <w:bottom w:val="nil"/>
            </w:tcBorders>
            <w:shd w:val="clear" w:color="auto" w:fill="F1F7ED"/>
            <w:vAlign w:val="center"/>
          </w:tcPr>
          <w:p w14:paraId="7AFEE54B" w14:textId="77777777" w:rsidR="00B801F4" w:rsidRPr="00B801F4" w:rsidRDefault="00B801F4" w:rsidP="00B801F4">
            <w:pPr>
              <w:jc w:val="center"/>
              <w:rPr>
                <w:rFonts w:cs="Arial"/>
              </w:rPr>
            </w:pPr>
          </w:p>
        </w:tc>
        <w:tc>
          <w:tcPr>
            <w:tcW w:w="1418" w:type="dxa"/>
            <w:tcBorders>
              <w:top w:val="single" w:sz="18" w:space="0" w:color="auto"/>
              <w:bottom w:val="single" w:sz="18" w:space="0" w:color="auto"/>
            </w:tcBorders>
            <w:shd w:val="clear" w:color="auto" w:fill="F1F7ED"/>
            <w:vAlign w:val="center"/>
          </w:tcPr>
          <w:p w14:paraId="1FAF7053" w14:textId="77777777" w:rsidR="00B801F4" w:rsidRPr="00B801F4" w:rsidRDefault="00B801F4" w:rsidP="00B801F4">
            <w:pPr>
              <w:jc w:val="right"/>
              <w:rPr>
                <w:rFonts w:cs="Arial"/>
              </w:rPr>
            </w:pPr>
            <w:r w:rsidRPr="00B801F4">
              <w:rPr>
                <w:rFonts w:cs="Arial"/>
              </w:rPr>
              <w:t>242.8</w:t>
            </w:r>
          </w:p>
        </w:tc>
        <w:tc>
          <w:tcPr>
            <w:tcW w:w="425" w:type="dxa"/>
            <w:tcBorders>
              <w:top w:val="nil"/>
              <w:bottom w:val="nil"/>
            </w:tcBorders>
            <w:shd w:val="clear" w:color="auto" w:fill="F1F7ED"/>
            <w:vAlign w:val="center"/>
          </w:tcPr>
          <w:p w14:paraId="2874E038" w14:textId="77777777" w:rsidR="00B801F4" w:rsidRPr="00B801F4" w:rsidRDefault="00B801F4" w:rsidP="00B801F4">
            <w:pPr>
              <w:jc w:val="right"/>
              <w:rPr>
                <w:rFonts w:cs="Arial"/>
              </w:rPr>
            </w:pPr>
          </w:p>
        </w:tc>
        <w:tc>
          <w:tcPr>
            <w:tcW w:w="1418" w:type="dxa"/>
            <w:tcBorders>
              <w:top w:val="single" w:sz="18" w:space="0" w:color="auto"/>
              <w:bottom w:val="single" w:sz="18" w:space="0" w:color="auto"/>
              <w:right w:val="single" w:sz="2" w:space="0" w:color="auto"/>
            </w:tcBorders>
            <w:shd w:val="clear" w:color="auto" w:fill="F1F7ED"/>
            <w:vAlign w:val="center"/>
          </w:tcPr>
          <w:p w14:paraId="26CA836F" w14:textId="77777777" w:rsidR="00B801F4" w:rsidRPr="00B801F4" w:rsidRDefault="00B801F4" w:rsidP="00B801F4">
            <w:pPr>
              <w:jc w:val="right"/>
              <w:rPr>
                <w:rFonts w:cs="Arial"/>
              </w:rPr>
            </w:pPr>
            <w:r w:rsidRPr="00B801F4">
              <w:rPr>
                <w:rFonts w:cs="Arial"/>
              </w:rPr>
              <w:t>221.1</w:t>
            </w:r>
          </w:p>
        </w:tc>
      </w:tr>
      <w:tr w:rsidR="00B801F4" w:rsidRPr="00B801F4" w14:paraId="010382B8" w14:textId="77777777" w:rsidTr="00B801F4">
        <w:trPr>
          <w:trHeight w:val="301"/>
        </w:trPr>
        <w:tc>
          <w:tcPr>
            <w:tcW w:w="5211" w:type="dxa"/>
            <w:tcBorders>
              <w:top w:val="nil"/>
              <w:left w:val="single" w:sz="2" w:space="0" w:color="auto"/>
              <w:bottom w:val="nil"/>
            </w:tcBorders>
            <w:vAlign w:val="center"/>
          </w:tcPr>
          <w:p w14:paraId="0992C7D0" w14:textId="77777777" w:rsidR="00B801F4" w:rsidRPr="00B801F4" w:rsidRDefault="00B801F4" w:rsidP="00B801F4">
            <w:pPr>
              <w:jc w:val="left"/>
              <w:rPr>
                <w:rFonts w:cs="Arial"/>
              </w:rPr>
            </w:pPr>
          </w:p>
        </w:tc>
        <w:tc>
          <w:tcPr>
            <w:tcW w:w="2157" w:type="dxa"/>
            <w:tcBorders>
              <w:top w:val="nil"/>
              <w:bottom w:val="nil"/>
            </w:tcBorders>
            <w:vAlign w:val="center"/>
          </w:tcPr>
          <w:p w14:paraId="5F083221" w14:textId="77777777" w:rsidR="00B801F4" w:rsidRPr="00B801F4" w:rsidRDefault="00B801F4" w:rsidP="00B801F4">
            <w:pPr>
              <w:jc w:val="center"/>
              <w:rPr>
                <w:rFonts w:cs="Arial"/>
              </w:rPr>
            </w:pPr>
          </w:p>
        </w:tc>
        <w:tc>
          <w:tcPr>
            <w:tcW w:w="1418" w:type="dxa"/>
            <w:tcBorders>
              <w:top w:val="single" w:sz="18" w:space="0" w:color="auto"/>
              <w:bottom w:val="nil"/>
            </w:tcBorders>
            <w:vAlign w:val="center"/>
          </w:tcPr>
          <w:p w14:paraId="58780556" w14:textId="77777777" w:rsidR="00B801F4" w:rsidRPr="00B801F4" w:rsidRDefault="00B801F4" w:rsidP="00B801F4">
            <w:pPr>
              <w:jc w:val="right"/>
              <w:rPr>
                <w:rFonts w:cs="Arial"/>
              </w:rPr>
            </w:pPr>
          </w:p>
        </w:tc>
        <w:tc>
          <w:tcPr>
            <w:tcW w:w="425" w:type="dxa"/>
            <w:tcBorders>
              <w:top w:val="nil"/>
              <w:bottom w:val="nil"/>
            </w:tcBorders>
            <w:vAlign w:val="center"/>
          </w:tcPr>
          <w:p w14:paraId="0F719CEC" w14:textId="77777777" w:rsidR="00B801F4" w:rsidRPr="00B801F4" w:rsidRDefault="00B801F4" w:rsidP="00B801F4">
            <w:pPr>
              <w:jc w:val="right"/>
              <w:rPr>
                <w:rFonts w:cs="Arial"/>
              </w:rPr>
            </w:pPr>
          </w:p>
        </w:tc>
        <w:tc>
          <w:tcPr>
            <w:tcW w:w="1418" w:type="dxa"/>
            <w:tcBorders>
              <w:top w:val="single" w:sz="18" w:space="0" w:color="auto"/>
              <w:bottom w:val="nil"/>
              <w:right w:val="single" w:sz="2" w:space="0" w:color="auto"/>
            </w:tcBorders>
            <w:vAlign w:val="center"/>
          </w:tcPr>
          <w:p w14:paraId="149DB3B2" w14:textId="77777777" w:rsidR="00B801F4" w:rsidRPr="00B801F4" w:rsidRDefault="00B801F4" w:rsidP="00B801F4">
            <w:pPr>
              <w:jc w:val="right"/>
              <w:rPr>
                <w:rFonts w:cs="Arial"/>
              </w:rPr>
            </w:pPr>
          </w:p>
        </w:tc>
      </w:tr>
      <w:tr w:rsidR="00B801F4" w:rsidRPr="00B801F4" w14:paraId="3BB7E2C6" w14:textId="77777777" w:rsidTr="00B801F4">
        <w:tc>
          <w:tcPr>
            <w:tcW w:w="5211" w:type="dxa"/>
            <w:tcBorders>
              <w:top w:val="nil"/>
              <w:left w:val="single" w:sz="2" w:space="0" w:color="auto"/>
              <w:bottom w:val="nil"/>
            </w:tcBorders>
            <w:vAlign w:val="center"/>
          </w:tcPr>
          <w:p w14:paraId="7EBA7228" w14:textId="77777777" w:rsidR="00B801F4" w:rsidRPr="00B801F4" w:rsidRDefault="00B801F4" w:rsidP="00B801F4">
            <w:pPr>
              <w:jc w:val="left"/>
              <w:rPr>
                <w:rFonts w:cs="Arial"/>
              </w:rPr>
            </w:pPr>
            <w:r w:rsidRPr="00B801F4">
              <w:rPr>
                <w:rFonts w:cs="Arial"/>
              </w:rPr>
              <w:t>Benefits</w:t>
            </w:r>
          </w:p>
        </w:tc>
        <w:tc>
          <w:tcPr>
            <w:tcW w:w="2157" w:type="dxa"/>
            <w:tcBorders>
              <w:top w:val="nil"/>
              <w:bottom w:val="nil"/>
            </w:tcBorders>
            <w:vAlign w:val="center"/>
          </w:tcPr>
          <w:p w14:paraId="51BA53E7" w14:textId="77777777" w:rsidR="00B801F4" w:rsidRPr="00B801F4" w:rsidRDefault="00B801F4" w:rsidP="00B801F4">
            <w:pPr>
              <w:jc w:val="center"/>
              <w:rPr>
                <w:rFonts w:cs="Arial"/>
              </w:rPr>
            </w:pPr>
            <w:r w:rsidRPr="00B801F4">
              <w:rPr>
                <w:rFonts w:cs="Arial"/>
              </w:rPr>
              <w:t>8</w:t>
            </w:r>
          </w:p>
        </w:tc>
        <w:tc>
          <w:tcPr>
            <w:tcW w:w="1418" w:type="dxa"/>
            <w:tcBorders>
              <w:top w:val="nil"/>
              <w:bottom w:val="nil"/>
            </w:tcBorders>
            <w:vAlign w:val="center"/>
          </w:tcPr>
          <w:p w14:paraId="7431B588" w14:textId="77777777" w:rsidR="00B801F4" w:rsidRPr="00B801F4" w:rsidRDefault="00B801F4" w:rsidP="00B801F4">
            <w:pPr>
              <w:jc w:val="right"/>
              <w:rPr>
                <w:rFonts w:cs="Arial"/>
              </w:rPr>
            </w:pPr>
            <w:r w:rsidRPr="00B801F4">
              <w:rPr>
                <w:rFonts w:cs="Arial"/>
              </w:rPr>
              <w:t>(240.2)</w:t>
            </w:r>
          </w:p>
        </w:tc>
        <w:tc>
          <w:tcPr>
            <w:tcW w:w="425" w:type="dxa"/>
            <w:tcBorders>
              <w:top w:val="nil"/>
              <w:bottom w:val="nil"/>
            </w:tcBorders>
            <w:vAlign w:val="center"/>
          </w:tcPr>
          <w:p w14:paraId="320E22D6" w14:textId="77777777" w:rsidR="00B801F4" w:rsidRPr="00B801F4" w:rsidRDefault="00B801F4" w:rsidP="00B801F4">
            <w:pPr>
              <w:jc w:val="right"/>
              <w:rPr>
                <w:rFonts w:cs="Arial"/>
              </w:rPr>
            </w:pPr>
          </w:p>
        </w:tc>
        <w:tc>
          <w:tcPr>
            <w:tcW w:w="1418" w:type="dxa"/>
            <w:tcBorders>
              <w:top w:val="nil"/>
              <w:bottom w:val="nil"/>
              <w:right w:val="single" w:sz="2" w:space="0" w:color="auto"/>
            </w:tcBorders>
            <w:vAlign w:val="center"/>
          </w:tcPr>
          <w:p w14:paraId="635B2C1B" w14:textId="77777777" w:rsidR="00B801F4" w:rsidRPr="00B801F4" w:rsidRDefault="00B801F4" w:rsidP="00B801F4">
            <w:pPr>
              <w:jc w:val="right"/>
              <w:rPr>
                <w:rFonts w:cs="Arial"/>
              </w:rPr>
            </w:pPr>
            <w:r w:rsidRPr="00B801F4">
              <w:rPr>
                <w:rFonts w:cs="Arial"/>
              </w:rPr>
              <w:t>(221.1)</w:t>
            </w:r>
          </w:p>
        </w:tc>
      </w:tr>
      <w:tr w:rsidR="00B801F4" w:rsidRPr="00B801F4" w14:paraId="219433C7" w14:textId="77777777" w:rsidTr="00B801F4">
        <w:trPr>
          <w:trHeight w:val="486"/>
        </w:trPr>
        <w:tc>
          <w:tcPr>
            <w:tcW w:w="5211" w:type="dxa"/>
            <w:tcBorders>
              <w:top w:val="nil"/>
              <w:left w:val="single" w:sz="2" w:space="0" w:color="auto"/>
              <w:bottom w:val="nil"/>
            </w:tcBorders>
            <w:vAlign w:val="center"/>
          </w:tcPr>
          <w:p w14:paraId="18838D0A" w14:textId="77777777" w:rsidR="00B801F4" w:rsidRPr="00B801F4" w:rsidRDefault="00B801F4" w:rsidP="00B801F4">
            <w:pPr>
              <w:jc w:val="left"/>
              <w:rPr>
                <w:rFonts w:cs="Arial"/>
              </w:rPr>
            </w:pPr>
            <w:r w:rsidRPr="00B801F4">
              <w:rPr>
                <w:rFonts w:cs="Arial"/>
              </w:rPr>
              <w:t>Payments to and on account of leavers</w:t>
            </w:r>
          </w:p>
        </w:tc>
        <w:tc>
          <w:tcPr>
            <w:tcW w:w="2157" w:type="dxa"/>
            <w:tcBorders>
              <w:top w:val="nil"/>
              <w:bottom w:val="nil"/>
            </w:tcBorders>
            <w:vAlign w:val="center"/>
          </w:tcPr>
          <w:p w14:paraId="09C67A93" w14:textId="77777777" w:rsidR="00B801F4" w:rsidRPr="00B801F4" w:rsidRDefault="00B801F4" w:rsidP="00B801F4">
            <w:pPr>
              <w:jc w:val="center"/>
              <w:rPr>
                <w:rFonts w:cs="Arial"/>
              </w:rPr>
            </w:pPr>
            <w:r w:rsidRPr="00B801F4">
              <w:rPr>
                <w:rFonts w:cs="Arial"/>
              </w:rPr>
              <w:t>9</w:t>
            </w:r>
          </w:p>
        </w:tc>
        <w:tc>
          <w:tcPr>
            <w:tcW w:w="1418" w:type="dxa"/>
            <w:tcBorders>
              <w:top w:val="nil"/>
              <w:bottom w:val="nil"/>
            </w:tcBorders>
            <w:vAlign w:val="center"/>
          </w:tcPr>
          <w:p w14:paraId="1E5906E3" w14:textId="77777777" w:rsidR="00B801F4" w:rsidRPr="00B801F4" w:rsidRDefault="00B801F4" w:rsidP="00B801F4">
            <w:pPr>
              <w:jc w:val="right"/>
              <w:rPr>
                <w:rFonts w:cs="Arial"/>
              </w:rPr>
            </w:pPr>
            <w:r w:rsidRPr="00B801F4">
              <w:rPr>
                <w:rFonts w:cs="Arial"/>
              </w:rPr>
              <w:t>(100.1)</w:t>
            </w:r>
          </w:p>
        </w:tc>
        <w:tc>
          <w:tcPr>
            <w:tcW w:w="425" w:type="dxa"/>
            <w:tcBorders>
              <w:top w:val="nil"/>
              <w:bottom w:val="nil"/>
            </w:tcBorders>
            <w:vAlign w:val="center"/>
          </w:tcPr>
          <w:p w14:paraId="5869EFC1" w14:textId="77777777" w:rsidR="00B801F4" w:rsidRPr="00B801F4" w:rsidRDefault="00B801F4" w:rsidP="00B801F4">
            <w:pPr>
              <w:jc w:val="right"/>
              <w:rPr>
                <w:rFonts w:cs="Arial"/>
              </w:rPr>
            </w:pPr>
          </w:p>
        </w:tc>
        <w:tc>
          <w:tcPr>
            <w:tcW w:w="1418" w:type="dxa"/>
            <w:tcBorders>
              <w:top w:val="nil"/>
              <w:bottom w:val="nil"/>
              <w:right w:val="single" w:sz="2" w:space="0" w:color="auto"/>
            </w:tcBorders>
            <w:vAlign w:val="center"/>
          </w:tcPr>
          <w:p w14:paraId="731FAF47" w14:textId="77777777" w:rsidR="00B801F4" w:rsidRPr="00B801F4" w:rsidRDefault="00B801F4" w:rsidP="00B801F4">
            <w:pPr>
              <w:jc w:val="right"/>
              <w:rPr>
                <w:rFonts w:cs="Arial"/>
              </w:rPr>
            </w:pPr>
            <w:r w:rsidRPr="00B801F4">
              <w:rPr>
                <w:rFonts w:cs="Arial"/>
              </w:rPr>
              <w:t>(15.3)</w:t>
            </w:r>
          </w:p>
        </w:tc>
      </w:tr>
      <w:tr w:rsidR="00B801F4" w:rsidRPr="00B801F4" w14:paraId="79FA5081" w14:textId="77777777" w:rsidTr="00B801F4">
        <w:tc>
          <w:tcPr>
            <w:tcW w:w="5211" w:type="dxa"/>
            <w:tcBorders>
              <w:top w:val="nil"/>
              <w:left w:val="single" w:sz="2" w:space="0" w:color="auto"/>
              <w:bottom w:val="nil"/>
            </w:tcBorders>
            <w:vAlign w:val="center"/>
          </w:tcPr>
          <w:p w14:paraId="4D930BDE" w14:textId="77777777" w:rsidR="00B801F4" w:rsidRPr="00B801F4" w:rsidRDefault="00B801F4" w:rsidP="00B801F4">
            <w:pPr>
              <w:jc w:val="left"/>
              <w:rPr>
                <w:rFonts w:cs="Arial"/>
              </w:rPr>
            </w:pPr>
            <w:r w:rsidRPr="00B801F4">
              <w:rPr>
                <w:rFonts w:cs="Arial"/>
              </w:rPr>
              <w:t>Management expenses</w:t>
            </w:r>
          </w:p>
        </w:tc>
        <w:tc>
          <w:tcPr>
            <w:tcW w:w="2157" w:type="dxa"/>
            <w:tcBorders>
              <w:top w:val="nil"/>
              <w:bottom w:val="nil"/>
            </w:tcBorders>
            <w:vAlign w:val="center"/>
          </w:tcPr>
          <w:p w14:paraId="1D3B34CB" w14:textId="77777777" w:rsidR="00B801F4" w:rsidRPr="00B801F4" w:rsidRDefault="00B801F4" w:rsidP="00B801F4">
            <w:pPr>
              <w:jc w:val="center"/>
              <w:rPr>
                <w:rFonts w:cs="Arial"/>
              </w:rPr>
            </w:pPr>
            <w:r w:rsidRPr="00B801F4">
              <w:rPr>
                <w:rFonts w:cs="Arial"/>
              </w:rPr>
              <w:t>10</w:t>
            </w:r>
          </w:p>
        </w:tc>
        <w:tc>
          <w:tcPr>
            <w:tcW w:w="1418" w:type="dxa"/>
            <w:tcBorders>
              <w:top w:val="nil"/>
              <w:bottom w:val="single" w:sz="18" w:space="0" w:color="auto"/>
            </w:tcBorders>
            <w:vAlign w:val="center"/>
          </w:tcPr>
          <w:p w14:paraId="03650DDE" w14:textId="77777777" w:rsidR="00B801F4" w:rsidRPr="00B801F4" w:rsidRDefault="00B801F4" w:rsidP="00B801F4">
            <w:pPr>
              <w:jc w:val="right"/>
              <w:rPr>
                <w:rFonts w:cs="Arial"/>
              </w:rPr>
            </w:pPr>
            <w:r w:rsidRPr="00B801F4">
              <w:rPr>
                <w:rFonts w:cs="Arial"/>
              </w:rPr>
              <w:t>(35.4)</w:t>
            </w:r>
          </w:p>
        </w:tc>
        <w:tc>
          <w:tcPr>
            <w:tcW w:w="425" w:type="dxa"/>
            <w:tcBorders>
              <w:top w:val="nil"/>
              <w:bottom w:val="nil"/>
            </w:tcBorders>
            <w:vAlign w:val="center"/>
          </w:tcPr>
          <w:p w14:paraId="56D1A103" w14:textId="77777777" w:rsidR="00B801F4" w:rsidRPr="00B801F4" w:rsidRDefault="00B801F4" w:rsidP="00B801F4">
            <w:pPr>
              <w:jc w:val="right"/>
              <w:rPr>
                <w:rFonts w:cs="Arial"/>
              </w:rPr>
            </w:pPr>
          </w:p>
        </w:tc>
        <w:tc>
          <w:tcPr>
            <w:tcW w:w="1418" w:type="dxa"/>
            <w:tcBorders>
              <w:top w:val="nil"/>
              <w:bottom w:val="single" w:sz="18" w:space="0" w:color="auto"/>
              <w:right w:val="single" w:sz="2" w:space="0" w:color="auto"/>
            </w:tcBorders>
            <w:vAlign w:val="center"/>
          </w:tcPr>
          <w:p w14:paraId="431AE61A" w14:textId="77777777" w:rsidR="00B801F4" w:rsidRPr="00B801F4" w:rsidRDefault="00B801F4" w:rsidP="00B801F4">
            <w:pPr>
              <w:jc w:val="right"/>
              <w:rPr>
                <w:rFonts w:cs="Arial"/>
              </w:rPr>
            </w:pPr>
            <w:r w:rsidRPr="00B801F4">
              <w:rPr>
                <w:rFonts w:cs="Arial"/>
              </w:rPr>
              <w:t>*(31.3)</w:t>
            </w:r>
          </w:p>
        </w:tc>
      </w:tr>
      <w:tr w:rsidR="00B801F4" w:rsidRPr="00B801F4" w14:paraId="7D8C7AAE" w14:textId="77777777" w:rsidTr="00B801F4">
        <w:trPr>
          <w:trHeight w:val="510"/>
        </w:trPr>
        <w:tc>
          <w:tcPr>
            <w:tcW w:w="5211" w:type="dxa"/>
            <w:tcBorders>
              <w:top w:val="nil"/>
              <w:left w:val="single" w:sz="2" w:space="0" w:color="auto"/>
              <w:bottom w:val="nil"/>
            </w:tcBorders>
            <w:shd w:val="clear" w:color="auto" w:fill="F1F7ED"/>
            <w:vAlign w:val="center"/>
          </w:tcPr>
          <w:p w14:paraId="12EF55A2" w14:textId="77777777" w:rsidR="00B801F4" w:rsidRPr="00B801F4" w:rsidRDefault="00B801F4" w:rsidP="00B801F4">
            <w:pPr>
              <w:jc w:val="left"/>
              <w:rPr>
                <w:rFonts w:cs="Arial"/>
                <w:u w:val="single"/>
              </w:rPr>
            </w:pPr>
          </w:p>
        </w:tc>
        <w:tc>
          <w:tcPr>
            <w:tcW w:w="2157" w:type="dxa"/>
            <w:tcBorders>
              <w:top w:val="nil"/>
              <w:bottom w:val="nil"/>
            </w:tcBorders>
            <w:shd w:val="clear" w:color="auto" w:fill="F1F7ED"/>
            <w:vAlign w:val="center"/>
          </w:tcPr>
          <w:p w14:paraId="02B4E991" w14:textId="77777777" w:rsidR="00B801F4" w:rsidRPr="00B801F4" w:rsidRDefault="00B801F4" w:rsidP="00B801F4">
            <w:pPr>
              <w:jc w:val="center"/>
              <w:rPr>
                <w:rFonts w:cs="Arial"/>
                <w:highlight w:val="yellow"/>
              </w:rPr>
            </w:pPr>
          </w:p>
        </w:tc>
        <w:tc>
          <w:tcPr>
            <w:tcW w:w="1418" w:type="dxa"/>
            <w:tcBorders>
              <w:top w:val="single" w:sz="18" w:space="0" w:color="auto"/>
              <w:bottom w:val="single" w:sz="18" w:space="0" w:color="auto"/>
            </w:tcBorders>
            <w:shd w:val="clear" w:color="auto" w:fill="F1F7ED"/>
            <w:vAlign w:val="center"/>
          </w:tcPr>
          <w:p w14:paraId="71711E9D" w14:textId="77777777" w:rsidR="00B801F4" w:rsidRPr="00B801F4" w:rsidRDefault="00B801F4" w:rsidP="00B801F4">
            <w:pPr>
              <w:jc w:val="right"/>
              <w:rPr>
                <w:rFonts w:cs="Arial"/>
              </w:rPr>
            </w:pPr>
            <w:r w:rsidRPr="00B801F4">
              <w:rPr>
                <w:rFonts w:cs="Arial"/>
              </w:rPr>
              <w:t>(375.7)</w:t>
            </w:r>
          </w:p>
        </w:tc>
        <w:tc>
          <w:tcPr>
            <w:tcW w:w="425" w:type="dxa"/>
            <w:tcBorders>
              <w:top w:val="nil"/>
              <w:bottom w:val="nil"/>
            </w:tcBorders>
            <w:shd w:val="clear" w:color="auto" w:fill="F1F7ED"/>
            <w:vAlign w:val="center"/>
          </w:tcPr>
          <w:p w14:paraId="1BB05D0F" w14:textId="77777777" w:rsidR="00B801F4" w:rsidRPr="00B801F4" w:rsidRDefault="00B801F4" w:rsidP="00B801F4">
            <w:pPr>
              <w:jc w:val="right"/>
              <w:rPr>
                <w:rFonts w:cs="Arial"/>
              </w:rPr>
            </w:pPr>
          </w:p>
        </w:tc>
        <w:tc>
          <w:tcPr>
            <w:tcW w:w="1418" w:type="dxa"/>
            <w:tcBorders>
              <w:top w:val="single" w:sz="18" w:space="0" w:color="auto"/>
              <w:bottom w:val="single" w:sz="18" w:space="0" w:color="auto"/>
              <w:right w:val="single" w:sz="2" w:space="0" w:color="auto"/>
            </w:tcBorders>
            <w:shd w:val="clear" w:color="auto" w:fill="F1F7ED"/>
            <w:vAlign w:val="center"/>
          </w:tcPr>
          <w:p w14:paraId="57EEC1C5" w14:textId="77777777" w:rsidR="00B801F4" w:rsidRPr="00B801F4" w:rsidRDefault="00B801F4" w:rsidP="00B801F4">
            <w:pPr>
              <w:jc w:val="right"/>
              <w:rPr>
                <w:rFonts w:cs="Arial"/>
              </w:rPr>
            </w:pPr>
            <w:r w:rsidRPr="00B801F4">
              <w:rPr>
                <w:rFonts w:cs="Arial"/>
              </w:rPr>
              <w:t>*(267.7)</w:t>
            </w:r>
          </w:p>
        </w:tc>
      </w:tr>
      <w:tr w:rsidR="00B801F4" w:rsidRPr="00B801F4" w14:paraId="0D6B4239" w14:textId="77777777" w:rsidTr="00B801F4">
        <w:trPr>
          <w:trHeight w:val="953"/>
        </w:trPr>
        <w:tc>
          <w:tcPr>
            <w:tcW w:w="5211" w:type="dxa"/>
            <w:tcBorders>
              <w:top w:val="nil"/>
              <w:left w:val="single" w:sz="2" w:space="0" w:color="auto"/>
              <w:bottom w:val="nil"/>
            </w:tcBorders>
            <w:shd w:val="clear" w:color="auto" w:fill="E2EFD9" w:themeFill="accent6" w:themeFillTint="33"/>
            <w:vAlign w:val="center"/>
          </w:tcPr>
          <w:p w14:paraId="114B566E" w14:textId="77777777" w:rsidR="00B801F4" w:rsidRPr="00B801F4" w:rsidRDefault="00B801F4" w:rsidP="00B801F4">
            <w:pPr>
              <w:jc w:val="left"/>
              <w:rPr>
                <w:rFonts w:cs="Arial"/>
                <w:b/>
              </w:rPr>
            </w:pPr>
            <w:r w:rsidRPr="00B801F4">
              <w:rPr>
                <w:rFonts w:cs="Arial"/>
                <w:b/>
              </w:rPr>
              <w:t>Net withdrawals from dealings with members</w:t>
            </w:r>
          </w:p>
        </w:tc>
        <w:tc>
          <w:tcPr>
            <w:tcW w:w="2157" w:type="dxa"/>
            <w:tcBorders>
              <w:top w:val="nil"/>
              <w:bottom w:val="nil"/>
            </w:tcBorders>
            <w:shd w:val="clear" w:color="auto" w:fill="E2EFD9" w:themeFill="accent6" w:themeFillTint="33"/>
            <w:vAlign w:val="center"/>
          </w:tcPr>
          <w:p w14:paraId="123F7F1F" w14:textId="77777777" w:rsidR="00B801F4" w:rsidRPr="00B801F4" w:rsidRDefault="00B801F4" w:rsidP="00B801F4">
            <w:pPr>
              <w:jc w:val="center"/>
              <w:rPr>
                <w:rFonts w:cs="Arial"/>
                <w:b/>
                <w:highlight w:val="yellow"/>
              </w:rPr>
            </w:pPr>
          </w:p>
        </w:tc>
        <w:tc>
          <w:tcPr>
            <w:tcW w:w="1418" w:type="dxa"/>
            <w:tcBorders>
              <w:top w:val="single" w:sz="18" w:space="0" w:color="auto"/>
              <w:bottom w:val="single" w:sz="18" w:space="0" w:color="auto"/>
            </w:tcBorders>
            <w:shd w:val="clear" w:color="auto" w:fill="E2EFD9" w:themeFill="accent6" w:themeFillTint="33"/>
            <w:vAlign w:val="center"/>
          </w:tcPr>
          <w:p w14:paraId="28FC94D7" w14:textId="77777777" w:rsidR="00B801F4" w:rsidRPr="00B801F4" w:rsidRDefault="00B801F4" w:rsidP="00B801F4">
            <w:pPr>
              <w:jc w:val="right"/>
              <w:rPr>
                <w:rFonts w:cs="Arial"/>
                <w:b/>
              </w:rPr>
            </w:pPr>
            <w:r w:rsidRPr="00B801F4">
              <w:rPr>
                <w:rFonts w:cs="Arial"/>
                <w:b/>
              </w:rPr>
              <w:t>(132.9)</w:t>
            </w:r>
          </w:p>
        </w:tc>
        <w:tc>
          <w:tcPr>
            <w:tcW w:w="425" w:type="dxa"/>
            <w:tcBorders>
              <w:top w:val="nil"/>
              <w:bottom w:val="nil"/>
            </w:tcBorders>
            <w:shd w:val="clear" w:color="auto" w:fill="E2EFD9" w:themeFill="accent6" w:themeFillTint="33"/>
            <w:vAlign w:val="center"/>
          </w:tcPr>
          <w:p w14:paraId="7CE6C801" w14:textId="77777777" w:rsidR="00B801F4" w:rsidRPr="00B801F4" w:rsidRDefault="00B801F4" w:rsidP="00B801F4">
            <w:pPr>
              <w:jc w:val="right"/>
              <w:rPr>
                <w:rFonts w:cs="Arial"/>
                <w:b/>
              </w:rPr>
            </w:pPr>
          </w:p>
        </w:tc>
        <w:tc>
          <w:tcPr>
            <w:tcW w:w="1418" w:type="dxa"/>
            <w:tcBorders>
              <w:top w:val="single" w:sz="18" w:space="0" w:color="auto"/>
              <w:bottom w:val="single" w:sz="18" w:space="0" w:color="auto"/>
              <w:right w:val="single" w:sz="2" w:space="0" w:color="auto"/>
            </w:tcBorders>
            <w:shd w:val="clear" w:color="auto" w:fill="E2EFD9" w:themeFill="accent6" w:themeFillTint="33"/>
            <w:vAlign w:val="center"/>
          </w:tcPr>
          <w:p w14:paraId="3C93CEA4" w14:textId="77777777" w:rsidR="00B801F4" w:rsidRPr="00B801F4" w:rsidRDefault="00B801F4" w:rsidP="00B801F4">
            <w:pPr>
              <w:jc w:val="right"/>
              <w:rPr>
                <w:rFonts w:cs="Arial"/>
                <w:b/>
              </w:rPr>
            </w:pPr>
            <w:r w:rsidRPr="00B801F4">
              <w:rPr>
                <w:rFonts w:cs="Arial"/>
                <w:b/>
              </w:rPr>
              <w:t>*(46.6)</w:t>
            </w:r>
          </w:p>
        </w:tc>
      </w:tr>
      <w:tr w:rsidR="00B801F4" w:rsidRPr="00B801F4" w14:paraId="3B5E8B60" w14:textId="77777777" w:rsidTr="00B801F4">
        <w:trPr>
          <w:trHeight w:val="835"/>
        </w:trPr>
        <w:tc>
          <w:tcPr>
            <w:tcW w:w="5211" w:type="dxa"/>
            <w:tcBorders>
              <w:top w:val="nil"/>
              <w:left w:val="single" w:sz="2" w:space="0" w:color="auto"/>
              <w:bottom w:val="nil"/>
            </w:tcBorders>
            <w:shd w:val="clear" w:color="auto" w:fill="F1F7ED"/>
            <w:vAlign w:val="center"/>
          </w:tcPr>
          <w:p w14:paraId="66D8339C" w14:textId="77777777" w:rsidR="00B801F4" w:rsidRPr="00B801F4" w:rsidRDefault="00B801F4" w:rsidP="00B801F4">
            <w:pPr>
              <w:jc w:val="left"/>
              <w:rPr>
                <w:rFonts w:cs="Arial"/>
                <w:b/>
              </w:rPr>
            </w:pPr>
            <w:r w:rsidRPr="00B801F4">
              <w:rPr>
                <w:rFonts w:cs="Arial"/>
                <w:b/>
              </w:rPr>
              <w:t>Returns on investments</w:t>
            </w:r>
          </w:p>
        </w:tc>
        <w:tc>
          <w:tcPr>
            <w:tcW w:w="2157" w:type="dxa"/>
            <w:tcBorders>
              <w:top w:val="nil"/>
              <w:bottom w:val="nil"/>
            </w:tcBorders>
            <w:shd w:val="clear" w:color="auto" w:fill="F1F7ED"/>
            <w:vAlign w:val="center"/>
          </w:tcPr>
          <w:p w14:paraId="0F40DCA3" w14:textId="77777777" w:rsidR="00B801F4" w:rsidRPr="00B801F4" w:rsidRDefault="00B801F4" w:rsidP="00B801F4">
            <w:pPr>
              <w:jc w:val="center"/>
              <w:rPr>
                <w:rFonts w:cs="Arial"/>
                <w:highlight w:val="yellow"/>
              </w:rPr>
            </w:pPr>
          </w:p>
        </w:tc>
        <w:tc>
          <w:tcPr>
            <w:tcW w:w="1418" w:type="dxa"/>
            <w:tcBorders>
              <w:top w:val="single" w:sz="18" w:space="0" w:color="auto"/>
              <w:bottom w:val="nil"/>
            </w:tcBorders>
            <w:shd w:val="clear" w:color="auto" w:fill="F1F7ED"/>
            <w:vAlign w:val="center"/>
          </w:tcPr>
          <w:p w14:paraId="465D2172" w14:textId="77777777" w:rsidR="00B801F4" w:rsidRPr="00B801F4" w:rsidRDefault="00B801F4" w:rsidP="00B801F4">
            <w:pPr>
              <w:jc w:val="right"/>
              <w:rPr>
                <w:rFonts w:cs="Arial"/>
              </w:rPr>
            </w:pPr>
          </w:p>
        </w:tc>
        <w:tc>
          <w:tcPr>
            <w:tcW w:w="425" w:type="dxa"/>
            <w:tcBorders>
              <w:top w:val="nil"/>
              <w:bottom w:val="nil"/>
            </w:tcBorders>
            <w:shd w:val="clear" w:color="auto" w:fill="F1F7ED"/>
            <w:vAlign w:val="center"/>
          </w:tcPr>
          <w:p w14:paraId="7DD8F025" w14:textId="77777777" w:rsidR="00B801F4" w:rsidRPr="00B801F4" w:rsidRDefault="00B801F4" w:rsidP="00B801F4">
            <w:pPr>
              <w:jc w:val="right"/>
              <w:rPr>
                <w:rFonts w:cs="Arial"/>
              </w:rPr>
            </w:pPr>
          </w:p>
        </w:tc>
        <w:tc>
          <w:tcPr>
            <w:tcW w:w="1418" w:type="dxa"/>
            <w:tcBorders>
              <w:top w:val="single" w:sz="18" w:space="0" w:color="auto"/>
              <w:bottom w:val="nil"/>
              <w:right w:val="single" w:sz="2" w:space="0" w:color="auto"/>
            </w:tcBorders>
            <w:shd w:val="clear" w:color="auto" w:fill="F1F7ED"/>
            <w:vAlign w:val="center"/>
          </w:tcPr>
          <w:p w14:paraId="0681C490" w14:textId="77777777" w:rsidR="00B801F4" w:rsidRPr="00B801F4" w:rsidRDefault="00B801F4" w:rsidP="00B801F4">
            <w:pPr>
              <w:jc w:val="right"/>
              <w:rPr>
                <w:rFonts w:cs="Arial"/>
              </w:rPr>
            </w:pPr>
          </w:p>
        </w:tc>
      </w:tr>
      <w:tr w:rsidR="00B801F4" w:rsidRPr="00B801F4" w14:paraId="05723EF9" w14:textId="77777777" w:rsidTr="00B801F4">
        <w:tc>
          <w:tcPr>
            <w:tcW w:w="5211" w:type="dxa"/>
            <w:tcBorders>
              <w:top w:val="nil"/>
              <w:left w:val="single" w:sz="2" w:space="0" w:color="auto"/>
              <w:bottom w:val="nil"/>
            </w:tcBorders>
            <w:vAlign w:val="center"/>
          </w:tcPr>
          <w:p w14:paraId="3515AB28" w14:textId="77777777" w:rsidR="00B801F4" w:rsidRPr="00B801F4" w:rsidRDefault="00B801F4" w:rsidP="00B801F4">
            <w:pPr>
              <w:jc w:val="left"/>
              <w:rPr>
                <w:rFonts w:cs="Arial"/>
              </w:rPr>
            </w:pPr>
            <w:r w:rsidRPr="00B801F4">
              <w:rPr>
                <w:rFonts w:cs="Arial"/>
              </w:rPr>
              <w:t>Investment income</w:t>
            </w:r>
          </w:p>
        </w:tc>
        <w:tc>
          <w:tcPr>
            <w:tcW w:w="2157" w:type="dxa"/>
            <w:tcBorders>
              <w:top w:val="nil"/>
              <w:bottom w:val="nil"/>
            </w:tcBorders>
            <w:vAlign w:val="center"/>
          </w:tcPr>
          <w:p w14:paraId="1B53E9BC" w14:textId="77777777" w:rsidR="00B801F4" w:rsidRPr="00B801F4" w:rsidRDefault="00B801F4" w:rsidP="00B801F4">
            <w:pPr>
              <w:jc w:val="center"/>
              <w:rPr>
                <w:rFonts w:cs="Arial"/>
                <w:highlight w:val="yellow"/>
              </w:rPr>
            </w:pPr>
            <w:r w:rsidRPr="00B801F4">
              <w:rPr>
                <w:rFonts w:cs="Arial"/>
              </w:rPr>
              <w:t>11</w:t>
            </w:r>
          </w:p>
        </w:tc>
        <w:tc>
          <w:tcPr>
            <w:tcW w:w="1418" w:type="dxa"/>
            <w:tcBorders>
              <w:top w:val="nil"/>
              <w:bottom w:val="nil"/>
            </w:tcBorders>
            <w:vAlign w:val="center"/>
          </w:tcPr>
          <w:p w14:paraId="7D3AA0B8" w14:textId="77777777" w:rsidR="00B801F4" w:rsidRPr="00B801F4" w:rsidRDefault="00B801F4" w:rsidP="00B801F4">
            <w:pPr>
              <w:jc w:val="right"/>
              <w:rPr>
                <w:rFonts w:cs="Arial"/>
              </w:rPr>
            </w:pPr>
            <w:r w:rsidRPr="00B801F4">
              <w:rPr>
                <w:rFonts w:cs="Arial"/>
              </w:rPr>
              <w:t>90.7</w:t>
            </w:r>
          </w:p>
        </w:tc>
        <w:tc>
          <w:tcPr>
            <w:tcW w:w="425" w:type="dxa"/>
            <w:tcBorders>
              <w:top w:val="nil"/>
              <w:bottom w:val="nil"/>
            </w:tcBorders>
            <w:vAlign w:val="center"/>
          </w:tcPr>
          <w:p w14:paraId="4D34A15D" w14:textId="77777777" w:rsidR="00B801F4" w:rsidRPr="00B801F4" w:rsidRDefault="00B801F4" w:rsidP="00B801F4">
            <w:pPr>
              <w:jc w:val="right"/>
              <w:rPr>
                <w:rFonts w:cs="Arial"/>
              </w:rPr>
            </w:pPr>
          </w:p>
        </w:tc>
        <w:tc>
          <w:tcPr>
            <w:tcW w:w="1418" w:type="dxa"/>
            <w:tcBorders>
              <w:top w:val="nil"/>
              <w:bottom w:val="nil"/>
              <w:right w:val="single" w:sz="2" w:space="0" w:color="auto"/>
            </w:tcBorders>
            <w:vAlign w:val="center"/>
          </w:tcPr>
          <w:p w14:paraId="771F43A0" w14:textId="77777777" w:rsidR="00B801F4" w:rsidRPr="00B801F4" w:rsidRDefault="00B801F4" w:rsidP="00B801F4">
            <w:pPr>
              <w:jc w:val="right"/>
              <w:rPr>
                <w:rFonts w:cs="Arial"/>
              </w:rPr>
            </w:pPr>
            <w:r w:rsidRPr="00B801F4">
              <w:rPr>
                <w:rFonts w:cs="Arial"/>
              </w:rPr>
              <w:t>105.3</w:t>
            </w:r>
          </w:p>
        </w:tc>
      </w:tr>
      <w:tr w:rsidR="00B801F4" w:rsidRPr="00B801F4" w14:paraId="0CA5D97F" w14:textId="77777777" w:rsidTr="00B801F4">
        <w:trPr>
          <w:trHeight w:val="1329"/>
        </w:trPr>
        <w:tc>
          <w:tcPr>
            <w:tcW w:w="5211" w:type="dxa"/>
            <w:tcBorders>
              <w:top w:val="nil"/>
              <w:left w:val="single" w:sz="2" w:space="0" w:color="auto"/>
              <w:bottom w:val="nil"/>
            </w:tcBorders>
            <w:vAlign w:val="center"/>
          </w:tcPr>
          <w:p w14:paraId="0AE69507" w14:textId="77777777" w:rsidR="00B801F4" w:rsidRPr="00B801F4" w:rsidRDefault="00B801F4" w:rsidP="00B801F4">
            <w:pPr>
              <w:jc w:val="left"/>
              <w:rPr>
                <w:rFonts w:cs="Arial"/>
              </w:rPr>
            </w:pPr>
            <w:r w:rsidRPr="00B801F4">
              <w:rPr>
                <w:rFonts w:cs="Arial"/>
              </w:rPr>
              <w:t>Profit and losses on disposal of investments and changes in the market value of investments</w:t>
            </w:r>
          </w:p>
        </w:tc>
        <w:tc>
          <w:tcPr>
            <w:tcW w:w="2157" w:type="dxa"/>
            <w:tcBorders>
              <w:top w:val="nil"/>
              <w:bottom w:val="nil"/>
            </w:tcBorders>
            <w:vAlign w:val="center"/>
          </w:tcPr>
          <w:p w14:paraId="4AEFD45B" w14:textId="77777777" w:rsidR="00B801F4" w:rsidRPr="00B801F4" w:rsidRDefault="00B801F4" w:rsidP="00B801F4">
            <w:pPr>
              <w:jc w:val="center"/>
              <w:rPr>
                <w:rFonts w:cs="Arial"/>
                <w:highlight w:val="yellow"/>
              </w:rPr>
            </w:pPr>
            <w:r w:rsidRPr="00B801F4">
              <w:rPr>
                <w:rFonts w:cs="Arial"/>
              </w:rPr>
              <w:t>14</w:t>
            </w:r>
          </w:p>
        </w:tc>
        <w:tc>
          <w:tcPr>
            <w:tcW w:w="1418" w:type="dxa"/>
            <w:tcBorders>
              <w:top w:val="nil"/>
              <w:bottom w:val="single" w:sz="18" w:space="0" w:color="auto"/>
            </w:tcBorders>
            <w:vAlign w:val="center"/>
          </w:tcPr>
          <w:p w14:paraId="6DB28458" w14:textId="77777777" w:rsidR="00B801F4" w:rsidRPr="00B801F4" w:rsidRDefault="00B801F4" w:rsidP="00B801F4">
            <w:pPr>
              <w:jc w:val="right"/>
              <w:rPr>
                <w:rFonts w:cs="Arial"/>
              </w:rPr>
            </w:pPr>
            <w:r w:rsidRPr="00B801F4">
              <w:rPr>
                <w:rFonts w:cs="Arial"/>
              </w:rPr>
              <w:t>684.7</w:t>
            </w:r>
          </w:p>
        </w:tc>
        <w:tc>
          <w:tcPr>
            <w:tcW w:w="425" w:type="dxa"/>
            <w:tcBorders>
              <w:top w:val="nil"/>
              <w:bottom w:val="nil"/>
            </w:tcBorders>
            <w:vAlign w:val="center"/>
          </w:tcPr>
          <w:p w14:paraId="748C0346" w14:textId="77777777" w:rsidR="00B801F4" w:rsidRPr="00B801F4" w:rsidRDefault="00B801F4" w:rsidP="00B801F4">
            <w:pPr>
              <w:jc w:val="right"/>
              <w:rPr>
                <w:rFonts w:cs="Arial"/>
              </w:rPr>
            </w:pPr>
          </w:p>
        </w:tc>
        <w:tc>
          <w:tcPr>
            <w:tcW w:w="1418" w:type="dxa"/>
            <w:tcBorders>
              <w:top w:val="nil"/>
              <w:bottom w:val="single" w:sz="18" w:space="0" w:color="auto"/>
              <w:right w:val="single" w:sz="2" w:space="0" w:color="auto"/>
            </w:tcBorders>
            <w:vAlign w:val="center"/>
          </w:tcPr>
          <w:p w14:paraId="3A66966E" w14:textId="77777777" w:rsidR="00B801F4" w:rsidRPr="00B801F4" w:rsidRDefault="00B801F4" w:rsidP="00B801F4">
            <w:pPr>
              <w:jc w:val="right"/>
              <w:rPr>
                <w:rFonts w:cs="Arial"/>
              </w:rPr>
            </w:pPr>
            <w:r w:rsidRPr="00B801F4">
              <w:rPr>
                <w:rFonts w:cs="Arial"/>
              </w:rPr>
              <w:t>*118.4</w:t>
            </w:r>
          </w:p>
        </w:tc>
      </w:tr>
      <w:tr w:rsidR="00B801F4" w:rsidRPr="00B801F4" w14:paraId="13C55302" w14:textId="77777777" w:rsidTr="00B801F4">
        <w:trPr>
          <w:trHeight w:val="582"/>
        </w:trPr>
        <w:tc>
          <w:tcPr>
            <w:tcW w:w="5211" w:type="dxa"/>
            <w:tcBorders>
              <w:top w:val="nil"/>
              <w:left w:val="single" w:sz="2" w:space="0" w:color="auto"/>
              <w:bottom w:val="nil"/>
            </w:tcBorders>
            <w:shd w:val="clear" w:color="auto" w:fill="E2EFD9" w:themeFill="accent6" w:themeFillTint="33"/>
            <w:vAlign w:val="center"/>
          </w:tcPr>
          <w:p w14:paraId="5195A751" w14:textId="77777777" w:rsidR="00B801F4" w:rsidRPr="00B801F4" w:rsidRDefault="00B801F4" w:rsidP="00B801F4">
            <w:pPr>
              <w:jc w:val="left"/>
              <w:rPr>
                <w:rFonts w:cs="Arial"/>
                <w:b/>
              </w:rPr>
            </w:pPr>
            <w:r w:rsidRPr="00B801F4">
              <w:rPr>
                <w:rFonts w:cs="Arial"/>
                <w:b/>
              </w:rPr>
              <w:t>Net return on investments</w:t>
            </w:r>
          </w:p>
        </w:tc>
        <w:tc>
          <w:tcPr>
            <w:tcW w:w="2157" w:type="dxa"/>
            <w:tcBorders>
              <w:top w:val="nil"/>
              <w:bottom w:val="nil"/>
            </w:tcBorders>
            <w:shd w:val="clear" w:color="auto" w:fill="E2EFD9" w:themeFill="accent6" w:themeFillTint="33"/>
            <w:vAlign w:val="center"/>
          </w:tcPr>
          <w:p w14:paraId="7540A185" w14:textId="77777777" w:rsidR="00B801F4" w:rsidRPr="00B801F4" w:rsidRDefault="00B801F4" w:rsidP="00B801F4">
            <w:pPr>
              <w:jc w:val="center"/>
              <w:rPr>
                <w:rFonts w:cs="Arial"/>
                <w:b/>
              </w:rPr>
            </w:pPr>
          </w:p>
        </w:tc>
        <w:tc>
          <w:tcPr>
            <w:tcW w:w="1418" w:type="dxa"/>
            <w:tcBorders>
              <w:top w:val="single" w:sz="18" w:space="0" w:color="auto"/>
              <w:bottom w:val="single" w:sz="18" w:space="0" w:color="auto"/>
            </w:tcBorders>
            <w:shd w:val="clear" w:color="auto" w:fill="E2EFD9" w:themeFill="accent6" w:themeFillTint="33"/>
            <w:vAlign w:val="center"/>
          </w:tcPr>
          <w:p w14:paraId="4B815604" w14:textId="77777777" w:rsidR="00B801F4" w:rsidRPr="00B801F4" w:rsidRDefault="00B801F4" w:rsidP="00B801F4">
            <w:pPr>
              <w:jc w:val="right"/>
              <w:rPr>
                <w:rFonts w:cs="Arial"/>
                <w:b/>
              </w:rPr>
            </w:pPr>
            <w:r w:rsidRPr="00B801F4">
              <w:rPr>
                <w:rFonts w:cs="Arial"/>
                <w:b/>
              </w:rPr>
              <w:t>775.4</w:t>
            </w:r>
          </w:p>
        </w:tc>
        <w:tc>
          <w:tcPr>
            <w:tcW w:w="425" w:type="dxa"/>
            <w:tcBorders>
              <w:top w:val="nil"/>
              <w:bottom w:val="nil"/>
            </w:tcBorders>
            <w:shd w:val="clear" w:color="auto" w:fill="E2EFD9" w:themeFill="accent6" w:themeFillTint="33"/>
            <w:vAlign w:val="center"/>
          </w:tcPr>
          <w:p w14:paraId="3BCDA41B" w14:textId="77777777" w:rsidR="00B801F4" w:rsidRPr="00B801F4" w:rsidRDefault="00B801F4" w:rsidP="00B801F4">
            <w:pPr>
              <w:jc w:val="right"/>
              <w:rPr>
                <w:rFonts w:cs="Arial"/>
                <w:b/>
              </w:rPr>
            </w:pPr>
          </w:p>
        </w:tc>
        <w:tc>
          <w:tcPr>
            <w:tcW w:w="1418" w:type="dxa"/>
            <w:tcBorders>
              <w:top w:val="single" w:sz="18" w:space="0" w:color="auto"/>
              <w:bottom w:val="single" w:sz="18" w:space="0" w:color="auto"/>
              <w:right w:val="single" w:sz="2" w:space="0" w:color="auto"/>
            </w:tcBorders>
            <w:shd w:val="clear" w:color="auto" w:fill="E2EFD9" w:themeFill="accent6" w:themeFillTint="33"/>
            <w:vAlign w:val="center"/>
          </w:tcPr>
          <w:p w14:paraId="5B1D72AE" w14:textId="77777777" w:rsidR="00B801F4" w:rsidRPr="00B801F4" w:rsidRDefault="00B801F4" w:rsidP="00B801F4">
            <w:pPr>
              <w:jc w:val="right"/>
              <w:rPr>
                <w:rFonts w:cs="Arial"/>
                <w:b/>
              </w:rPr>
            </w:pPr>
            <w:r w:rsidRPr="00B801F4">
              <w:rPr>
                <w:rFonts w:cs="Arial"/>
                <w:b/>
              </w:rPr>
              <w:t>*223.7</w:t>
            </w:r>
          </w:p>
        </w:tc>
      </w:tr>
      <w:tr w:rsidR="00B801F4" w:rsidRPr="00B801F4" w14:paraId="6CC063F4" w14:textId="77777777" w:rsidTr="00B801F4">
        <w:trPr>
          <w:trHeight w:val="1089"/>
        </w:trPr>
        <w:tc>
          <w:tcPr>
            <w:tcW w:w="5211" w:type="dxa"/>
            <w:tcBorders>
              <w:top w:val="nil"/>
              <w:left w:val="single" w:sz="2" w:space="0" w:color="auto"/>
              <w:bottom w:val="nil"/>
            </w:tcBorders>
            <w:shd w:val="clear" w:color="auto" w:fill="C5E0B3" w:themeFill="accent6" w:themeFillTint="66"/>
            <w:vAlign w:val="center"/>
          </w:tcPr>
          <w:p w14:paraId="140E2662" w14:textId="77777777" w:rsidR="00B801F4" w:rsidRPr="00B801F4" w:rsidRDefault="00B801F4" w:rsidP="00B801F4">
            <w:pPr>
              <w:jc w:val="left"/>
              <w:rPr>
                <w:rFonts w:cs="Arial"/>
                <w:b/>
              </w:rPr>
            </w:pPr>
            <w:r w:rsidRPr="00B801F4">
              <w:rPr>
                <w:rFonts w:cs="Arial"/>
                <w:b/>
              </w:rPr>
              <w:t>Net increase / (decrease) in the net assets available for benefits during the year</w:t>
            </w:r>
          </w:p>
        </w:tc>
        <w:tc>
          <w:tcPr>
            <w:tcW w:w="2157" w:type="dxa"/>
            <w:tcBorders>
              <w:top w:val="nil"/>
              <w:bottom w:val="nil"/>
            </w:tcBorders>
            <w:shd w:val="clear" w:color="auto" w:fill="C5E0B3" w:themeFill="accent6" w:themeFillTint="66"/>
            <w:vAlign w:val="center"/>
          </w:tcPr>
          <w:p w14:paraId="7DE328FB" w14:textId="77777777" w:rsidR="00B801F4" w:rsidRPr="00B801F4" w:rsidRDefault="00B801F4" w:rsidP="00B801F4">
            <w:pPr>
              <w:jc w:val="center"/>
              <w:rPr>
                <w:rFonts w:cs="Arial"/>
                <w:b/>
              </w:rPr>
            </w:pPr>
          </w:p>
        </w:tc>
        <w:tc>
          <w:tcPr>
            <w:tcW w:w="1418" w:type="dxa"/>
            <w:tcBorders>
              <w:top w:val="single" w:sz="18" w:space="0" w:color="auto"/>
              <w:bottom w:val="single" w:sz="18" w:space="0" w:color="auto"/>
            </w:tcBorders>
            <w:shd w:val="clear" w:color="auto" w:fill="C5E0B3" w:themeFill="accent6" w:themeFillTint="66"/>
            <w:vAlign w:val="center"/>
          </w:tcPr>
          <w:p w14:paraId="0EA82BE8" w14:textId="77777777" w:rsidR="00B801F4" w:rsidRPr="00B801F4" w:rsidRDefault="00B801F4" w:rsidP="00B801F4">
            <w:pPr>
              <w:jc w:val="right"/>
              <w:rPr>
                <w:rFonts w:cs="Arial"/>
                <w:b/>
              </w:rPr>
            </w:pPr>
            <w:r w:rsidRPr="00B801F4">
              <w:rPr>
                <w:rFonts w:cs="Arial"/>
                <w:b/>
              </w:rPr>
              <w:t>642.5</w:t>
            </w:r>
          </w:p>
        </w:tc>
        <w:tc>
          <w:tcPr>
            <w:tcW w:w="425" w:type="dxa"/>
            <w:tcBorders>
              <w:top w:val="nil"/>
              <w:bottom w:val="nil"/>
            </w:tcBorders>
            <w:shd w:val="clear" w:color="auto" w:fill="C5E0B3" w:themeFill="accent6" w:themeFillTint="66"/>
            <w:vAlign w:val="center"/>
          </w:tcPr>
          <w:p w14:paraId="64A92D89" w14:textId="77777777" w:rsidR="00B801F4" w:rsidRPr="00B801F4" w:rsidRDefault="00B801F4" w:rsidP="00B801F4">
            <w:pPr>
              <w:jc w:val="right"/>
              <w:rPr>
                <w:rFonts w:cs="Arial"/>
                <w:b/>
              </w:rPr>
            </w:pPr>
          </w:p>
        </w:tc>
        <w:tc>
          <w:tcPr>
            <w:tcW w:w="1418" w:type="dxa"/>
            <w:tcBorders>
              <w:top w:val="single" w:sz="18" w:space="0" w:color="auto"/>
              <w:bottom w:val="single" w:sz="18" w:space="0" w:color="auto"/>
              <w:right w:val="single" w:sz="2" w:space="0" w:color="auto"/>
            </w:tcBorders>
            <w:shd w:val="clear" w:color="auto" w:fill="C5E0B3" w:themeFill="accent6" w:themeFillTint="66"/>
            <w:vAlign w:val="center"/>
          </w:tcPr>
          <w:p w14:paraId="4944BAD5" w14:textId="77777777" w:rsidR="00B801F4" w:rsidRPr="00B801F4" w:rsidRDefault="00B801F4" w:rsidP="00B801F4">
            <w:pPr>
              <w:jc w:val="right"/>
              <w:rPr>
                <w:rFonts w:cs="Arial"/>
                <w:b/>
              </w:rPr>
            </w:pPr>
            <w:r w:rsidRPr="00B801F4">
              <w:rPr>
                <w:rFonts w:cs="Arial"/>
                <w:b/>
              </w:rPr>
              <w:t>177.1</w:t>
            </w:r>
          </w:p>
        </w:tc>
      </w:tr>
      <w:tr w:rsidR="00B801F4" w:rsidRPr="00B801F4" w14:paraId="5654325E" w14:textId="77777777" w:rsidTr="00B801F4">
        <w:trPr>
          <w:trHeight w:val="679"/>
        </w:trPr>
        <w:tc>
          <w:tcPr>
            <w:tcW w:w="5211" w:type="dxa"/>
            <w:tcBorders>
              <w:top w:val="nil"/>
              <w:left w:val="single" w:sz="2" w:space="0" w:color="auto"/>
              <w:bottom w:val="single" w:sz="2" w:space="0" w:color="auto"/>
            </w:tcBorders>
            <w:shd w:val="clear" w:color="auto" w:fill="C5E0B3" w:themeFill="accent6" w:themeFillTint="66"/>
            <w:vAlign w:val="center"/>
          </w:tcPr>
          <w:p w14:paraId="2BC77B08" w14:textId="77777777" w:rsidR="00B801F4" w:rsidRPr="00B801F4" w:rsidRDefault="00B801F4" w:rsidP="00B801F4">
            <w:pPr>
              <w:jc w:val="left"/>
              <w:rPr>
                <w:rFonts w:cs="Arial"/>
                <w:b/>
              </w:rPr>
            </w:pPr>
          </w:p>
          <w:p w14:paraId="1EC7B142" w14:textId="77777777" w:rsidR="00B801F4" w:rsidRPr="00B801F4" w:rsidRDefault="00B801F4" w:rsidP="00B801F4">
            <w:pPr>
              <w:jc w:val="left"/>
              <w:rPr>
                <w:rFonts w:cs="Arial"/>
                <w:b/>
              </w:rPr>
            </w:pPr>
          </w:p>
          <w:p w14:paraId="6DE7F229" w14:textId="77777777" w:rsidR="00B801F4" w:rsidRPr="00B801F4" w:rsidRDefault="00B801F4" w:rsidP="00B801F4">
            <w:pPr>
              <w:jc w:val="left"/>
              <w:rPr>
                <w:rFonts w:cs="Arial"/>
                <w:b/>
              </w:rPr>
            </w:pPr>
            <w:r w:rsidRPr="00B801F4">
              <w:rPr>
                <w:rFonts w:cs="Arial"/>
                <w:b/>
              </w:rPr>
              <w:t>*</w:t>
            </w:r>
            <w:r w:rsidRPr="00B801F4">
              <w:rPr>
                <w:rFonts w:cs="Arial"/>
                <w:sz w:val="20"/>
                <w:szCs w:val="20"/>
              </w:rPr>
              <w:t>Prior year restated to include all investment fees directly incurred by the Fund, including those charged on pooled fund investments previously accounted for within the</w:t>
            </w:r>
            <w:r w:rsidRPr="00B801F4">
              <w:rPr>
                <w:rFonts w:eastAsia="Times New Roman" w:cs="Arial"/>
                <w:lang w:eastAsia="en-GB"/>
              </w:rPr>
              <w:t xml:space="preserve"> </w:t>
            </w:r>
            <w:r w:rsidRPr="00B801F4">
              <w:rPr>
                <w:rFonts w:cs="Arial"/>
                <w:sz w:val="20"/>
                <w:szCs w:val="20"/>
              </w:rPr>
              <w:t>valuation of investments.</w:t>
            </w:r>
          </w:p>
        </w:tc>
        <w:tc>
          <w:tcPr>
            <w:tcW w:w="2157" w:type="dxa"/>
            <w:tcBorders>
              <w:top w:val="nil"/>
              <w:bottom w:val="single" w:sz="2" w:space="0" w:color="auto"/>
            </w:tcBorders>
            <w:shd w:val="clear" w:color="auto" w:fill="C5E0B3" w:themeFill="accent6" w:themeFillTint="66"/>
            <w:vAlign w:val="center"/>
          </w:tcPr>
          <w:p w14:paraId="76421025" w14:textId="77777777" w:rsidR="00B801F4" w:rsidRPr="00B801F4" w:rsidRDefault="00B801F4" w:rsidP="00B801F4">
            <w:pPr>
              <w:jc w:val="center"/>
              <w:rPr>
                <w:rFonts w:cs="Arial"/>
                <w:b/>
              </w:rPr>
            </w:pPr>
          </w:p>
        </w:tc>
        <w:tc>
          <w:tcPr>
            <w:tcW w:w="1418" w:type="dxa"/>
            <w:tcBorders>
              <w:top w:val="single" w:sz="18" w:space="0" w:color="auto"/>
              <w:bottom w:val="single" w:sz="2" w:space="0" w:color="auto"/>
            </w:tcBorders>
            <w:shd w:val="clear" w:color="auto" w:fill="C5E0B3" w:themeFill="accent6" w:themeFillTint="66"/>
            <w:vAlign w:val="center"/>
          </w:tcPr>
          <w:p w14:paraId="5F724204" w14:textId="77777777" w:rsidR="00B801F4" w:rsidRPr="00B801F4" w:rsidRDefault="00B801F4" w:rsidP="00B801F4">
            <w:pPr>
              <w:jc w:val="right"/>
              <w:rPr>
                <w:rFonts w:cs="Arial"/>
                <w:b/>
              </w:rPr>
            </w:pPr>
          </w:p>
        </w:tc>
        <w:tc>
          <w:tcPr>
            <w:tcW w:w="425" w:type="dxa"/>
            <w:tcBorders>
              <w:top w:val="nil"/>
              <w:bottom w:val="single" w:sz="2" w:space="0" w:color="auto"/>
            </w:tcBorders>
            <w:shd w:val="clear" w:color="auto" w:fill="C5E0B3" w:themeFill="accent6" w:themeFillTint="66"/>
            <w:vAlign w:val="center"/>
          </w:tcPr>
          <w:p w14:paraId="3D5B86EB" w14:textId="77777777" w:rsidR="00B801F4" w:rsidRPr="00B801F4" w:rsidRDefault="00B801F4" w:rsidP="00B801F4">
            <w:pPr>
              <w:jc w:val="right"/>
              <w:rPr>
                <w:rFonts w:cs="Arial"/>
                <w:b/>
              </w:rPr>
            </w:pPr>
          </w:p>
        </w:tc>
        <w:tc>
          <w:tcPr>
            <w:tcW w:w="1418" w:type="dxa"/>
            <w:tcBorders>
              <w:top w:val="single" w:sz="18" w:space="0" w:color="auto"/>
              <w:bottom w:val="single" w:sz="2" w:space="0" w:color="auto"/>
              <w:right w:val="single" w:sz="2" w:space="0" w:color="auto"/>
            </w:tcBorders>
            <w:shd w:val="clear" w:color="auto" w:fill="C5E0B3" w:themeFill="accent6" w:themeFillTint="66"/>
            <w:vAlign w:val="center"/>
          </w:tcPr>
          <w:p w14:paraId="7B53BBAF" w14:textId="77777777" w:rsidR="00B801F4" w:rsidRPr="00B801F4" w:rsidRDefault="00B801F4" w:rsidP="00B801F4">
            <w:pPr>
              <w:jc w:val="right"/>
              <w:rPr>
                <w:rFonts w:cs="Arial"/>
                <w:b/>
              </w:rPr>
            </w:pPr>
          </w:p>
        </w:tc>
      </w:tr>
    </w:tbl>
    <w:p w14:paraId="771D1B7C" w14:textId="77777777" w:rsidR="00B801F4" w:rsidRPr="00B801F4" w:rsidRDefault="00B801F4" w:rsidP="00B801F4">
      <w:pPr>
        <w:rPr>
          <w:color w:val="auto"/>
        </w:rPr>
      </w:pPr>
    </w:p>
    <w:p w14:paraId="32B44DFF" w14:textId="77777777" w:rsidR="00B801F4" w:rsidRPr="00B801F4" w:rsidRDefault="00B801F4" w:rsidP="00B801F4">
      <w:pPr>
        <w:rPr>
          <w:color w:val="auto"/>
        </w:rPr>
      </w:pPr>
    </w:p>
    <w:p w14:paraId="4A21037B" w14:textId="77777777" w:rsidR="00B801F4" w:rsidRPr="00B801F4" w:rsidRDefault="00B801F4" w:rsidP="00B801F4">
      <w:pPr>
        <w:keepNext/>
        <w:spacing w:line="360" w:lineRule="auto"/>
        <w:jc w:val="center"/>
        <w:outlineLvl w:val="4"/>
        <w:rPr>
          <w:rFonts w:cs="Arial"/>
          <w:b/>
          <w:bCs/>
          <w:sz w:val="40"/>
          <w:szCs w:val="40"/>
        </w:rPr>
      </w:pPr>
      <w:r w:rsidRPr="00B801F4">
        <w:rPr>
          <w:rFonts w:cs="Arial"/>
          <w:b/>
          <w:bCs/>
          <w:sz w:val="40"/>
          <w:szCs w:val="40"/>
        </w:rPr>
        <w:t>Lancashire County Pension Fund</w:t>
      </w:r>
    </w:p>
    <w:p w14:paraId="6F8F6956" w14:textId="77777777" w:rsidR="00B801F4" w:rsidRPr="00B801F4" w:rsidRDefault="00B801F4" w:rsidP="00B801F4">
      <w:pPr>
        <w:keepNext/>
        <w:spacing w:line="360" w:lineRule="auto"/>
        <w:jc w:val="center"/>
        <w:outlineLvl w:val="4"/>
        <w:rPr>
          <w:rFonts w:cs="Arial"/>
          <w:b/>
          <w:bCs/>
          <w:sz w:val="40"/>
          <w:szCs w:val="40"/>
        </w:rPr>
      </w:pPr>
      <w:r w:rsidRPr="00B801F4">
        <w:rPr>
          <w:rFonts w:cs="Arial"/>
          <w:b/>
          <w:bCs/>
          <w:sz w:val="40"/>
          <w:szCs w:val="40"/>
        </w:rPr>
        <w:t xml:space="preserve">Net assets statement </w:t>
      </w:r>
    </w:p>
    <w:p w14:paraId="6BC8F868" w14:textId="77777777" w:rsidR="00B801F4" w:rsidRPr="00B801F4" w:rsidRDefault="00B801F4" w:rsidP="00B801F4">
      <w:pPr>
        <w:keepNext/>
        <w:spacing w:line="360" w:lineRule="auto"/>
        <w:jc w:val="center"/>
        <w:outlineLvl w:val="4"/>
        <w:rPr>
          <w:rFonts w:cs="Arial"/>
          <w:b/>
          <w:bCs/>
          <w:sz w:val="40"/>
          <w:szCs w:val="40"/>
        </w:rPr>
      </w:pPr>
      <w:r w:rsidRPr="00B801F4">
        <w:rPr>
          <w:rFonts w:cs="Arial"/>
          <w:b/>
          <w:bCs/>
          <w:sz w:val="40"/>
          <w:szCs w:val="40"/>
        </w:rPr>
        <w:t>as at 31 March 2015</w:t>
      </w:r>
    </w:p>
    <w:p w14:paraId="17EEAAD7" w14:textId="77777777" w:rsidR="00B801F4" w:rsidRPr="00B801F4" w:rsidRDefault="00B801F4" w:rsidP="00B801F4"/>
    <w:p w14:paraId="3A1CB3BA" w14:textId="77777777" w:rsidR="00B801F4" w:rsidRPr="00B801F4" w:rsidRDefault="00B801F4" w:rsidP="00B801F4">
      <w:pPr>
        <w:jc w:val="right"/>
        <w:rPr>
          <w:rFonts w:cs="Arial"/>
          <w:b/>
        </w:rPr>
      </w:pPr>
    </w:p>
    <w:tbl>
      <w:tblPr>
        <w:tblStyle w:val="TableGrid1"/>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2268"/>
        <w:gridCol w:w="142"/>
        <w:gridCol w:w="1559"/>
        <w:gridCol w:w="709"/>
        <w:gridCol w:w="1522"/>
      </w:tblGrid>
      <w:tr w:rsidR="00B801F4" w:rsidRPr="00B801F4" w14:paraId="0009A869" w14:textId="77777777" w:rsidTr="00B801F4">
        <w:tc>
          <w:tcPr>
            <w:tcW w:w="4250" w:type="dxa"/>
            <w:tcBorders>
              <w:top w:val="single" w:sz="2" w:space="0" w:color="auto"/>
              <w:bottom w:val="nil"/>
            </w:tcBorders>
            <w:shd w:val="clear" w:color="auto" w:fill="A8D08D" w:themeFill="accent6" w:themeFillTint="99"/>
          </w:tcPr>
          <w:p w14:paraId="7A27B431" w14:textId="77777777" w:rsidR="00B801F4" w:rsidRPr="00B801F4" w:rsidRDefault="00B801F4" w:rsidP="00B801F4">
            <w:pPr>
              <w:jc w:val="left"/>
              <w:rPr>
                <w:b/>
              </w:rPr>
            </w:pPr>
          </w:p>
        </w:tc>
        <w:tc>
          <w:tcPr>
            <w:tcW w:w="2268" w:type="dxa"/>
            <w:tcBorders>
              <w:top w:val="single" w:sz="2" w:space="0" w:color="auto"/>
              <w:bottom w:val="nil"/>
            </w:tcBorders>
            <w:shd w:val="clear" w:color="auto" w:fill="A8D08D" w:themeFill="accent6" w:themeFillTint="99"/>
          </w:tcPr>
          <w:p w14:paraId="6038C2E5" w14:textId="77777777" w:rsidR="00B801F4" w:rsidRPr="00B801F4" w:rsidRDefault="00B801F4" w:rsidP="00B801F4">
            <w:pPr>
              <w:jc w:val="center"/>
              <w:rPr>
                <w:b/>
              </w:rPr>
            </w:pPr>
          </w:p>
        </w:tc>
        <w:tc>
          <w:tcPr>
            <w:tcW w:w="1701" w:type="dxa"/>
            <w:gridSpan w:val="2"/>
            <w:tcBorders>
              <w:top w:val="single" w:sz="2" w:space="0" w:color="auto"/>
              <w:bottom w:val="nil"/>
            </w:tcBorders>
            <w:shd w:val="clear" w:color="auto" w:fill="A8D08D" w:themeFill="accent6" w:themeFillTint="99"/>
          </w:tcPr>
          <w:p w14:paraId="7C99B835" w14:textId="77777777" w:rsidR="00B801F4" w:rsidRPr="00B801F4" w:rsidRDefault="00B801F4" w:rsidP="00B801F4">
            <w:pPr>
              <w:jc w:val="right"/>
              <w:rPr>
                <w:b/>
              </w:rPr>
            </w:pPr>
            <w:r w:rsidRPr="00B801F4">
              <w:rPr>
                <w:b/>
              </w:rPr>
              <w:t>31/03/15</w:t>
            </w:r>
          </w:p>
        </w:tc>
        <w:tc>
          <w:tcPr>
            <w:tcW w:w="709" w:type="dxa"/>
            <w:tcBorders>
              <w:top w:val="single" w:sz="2" w:space="0" w:color="auto"/>
              <w:bottom w:val="nil"/>
            </w:tcBorders>
            <w:shd w:val="clear" w:color="auto" w:fill="A8D08D" w:themeFill="accent6" w:themeFillTint="99"/>
          </w:tcPr>
          <w:p w14:paraId="303CD479" w14:textId="77777777" w:rsidR="00B801F4" w:rsidRPr="00B801F4" w:rsidRDefault="00B801F4" w:rsidP="00B801F4">
            <w:pPr>
              <w:jc w:val="right"/>
              <w:rPr>
                <w:b/>
              </w:rPr>
            </w:pPr>
          </w:p>
        </w:tc>
        <w:tc>
          <w:tcPr>
            <w:tcW w:w="1522" w:type="dxa"/>
            <w:tcBorders>
              <w:top w:val="single" w:sz="2" w:space="0" w:color="auto"/>
              <w:bottom w:val="nil"/>
            </w:tcBorders>
            <w:shd w:val="clear" w:color="auto" w:fill="A8D08D" w:themeFill="accent6" w:themeFillTint="99"/>
          </w:tcPr>
          <w:p w14:paraId="28AFEC51" w14:textId="77777777" w:rsidR="00B801F4" w:rsidRPr="00B801F4" w:rsidRDefault="00B801F4" w:rsidP="00B801F4">
            <w:pPr>
              <w:jc w:val="right"/>
              <w:rPr>
                <w:b/>
              </w:rPr>
            </w:pPr>
            <w:r w:rsidRPr="00B801F4">
              <w:rPr>
                <w:b/>
              </w:rPr>
              <w:t>31/03/14</w:t>
            </w:r>
          </w:p>
        </w:tc>
      </w:tr>
      <w:tr w:rsidR="00B801F4" w:rsidRPr="00B801F4" w14:paraId="33E9DB90" w14:textId="77777777" w:rsidTr="00B801F4">
        <w:trPr>
          <w:trHeight w:val="498"/>
        </w:trPr>
        <w:tc>
          <w:tcPr>
            <w:tcW w:w="4250" w:type="dxa"/>
            <w:tcBorders>
              <w:top w:val="nil"/>
              <w:bottom w:val="single" w:sz="2" w:space="0" w:color="auto"/>
            </w:tcBorders>
            <w:shd w:val="clear" w:color="auto" w:fill="A8D08D" w:themeFill="accent6" w:themeFillTint="99"/>
          </w:tcPr>
          <w:p w14:paraId="0D8E747A" w14:textId="77777777" w:rsidR="00B801F4" w:rsidRPr="00B801F4" w:rsidRDefault="00B801F4" w:rsidP="00B801F4">
            <w:pPr>
              <w:jc w:val="left"/>
              <w:rPr>
                <w:b/>
              </w:rPr>
            </w:pPr>
          </w:p>
        </w:tc>
        <w:tc>
          <w:tcPr>
            <w:tcW w:w="2268" w:type="dxa"/>
            <w:tcBorders>
              <w:top w:val="nil"/>
              <w:bottom w:val="single" w:sz="2" w:space="0" w:color="auto"/>
            </w:tcBorders>
            <w:shd w:val="clear" w:color="auto" w:fill="A8D08D" w:themeFill="accent6" w:themeFillTint="99"/>
          </w:tcPr>
          <w:p w14:paraId="2D1725DE" w14:textId="77777777" w:rsidR="00B801F4" w:rsidRPr="00B801F4" w:rsidRDefault="00B801F4" w:rsidP="00B801F4">
            <w:pPr>
              <w:jc w:val="center"/>
              <w:rPr>
                <w:b/>
              </w:rPr>
            </w:pPr>
            <w:r w:rsidRPr="00B801F4">
              <w:rPr>
                <w:b/>
              </w:rPr>
              <w:t>Note</w:t>
            </w:r>
          </w:p>
        </w:tc>
        <w:tc>
          <w:tcPr>
            <w:tcW w:w="1701" w:type="dxa"/>
            <w:gridSpan w:val="2"/>
            <w:tcBorders>
              <w:top w:val="nil"/>
              <w:bottom w:val="single" w:sz="2" w:space="0" w:color="auto"/>
            </w:tcBorders>
            <w:shd w:val="clear" w:color="auto" w:fill="A8D08D" w:themeFill="accent6" w:themeFillTint="99"/>
          </w:tcPr>
          <w:p w14:paraId="6C1489F6" w14:textId="77777777" w:rsidR="00B801F4" w:rsidRPr="00B801F4" w:rsidRDefault="00B801F4" w:rsidP="00B801F4">
            <w:pPr>
              <w:jc w:val="right"/>
              <w:rPr>
                <w:b/>
              </w:rPr>
            </w:pPr>
            <w:r w:rsidRPr="00B801F4">
              <w:rPr>
                <w:b/>
              </w:rPr>
              <w:t>£m</w:t>
            </w:r>
          </w:p>
        </w:tc>
        <w:tc>
          <w:tcPr>
            <w:tcW w:w="709" w:type="dxa"/>
            <w:tcBorders>
              <w:top w:val="nil"/>
              <w:bottom w:val="single" w:sz="2" w:space="0" w:color="auto"/>
            </w:tcBorders>
            <w:shd w:val="clear" w:color="auto" w:fill="A8D08D" w:themeFill="accent6" w:themeFillTint="99"/>
          </w:tcPr>
          <w:p w14:paraId="6AFD8199" w14:textId="77777777" w:rsidR="00B801F4" w:rsidRPr="00B801F4" w:rsidRDefault="00B801F4" w:rsidP="00B801F4">
            <w:pPr>
              <w:jc w:val="right"/>
              <w:rPr>
                <w:b/>
              </w:rPr>
            </w:pPr>
          </w:p>
        </w:tc>
        <w:tc>
          <w:tcPr>
            <w:tcW w:w="1522" w:type="dxa"/>
            <w:tcBorders>
              <w:top w:val="nil"/>
              <w:bottom w:val="single" w:sz="2" w:space="0" w:color="auto"/>
            </w:tcBorders>
            <w:shd w:val="clear" w:color="auto" w:fill="A8D08D" w:themeFill="accent6" w:themeFillTint="99"/>
          </w:tcPr>
          <w:p w14:paraId="1A61C5B1" w14:textId="77777777" w:rsidR="00B801F4" w:rsidRPr="00B801F4" w:rsidRDefault="00B801F4" w:rsidP="00B801F4">
            <w:pPr>
              <w:jc w:val="right"/>
              <w:rPr>
                <w:b/>
              </w:rPr>
            </w:pPr>
            <w:r w:rsidRPr="00B801F4">
              <w:rPr>
                <w:b/>
              </w:rPr>
              <w:t>£m</w:t>
            </w:r>
          </w:p>
        </w:tc>
      </w:tr>
      <w:tr w:rsidR="00B801F4" w:rsidRPr="00B801F4" w14:paraId="51F4A847" w14:textId="77777777" w:rsidTr="00B801F4">
        <w:trPr>
          <w:trHeight w:val="243"/>
        </w:trPr>
        <w:tc>
          <w:tcPr>
            <w:tcW w:w="4250" w:type="dxa"/>
            <w:tcBorders>
              <w:top w:val="single" w:sz="2" w:space="0" w:color="auto"/>
            </w:tcBorders>
          </w:tcPr>
          <w:p w14:paraId="2D98E8FF" w14:textId="77777777" w:rsidR="00B801F4" w:rsidRPr="00B801F4" w:rsidRDefault="00B801F4" w:rsidP="00B801F4">
            <w:pPr>
              <w:jc w:val="left"/>
            </w:pPr>
          </w:p>
        </w:tc>
        <w:tc>
          <w:tcPr>
            <w:tcW w:w="2268" w:type="dxa"/>
            <w:tcBorders>
              <w:top w:val="single" w:sz="2" w:space="0" w:color="auto"/>
            </w:tcBorders>
          </w:tcPr>
          <w:p w14:paraId="5E2F55A0" w14:textId="77777777" w:rsidR="00B801F4" w:rsidRPr="00B801F4" w:rsidRDefault="00B801F4" w:rsidP="00B801F4">
            <w:pPr>
              <w:jc w:val="center"/>
            </w:pPr>
          </w:p>
        </w:tc>
        <w:tc>
          <w:tcPr>
            <w:tcW w:w="1701" w:type="dxa"/>
            <w:gridSpan w:val="2"/>
            <w:tcBorders>
              <w:top w:val="single" w:sz="2" w:space="0" w:color="auto"/>
            </w:tcBorders>
          </w:tcPr>
          <w:p w14:paraId="58F4D6E8" w14:textId="77777777" w:rsidR="00B801F4" w:rsidRPr="00B801F4" w:rsidRDefault="00B801F4" w:rsidP="00B801F4">
            <w:pPr>
              <w:jc w:val="right"/>
            </w:pPr>
          </w:p>
        </w:tc>
        <w:tc>
          <w:tcPr>
            <w:tcW w:w="709" w:type="dxa"/>
            <w:tcBorders>
              <w:top w:val="single" w:sz="2" w:space="0" w:color="auto"/>
            </w:tcBorders>
          </w:tcPr>
          <w:p w14:paraId="43E55ED1" w14:textId="77777777" w:rsidR="00B801F4" w:rsidRPr="00B801F4" w:rsidRDefault="00B801F4" w:rsidP="00B801F4">
            <w:pPr>
              <w:jc w:val="right"/>
            </w:pPr>
          </w:p>
        </w:tc>
        <w:tc>
          <w:tcPr>
            <w:tcW w:w="1522" w:type="dxa"/>
            <w:tcBorders>
              <w:top w:val="single" w:sz="2" w:space="0" w:color="auto"/>
            </w:tcBorders>
          </w:tcPr>
          <w:p w14:paraId="51735E47" w14:textId="77777777" w:rsidR="00B801F4" w:rsidRPr="00B801F4" w:rsidRDefault="00B801F4" w:rsidP="00B801F4">
            <w:pPr>
              <w:jc w:val="right"/>
            </w:pPr>
          </w:p>
        </w:tc>
      </w:tr>
      <w:tr w:rsidR="00B801F4" w:rsidRPr="00B801F4" w14:paraId="5BDB2CA4" w14:textId="77777777" w:rsidTr="00B801F4">
        <w:trPr>
          <w:trHeight w:val="440"/>
        </w:trPr>
        <w:tc>
          <w:tcPr>
            <w:tcW w:w="4250" w:type="dxa"/>
          </w:tcPr>
          <w:p w14:paraId="31E88782" w14:textId="77777777" w:rsidR="00B801F4" w:rsidRPr="00B801F4" w:rsidRDefault="00B801F4" w:rsidP="00B801F4">
            <w:pPr>
              <w:jc w:val="left"/>
            </w:pPr>
            <w:r w:rsidRPr="00B801F4">
              <w:t>Investment assets</w:t>
            </w:r>
          </w:p>
        </w:tc>
        <w:tc>
          <w:tcPr>
            <w:tcW w:w="2268" w:type="dxa"/>
          </w:tcPr>
          <w:p w14:paraId="40A3464A" w14:textId="77777777" w:rsidR="00B801F4" w:rsidRPr="00B801F4" w:rsidRDefault="00B801F4" w:rsidP="00B801F4">
            <w:pPr>
              <w:jc w:val="center"/>
            </w:pPr>
            <w:r w:rsidRPr="00B801F4">
              <w:t>14</w:t>
            </w:r>
          </w:p>
        </w:tc>
        <w:tc>
          <w:tcPr>
            <w:tcW w:w="1701" w:type="dxa"/>
            <w:gridSpan w:val="2"/>
          </w:tcPr>
          <w:p w14:paraId="52CC6A56" w14:textId="77777777" w:rsidR="00B801F4" w:rsidRPr="00B801F4" w:rsidRDefault="00B801F4" w:rsidP="00B801F4">
            <w:pPr>
              <w:jc w:val="right"/>
            </w:pPr>
            <w:r w:rsidRPr="00B801F4">
              <w:t>6,383.1</w:t>
            </w:r>
          </w:p>
        </w:tc>
        <w:tc>
          <w:tcPr>
            <w:tcW w:w="709" w:type="dxa"/>
          </w:tcPr>
          <w:p w14:paraId="07183CD6" w14:textId="77777777" w:rsidR="00B801F4" w:rsidRPr="00B801F4" w:rsidRDefault="00B801F4" w:rsidP="00B801F4">
            <w:pPr>
              <w:jc w:val="right"/>
            </w:pPr>
          </w:p>
        </w:tc>
        <w:tc>
          <w:tcPr>
            <w:tcW w:w="1522" w:type="dxa"/>
          </w:tcPr>
          <w:p w14:paraId="47E29E2E" w14:textId="77777777" w:rsidR="00B801F4" w:rsidRPr="00B801F4" w:rsidRDefault="00B801F4" w:rsidP="00B801F4">
            <w:pPr>
              <w:jc w:val="right"/>
            </w:pPr>
            <w:r w:rsidRPr="00B801F4">
              <w:t>4,877.3</w:t>
            </w:r>
          </w:p>
        </w:tc>
      </w:tr>
      <w:tr w:rsidR="00B801F4" w:rsidRPr="00B801F4" w14:paraId="3664F6DF" w14:textId="77777777" w:rsidTr="00B801F4">
        <w:trPr>
          <w:trHeight w:val="488"/>
        </w:trPr>
        <w:tc>
          <w:tcPr>
            <w:tcW w:w="4250" w:type="dxa"/>
          </w:tcPr>
          <w:p w14:paraId="024C78EE" w14:textId="77777777" w:rsidR="00B801F4" w:rsidRPr="00B801F4" w:rsidRDefault="00B801F4" w:rsidP="00B801F4">
            <w:pPr>
              <w:jc w:val="left"/>
            </w:pPr>
            <w:r w:rsidRPr="00B801F4">
              <w:t>Cash deposits</w:t>
            </w:r>
          </w:p>
        </w:tc>
        <w:tc>
          <w:tcPr>
            <w:tcW w:w="2268" w:type="dxa"/>
          </w:tcPr>
          <w:p w14:paraId="4AC804C6" w14:textId="77777777" w:rsidR="00B801F4" w:rsidRPr="00B801F4" w:rsidRDefault="00B801F4" w:rsidP="00B801F4">
            <w:pPr>
              <w:jc w:val="center"/>
            </w:pPr>
            <w:r w:rsidRPr="00B801F4">
              <w:t>14</w:t>
            </w:r>
          </w:p>
        </w:tc>
        <w:tc>
          <w:tcPr>
            <w:tcW w:w="1701" w:type="dxa"/>
            <w:gridSpan w:val="2"/>
            <w:tcBorders>
              <w:bottom w:val="single" w:sz="12" w:space="0" w:color="auto"/>
            </w:tcBorders>
          </w:tcPr>
          <w:p w14:paraId="766BF041" w14:textId="77777777" w:rsidR="00B801F4" w:rsidRPr="00B801F4" w:rsidRDefault="00B801F4" w:rsidP="00B801F4">
            <w:pPr>
              <w:jc w:val="right"/>
            </w:pPr>
            <w:r w:rsidRPr="00B801F4">
              <w:t>60.0</w:t>
            </w:r>
          </w:p>
        </w:tc>
        <w:tc>
          <w:tcPr>
            <w:tcW w:w="709" w:type="dxa"/>
          </w:tcPr>
          <w:p w14:paraId="25ECD3AB" w14:textId="77777777" w:rsidR="00B801F4" w:rsidRPr="00B801F4" w:rsidRDefault="00B801F4" w:rsidP="00B801F4">
            <w:pPr>
              <w:jc w:val="right"/>
            </w:pPr>
          </w:p>
        </w:tc>
        <w:tc>
          <w:tcPr>
            <w:tcW w:w="1522" w:type="dxa"/>
            <w:tcBorders>
              <w:bottom w:val="single" w:sz="12" w:space="0" w:color="auto"/>
            </w:tcBorders>
          </w:tcPr>
          <w:p w14:paraId="098109E3" w14:textId="77777777" w:rsidR="00B801F4" w:rsidRPr="00B801F4" w:rsidRDefault="00B801F4" w:rsidP="00B801F4">
            <w:pPr>
              <w:jc w:val="right"/>
            </w:pPr>
            <w:r w:rsidRPr="00B801F4">
              <w:t>315.5</w:t>
            </w:r>
          </w:p>
        </w:tc>
      </w:tr>
      <w:tr w:rsidR="00B801F4" w:rsidRPr="00B801F4" w14:paraId="0CD7BF46" w14:textId="77777777" w:rsidTr="00B801F4">
        <w:trPr>
          <w:trHeight w:val="522"/>
        </w:trPr>
        <w:tc>
          <w:tcPr>
            <w:tcW w:w="4250" w:type="dxa"/>
            <w:shd w:val="clear" w:color="auto" w:fill="E2EFD9" w:themeFill="accent6" w:themeFillTint="33"/>
          </w:tcPr>
          <w:p w14:paraId="5A5FA5B2" w14:textId="77777777" w:rsidR="00B801F4" w:rsidRPr="00B801F4" w:rsidRDefault="00B801F4" w:rsidP="00B801F4">
            <w:pPr>
              <w:jc w:val="left"/>
            </w:pPr>
          </w:p>
        </w:tc>
        <w:tc>
          <w:tcPr>
            <w:tcW w:w="2268" w:type="dxa"/>
            <w:shd w:val="clear" w:color="auto" w:fill="E2EFD9" w:themeFill="accent6" w:themeFillTint="33"/>
          </w:tcPr>
          <w:p w14:paraId="226491F4" w14:textId="77777777" w:rsidR="00B801F4" w:rsidRPr="00B801F4" w:rsidRDefault="00B801F4" w:rsidP="00B801F4">
            <w:pPr>
              <w:jc w:val="center"/>
              <w:rPr>
                <w:highlight w:val="yellow"/>
              </w:rPr>
            </w:pPr>
          </w:p>
        </w:tc>
        <w:tc>
          <w:tcPr>
            <w:tcW w:w="1701" w:type="dxa"/>
            <w:gridSpan w:val="2"/>
            <w:tcBorders>
              <w:top w:val="single" w:sz="12" w:space="0" w:color="auto"/>
              <w:bottom w:val="nil"/>
            </w:tcBorders>
            <w:shd w:val="clear" w:color="auto" w:fill="E2EFD9" w:themeFill="accent6" w:themeFillTint="33"/>
          </w:tcPr>
          <w:p w14:paraId="074013E3" w14:textId="77777777" w:rsidR="00B801F4" w:rsidRPr="00B801F4" w:rsidRDefault="00B801F4" w:rsidP="00B801F4">
            <w:pPr>
              <w:jc w:val="right"/>
            </w:pPr>
            <w:r w:rsidRPr="00B801F4">
              <w:t>6,443.1</w:t>
            </w:r>
          </w:p>
        </w:tc>
        <w:tc>
          <w:tcPr>
            <w:tcW w:w="709" w:type="dxa"/>
            <w:shd w:val="clear" w:color="auto" w:fill="E2EFD9" w:themeFill="accent6" w:themeFillTint="33"/>
            <w:vAlign w:val="center"/>
          </w:tcPr>
          <w:p w14:paraId="4047A190" w14:textId="77777777" w:rsidR="00B801F4" w:rsidRPr="00B801F4" w:rsidRDefault="00B801F4" w:rsidP="00B801F4">
            <w:pPr>
              <w:jc w:val="right"/>
            </w:pPr>
          </w:p>
        </w:tc>
        <w:tc>
          <w:tcPr>
            <w:tcW w:w="1522" w:type="dxa"/>
            <w:tcBorders>
              <w:top w:val="single" w:sz="12" w:space="0" w:color="auto"/>
            </w:tcBorders>
            <w:shd w:val="clear" w:color="auto" w:fill="E2EFD9" w:themeFill="accent6" w:themeFillTint="33"/>
            <w:vAlign w:val="center"/>
          </w:tcPr>
          <w:p w14:paraId="170DF0B3" w14:textId="77777777" w:rsidR="00B801F4" w:rsidRPr="00B801F4" w:rsidRDefault="00B801F4" w:rsidP="00B801F4">
            <w:pPr>
              <w:jc w:val="right"/>
            </w:pPr>
            <w:r w:rsidRPr="00B801F4">
              <w:t>5,192.8</w:t>
            </w:r>
          </w:p>
        </w:tc>
      </w:tr>
      <w:tr w:rsidR="00B801F4" w:rsidRPr="00B801F4" w14:paraId="0EAD7CEB" w14:textId="77777777" w:rsidTr="00B801F4">
        <w:trPr>
          <w:trHeight w:val="513"/>
        </w:trPr>
        <w:tc>
          <w:tcPr>
            <w:tcW w:w="4250" w:type="dxa"/>
          </w:tcPr>
          <w:p w14:paraId="4BD19567" w14:textId="77777777" w:rsidR="00B801F4" w:rsidRPr="00B801F4" w:rsidRDefault="00B801F4" w:rsidP="00B801F4">
            <w:pPr>
              <w:jc w:val="left"/>
            </w:pPr>
            <w:r w:rsidRPr="00B801F4">
              <w:t>Investment liabilities</w:t>
            </w:r>
          </w:p>
        </w:tc>
        <w:tc>
          <w:tcPr>
            <w:tcW w:w="2268" w:type="dxa"/>
          </w:tcPr>
          <w:p w14:paraId="425D7A5E" w14:textId="77777777" w:rsidR="00B801F4" w:rsidRPr="00B801F4" w:rsidRDefault="00B801F4" w:rsidP="00B801F4">
            <w:pPr>
              <w:jc w:val="center"/>
              <w:rPr>
                <w:highlight w:val="yellow"/>
              </w:rPr>
            </w:pPr>
            <w:r w:rsidRPr="00B801F4">
              <w:t>14</w:t>
            </w:r>
          </w:p>
        </w:tc>
        <w:tc>
          <w:tcPr>
            <w:tcW w:w="1701" w:type="dxa"/>
            <w:gridSpan w:val="2"/>
            <w:tcBorders>
              <w:top w:val="nil"/>
            </w:tcBorders>
          </w:tcPr>
          <w:p w14:paraId="172C3BD9" w14:textId="77777777" w:rsidR="00B801F4" w:rsidRPr="00B801F4" w:rsidRDefault="00B801F4" w:rsidP="00B801F4">
            <w:pPr>
              <w:jc w:val="right"/>
            </w:pPr>
            <w:r w:rsidRPr="00B801F4">
              <w:t>(629.6)</w:t>
            </w:r>
          </w:p>
        </w:tc>
        <w:tc>
          <w:tcPr>
            <w:tcW w:w="709" w:type="dxa"/>
            <w:vAlign w:val="center"/>
          </w:tcPr>
          <w:p w14:paraId="1700A331" w14:textId="77777777" w:rsidR="00B801F4" w:rsidRPr="00B801F4" w:rsidRDefault="00B801F4" w:rsidP="00B801F4">
            <w:pPr>
              <w:jc w:val="right"/>
            </w:pPr>
          </w:p>
        </w:tc>
        <w:tc>
          <w:tcPr>
            <w:tcW w:w="1522" w:type="dxa"/>
            <w:vAlign w:val="center"/>
          </w:tcPr>
          <w:p w14:paraId="0E813A7D" w14:textId="77777777" w:rsidR="00B801F4" w:rsidRPr="00B801F4" w:rsidRDefault="00B801F4" w:rsidP="00B801F4">
            <w:pPr>
              <w:jc w:val="right"/>
            </w:pPr>
            <w:r w:rsidRPr="00B801F4">
              <w:t>(21.3)</w:t>
            </w:r>
          </w:p>
        </w:tc>
      </w:tr>
      <w:tr w:rsidR="00B801F4" w:rsidRPr="00B801F4" w14:paraId="72204639" w14:textId="77777777" w:rsidTr="00B801F4">
        <w:trPr>
          <w:trHeight w:val="548"/>
        </w:trPr>
        <w:tc>
          <w:tcPr>
            <w:tcW w:w="4250" w:type="dxa"/>
          </w:tcPr>
          <w:p w14:paraId="309DFCFE" w14:textId="77777777" w:rsidR="00B801F4" w:rsidRPr="00B801F4" w:rsidRDefault="00B801F4" w:rsidP="00B801F4">
            <w:pPr>
              <w:jc w:val="left"/>
            </w:pPr>
            <w:r w:rsidRPr="00B801F4">
              <w:t>Current assets</w:t>
            </w:r>
          </w:p>
        </w:tc>
        <w:tc>
          <w:tcPr>
            <w:tcW w:w="2268" w:type="dxa"/>
          </w:tcPr>
          <w:p w14:paraId="37FF69E6" w14:textId="77777777" w:rsidR="00B801F4" w:rsidRPr="00B801F4" w:rsidRDefault="00B801F4" w:rsidP="00B801F4">
            <w:pPr>
              <w:jc w:val="center"/>
              <w:rPr>
                <w:highlight w:val="yellow"/>
              </w:rPr>
            </w:pPr>
            <w:r w:rsidRPr="00B801F4">
              <w:t>20</w:t>
            </w:r>
          </w:p>
        </w:tc>
        <w:tc>
          <w:tcPr>
            <w:tcW w:w="1701" w:type="dxa"/>
            <w:gridSpan w:val="2"/>
          </w:tcPr>
          <w:p w14:paraId="5C8E7D49" w14:textId="77777777" w:rsidR="00B801F4" w:rsidRPr="00B801F4" w:rsidRDefault="00B801F4" w:rsidP="00B801F4">
            <w:pPr>
              <w:jc w:val="right"/>
            </w:pPr>
            <w:r w:rsidRPr="00B801F4">
              <w:t>28.1</w:t>
            </w:r>
          </w:p>
        </w:tc>
        <w:tc>
          <w:tcPr>
            <w:tcW w:w="709" w:type="dxa"/>
            <w:vAlign w:val="center"/>
          </w:tcPr>
          <w:p w14:paraId="61694677" w14:textId="77777777" w:rsidR="00B801F4" w:rsidRPr="00B801F4" w:rsidRDefault="00B801F4" w:rsidP="00B801F4">
            <w:pPr>
              <w:jc w:val="right"/>
            </w:pPr>
          </w:p>
        </w:tc>
        <w:tc>
          <w:tcPr>
            <w:tcW w:w="1522" w:type="dxa"/>
            <w:vAlign w:val="center"/>
          </w:tcPr>
          <w:p w14:paraId="1EC1211E" w14:textId="77777777" w:rsidR="00B801F4" w:rsidRPr="00B801F4" w:rsidRDefault="00B801F4" w:rsidP="00B801F4">
            <w:pPr>
              <w:jc w:val="right"/>
            </w:pPr>
            <w:r w:rsidRPr="00B801F4">
              <w:t>28.3</w:t>
            </w:r>
          </w:p>
        </w:tc>
      </w:tr>
      <w:tr w:rsidR="00B801F4" w:rsidRPr="00B801F4" w14:paraId="3EAF6F19" w14:textId="77777777" w:rsidTr="00B801F4">
        <w:trPr>
          <w:trHeight w:val="568"/>
        </w:trPr>
        <w:tc>
          <w:tcPr>
            <w:tcW w:w="4250" w:type="dxa"/>
          </w:tcPr>
          <w:p w14:paraId="5B33001A" w14:textId="77777777" w:rsidR="00B801F4" w:rsidRPr="00B801F4" w:rsidRDefault="00B801F4" w:rsidP="00B801F4">
            <w:pPr>
              <w:jc w:val="left"/>
            </w:pPr>
            <w:r w:rsidRPr="00B801F4">
              <w:t>Current liabilities</w:t>
            </w:r>
          </w:p>
        </w:tc>
        <w:tc>
          <w:tcPr>
            <w:tcW w:w="2268" w:type="dxa"/>
          </w:tcPr>
          <w:p w14:paraId="4E97C7FA" w14:textId="77777777" w:rsidR="00B801F4" w:rsidRPr="00B801F4" w:rsidRDefault="00B801F4" w:rsidP="00B801F4">
            <w:pPr>
              <w:jc w:val="center"/>
              <w:rPr>
                <w:highlight w:val="yellow"/>
              </w:rPr>
            </w:pPr>
            <w:r w:rsidRPr="00B801F4">
              <w:t>21</w:t>
            </w:r>
          </w:p>
        </w:tc>
        <w:tc>
          <w:tcPr>
            <w:tcW w:w="1701" w:type="dxa"/>
            <w:gridSpan w:val="2"/>
            <w:tcBorders>
              <w:bottom w:val="single" w:sz="18" w:space="0" w:color="auto"/>
            </w:tcBorders>
          </w:tcPr>
          <w:p w14:paraId="2FDF9631" w14:textId="77777777" w:rsidR="00B801F4" w:rsidRPr="00B801F4" w:rsidRDefault="00B801F4" w:rsidP="00B801F4">
            <w:pPr>
              <w:jc w:val="right"/>
            </w:pPr>
            <w:r w:rsidRPr="00B801F4">
              <w:t>(10.9)</w:t>
            </w:r>
          </w:p>
        </w:tc>
        <w:tc>
          <w:tcPr>
            <w:tcW w:w="709" w:type="dxa"/>
            <w:vAlign w:val="center"/>
          </w:tcPr>
          <w:p w14:paraId="2F919D82" w14:textId="77777777" w:rsidR="00B801F4" w:rsidRPr="00B801F4" w:rsidRDefault="00B801F4" w:rsidP="00B801F4">
            <w:pPr>
              <w:jc w:val="right"/>
            </w:pPr>
          </w:p>
        </w:tc>
        <w:tc>
          <w:tcPr>
            <w:tcW w:w="1522" w:type="dxa"/>
            <w:tcBorders>
              <w:bottom w:val="single" w:sz="18" w:space="0" w:color="auto"/>
            </w:tcBorders>
            <w:vAlign w:val="center"/>
          </w:tcPr>
          <w:p w14:paraId="0054578D" w14:textId="77777777" w:rsidR="00B801F4" w:rsidRPr="00B801F4" w:rsidRDefault="00B801F4" w:rsidP="00B801F4">
            <w:pPr>
              <w:jc w:val="right"/>
            </w:pPr>
            <w:r w:rsidRPr="00B801F4">
              <w:t>(11.7)</w:t>
            </w:r>
          </w:p>
        </w:tc>
      </w:tr>
      <w:tr w:rsidR="00B801F4" w:rsidRPr="00B801F4" w14:paraId="13468061" w14:textId="77777777" w:rsidTr="00B801F4">
        <w:tc>
          <w:tcPr>
            <w:tcW w:w="4250" w:type="dxa"/>
            <w:shd w:val="clear" w:color="auto" w:fill="C5E0B3" w:themeFill="accent6" w:themeFillTint="66"/>
            <w:vAlign w:val="center"/>
          </w:tcPr>
          <w:p w14:paraId="6B45F8BC" w14:textId="77777777" w:rsidR="00B801F4" w:rsidRPr="00B801F4" w:rsidRDefault="00B801F4" w:rsidP="00B801F4">
            <w:pPr>
              <w:jc w:val="left"/>
              <w:rPr>
                <w:b/>
              </w:rPr>
            </w:pPr>
            <w:r w:rsidRPr="00B801F4">
              <w:rPr>
                <w:b/>
              </w:rPr>
              <w:t>Net assets of the Fund available to fund benefits at the period end</w:t>
            </w:r>
          </w:p>
        </w:tc>
        <w:tc>
          <w:tcPr>
            <w:tcW w:w="2268" w:type="dxa"/>
            <w:shd w:val="clear" w:color="auto" w:fill="C5E0B3" w:themeFill="accent6" w:themeFillTint="66"/>
            <w:vAlign w:val="center"/>
          </w:tcPr>
          <w:p w14:paraId="766426AD" w14:textId="77777777" w:rsidR="00B801F4" w:rsidRPr="00B801F4" w:rsidRDefault="00B801F4" w:rsidP="00B801F4">
            <w:pPr>
              <w:jc w:val="right"/>
              <w:rPr>
                <w:b/>
              </w:rPr>
            </w:pPr>
          </w:p>
        </w:tc>
        <w:tc>
          <w:tcPr>
            <w:tcW w:w="1701" w:type="dxa"/>
            <w:gridSpan w:val="2"/>
            <w:tcBorders>
              <w:top w:val="single" w:sz="18" w:space="0" w:color="auto"/>
            </w:tcBorders>
            <w:shd w:val="clear" w:color="auto" w:fill="C5E0B3" w:themeFill="accent6" w:themeFillTint="66"/>
            <w:vAlign w:val="center"/>
          </w:tcPr>
          <w:p w14:paraId="7B2CA7B7" w14:textId="77777777" w:rsidR="00B801F4" w:rsidRPr="00B801F4" w:rsidRDefault="00B801F4" w:rsidP="00B801F4">
            <w:pPr>
              <w:jc w:val="right"/>
              <w:rPr>
                <w:b/>
              </w:rPr>
            </w:pPr>
            <w:r w:rsidRPr="00B801F4">
              <w:rPr>
                <w:b/>
              </w:rPr>
              <w:t>5,830.7</w:t>
            </w:r>
          </w:p>
        </w:tc>
        <w:tc>
          <w:tcPr>
            <w:tcW w:w="709" w:type="dxa"/>
            <w:shd w:val="clear" w:color="auto" w:fill="C5E0B3" w:themeFill="accent6" w:themeFillTint="66"/>
            <w:vAlign w:val="center"/>
          </w:tcPr>
          <w:p w14:paraId="7B2B14D5" w14:textId="77777777" w:rsidR="00B801F4" w:rsidRPr="00B801F4" w:rsidRDefault="00B801F4" w:rsidP="00B801F4">
            <w:pPr>
              <w:jc w:val="right"/>
              <w:rPr>
                <w:b/>
              </w:rPr>
            </w:pPr>
          </w:p>
        </w:tc>
        <w:tc>
          <w:tcPr>
            <w:tcW w:w="1522" w:type="dxa"/>
            <w:tcBorders>
              <w:top w:val="single" w:sz="18" w:space="0" w:color="auto"/>
              <w:bottom w:val="single" w:sz="18" w:space="0" w:color="auto"/>
            </w:tcBorders>
            <w:shd w:val="clear" w:color="auto" w:fill="C5E0B3" w:themeFill="accent6" w:themeFillTint="66"/>
            <w:vAlign w:val="center"/>
          </w:tcPr>
          <w:p w14:paraId="3ECB2B3C" w14:textId="77777777" w:rsidR="00B801F4" w:rsidRPr="00B801F4" w:rsidRDefault="00B801F4" w:rsidP="00B801F4">
            <w:pPr>
              <w:jc w:val="right"/>
              <w:rPr>
                <w:b/>
              </w:rPr>
            </w:pPr>
            <w:r w:rsidRPr="00B801F4">
              <w:rPr>
                <w:b/>
              </w:rPr>
              <w:t>5,188.1</w:t>
            </w:r>
          </w:p>
        </w:tc>
      </w:tr>
      <w:tr w:rsidR="00B801F4" w:rsidRPr="00B801F4" w14:paraId="5551A23F" w14:textId="77777777" w:rsidTr="00B801F4">
        <w:tc>
          <w:tcPr>
            <w:tcW w:w="4250" w:type="dxa"/>
            <w:shd w:val="clear" w:color="auto" w:fill="C5E0B3" w:themeFill="accent6" w:themeFillTint="66"/>
          </w:tcPr>
          <w:p w14:paraId="12B7CC14" w14:textId="77777777" w:rsidR="00B801F4" w:rsidRPr="00B801F4" w:rsidRDefault="00B801F4" w:rsidP="00B801F4">
            <w:pPr>
              <w:jc w:val="left"/>
            </w:pPr>
          </w:p>
        </w:tc>
        <w:tc>
          <w:tcPr>
            <w:tcW w:w="2410" w:type="dxa"/>
            <w:gridSpan w:val="2"/>
            <w:shd w:val="clear" w:color="auto" w:fill="C5E0B3" w:themeFill="accent6" w:themeFillTint="66"/>
          </w:tcPr>
          <w:p w14:paraId="301CCFA4" w14:textId="77777777" w:rsidR="00B801F4" w:rsidRPr="00B801F4" w:rsidRDefault="00B801F4" w:rsidP="00B801F4">
            <w:pPr>
              <w:jc w:val="center"/>
            </w:pPr>
          </w:p>
        </w:tc>
        <w:tc>
          <w:tcPr>
            <w:tcW w:w="1559" w:type="dxa"/>
            <w:tcBorders>
              <w:top w:val="single" w:sz="18" w:space="0" w:color="auto"/>
            </w:tcBorders>
            <w:shd w:val="clear" w:color="auto" w:fill="C5E0B3" w:themeFill="accent6" w:themeFillTint="66"/>
          </w:tcPr>
          <w:p w14:paraId="5C569F24" w14:textId="77777777" w:rsidR="00B801F4" w:rsidRPr="00B801F4" w:rsidRDefault="00B801F4" w:rsidP="00B801F4">
            <w:pPr>
              <w:jc w:val="right"/>
            </w:pPr>
          </w:p>
        </w:tc>
        <w:tc>
          <w:tcPr>
            <w:tcW w:w="709" w:type="dxa"/>
            <w:shd w:val="clear" w:color="auto" w:fill="C5E0B3" w:themeFill="accent6" w:themeFillTint="66"/>
          </w:tcPr>
          <w:p w14:paraId="02241CBF" w14:textId="77777777" w:rsidR="00B801F4" w:rsidRPr="00B801F4" w:rsidRDefault="00B801F4" w:rsidP="00B801F4">
            <w:pPr>
              <w:jc w:val="right"/>
            </w:pPr>
          </w:p>
        </w:tc>
        <w:tc>
          <w:tcPr>
            <w:tcW w:w="1522" w:type="dxa"/>
            <w:tcBorders>
              <w:top w:val="single" w:sz="18" w:space="0" w:color="auto"/>
            </w:tcBorders>
            <w:shd w:val="clear" w:color="auto" w:fill="C5E0B3" w:themeFill="accent6" w:themeFillTint="66"/>
          </w:tcPr>
          <w:p w14:paraId="3E6F77BF" w14:textId="77777777" w:rsidR="00B801F4" w:rsidRPr="00B801F4" w:rsidRDefault="00B801F4" w:rsidP="00B801F4">
            <w:pPr>
              <w:jc w:val="right"/>
            </w:pPr>
          </w:p>
        </w:tc>
      </w:tr>
    </w:tbl>
    <w:p w14:paraId="37CA1CC9" w14:textId="77777777" w:rsidR="00B801F4" w:rsidRPr="00B801F4" w:rsidRDefault="00B801F4" w:rsidP="00B801F4"/>
    <w:p w14:paraId="5FBF12F3" w14:textId="77777777" w:rsidR="00B801F4" w:rsidRPr="00B801F4" w:rsidRDefault="00B801F4" w:rsidP="00B801F4"/>
    <w:p w14:paraId="4046DC81" w14:textId="77777777" w:rsidR="00B801F4" w:rsidRPr="00B801F4" w:rsidRDefault="00B801F4" w:rsidP="00B801F4">
      <w:pPr>
        <w:jc w:val="left"/>
      </w:pPr>
      <w:r w:rsidRPr="00B801F4">
        <w:t>The Pension Fund's financial statements do not take account of liabilities to pay pensions and other benefits after the period end.</w:t>
      </w:r>
    </w:p>
    <w:p w14:paraId="79860DBD" w14:textId="428531FF" w:rsidR="00B801F4" w:rsidRPr="00B801F4" w:rsidRDefault="00B801F4" w:rsidP="00B801F4">
      <w:pPr>
        <w:keepNext/>
        <w:jc w:val="left"/>
        <w:outlineLvl w:val="2"/>
      </w:pPr>
      <w:r w:rsidRPr="00B801F4">
        <w:t xml:space="preserve">This statement of accounts is that upon which the auditor should enter his certificate and opinion.  It presents fairly the position of the Lancashire County Pension Fund </w:t>
      </w:r>
      <w:r w:rsidR="00792C96">
        <w:t xml:space="preserve">as </w:t>
      </w:r>
      <w:r w:rsidRPr="00B801F4">
        <w:t>at 31 March 2015 and its income and expenditure for the year then ended.</w:t>
      </w:r>
    </w:p>
    <w:p w14:paraId="26C9F370" w14:textId="77777777" w:rsidR="00B801F4" w:rsidRPr="00B801F4" w:rsidRDefault="00B801F4" w:rsidP="00B801F4">
      <w:pPr>
        <w:rPr>
          <w:color w:val="auto"/>
        </w:rPr>
      </w:pPr>
    </w:p>
    <w:p w14:paraId="2C8CD932" w14:textId="77777777" w:rsidR="00B801F4" w:rsidRPr="00B801F4" w:rsidRDefault="00B801F4" w:rsidP="00B801F4">
      <w:pPr>
        <w:rPr>
          <w:color w:val="auto"/>
        </w:rPr>
      </w:pPr>
    </w:p>
    <w:p w14:paraId="4FA366B4" w14:textId="77777777" w:rsidR="00B801F4" w:rsidRPr="00B801F4" w:rsidRDefault="00B801F4" w:rsidP="00B801F4">
      <w:pPr>
        <w:rPr>
          <w:color w:val="auto"/>
        </w:rPr>
      </w:pPr>
    </w:p>
    <w:p w14:paraId="4AA7F709" w14:textId="77777777" w:rsidR="00B801F4" w:rsidRPr="00B801F4" w:rsidRDefault="00B801F4" w:rsidP="00B801F4">
      <w:pPr>
        <w:rPr>
          <w:color w:val="auto"/>
        </w:rPr>
      </w:pPr>
    </w:p>
    <w:tbl>
      <w:tblPr>
        <w:tblW w:w="0" w:type="auto"/>
        <w:tblLook w:val="04A0" w:firstRow="1" w:lastRow="0" w:firstColumn="1" w:lastColumn="0" w:noHBand="0" w:noVBand="1"/>
      </w:tblPr>
      <w:tblGrid>
        <w:gridCol w:w="4926"/>
        <w:gridCol w:w="4927"/>
      </w:tblGrid>
      <w:tr w:rsidR="00B801F4" w:rsidRPr="00B801F4" w14:paraId="1ACAE4C3" w14:textId="77777777" w:rsidTr="00B801F4">
        <w:tc>
          <w:tcPr>
            <w:tcW w:w="4926" w:type="dxa"/>
          </w:tcPr>
          <w:p w14:paraId="28BCE079" w14:textId="410B4FC0" w:rsidR="00B801F4" w:rsidRPr="00B801F4" w:rsidRDefault="00745413" w:rsidP="00745413">
            <w:pPr>
              <w:spacing w:after="0"/>
              <w:rPr>
                <w:b/>
              </w:rPr>
            </w:pPr>
            <w:r>
              <w:rPr>
                <w:b/>
              </w:rPr>
              <w:t>Abigail Leech ACA</w:t>
            </w:r>
          </w:p>
        </w:tc>
        <w:tc>
          <w:tcPr>
            <w:tcW w:w="4927" w:type="dxa"/>
          </w:tcPr>
          <w:p w14:paraId="70FC5161" w14:textId="77777777" w:rsidR="00B801F4" w:rsidRPr="00B801F4" w:rsidRDefault="00B801F4" w:rsidP="00B801F4">
            <w:pPr>
              <w:spacing w:after="0"/>
              <w:rPr>
                <w:b/>
              </w:rPr>
            </w:pPr>
            <w:r w:rsidRPr="00B801F4">
              <w:rPr>
                <w:b/>
              </w:rPr>
              <w:t>County Councillor Terry Brown</w:t>
            </w:r>
          </w:p>
        </w:tc>
      </w:tr>
      <w:tr w:rsidR="00B801F4" w:rsidRPr="00B801F4" w14:paraId="3BBBCDFF" w14:textId="77777777" w:rsidTr="00B801F4">
        <w:tc>
          <w:tcPr>
            <w:tcW w:w="4926" w:type="dxa"/>
          </w:tcPr>
          <w:p w14:paraId="74B6BD51" w14:textId="77777777" w:rsidR="00B801F4" w:rsidRPr="00B801F4" w:rsidRDefault="00B801F4" w:rsidP="00B801F4">
            <w:pPr>
              <w:spacing w:after="0"/>
              <w:rPr>
                <w:b/>
              </w:rPr>
            </w:pPr>
          </w:p>
        </w:tc>
        <w:tc>
          <w:tcPr>
            <w:tcW w:w="4927" w:type="dxa"/>
          </w:tcPr>
          <w:p w14:paraId="2189BA46" w14:textId="77777777" w:rsidR="00B801F4" w:rsidRPr="00B801F4" w:rsidRDefault="00B801F4" w:rsidP="00B801F4">
            <w:pPr>
              <w:spacing w:after="0"/>
              <w:rPr>
                <w:b/>
              </w:rPr>
            </w:pPr>
          </w:p>
        </w:tc>
      </w:tr>
      <w:tr w:rsidR="00B801F4" w:rsidRPr="00B801F4" w14:paraId="1E73A825" w14:textId="77777777" w:rsidTr="00B801F4">
        <w:tc>
          <w:tcPr>
            <w:tcW w:w="4926" w:type="dxa"/>
          </w:tcPr>
          <w:p w14:paraId="2EDA7CD0" w14:textId="008699C2" w:rsidR="00B801F4" w:rsidRPr="00B801F4" w:rsidRDefault="00745413" w:rsidP="00745413">
            <w:pPr>
              <w:spacing w:after="0"/>
              <w:rPr>
                <w:b/>
              </w:rPr>
            </w:pPr>
            <w:r>
              <w:rPr>
                <w:b/>
              </w:rPr>
              <w:t>Acting Section 151 Officer</w:t>
            </w:r>
          </w:p>
        </w:tc>
        <w:tc>
          <w:tcPr>
            <w:tcW w:w="4927" w:type="dxa"/>
          </w:tcPr>
          <w:p w14:paraId="0EF314DA" w14:textId="77777777" w:rsidR="00B801F4" w:rsidRPr="00B801F4" w:rsidRDefault="00B801F4" w:rsidP="00B801F4">
            <w:pPr>
              <w:jc w:val="left"/>
              <w:rPr>
                <w:b/>
              </w:rPr>
            </w:pPr>
            <w:r w:rsidRPr="00B801F4">
              <w:rPr>
                <w:b/>
              </w:rPr>
              <w:t>Chair of the Audit and Governance Committee</w:t>
            </w:r>
          </w:p>
        </w:tc>
      </w:tr>
    </w:tbl>
    <w:p w14:paraId="560648B7" w14:textId="77777777" w:rsidR="00B801F4" w:rsidRPr="00B801F4" w:rsidRDefault="00B801F4" w:rsidP="00B801F4">
      <w:pPr>
        <w:rPr>
          <w:b/>
          <w:color w:val="auto"/>
        </w:rPr>
      </w:pPr>
    </w:p>
    <w:p w14:paraId="4A2073F0" w14:textId="77777777" w:rsidR="00B801F4" w:rsidRPr="00B801F4" w:rsidRDefault="00B801F4" w:rsidP="00B801F4">
      <w:pPr>
        <w:keepNext/>
        <w:spacing w:before="120"/>
        <w:outlineLvl w:val="0"/>
        <w:rPr>
          <w:rFonts w:eastAsia="Times New Roman"/>
          <w:b/>
          <w:bCs/>
          <w:color w:val="auto"/>
          <w:sz w:val="40"/>
          <w:szCs w:val="28"/>
          <w:lang w:eastAsia="en-GB"/>
        </w:rPr>
      </w:pPr>
      <w:r w:rsidRPr="00B801F4">
        <w:rPr>
          <w:rFonts w:eastAsia="Times New Roman"/>
          <w:b/>
          <w:bCs/>
          <w:color w:val="auto"/>
          <w:sz w:val="40"/>
          <w:szCs w:val="28"/>
          <w:lang w:eastAsia="en-GB"/>
        </w:rPr>
        <w:br w:type="page"/>
        <w:t>Notes to the financial statements</w:t>
      </w:r>
    </w:p>
    <w:p w14:paraId="5A0CA7C3" w14:textId="77777777" w:rsidR="00B801F4" w:rsidRPr="00B801F4" w:rsidRDefault="00B801F4" w:rsidP="00717919">
      <w:pPr>
        <w:numPr>
          <w:ilvl w:val="0"/>
          <w:numId w:val="71"/>
        </w:numPr>
        <w:tabs>
          <w:tab w:val="num" w:pos="567"/>
          <w:tab w:val="num" w:pos="720"/>
        </w:tabs>
        <w:autoSpaceDE/>
        <w:autoSpaceDN/>
        <w:adjustRightInd/>
        <w:spacing w:after="240"/>
        <w:rPr>
          <w:b/>
          <w:sz w:val="32"/>
          <w:szCs w:val="32"/>
        </w:rPr>
      </w:pPr>
      <w:r w:rsidRPr="00B801F4">
        <w:rPr>
          <w:b/>
          <w:sz w:val="32"/>
          <w:szCs w:val="32"/>
        </w:rPr>
        <w:t xml:space="preserve">Pension Fund operations and membership </w:t>
      </w:r>
    </w:p>
    <w:p w14:paraId="328CBB0F" w14:textId="77777777" w:rsidR="00B801F4" w:rsidRPr="00B801F4" w:rsidRDefault="00B801F4" w:rsidP="00B801F4">
      <w:pPr>
        <w:ind w:left="567"/>
        <w:jc w:val="left"/>
      </w:pPr>
      <w:r w:rsidRPr="00B801F4">
        <w:t xml:space="preserve">The Lancashire County Pension Fund is part of the Local Government Pension Scheme and is administered by Lancashire County Council. The County Council is the reporting entity for this Pension Fund.  </w:t>
      </w:r>
    </w:p>
    <w:p w14:paraId="5BF0F268" w14:textId="77777777" w:rsidR="00B801F4" w:rsidRPr="00B801F4" w:rsidRDefault="00B801F4" w:rsidP="00B801F4">
      <w:pPr>
        <w:ind w:left="567"/>
        <w:jc w:val="left"/>
      </w:pPr>
      <w:r w:rsidRPr="00B801F4">
        <w:t xml:space="preserve">The published accounts show that in </w:t>
      </w:r>
      <w:r w:rsidRPr="00B801F4">
        <w:rPr>
          <w:caps/>
        </w:rPr>
        <w:t>2014/15</w:t>
      </w:r>
      <w:r w:rsidRPr="00B801F4">
        <w:t xml:space="preserve"> cash inflows during the year consisted of £333.5 million and cash outflows were £375.7 million, representing a net cash outflow of £42.2 million (compared with an inflow of £58.7 million in the previous year).  Benefits payable amounted to £240.2 million and were partially offset by net investment income of £90.7 million (including £11.7 million accrued dividends); contributions of £238 million and transfers in of £4.8 million. A bulk transfer out of £89.6 million in relation to the transfer of employment from the Probation Trust to Greater Manchester Pension Fund contributed to the overall cash outflow, as did the temporary investment of cash in liquid bond funds and directly held investment grade bonds to commit to investments in line with the Fund's investment strategy.</w:t>
      </w:r>
    </w:p>
    <w:p w14:paraId="45907651" w14:textId="77777777" w:rsidR="00B801F4" w:rsidRPr="00B801F4" w:rsidRDefault="00B801F4" w:rsidP="00B801F4">
      <w:pPr>
        <w:ind w:left="567"/>
        <w:jc w:val="left"/>
      </w:pPr>
      <w:r w:rsidRPr="00B801F4">
        <w:t>The following description of the Fund is a summary only.  For more detail, reference should be made to the Lancashire County Pension Fund Annual Report 2014/15 and the underlying statutory powers underpinning the scheme, namely the Public Service Pensions Act 2013 and the Local Government Pension Scheme (LGPS) regulations.</w:t>
      </w:r>
    </w:p>
    <w:p w14:paraId="5217E8E7" w14:textId="77777777" w:rsidR="00B801F4" w:rsidRPr="00B801F4" w:rsidRDefault="00B801F4" w:rsidP="00B801F4">
      <w:pPr>
        <w:ind w:left="567"/>
        <w:jc w:val="left"/>
      </w:pPr>
    </w:p>
    <w:p w14:paraId="7A4EB9D6" w14:textId="77777777" w:rsidR="00B801F4" w:rsidRPr="00B801F4" w:rsidRDefault="00B801F4" w:rsidP="00717919">
      <w:pPr>
        <w:numPr>
          <w:ilvl w:val="1"/>
          <w:numId w:val="79"/>
        </w:numPr>
        <w:autoSpaceDE/>
        <w:autoSpaceDN/>
        <w:adjustRightInd/>
        <w:spacing w:after="0"/>
        <w:contextualSpacing/>
        <w:jc w:val="left"/>
      </w:pPr>
      <w:r w:rsidRPr="00B801F4">
        <w:rPr>
          <w:b/>
        </w:rPr>
        <w:t xml:space="preserve"> General</w:t>
      </w:r>
    </w:p>
    <w:p w14:paraId="393C315E" w14:textId="77777777" w:rsidR="00B801F4" w:rsidRPr="00B801F4" w:rsidRDefault="00B801F4" w:rsidP="00B801F4">
      <w:pPr>
        <w:ind w:left="567"/>
        <w:jc w:val="left"/>
      </w:pPr>
      <w:r w:rsidRPr="00B801F4">
        <w:t>The scheme is governed by the Public Service Pensions Act 2013.  The Fund is administered in accordance with the following secondary legislation:</w:t>
      </w:r>
    </w:p>
    <w:p w14:paraId="553EA8E8" w14:textId="77777777" w:rsidR="00B801F4" w:rsidRPr="00B801F4" w:rsidRDefault="00B801F4" w:rsidP="00B801F4">
      <w:pPr>
        <w:ind w:left="567"/>
        <w:jc w:val="left"/>
      </w:pPr>
    </w:p>
    <w:p w14:paraId="5FE2AA3D" w14:textId="77777777" w:rsidR="00B801F4" w:rsidRPr="00B801F4" w:rsidRDefault="00B801F4" w:rsidP="00717919">
      <w:pPr>
        <w:numPr>
          <w:ilvl w:val="0"/>
          <w:numId w:val="81"/>
        </w:numPr>
        <w:autoSpaceDE/>
        <w:autoSpaceDN/>
        <w:adjustRightInd/>
        <w:spacing w:after="0"/>
        <w:contextualSpacing/>
        <w:jc w:val="left"/>
      </w:pPr>
      <w:r w:rsidRPr="00B801F4">
        <w:t>the Local Government Pension Scheme Regulations 2013 (as amended)</w:t>
      </w:r>
    </w:p>
    <w:p w14:paraId="15A9DDD3" w14:textId="77777777" w:rsidR="00B801F4" w:rsidRPr="00B801F4" w:rsidRDefault="00B801F4" w:rsidP="00717919">
      <w:pPr>
        <w:numPr>
          <w:ilvl w:val="0"/>
          <w:numId w:val="81"/>
        </w:numPr>
        <w:autoSpaceDE/>
        <w:autoSpaceDN/>
        <w:adjustRightInd/>
        <w:spacing w:after="0"/>
        <w:contextualSpacing/>
        <w:jc w:val="left"/>
      </w:pPr>
      <w:r w:rsidRPr="00B801F4">
        <w:t>the Local Government Pension Scheme (Transitional Provisions, Savings and Amendment) Regulations 2014 (as amended)</w:t>
      </w:r>
    </w:p>
    <w:p w14:paraId="30AF9E34" w14:textId="77777777" w:rsidR="00B801F4" w:rsidRPr="00B801F4" w:rsidRDefault="00B801F4" w:rsidP="00717919">
      <w:pPr>
        <w:numPr>
          <w:ilvl w:val="0"/>
          <w:numId w:val="81"/>
        </w:numPr>
        <w:autoSpaceDE/>
        <w:autoSpaceDN/>
        <w:adjustRightInd/>
        <w:spacing w:after="0"/>
        <w:contextualSpacing/>
        <w:jc w:val="left"/>
      </w:pPr>
      <w:r w:rsidRPr="00B801F4">
        <w:t>the Local Government Pension Scheme (Management and Investment of Funds) Regulations 2009</w:t>
      </w:r>
    </w:p>
    <w:p w14:paraId="5C54ED5B" w14:textId="77777777" w:rsidR="00B801F4" w:rsidRPr="00B801F4" w:rsidRDefault="00B801F4" w:rsidP="00B801F4">
      <w:pPr>
        <w:ind w:left="567"/>
        <w:jc w:val="left"/>
      </w:pPr>
    </w:p>
    <w:p w14:paraId="4122AC4D" w14:textId="77777777" w:rsidR="00B801F4" w:rsidRPr="00B801F4" w:rsidRDefault="00B801F4" w:rsidP="00B801F4">
      <w:pPr>
        <w:ind w:left="567"/>
        <w:jc w:val="left"/>
      </w:pPr>
      <w:r w:rsidRPr="00B801F4">
        <w:t>The Fund is a contributory defined benefit pension scheme administered by Lancashire County Council to provide pensions and other benefits for pensionable employees of Lancashire County Council, the district councils in Lancashire and a range of other scheduled and admitted bodies within the county area.  Teachers, police officers and fire-fighters are not included within the Fund as they come within other national pension schemes.</w:t>
      </w:r>
    </w:p>
    <w:p w14:paraId="6A38E38E" w14:textId="77777777" w:rsidR="00B801F4" w:rsidRPr="00B801F4" w:rsidRDefault="00B801F4" w:rsidP="00B801F4">
      <w:pPr>
        <w:ind w:left="567"/>
        <w:jc w:val="left"/>
      </w:pPr>
      <w:r w:rsidRPr="00B801F4">
        <w:t>The Fund is overseen by the Lancashire Pension Fund Committee, which is a committee of Lancashire County Council.</w:t>
      </w:r>
    </w:p>
    <w:p w14:paraId="237EB9C5" w14:textId="77777777" w:rsidR="00B801F4" w:rsidRPr="00B801F4" w:rsidRDefault="00B801F4" w:rsidP="00B801F4">
      <w:pPr>
        <w:ind w:left="567"/>
        <w:jc w:val="left"/>
        <w:rPr>
          <w:color w:val="0000FF"/>
          <w:u w:val="single"/>
        </w:rPr>
      </w:pPr>
      <w:r w:rsidRPr="00B801F4">
        <w:t xml:space="preserve">The investments of the Pension Fund are managed by both external and in-house investment managers.  The asset allocation and policy in respect of the investments of the Fund is determined by the Pension Fund Committee, which meets four times a year with the Investment Panel in attendance.  The Investment Panel meet at least quarterly, or otherwise as necessary.  The Panel are responsible for making recommendations to the Pension Fund Committee in relation to the investment strategy of the Fund as well as monitoring the activities and performance of the investment managers.  Full details of the Panel and Committees responsibilities are published in the Funds Statement of Investment Principles and are available from the Funds website at </w:t>
      </w:r>
      <w:hyperlink r:id="rId34" w:history="1">
        <w:r w:rsidRPr="00B801F4">
          <w:rPr>
            <w:color w:val="0000FF"/>
            <w:u w:val="single"/>
          </w:rPr>
          <w:t>Your Pension Service - Lancashire Fund Information</w:t>
        </w:r>
      </w:hyperlink>
    </w:p>
    <w:p w14:paraId="4FA985B8" w14:textId="77777777" w:rsidR="00B801F4" w:rsidRPr="00B801F4" w:rsidRDefault="00B801F4" w:rsidP="00717919">
      <w:pPr>
        <w:numPr>
          <w:ilvl w:val="1"/>
          <w:numId w:val="79"/>
        </w:numPr>
        <w:autoSpaceDE/>
        <w:autoSpaceDN/>
        <w:adjustRightInd/>
        <w:spacing w:after="0"/>
        <w:contextualSpacing/>
        <w:jc w:val="left"/>
      </w:pPr>
      <w:r w:rsidRPr="00B801F4">
        <w:rPr>
          <w:b/>
        </w:rPr>
        <w:t xml:space="preserve">  Membership</w:t>
      </w:r>
    </w:p>
    <w:p w14:paraId="357BC4CD" w14:textId="77777777" w:rsidR="00B801F4" w:rsidRPr="00B801F4" w:rsidRDefault="00B801F4" w:rsidP="00B801F4">
      <w:pPr>
        <w:ind w:left="567"/>
        <w:contextualSpacing/>
        <w:jc w:val="left"/>
      </w:pPr>
      <w:r w:rsidRPr="00B801F4">
        <w:rPr>
          <w:rFonts w:cs="Arial"/>
        </w:rPr>
        <w:t>Membership of the LGPS is automatic although employees are able to opt-out of membership if they choose. However, employees are re-enrolled every 3 years under the government's auto-enrolment regulations.</w:t>
      </w:r>
    </w:p>
    <w:p w14:paraId="6839C7F5" w14:textId="77777777" w:rsidR="00B801F4" w:rsidRPr="00B801F4" w:rsidRDefault="00B801F4" w:rsidP="00B801F4">
      <w:pPr>
        <w:ind w:left="567"/>
        <w:jc w:val="left"/>
      </w:pPr>
    </w:p>
    <w:p w14:paraId="0BB8F9E5" w14:textId="77777777" w:rsidR="00B801F4" w:rsidRPr="00B801F4" w:rsidRDefault="00B801F4" w:rsidP="00B801F4">
      <w:pPr>
        <w:ind w:left="567"/>
        <w:jc w:val="left"/>
      </w:pPr>
      <w:r w:rsidRPr="00B801F4">
        <w:t>Organisations participating in the Lancashire County Pension Fund include:</w:t>
      </w:r>
    </w:p>
    <w:p w14:paraId="52576B48" w14:textId="77777777" w:rsidR="00B801F4" w:rsidRPr="00B801F4" w:rsidRDefault="00B801F4" w:rsidP="00717919">
      <w:pPr>
        <w:numPr>
          <w:ilvl w:val="0"/>
          <w:numId w:val="76"/>
        </w:numPr>
        <w:autoSpaceDE/>
        <w:autoSpaceDN/>
        <w:adjustRightInd/>
        <w:spacing w:after="0"/>
        <w:contextualSpacing/>
        <w:jc w:val="left"/>
      </w:pPr>
      <w:r w:rsidRPr="00B801F4">
        <w:t>Scheduled bodies, which are local authorities and similar bodies whose staff are automatically entitled to be members of the Fund.</w:t>
      </w:r>
    </w:p>
    <w:p w14:paraId="7EBB7F9F" w14:textId="77777777" w:rsidR="00B801F4" w:rsidRPr="00B801F4" w:rsidRDefault="00B801F4" w:rsidP="00B801F4">
      <w:pPr>
        <w:ind w:left="1287"/>
        <w:contextualSpacing/>
        <w:jc w:val="left"/>
      </w:pPr>
    </w:p>
    <w:p w14:paraId="7A1BE820" w14:textId="77777777" w:rsidR="00B801F4" w:rsidRPr="00B801F4" w:rsidRDefault="00B801F4" w:rsidP="00717919">
      <w:pPr>
        <w:numPr>
          <w:ilvl w:val="0"/>
          <w:numId w:val="76"/>
        </w:numPr>
        <w:autoSpaceDE/>
        <w:autoSpaceDN/>
        <w:adjustRightInd/>
        <w:spacing w:after="0"/>
        <w:contextualSpacing/>
        <w:jc w:val="left"/>
      </w:pPr>
      <w:r w:rsidRPr="00B801F4">
        <w:t>Admitted bodies, which are other organisations that participate in the Fund under an admission agreement between the Fund and the relevant organisation.  Admitted bodies include voluntary, charitable and similar bodies or private contractors undertaking a local authority function following outsourcing to the private sector.</w:t>
      </w:r>
    </w:p>
    <w:p w14:paraId="1BA50D16" w14:textId="77777777" w:rsidR="00B801F4" w:rsidRPr="00B801F4" w:rsidRDefault="00B801F4" w:rsidP="00B801F4">
      <w:pPr>
        <w:ind w:left="720"/>
        <w:contextualSpacing/>
        <w:jc w:val="left"/>
      </w:pPr>
    </w:p>
    <w:p w14:paraId="25F3C967" w14:textId="77777777" w:rsidR="00B801F4" w:rsidRPr="00B801F4" w:rsidRDefault="00B801F4" w:rsidP="00B801F4">
      <w:pPr>
        <w:ind w:left="567"/>
        <w:contextualSpacing/>
        <w:jc w:val="left"/>
      </w:pPr>
    </w:p>
    <w:p w14:paraId="1482480A" w14:textId="77777777" w:rsidR="00B801F4" w:rsidRPr="00B801F4" w:rsidRDefault="00B801F4" w:rsidP="00B801F4">
      <w:pPr>
        <w:ind w:left="567"/>
        <w:contextualSpacing/>
        <w:jc w:val="left"/>
      </w:pPr>
      <w:r w:rsidRPr="00B801F4">
        <w:t>There are 320 employer organisations (2013/14: 297 employer organisations) within Lancashire County Pension Fund including the County Council itself, of which 218 have active members (2013/14: 210) as detailed below:</w:t>
      </w:r>
    </w:p>
    <w:p w14:paraId="65127661" w14:textId="77777777" w:rsidR="00B801F4" w:rsidRPr="00B801F4" w:rsidRDefault="00B801F4" w:rsidP="00B801F4">
      <w:pPr>
        <w:ind w:left="567"/>
        <w:contextualSpacing/>
        <w:jc w:val="left"/>
      </w:pPr>
    </w:p>
    <w:p w14:paraId="105463C6" w14:textId="77777777" w:rsidR="00B801F4" w:rsidRPr="00B801F4" w:rsidRDefault="00B801F4" w:rsidP="00B801F4">
      <w:pPr>
        <w:ind w:left="567"/>
        <w:contextualSpacing/>
        <w:jc w:val="left"/>
      </w:pPr>
    </w:p>
    <w:tbl>
      <w:tblPr>
        <w:tblStyle w:val="TableGrid1"/>
        <w:tblW w:w="0" w:type="auto"/>
        <w:tblInd w:w="567" w:type="dxa"/>
        <w:tblLook w:val="04A0" w:firstRow="1" w:lastRow="0" w:firstColumn="1" w:lastColumn="0" w:noHBand="0" w:noVBand="1"/>
      </w:tblPr>
      <w:tblGrid>
        <w:gridCol w:w="5896"/>
        <w:gridCol w:w="1953"/>
        <w:gridCol w:w="2034"/>
      </w:tblGrid>
      <w:tr w:rsidR="00B801F4" w:rsidRPr="00B801F4" w14:paraId="64B1FFDE" w14:textId="77777777" w:rsidTr="00B801F4">
        <w:trPr>
          <w:trHeight w:val="500"/>
        </w:trPr>
        <w:tc>
          <w:tcPr>
            <w:tcW w:w="6062" w:type="dxa"/>
            <w:tcBorders>
              <w:top w:val="single" w:sz="4" w:space="0" w:color="auto"/>
              <w:left w:val="single" w:sz="4" w:space="0" w:color="auto"/>
              <w:bottom w:val="single" w:sz="4" w:space="0" w:color="auto"/>
              <w:right w:val="nil"/>
            </w:tcBorders>
            <w:shd w:val="clear" w:color="auto" w:fill="C5E0B3" w:themeFill="accent6" w:themeFillTint="66"/>
          </w:tcPr>
          <w:p w14:paraId="10845210" w14:textId="77777777" w:rsidR="00B801F4" w:rsidRPr="00B801F4" w:rsidRDefault="00B801F4" w:rsidP="00B801F4">
            <w:pPr>
              <w:contextualSpacing/>
              <w:jc w:val="left"/>
              <w:rPr>
                <w:b/>
              </w:rPr>
            </w:pPr>
            <w:r w:rsidRPr="00B801F4">
              <w:rPr>
                <w:b/>
              </w:rPr>
              <w:t>Lancashire County Pension Fund</w:t>
            </w:r>
          </w:p>
        </w:tc>
        <w:tc>
          <w:tcPr>
            <w:tcW w:w="1984" w:type="dxa"/>
            <w:tcBorders>
              <w:top w:val="single" w:sz="4" w:space="0" w:color="auto"/>
              <w:left w:val="nil"/>
              <w:bottom w:val="single" w:sz="4" w:space="0" w:color="auto"/>
              <w:right w:val="nil"/>
            </w:tcBorders>
            <w:shd w:val="clear" w:color="auto" w:fill="C5E0B3" w:themeFill="accent6" w:themeFillTint="66"/>
          </w:tcPr>
          <w:p w14:paraId="3F4CECF4" w14:textId="77777777" w:rsidR="00B801F4" w:rsidRPr="00B801F4" w:rsidRDefault="00B801F4" w:rsidP="00B801F4">
            <w:pPr>
              <w:contextualSpacing/>
              <w:jc w:val="right"/>
              <w:rPr>
                <w:b/>
              </w:rPr>
            </w:pPr>
            <w:r w:rsidRPr="00B801F4">
              <w:rPr>
                <w:b/>
              </w:rPr>
              <w:t>31/03/15</w:t>
            </w:r>
          </w:p>
        </w:tc>
        <w:tc>
          <w:tcPr>
            <w:tcW w:w="2069" w:type="dxa"/>
            <w:tcBorders>
              <w:top w:val="single" w:sz="4" w:space="0" w:color="auto"/>
              <w:left w:val="nil"/>
              <w:bottom w:val="single" w:sz="4" w:space="0" w:color="auto"/>
              <w:right w:val="single" w:sz="4" w:space="0" w:color="auto"/>
            </w:tcBorders>
            <w:shd w:val="clear" w:color="auto" w:fill="C5E0B3" w:themeFill="accent6" w:themeFillTint="66"/>
          </w:tcPr>
          <w:p w14:paraId="052B2EE0" w14:textId="77777777" w:rsidR="00B801F4" w:rsidRPr="00B801F4" w:rsidRDefault="00B801F4" w:rsidP="00B801F4">
            <w:pPr>
              <w:contextualSpacing/>
              <w:jc w:val="right"/>
              <w:rPr>
                <w:b/>
              </w:rPr>
            </w:pPr>
            <w:r w:rsidRPr="00B801F4">
              <w:rPr>
                <w:b/>
              </w:rPr>
              <w:t>31/03/14</w:t>
            </w:r>
          </w:p>
        </w:tc>
      </w:tr>
      <w:tr w:rsidR="00B801F4" w:rsidRPr="00B801F4" w14:paraId="65E82E65" w14:textId="77777777" w:rsidTr="00B801F4">
        <w:trPr>
          <w:trHeight w:val="428"/>
        </w:trPr>
        <w:tc>
          <w:tcPr>
            <w:tcW w:w="6062" w:type="dxa"/>
            <w:tcBorders>
              <w:top w:val="single" w:sz="4" w:space="0" w:color="auto"/>
              <w:left w:val="single" w:sz="4" w:space="0" w:color="auto"/>
              <w:bottom w:val="single" w:sz="4" w:space="0" w:color="auto"/>
              <w:right w:val="nil"/>
            </w:tcBorders>
          </w:tcPr>
          <w:p w14:paraId="1BB1E634" w14:textId="77777777" w:rsidR="00B801F4" w:rsidRPr="00B801F4" w:rsidRDefault="00B801F4" w:rsidP="00B801F4">
            <w:pPr>
              <w:contextualSpacing/>
              <w:jc w:val="left"/>
            </w:pPr>
            <w:r w:rsidRPr="00B801F4">
              <w:t xml:space="preserve">Total number of employers </w:t>
            </w:r>
          </w:p>
        </w:tc>
        <w:tc>
          <w:tcPr>
            <w:tcW w:w="1984" w:type="dxa"/>
            <w:tcBorders>
              <w:top w:val="single" w:sz="4" w:space="0" w:color="auto"/>
              <w:left w:val="nil"/>
              <w:bottom w:val="single" w:sz="4" w:space="0" w:color="auto"/>
              <w:right w:val="nil"/>
            </w:tcBorders>
          </w:tcPr>
          <w:p w14:paraId="12D92AB7" w14:textId="77777777" w:rsidR="00B801F4" w:rsidRPr="00B801F4" w:rsidRDefault="00B801F4" w:rsidP="00B801F4">
            <w:pPr>
              <w:contextualSpacing/>
              <w:jc w:val="right"/>
            </w:pPr>
            <w:r w:rsidRPr="00B801F4">
              <w:t>320</w:t>
            </w:r>
          </w:p>
        </w:tc>
        <w:tc>
          <w:tcPr>
            <w:tcW w:w="2069" w:type="dxa"/>
            <w:tcBorders>
              <w:top w:val="single" w:sz="4" w:space="0" w:color="auto"/>
              <w:left w:val="nil"/>
              <w:bottom w:val="single" w:sz="4" w:space="0" w:color="auto"/>
              <w:right w:val="single" w:sz="4" w:space="0" w:color="auto"/>
            </w:tcBorders>
          </w:tcPr>
          <w:p w14:paraId="30486F72" w14:textId="77777777" w:rsidR="00B801F4" w:rsidRPr="00B801F4" w:rsidRDefault="00B801F4" w:rsidP="00B801F4">
            <w:pPr>
              <w:contextualSpacing/>
              <w:jc w:val="right"/>
            </w:pPr>
            <w:r w:rsidRPr="00B801F4">
              <w:t>297</w:t>
            </w:r>
          </w:p>
        </w:tc>
      </w:tr>
      <w:tr w:rsidR="00B801F4" w:rsidRPr="00B801F4" w14:paraId="69BB9BFA" w14:textId="77777777" w:rsidTr="00B801F4">
        <w:trPr>
          <w:trHeight w:val="428"/>
        </w:trPr>
        <w:tc>
          <w:tcPr>
            <w:tcW w:w="6062" w:type="dxa"/>
            <w:tcBorders>
              <w:top w:val="single" w:sz="4" w:space="0" w:color="auto"/>
              <w:left w:val="single" w:sz="4" w:space="0" w:color="auto"/>
              <w:bottom w:val="single" w:sz="4" w:space="0" w:color="auto"/>
              <w:right w:val="nil"/>
            </w:tcBorders>
          </w:tcPr>
          <w:p w14:paraId="1748CB8F" w14:textId="77777777" w:rsidR="00B801F4" w:rsidRPr="00B801F4" w:rsidRDefault="00B801F4" w:rsidP="00B801F4">
            <w:pPr>
              <w:contextualSpacing/>
              <w:jc w:val="left"/>
            </w:pPr>
            <w:r w:rsidRPr="00B801F4">
              <w:t>Number of employers with active members</w:t>
            </w:r>
          </w:p>
        </w:tc>
        <w:tc>
          <w:tcPr>
            <w:tcW w:w="1984" w:type="dxa"/>
            <w:tcBorders>
              <w:top w:val="single" w:sz="4" w:space="0" w:color="auto"/>
              <w:left w:val="nil"/>
              <w:bottom w:val="single" w:sz="4" w:space="0" w:color="auto"/>
              <w:right w:val="nil"/>
            </w:tcBorders>
          </w:tcPr>
          <w:p w14:paraId="5EB5F1E2" w14:textId="77777777" w:rsidR="00B801F4" w:rsidRPr="00B801F4" w:rsidRDefault="00B801F4" w:rsidP="00B801F4">
            <w:pPr>
              <w:contextualSpacing/>
              <w:jc w:val="right"/>
            </w:pPr>
            <w:r w:rsidRPr="00B801F4">
              <w:t>218</w:t>
            </w:r>
          </w:p>
        </w:tc>
        <w:tc>
          <w:tcPr>
            <w:tcW w:w="2069" w:type="dxa"/>
            <w:tcBorders>
              <w:top w:val="single" w:sz="4" w:space="0" w:color="auto"/>
              <w:left w:val="nil"/>
              <w:bottom w:val="single" w:sz="4" w:space="0" w:color="auto"/>
              <w:right w:val="single" w:sz="4" w:space="0" w:color="auto"/>
            </w:tcBorders>
          </w:tcPr>
          <w:p w14:paraId="050D4924" w14:textId="77777777" w:rsidR="00B801F4" w:rsidRPr="00B801F4" w:rsidRDefault="00B801F4" w:rsidP="00B801F4">
            <w:pPr>
              <w:contextualSpacing/>
              <w:jc w:val="right"/>
            </w:pPr>
            <w:r w:rsidRPr="00B801F4">
              <w:t>210</w:t>
            </w:r>
          </w:p>
        </w:tc>
      </w:tr>
      <w:tr w:rsidR="00B801F4" w:rsidRPr="00B801F4" w14:paraId="2C7266E1" w14:textId="77777777" w:rsidTr="00B801F4">
        <w:tc>
          <w:tcPr>
            <w:tcW w:w="6062" w:type="dxa"/>
            <w:tcBorders>
              <w:top w:val="single" w:sz="4" w:space="0" w:color="auto"/>
              <w:left w:val="single" w:sz="4" w:space="0" w:color="auto"/>
              <w:bottom w:val="nil"/>
              <w:right w:val="nil"/>
            </w:tcBorders>
          </w:tcPr>
          <w:p w14:paraId="5D5BC4F9" w14:textId="77777777" w:rsidR="00B801F4" w:rsidRPr="00B801F4" w:rsidRDefault="00B801F4" w:rsidP="00B801F4">
            <w:pPr>
              <w:contextualSpacing/>
              <w:jc w:val="left"/>
            </w:pPr>
            <w:r w:rsidRPr="00B801F4">
              <w:t>Number of active scheme members</w:t>
            </w:r>
          </w:p>
        </w:tc>
        <w:tc>
          <w:tcPr>
            <w:tcW w:w="1984" w:type="dxa"/>
            <w:tcBorders>
              <w:top w:val="single" w:sz="4" w:space="0" w:color="auto"/>
              <w:left w:val="nil"/>
              <w:bottom w:val="nil"/>
              <w:right w:val="nil"/>
            </w:tcBorders>
          </w:tcPr>
          <w:p w14:paraId="24A067AA" w14:textId="77777777" w:rsidR="00B801F4" w:rsidRPr="00B801F4" w:rsidRDefault="00B801F4" w:rsidP="00B801F4">
            <w:pPr>
              <w:contextualSpacing/>
              <w:jc w:val="right"/>
            </w:pPr>
          </w:p>
        </w:tc>
        <w:tc>
          <w:tcPr>
            <w:tcW w:w="2069" w:type="dxa"/>
            <w:tcBorders>
              <w:top w:val="single" w:sz="4" w:space="0" w:color="auto"/>
              <w:left w:val="nil"/>
              <w:bottom w:val="nil"/>
              <w:right w:val="single" w:sz="4" w:space="0" w:color="auto"/>
            </w:tcBorders>
          </w:tcPr>
          <w:p w14:paraId="38B5AB1E" w14:textId="77777777" w:rsidR="00B801F4" w:rsidRPr="00B801F4" w:rsidRDefault="00B801F4" w:rsidP="00B801F4">
            <w:pPr>
              <w:contextualSpacing/>
              <w:jc w:val="right"/>
            </w:pPr>
          </w:p>
        </w:tc>
      </w:tr>
      <w:tr w:rsidR="00B801F4" w:rsidRPr="00B801F4" w14:paraId="32B7D0FA" w14:textId="77777777" w:rsidTr="00B801F4">
        <w:tc>
          <w:tcPr>
            <w:tcW w:w="6062" w:type="dxa"/>
            <w:tcBorders>
              <w:top w:val="nil"/>
              <w:left w:val="single" w:sz="4" w:space="0" w:color="auto"/>
              <w:bottom w:val="nil"/>
              <w:right w:val="nil"/>
            </w:tcBorders>
          </w:tcPr>
          <w:p w14:paraId="3BE19C6E" w14:textId="77777777" w:rsidR="00B801F4" w:rsidRPr="00B801F4" w:rsidRDefault="00B801F4" w:rsidP="00B801F4">
            <w:pPr>
              <w:contextualSpacing/>
              <w:jc w:val="left"/>
            </w:pPr>
            <w:r w:rsidRPr="00B801F4">
              <w:t>County Council</w:t>
            </w:r>
          </w:p>
        </w:tc>
        <w:tc>
          <w:tcPr>
            <w:tcW w:w="1984" w:type="dxa"/>
            <w:tcBorders>
              <w:top w:val="nil"/>
              <w:left w:val="nil"/>
              <w:bottom w:val="nil"/>
              <w:right w:val="nil"/>
            </w:tcBorders>
          </w:tcPr>
          <w:p w14:paraId="593B07DE" w14:textId="77777777" w:rsidR="00B801F4" w:rsidRPr="00B801F4" w:rsidRDefault="00B801F4" w:rsidP="00B801F4">
            <w:pPr>
              <w:contextualSpacing/>
              <w:jc w:val="right"/>
            </w:pPr>
            <w:r w:rsidRPr="00B801F4">
              <w:t>27,405</w:t>
            </w:r>
          </w:p>
        </w:tc>
        <w:tc>
          <w:tcPr>
            <w:tcW w:w="2069" w:type="dxa"/>
            <w:tcBorders>
              <w:top w:val="nil"/>
              <w:left w:val="nil"/>
              <w:bottom w:val="nil"/>
              <w:right w:val="single" w:sz="4" w:space="0" w:color="auto"/>
            </w:tcBorders>
          </w:tcPr>
          <w:p w14:paraId="48A9BCAB" w14:textId="77777777" w:rsidR="00B801F4" w:rsidRPr="00B801F4" w:rsidRDefault="00B801F4" w:rsidP="00B801F4">
            <w:pPr>
              <w:contextualSpacing/>
              <w:jc w:val="right"/>
            </w:pPr>
            <w:r w:rsidRPr="00B801F4">
              <w:t>27,501</w:t>
            </w:r>
          </w:p>
        </w:tc>
      </w:tr>
      <w:tr w:rsidR="00B801F4" w:rsidRPr="00B801F4" w14:paraId="111E91C8" w14:textId="77777777" w:rsidTr="00B801F4">
        <w:tc>
          <w:tcPr>
            <w:tcW w:w="6062" w:type="dxa"/>
            <w:tcBorders>
              <w:top w:val="nil"/>
              <w:left w:val="single" w:sz="4" w:space="0" w:color="auto"/>
              <w:bottom w:val="nil"/>
              <w:right w:val="nil"/>
            </w:tcBorders>
          </w:tcPr>
          <w:p w14:paraId="50D8CD07" w14:textId="77777777" w:rsidR="00B801F4" w:rsidRPr="00B801F4" w:rsidRDefault="00B801F4" w:rsidP="00B801F4">
            <w:pPr>
              <w:contextualSpacing/>
              <w:jc w:val="left"/>
            </w:pPr>
            <w:r w:rsidRPr="00B801F4">
              <w:t>Other employers</w:t>
            </w:r>
          </w:p>
        </w:tc>
        <w:tc>
          <w:tcPr>
            <w:tcW w:w="1984" w:type="dxa"/>
            <w:tcBorders>
              <w:top w:val="nil"/>
              <w:left w:val="nil"/>
              <w:bottom w:val="nil"/>
              <w:right w:val="nil"/>
            </w:tcBorders>
          </w:tcPr>
          <w:p w14:paraId="283E66F4" w14:textId="77777777" w:rsidR="00B801F4" w:rsidRPr="00B801F4" w:rsidRDefault="00B801F4" w:rsidP="00B801F4">
            <w:pPr>
              <w:contextualSpacing/>
              <w:jc w:val="right"/>
            </w:pPr>
            <w:r w:rsidRPr="00B801F4">
              <w:t>26,774</w:t>
            </w:r>
          </w:p>
        </w:tc>
        <w:tc>
          <w:tcPr>
            <w:tcW w:w="2069" w:type="dxa"/>
            <w:tcBorders>
              <w:top w:val="nil"/>
              <w:left w:val="nil"/>
              <w:bottom w:val="nil"/>
              <w:right w:val="single" w:sz="4" w:space="0" w:color="auto"/>
            </w:tcBorders>
          </w:tcPr>
          <w:p w14:paraId="7D005735" w14:textId="77777777" w:rsidR="00B801F4" w:rsidRPr="00B801F4" w:rsidRDefault="00B801F4" w:rsidP="00B801F4">
            <w:pPr>
              <w:contextualSpacing/>
              <w:jc w:val="right"/>
            </w:pPr>
            <w:r w:rsidRPr="00B801F4">
              <w:t>27,243</w:t>
            </w:r>
          </w:p>
        </w:tc>
      </w:tr>
      <w:tr w:rsidR="00B801F4" w:rsidRPr="00B801F4" w14:paraId="031C68E7" w14:textId="77777777" w:rsidTr="00B801F4">
        <w:tc>
          <w:tcPr>
            <w:tcW w:w="6062" w:type="dxa"/>
            <w:tcBorders>
              <w:top w:val="nil"/>
              <w:left w:val="single" w:sz="4" w:space="0" w:color="auto"/>
              <w:bottom w:val="single" w:sz="4" w:space="0" w:color="auto"/>
              <w:right w:val="nil"/>
            </w:tcBorders>
            <w:shd w:val="clear" w:color="auto" w:fill="E2EFD9" w:themeFill="accent6" w:themeFillTint="33"/>
          </w:tcPr>
          <w:p w14:paraId="5CCB4D24" w14:textId="77777777" w:rsidR="00B801F4" w:rsidRPr="00B801F4" w:rsidRDefault="00B801F4" w:rsidP="00B801F4">
            <w:pPr>
              <w:contextualSpacing/>
              <w:jc w:val="left"/>
            </w:pPr>
            <w:r w:rsidRPr="00B801F4">
              <w:t>Total</w:t>
            </w:r>
          </w:p>
        </w:tc>
        <w:tc>
          <w:tcPr>
            <w:tcW w:w="1984" w:type="dxa"/>
            <w:tcBorders>
              <w:top w:val="nil"/>
              <w:left w:val="nil"/>
              <w:bottom w:val="single" w:sz="4" w:space="0" w:color="auto"/>
              <w:right w:val="nil"/>
            </w:tcBorders>
            <w:shd w:val="clear" w:color="auto" w:fill="E2EFD9" w:themeFill="accent6" w:themeFillTint="33"/>
          </w:tcPr>
          <w:p w14:paraId="7E5B53B6" w14:textId="77777777" w:rsidR="00B801F4" w:rsidRPr="00B801F4" w:rsidRDefault="00B801F4" w:rsidP="00B801F4">
            <w:pPr>
              <w:contextualSpacing/>
              <w:jc w:val="right"/>
            </w:pPr>
            <w:r w:rsidRPr="00B801F4">
              <w:t>54,179</w:t>
            </w:r>
          </w:p>
        </w:tc>
        <w:tc>
          <w:tcPr>
            <w:tcW w:w="2069" w:type="dxa"/>
            <w:tcBorders>
              <w:top w:val="nil"/>
              <w:left w:val="nil"/>
              <w:bottom w:val="single" w:sz="4" w:space="0" w:color="auto"/>
              <w:right w:val="single" w:sz="4" w:space="0" w:color="auto"/>
            </w:tcBorders>
            <w:shd w:val="clear" w:color="auto" w:fill="E2EFD9" w:themeFill="accent6" w:themeFillTint="33"/>
          </w:tcPr>
          <w:p w14:paraId="10A77411" w14:textId="77777777" w:rsidR="00B801F4" w:rsidRPr="00B801F4" w:rsidRDefault="00B801F4" w:rsidP="00B801F4">
            <w:pPr>
              <w:contextualSpacing/>
              <w:jc w:val="right"/>
            </w:pPr>
            <w:r w:rsidRPr="00B801F4">
              <w:t>54,744</w:t>
            </w:r>
          </w:p>
        </w:tc>
      </w:tr>
      <w:tr w:rsidR="00B801F4" w:rsidRPr="00B801F4" w14:paraId="5A67372A" w14:textId="77777777" w:rsidTr="00B801F4">
        <w:tc>
          <w:tcPr>
            <w:tcW w:w="6062" w:type="dxa"/>
            <w:tcBorders>
              <w:top w:val="single" w:sz="4" w:space="0" w:color="auto"/>
              <w:left w:val="single" w:sz="4" w:space="0" w:color="auto"/>
              <w:bottom w:val="nil"/>
              <w:right w:val="nil"/>
            </w:tcBorders>
          </w:tcPr>
          <w:p w14:paraId="73F10649" w14:textId="77777777" w:rsidR="00B801F4" w:rsidRPr="00B801F4" w:rsidRDefault="00B801F4" w:rsidP="00B801F4">
            <w:pPr>
              <w:contextualSpacing/>
              <w:jc w:val="left"/>
            </w:pPr>
            <w:r w:rsidRPr="00B801F4">
              <w:t>Number of pensioners</w:t>
            </w:r>
          </w:p>
        </w:tc>
        <w:tc>
          <w:tcPr>
            <w:tcW w:w="1984" w:type="dxa"/>
            <w:tcBorders>
              <w:top w:val="single" w:sz="4" w:space="0" w:color="auto"/>
              <w:left w:val="nil"/>
              <w:bottom w:val="nil"/>
              <w:right w:val="nil"/>
            </w:tcBorders>
          </w:tcPr>
          <w:p w14:paraId="008B0A59" w14:textId="77777777" w:rsidR="00B801F4" w:rsidRPr="00B801F4" w:rsidRDefault="00B801F4" w:rsidP="00B801F4">
            <w:pPr>
              <w:contextualSpacing/>
              <w:jc w:val="right"/>
            </w:pPr>
          </w:p>
        </w:tc>
        <w:tc>
          <w:tcPr>
            <w:tcW w:w="2069" w:type="dxa"/>
            <w:tcBorders>
              <w:top w:val="single" w:sz="4" w:space="0" w:color="auto"/>
              <w:left w:val="nil"/>
              <w:bottom w:val="nil"/>
              <w:right w:val="single" w:sz="4" w:space="0" w:color="auto"/>
            </w:tcBorders>
          </w:tcPr>
          <w:p w14:paraId="7118AB0E" w14:textId="77777777" w:rsidR="00B801F4" w:rsidRPr="00B801F4" w:rsidRDefault="00B801F4" w:rsidP="00B801F4">
            <w:pPr>
              <w:contextualSpacing/>
              <w:jc w:val="right"/>
            </w:pPr>
          </w:p>
        </w:tc>
      </w:tr>
      <w:tr w:rsidR="00B801F4" w:rsidRPr="00B801F4" w14:paraId="2CFAA9CF" w14:textId="77777777" w:rsidTr="00B801F4">
        <w:tc>
          <w:tcPr>
            <w:tcW w:w="6062" w:type="dxa"/>
            <w:tcBorders>
              <w:top w:val="nil"/>
              <w:left w:val="single" w:sz="4" w:space="0" w:color="auto"/>
              <w:bottom w:val="nil"/>
              <w:right w:val="nil"/>
            </w:tcBorders>
          </w:tcPr>
          <w:p w14:paraId="44BC2E09" w14:textId="77777777" w:rsidR="00B801F4" w:rsidRPr="00B801F4" w:rsidRDefault="00B801F4" w:rsidP="00B801F4">
            <w:pPr>
              <w:contextualSpacing/>
              <w:jc w:val="left"/>
            </w:pPr>
            <w:r w:rsidRPr="00B801F4">
              <w:t>County Council</w:t>
            </w:r>
          </w:p>
        </w:tc>
        <w:tc>
          <w:tcPr>
            <w:tcW w:w="1984" w:type="dxa"/>
            <w:tcBorders>
              <w:top w:val="nil"/>
              <w:left w:val="nil"/>
              <w:bottom w:val="nil"/>
              <w:right w:val="nil"/>
            </w:tcBorders>
          </w:tcPr>
          <w:p w14:paraId="023ED8B4" w14:textId="77777777" w:rsidR="00B801F4" w:rsidRPr="00B801F4" w:rsidRDefault="00B801F4" w:rsidP="00B801F4">
            <w:pPr>
              <w:contextualSpacing/>
              <w:jc w:val="right"/>
            </w:pPr>
            <w:r w:rsidRPr="00B801F4">
              <w:t>21,765</w:t>
            </w:r>
          </w:p>
        </w:tc>
        <w:tc>
          <w:tcPr>
            <w:tcW w:w="2069" w:type="dxa"/>
            <w:tcBorders>
              <w:top w:val="nil"/>
              <w:left w:val="nil"/>
              <w:bottom w:val="nil"/>
              <w:right w:val="single" w:sz="4" w:space="0" w:color="auto"/>
            </w:tcBorders>
          </w:tcPr>
          <w:p w14:paraId="400C252B" w14:textId="77777777" w:rsidR="00B801F4" w:rsidRPr="00B801F4" w:rsidRDefault="00B801F4" w:rsidP="00B801F4">
            <w:pPr>
              <w:contextualSpacing/>
              <w:jc w:val="right"/>
            </w:pPr>
            <w:r w:rsidRPr="00B801F4">
              <w:t>21,068</w:t>
            </w:r>
          </w:p>
        </w:tc>
      </w:tr>
      <w:tr w:rsidR="00B801F4" w:rsidRPr="00B801F4" w14:paraId="16AE588E" w14:textId="77777777" w:rsidTr="00B801F4">
        <w:tc>
          <w:tcPr>
            <w:tcW w:w="6062" w:type="dxa"/>
            <w:tcBorders>
              <w:top w:val="nil"/>
              <w:left w:val="single" w:sz="4" w:space="0" w:color="auto"/>
              <w:bottom w:val="nil"/>
              <w:right w:val="nil"/>
            </w:tcBorders>
          </w:tcPr>
          <w:p w14:paraId="275123BF" w14:textId="77777777" w:rsidR="00B801F4" w:rsidRPr="00B801F4" w:rsidRDefault="00B801F4" w:rsidP="00B801F4">
            <w:pPr>
              <w:contextualSpacing/>
              <w:jc w:val="left"/>
            </w:pPr>
            <w:r w:rsidRPr="00B801F4">
              <w:t>Other employers</w:t>
            </w:r>
          </w:p>
        </w:tc>
        <w:tc>
          <w:tcPr>
            <w:tcW w:w="1984" w:type="dxa"/>
            <w:tcBorders>
              <w:top w:val="nil"/>
              <w:left w:val="nil"/>
              <w:bottom w:val="nil"/>
              <w:right w:val="nil"/>
            </w:tcBorders>
          </w:tcPr>
          <w:p w14:paraId="6ED51D0B" w14:textId="77777777" w:rsidR="00B801F4" w:rsidRPr="00B801F4" w:rsidRDefault="00B801F4" w:rsidP="00B801F4">
            <w:pPr>
              <w:contextualSpacing/>
              <w:jc w:val="right"/>
            </w:pPr>
            <w:r w:rsidRPr="00B801F4">
              <w:t>21,446</w:t>
            </w:r>
          </w:p>
        </w:tc>
        <w:tc>
          <w:tcPr>
            <w:tcW w:w="2069" w:type="dxa"/>
            <w:tcBorders>
              <w:top w:val="nil"/>
              <w:left w:val="nil"/>
              <w:bottom w:val="nil"/>
              <w:right w:val="single" w:sz="4" w:space="0" w:color="auto"/>
            </w:tcBorders>
          </w:tcPr>
          <w:p w14:paraId="00C813DB" w14:textId="77777777" w:rsidR="00B801F4" w:rsidRPr="00B801F4" w:rsidRDefault="00B801F4" w:rsidP="00B801F4">
            <w:pPr>
              <w:contextualSpacing/>
              <w:jc w:val="right"/>
            </w:pPr>
            <w:r w:rsidRPr="00B801F4">
              <w:t>21,210</w:t>
            </w:r>
          </w:p>
        </w:tc>
      </w:tr>
      <w:tr w:rsidR="00B801F4" w:rsidRPr="00B801F4" w14:paraId="13B15343" w14:textId="77777777" w:rsidTr="00B801F4">
        <w:tc>
          <w:tcPr>
            <w:tcW w:w="6062" w:type="dxa"/>
            <w:tcBorders>
              <w:top w:val="nil"/>
              <w:left w:val="single" w:sz="4" w:space="0" w:color="auto"/>
              <w:bottom w:val="single" w:sz="4" w:space="0" w:color="auto"/>
              <w:right w:val="nil"/>
            </w:tcBorders>
            <w:shd w:val="clear" w:color="auto" w:fill="E2EFD9" w:themeFill="accent6" w:themeFillTint="33"/>
          </w:tcPr>
          <w:p w14:paraId="39880891" w14:textId="77777777" w:rsidR="00B801F4" w:rsidRPr="00B801F4" w:rsidRDefault="00B801F4" w:rsidP="00B801F4">
            <w:pPr>
              <w:contextualSpacing/>
              <w:jc w:val="left"/>
            </w:pPr>
            <w:r w:rsidRPr="00B801F4">
              <w:t>Total</w:t>
            </w:r>
          </w:p>
        </w:tc>
        <w:tc>
          <w:tcPr>
            <w:tcW w:w="1984" w:type="dxa"/>
            <w:tcBorders>
              <w:top w:val="nil"/>
              <w:left w:val="nil"/>
              <w:bottom w:val="single" w:sz="4" w:space="0" w:color="auto"/>
              <w:right w:val="nil"/>
            </w:tcBorders>
            <w:shd w:val="clear" w:color="auto" w:fill="E2EFD9" w:themeFill="accent6" w:themeFillTint="33"/>
          </w:tcPr>
          <w:p w14:paraId="32BD84DF" w14:textId="77777777" w:rsidR="00B801F4" w:rsidRPr="00B801F4" w:rsidRDefault="00B801F4" w:rsidP="00B801F4">
            <w:pPr>
              <w:contextualSpacing/>
              <w:jc w:val="right"/>
            </w:pPr>
            <w:r w:rsidRPr="00B801F4">
              <w:t>43,211</w:t>
            </w:r>
          </w:p>
        </w:tc>
        <w:tc>
          <w:tcPr>
            <w:tcW w:w="2069" w:type="dxa"/>
            <w:tcBorders>
              <w:top w:val="nil"/>
              <w:left w:val="nil"/>
              <w:bottom w:val="single" w:sz="4" w:space="0" w:color="auto"/>
              <w:right w:val="single" w:sz="4" w:space="0" w:color="auto"/>
            </w:tcBorders>
            <w:shd w:val="clear" w:color="auto" w:fill="E2EFD9" w:themeFill="accent6" w:themeFillTint="33"/>
          </w:tcPr>
          <w:p w14:paraId="2B9F273F" w14:textId="77777777" w:rsidR="00B801F4" w:rsidRPr="00B801F4" w:rsidRDefault="00B801F4" w:rsidP="00B801F4">
            <w:pPr>
              <w:contextualSpacing/>
              <w:jc w:val="right"/>
            </w:pPr>
            <w:r w:rsidRPr="00B801F4">
              <w:t>42,278</w:t>
            </w:r>
          </w:p>
        </w:tc>
      </w:tr>
      <w:tr w:rsidR="00B801F4" w:rsidRPr="00B801F4" w14:paraId="35D043D0" w14:textId="77777777" w:rsidTr="00B801F4">
        <w:tc>
          <w:tcPr>
            <w:tcW w:w="6062" w:type="dxa"/>
            <w:tcBorders>
              <w:top w:val="single" w:sz="4" w:space="0" w:color="auto"/>
              <w:left w:val="single" w:sz="4" w:space="0" w:color="auto"/>
              <w:bottom w:val="nil"/>
              <w:right w:val="nil"/>
            </w:tcBorders>
          </w:tcPr>
          <w:p w14:paraId="14D3EDBC" w14:textId="77777777" w:rsidR="00B801F4" w:rsidRPr="00B801F4" w:rsidRDefault="00B801F4" w:rsidP="00B801F4">
            <w:pPr>
              <w:contextualSpacing/>
              <w:jc w:val="left"/>
            </w:pPr>
            <w:r w:rsidRPr="00B801F4">
              <w:t>Number of deferred pensioners</w:t>
            </w:r>
          </w:p>
        </w:tc>
        <w:tc>
          <w:tcPr>
            <w:tcW w:w="1984" w:type="dxa"/>
            <w:tcBorders>
              <w:top w:val="single" w:sz="4" w:space="0" w:color="auto"/>
              <w:left w:val="nil"/>
              <w:bottom w:val="nil"/>
              <w:right w:val="nil"/>
            </w:tcBorders>
          </w:tcPr>
          <w:p w14:paraId="21540836" w14:textId="77777777" w:rsidR="00B801F4" w:rsidRPr="00B801F4" w:rsidRDefault="00B801F4" w:rsidP="00B801F4">
            <w:pPr>
              <w:contextualSpacing/>
              <w:jc w:val="right"/>
            </w:pPr>
          </w:p>
        </w:tc>
        <w:tc>
          <w:tcPr>
            <w:tcW w:w="2069" w:type="dxa"/>
            <w:tcBorders>
              <w:top w:val="single" w:sz="4" w:space="0" w:color="auto"/>
              <w:left w:val="nil"/>
              <w:bottom w:val="nil"/>
              <w:right w:val="single" w:sz="4" w:space="0" w:color="auto"/>
            </w:tcBorders>
          </w:tcPr>
          <w:p w14:paraId="2FCBBAF6" w14:textId="77777777" w:rsidR="00B801F4" w:rsidRPr="00B801F4" w:rsidRDefault="00B801F4" w:rsidP="00B801F4">
            <w:pPr>
              <w:contextualSpacing/>
              <w:jc w:val="right"/>
            </w:pPr>
          </w:p>
        </w:tc>
      </w:tr>
      <w:tr w:rsidR="00B801F4" w:rsidRPr="00B801F4" w14:paraId="38B7D367" w14:textId="77777777" w:rsidTr="00B801F4">
        <w:tc>
          <w:tcPr>
            <w:tcW w:w="6062" w:type="dxa"/>
            <w:tcBorders>
              <w:top w:val="nil"/>
              <w:left w:val="single" w:sz="4" w:space="0" w:color="auto"/>
              <w:bottom w:val="nil"/>
              <w:right w:val="nil"/>
            </w:tcBorders>
          </w:tcPr>
          <w:p w14:paraId="11C6513E" w14:textId="77777777" w:rsidR="00B801F4" w:rsidRPr="00B801F4" w:rsidRDefault="00B801F4" w:rsidP="00B801F4">
            <w:pPr>
              <w:contextualSpacing/>
              <w:jc w:val="left"/>
            </w:pPr>
            <w:r w:rsidRPr="00B801F4">
              <w:t>County Council</w:t>
            </w:r>
          </w:p>
        </w:tc>
        <w:tc>
          <w:tcPr>
            <w:tcW w:w="1984" w:type="dxa"/>
            <w:tcBorders>
              <w:top w:val="nil"/>
              <w:left w:val="nil"/>
              <w:bottom w:val="nil"/>
              <w:right w:val="nil"/>
            </w:tcBorders>
          </w:tcPr>
          <w:p w14:paraId="0027605D" w14:textId="77777777" w:rsidR="00B801F4" w:rsidRPr="00B801F4" w:rsidRDefault="00B801F4" w:rsidP="00B801F4">
            <w:pPr>
              <w:contextualSpacing/>
              <w:jc w:val="right"/>
            </w:pPr>
            <w:r w:rsidRPr="00B801F4">
              <w:t>29,148</w:t>
            </w:r>
          </w:p>
        </w:tc>
        <w:tc>
          <w:tcPr>
            <w:tcW w:w="2069" w:type="dxa"/>
            <w:tcBorders>
              <w:top w:val="nil"/>
              <w:left w:val="nil"/>
              <w:bottom w:val="nil"/>
              <w:right w:val="single" w:sz="4" w:space="0" w:color="auto"/>
            </w:tcBorders>
          </w:tcPr>
          <w:p w14:paraId="01A8830A" w14:textId="77777777" w:rsidR="00B801F4" w:rsidRPr="00B801F4" w:rsidRDefault="00B801F4" w:rsidP="00B801F4">
            <w:pPr>
              <w:contextualSpacing/>
              <w:jc w:val="right"/>
            </w:pPr>
            <w:r w:rsidRPr="00B801F4">
              <w:t>28,058</w:t>
            </w:r>
          </w:p>
        </w:tc>
      </w:tr>
      <w:tr w:rsidR="00B801F4" w:rsidRPr="00B801F4" w14:paraId="610EB4AC" w14:textId="77777777" w:rsidTr="00B801F4">
        <w:tc>
          <w:tcPr>
            <w:tcW w:w="6062" w:type="dxa"/>
            <w:tcBorders>
              <w:top w:val="nil"/>
              <w:left w:val="single" w:sz="4" w:space="0" w:color="auto"/>
              <w:bottom w:val="nil"/>
              <w:right w:val="nil"/>
            </w:tcBorders>
          </w:tcPr>
          <w:p w14:paraId="7F35E42D" w14:textId="77777777" w:rsidR="00B801F4" w:rsidRPr="00B801F4" w:rsidRDefault="00B801F4" w:rsidP="00B801F4">
            <w:pPr>
              <w:contextualSpacing/>
              <w:jc w:val="left"/>
            </w:pPr>
            <w:r w:rsidRPr="00B801F4">
              <w:t>Other employers</w:t>
            </w:r>
          </w:p>
        </w:tc>
        <w:tc>
          <w:tcPr>
            <w:tcW w:w="1984" w:type="dxa"/>
            <w:tcBorders>
              <w:top w:val="nil"/>
              <w:left w:val="nil"/>
              <w:bottom w:val="nil"/>
              <w:right w:val="nil"/>
            </w:tcBorders>
          </w:tcPr>
          <w:p w14:paraId="517F9BFD" w14:textId="77777777" w:rsidR="00B801F4" w:rsidRPr="00B801F4" w:rsidRDefault="00B801F4" w:rsidP="00B801F4">
            <w:pPr>
              <w:contextualSpacing/>
              <w:jc w:val="right"/>
            </w:pPr>
            <w:r w:rsidRPr="00B801F4">
              <w:t>26,665</w:t>
            </w:r>
          </w:p>
        </w:tc>
        <w:tc>
          <w:tcPr>
            <w:tcW w:w="2069" w:type="dxa"/>
            <w:tcBorders>
              <w:top w:val="nil"/>
              <w:left w:val="nil"/>
              <w:bottom w:val="nil"/>
              <w:right w:val="single" w:sz="4" w:space="0" w:color="auto"/>
            </w:tcBorders>
          </w:tcPr>
          <w:p w14:paraId="27902CAD" w14:textId="77777777" w:rsidR="00B801F4" w:rsidRPr="00B801F4" w:rsidRDefault="00B801F4" w:rsidP="00B801F4">
            <w:pPr>
              <w:contextualSpacing/>
              <w:jc w:val="right"/>
            </w:pPr>
            <w:r w:rsidRPr="00B801F4">
              <w:t>25,837</w:t>
            </w:r>
          </w:p>
        </w:tc>
      </w:tr>
      <w:tr w:rsidR="00B801F4" w:rsidRPr="00B801F4" w14:paraId="2438BE63" w14:textId="77777777" w:rsidTr="00B801F4">
        <w:tc>
          <w:tcPr>
            <w:tcW w:w="6062" w:type="dxa"/>
            <w:tcBorders>
              <w:top w:val="nil"/>
              <w:left w:val="single" w:sz="4" w:space="0" w:color="auto"/>
              <w:bottom w:val="single" w:sz="4" w:space="0" w:color="auto"/>
              <w:right w:val="nil"/>
            </w:tcBorders>
            <w:shd w:val="clear" w:color="auto" w:fill="E2EFD9" w:themeFill="accent6" w:themeFillTint="33"/>
          </w:tcPr>
          <w:p w14:paraId="0C3623CC" w14:textId="77777777" w:rsidR="00B801F4" w:rsidRPr="00B801F4" w:rsidRDefault="00B801F4" w:rsidP="00B801F4">
            <w:pPr>
              <w:contextualSpacing/>
              <w:jc w:val="left"/>
            </w:pPr>
            <w:r w:rsidRPr="00B801F4">
              <w:t>Total</w:t>
            </w:r>
          </w:p>
        </w:tc>
        <w:tc>
          <w:tcPr>
            <w:tcW w:w="1984" w:type="dxa"/>
            <w:tcBorders>
              <w:top w:val="nil"/>
              <w:left w:val="nil"/>
              <w:bottom w:val="single" w:sz="4" w:space="0" w:color="auto"/>
              <w:right w:val="nil"/>
            </w:tcBorders>
            <w:shd w:val="clear" w:color="auto" w:fill="E2EFD9" w:themeFill="accent6" w:themeFillTint="33"/>
          </w:tcPr>
          <w:p w14:paraId="1407FF83" w14:textId="77777777" w:rsidR="00B801F4" w:rsidRPr="00B801F4" w:rsidRDefault="00B801F4" w:rsidP="00B801F4">
            <w:pPr>
              <w:contextualSpacing/>
              <w:jc w:val="right"/>
            </w:pPr>
            <w:r w:rsidRPr="00B801F4">
              <w:t>55,813</w:t>
            </w:r>
          </w:p>
        </w:tc>
        <w:tc>
          <w:tcPr>
            <w:tcW w:w="2069" w:type="dxa"/>
            <w:tcBorders>
              <w:top w:val="nil"/>
              <w:left w:val="nil"/>
              <w:bottom w:val="single" w:sz="4" w:space="0" w:color="auto"/>
              <w:right w:val="single" w:sz="4" w:space="0" w:color="auto"/>
            </w:tcBorders>
            <w:shd w:val="clear" w:color="auto" w:fill="E2EFD9" w:themeFill="accent6" w:themeFillTint="33"/>
          </w:tcPr>
          <w:p w14:paraId="11E1F320" w14:textId="77777777" w:rsidR="00B801F4" w:rsidRPr="00B801F4" w:rsidRDefault="00B801F4" w:rsidP="00B801F4">
            <w:pPr>
              <w:contextualSpacing/>
              <w:jc w:val="right"/>
            </w:pPr>
            <w:r w:rsidRPr="00B801F4">
              <w:t>53,895</w:t>
            </w:r>
          </w:p>
        </w:tc>
      </w:tr>
      <w:tr w:rsidR="00B801F4" w:rsidRPr="00B801F4" w14:paraId="1FEBD8EC" w14:textId="77777777" w:rsidTr="00B801F4">
        <w:trPr>
          <w:trHeight w:val="480"/>
        </w:trPr>
        <w:tc>
          <w:tcPr>
            <w:tcW w:w="6062" w:type="dxa"/>
            <w:tcBorders>
              <w:top w:val="single" w:sz="4" w:space="0" w:color="auto"/>
              <w:left w:val="single" w:sz="4" w:space="0" w:color="auto"/>
              <w:bottom w:val="single" w:sz="4" w:space="0" w:color="auto"/>
              <w:right w:val="nil"/>
            </w:tcBorders>
            <w:shd w:val="clear" w:color="auto" w:fill="A8D08D" w:themeFill="accent6" w:themeFillTint="99"/>
          </w:tcPr>
          <w:p w14:paraId="2FEC9270" w14:textId="77777777" w:rsidR="00B801F4" w:rsidRPr="00B801F4" w:rsidRDefault="00B801F4" w:rsidP="00B801F4">
            <w:pPr>
              <w:contextualSpacing/>
              <w:jc w:val="left"/>
              <w:rPr>
                <w:b/>
              </w:rPr>
            </w:pPr>
            <w:r w:rsidRPr="00B801F4">
              <w:rPr>
                <w:b/>
              </w:rPr>
              <w:t>Total membership</w:t>
            </w:r>
          </w:p>
        </w:tc>
        <w:tc>
          <w:tcPr>
            <w:tcW w:w="1984" w:type="dxa"/>
            <w:tcBorders>
              <w:top w:val="single" w:sz="4" w:space="0" w:color="auto"/>
              <w:left w:val="nil"/>
              <w:bottom w:val="single" w:sz="4" w:space="0" w:color="auto"/>
              <w:right w:val="nil"/>
            </w:tcBorders>
            <w:shd w:val="clear" w:color="auto" w:fill="A8D08D" w:themeFill="accent6" w:themeFillTint="99"/>
          </w:tcPr>
          <w:p w14:paraId="21BAAE8D" w14:textId="77777777" w:rsidR="00B801F4" w:rsidRPr="00B801F4" w:rsidRDefault="00B801F4" w:rsidP="00B801F4">
            <w:pPr>
              <w:contextualSpacing/>
              <w:jc w:val="right"/>
              <w:rPr>
                <w:b/>
              </w:rPr>
            </w:pPr>
            <w:r w:rsidRPr="00B801F4">
              <w:rPr>
                <w:b/>
              </w:rPr>
              <w:t>153,203</w:t>
            </w:r>
          </w:p>
        </w:tc>
        <w:tc>
          <w:tcPr>
            <w:tcW w:w="2069" w:type="dxa"/>
            <w:tcBorders>
              <w:top w:val="single" w:sz="4" w:space="0" w:color="auto"/>
              <w:left w:val="nil"/>
              <w:bottom w:val="single" w:sz="4" w:space="0" w:color="auto"/>
              <w:right w:val="single" w:sz="4" w:space="0" w:color="auto"/>
            </w:tcBorders>
            <w:shd w:val="clear" w:color="auto" w:fill="A8D08D" w:themeFill="accent6" w:themeFillTint="99"/>
          </w:tcPr>
          <w:p w14:paraId="11C7253A" w14:textId="77777777" w:rsidR="00B801F4" w:rsidRPr="00B801F4" w:rsidRDefault="00B801F4" w:rsidP="00B801F4">
            <w:pPr>
              <w:contextualSpacing/>
              <w:jc w:val="right"/>
              <w:rPr>
                <w:b/>
              </w:rPr>
            </w:pPr>
            <w:r w:rsidRPr="00B801F4">
              <w:rPr>
                <w:b/>
              </w:rPr>
              <w:t>150,917</w:t>
            </w:r>
          </w:p>
        </w:tc>
      </w:tr>
    </w:tbl>
    <w:p w14:paraId="35ED87B6" w14:textId="77777777" w:rsidR="00B801F4" w:rsidRPr="00B801F4" w:rsidRDefault="00B801F4" w:rsidP="00B801F4">
      <w:pPr>
        <w:ind w:left="567"/>
        <w:contextualSpacing/>
        <w:jc w:val="left"/>
      </w:pPr>
    </w:p>
    <w:p w14:paraId="747C30DF" w14:textId="77777777" w:rsidR="00B801F4" w:rsidRPr="00B801F4" w:rsidRDefault="00B801F4" w:rsidP="00B801F4">
      <w:pPr>
        <w:ind w:left="360"/>
        <w:jc w:val="left"/>
      </w:pPr>
    </w:p>
    <w:p w14:paraId="5B6BE075" w14:textId="77777777" w:rsidR="00B801F4" w:rsidRPr="00B801F4" w:rsidRDefault="00B801F4" w:rsidP="00717919">
      <w:pPr>
        <w:numPr>
          <w:ilvl w:val="1"/>
          <w:numId w:val="79"/>
        </w:numPr>
        <w:autoSpaceDE/>
        <w:autoSpaceDN/>
        <w:adjustRightInd/>
        <w:spacing w:after="0"/>
        <w:contextualSpacing/>
        <w:jc w:val="left"/>
      </w:pPr>
      <w:r w:rsidRPr="00B801F4">
        <w:rPr>
          <w:b/>
        </w:rPr>
        <w:t xml:space="preserve">  Funding</w:t>
      </w:r>
    </w:p>
    <w:p w14:paraId="548ED5AC" w14:textId="77777777" w:rsidR="00B801F4" w:rsidRPr="00B801F4" w:rsidRDefault="00B801F4" w:rsidP="00B801F4">
      <w:pPr>
        <w:ind w:left="567"/>
        <w:jc w:val="left"/>
      </w:pPr>
      <w:r w:rsidRPr="00B801F4">
        <w:t>Benefits are funded by contributions and investment earnings.  Employee contributions are made by active members of the Fund in accordance with the LGPS Regulations 2013 and range from 5.5% to 12.5% of pensionable pay for the financial year ending 31 March 2015.  Employee contributions are matched by employers' contributions which are set based on triennial actuarial funding valuations.  The last valuation relevant to the year ended 31</w:t>
      </w:r>
      <w:r w:rsidRPr="00B801F4">
        <w:rPr>
          <w:vertAlign w:val="superscript"/>
        </w:rPr>
        <w:t>st</w:t>
      </w:r>
      <w:r w:rsidRPr="00B801F4">
        <w:t xml:space="preserve"> March 2015 was done at 31 March 2013.  Currently employer contributions range from 3.0% to 25.8% of pensionable pay. </w:t>
      </w:r>
    </w:p>
    <w:p w14:paraId="06A81A47" w14:textId="77777777" w:rsidR="00B801F4" w:rsidRDefault="00B801F4" w:rsidP="00B801F4">
      <w:pPr>
        <w:ind w:left="709"/>
      </w:pPr>
    </w:p>
    <w:p w14:paraId="31395F78" w14:textId="77777777" w:rsidR="003B3B64" w:rsidRDefault="003B3B64" w:rsidP="00B801F4">
      <w:pPr>
        <w:ind w:left="709"/>
      </w:pPr>
    </w:p>
    <w:p w14:paraId="011040AF" w14:textId="77777777" w:rsidR="003B3B64" w:rsidRPr="00B801F4" w:rsidRDefault="003B3B64" w:rsidP="00B801F4">
      <w:pPr>
        <w:ind w:left="709"/>
      </w:pPr>
    </w:p>
    <w:p w14:paraId="7A04D3C1" w14:textId="77777777" w:rsidR="00B801F4" w:rsidRPr="00B801F4" w:rsidRDefault="00B801F4" w:rsidP="00717919">
      <w:pPr>
        <w:numPr>
          <w:ilvl w:val="1"/>
          <w:numId w:val="79"/>
        </w:numPr>
        <w:tabs>
          <w:tab w:val="left" w:pos="720"/>
        </w:tabs>
        <w:autoSpaceDE/>
        <w:autoSpaceDN/>
        <w:adjustRightInd/>
        <w:spacing w:after="0"/>
        <w:contextualSpacing/>
        <w:jc w:val="left"/>
        <w:rPr>
          <w:b/>
        </w:rPr>
      </w:pPr>
      <w:r w:rsidRPr="00B801F4">
        <w:rPr>
          <w:b/>
        </w:rPr>
        <w:t xml:space="preserve">  Benefits</w:t>
      </w:r>
    </w:p>
    <w:p w14:paraId="263C9BA2" w14:textId="77777777" w:rsidR="00B801F4" w:rsidRPr="00B801F4" w:rsidRDefault="00B801F4" w:rsidP="00B801F4">
      <w:pPr>
        <w:ind w:left="567"/>
        <w:jc w:val="left"/>
      </w:pPr>
      <w:r w:rsidRPr="00B801F4">
        <w:t>Prior to 1 April 2014, pension benefits under the LGPS were based on final pensionable pay and length of pensionable service, as detailed in the following summary:</w:t>
      </w:r>
    </w:p>
    <w:p w14:paraId="7E2B6DE4" w14:textId="77777777" w:rsidR="00B801F4" w:rsidRPr="00B801F4" w:rsidRDefault="00B801F4" w:rsidP="00B801F4">
      <w:pPr>
        <w:ind w:left="720"/>
        <w:jc w:val="left"/>
      </w:pPr>
    </w:p>
    <w:tbl>
      <w:tblPr>
        <w:tblStyle w:val="TableGrid11"/>
        <w:tblW w:w="0" w:type="auto"/>
        <w:tblInd w:w="720" w:type="dxa"/>
        <w:tblLook w:val="04A0" w:firstRow="1" w:lastRow="0" w:firstColumn="1" w:lastColumn="0" w:noHBand="0" w:noVBand="1"/>
      </w:tblPr>
      <w:tblGrid>
        <w:gridCol w:w="1496"/>
        <w:gridCol w:w="2496"/>
        <w:gridCol w:w="2899"/>
        <w:gridCol w:w="2839"/>
      </w:tblGrid>
      <w:tr w:rsidR="00B801F4" w:rsidRPr="00B801F4" w14:paraId="29EE7243" w14:textId="77777777" w:rsidTr="00B801F4">
        <w:trPr>
          <w:trHeight w:val="521"/>
        </w:trPr>
        <w:tc>
          <w:tcPr>
            <w:tcW w:w="1515" w:type="dxa"/>
            <w:shd w:val="clear" w:color="auto" w:fill="C5E0B3" w:themeFill="accent6" w:themeFillTint="66"/>
          </w:tcPr>
          <w:p w14:paraId="6323AE13" w14:textId="77777777" w:rsidR="00B801F4" w:rsidRPr="00B801F4" w:rsidRDefault="00B801F4" w:rsidP="00B801F4">
            <w:pPr>
              <w:jc w:val="left"/>
              <w:rPr>
                <w:rFonts w:ascii="Arial" w:hAnsi="Arial"/>
              </w:rPr>
            </w:pPr>
          </w:p>
        </w:tc>
        <w:tc>
          <w:tcPr>
            <w:tcW w:w="2551" w:type="dxa"/>
            <w:shd w:val="clear" w:color="auto" w:fill="C5E0B3" w:themeFill="accent6" w:themeFillTint="66"/>
          </w:tcPr>
          <w:p w14:paraId="6AD9FE9E" w14:textId="77777777" w:rsidR="00B801F4" w:rsidRPr="00B801F4" w:rsidRDefault="00B801F4" w:rsidP="00B801F4">
            <w:pPr>
              <w:jc w:val="left"/>
              <w:rPr>
                <w:rFonts w:ascii="Arial" w:hAnsi="Arial"/>
                <w:b/>
              </w:rPr>
            </w:pPr>
            <w:r w:rsidRPr="00B801F4">
              <w:rPr>
                <w:rFonts w:ascii="Arial" w:hAnsi="Arial"/>
                <w:b/>
              </w:rPr>
              <w:t>Service Pre 1 April 2008</w:t>
            </w:r>
          </w:p>
        </w:tc>
        <w:tc>
          <w:tcPr>
            <w:tcW w:w="2977" w:type="dxa"/>
            <w:shd w:val="clear" w:color="auto" w:fill="C5E0B3" w:themeFill="accent6" w:themeFillTint="66"/>
          </w:tcPr>
          <w:p w14:paraId="4809ECEF" w14:textId="77777777" w:rsidR="00B801F4" w:rsidRPr="00B801F4" w:rsidRDefault="00B801F4" w:rsidP="00B801F4">
            <w:pPr>
              <w:jc w:val="left"/>
              <w:rPr>
                <w:rFonts w:ascii="Arial" w:hAnsi="Arial"/>
                <w:b/>
              </w:rPr>
            </w:pPr>
            <w:r w:rsidRPr="00B801F4">
              <w:rPr>
                <w:rFonts w:ascii="Arial" w:hAnsi="Arial"/>
                <w:b/>
              </w:rPr>
              <w:t>Service post 31 March 2008</w:t>
            </w:r>
          </w:p>
        </w:tc>
        <w:tc>
          <w:tcPr>
            <w:tcW w:w="2913" w:type="dxa"/>
            <w:shd w:val="clear" w:color="auto" w:fill="C5E0B3" w:themeFill="accent6" w:themeFillTint="66"/>
          </w:tcPr>
          <w:p w14:paraId="3FD35847" w14:textId="77777777" w:rsidR="00B801F4" w:rsidRPr="00B801F4" w:rsidRDefault="00B801F4" w:rsidP="00B801F4">
            <w:pPr>
              <w:jc w:val="left"/>
              <w:rPr>
                <w:b/>
              </w:rPr>
            </w:pPr>
            <w:r w:rsidRPr="00B801F4">
              <w:rPr>
                <w:rFonts w:ascii="Arial" w:hAnsi="Arial"/>
                <w:b/>
              </w:rPr>
              <w:t>Service post 1 April 2014</w:t>
            </w:r>
          </w:p>
        </w:tc>
      </w:tr>
      <w:tr w:rsidR="00B801F4" w:rsidRPr="00B801F4" w14:paraId="29A41158" w14:textId="77777777" w:rsidTr="00B801F4">
        <w:trPr>
          <w:trHeight w:val="841"/>
        </w:trPr>
        <w:tc>
          <w:tcPr>
            <w:tcW w:w="1515" w:type="dxa"/>
            <w:shd w:val="clear" w:color="auto" w:fill="E2EFD9" w:themeFill="accent6" w:themeFillTint="33"/>
          </w:tcPr>
          <w:p w14:paraId="3BA23F58" w14:textId="77777777" w:rsidR="00B801F4" w:rsidRPr="00B801F4" w:rsidRDefault="00B801F4" w:rsidP="00B801F4">
            <w:pPr>
              <w:jc w:val="left"/>
              <w:rPr>
                <w:rFonts w:ascii="Arial" w:hAnsi="Arial"/>
                <w:b/>
              </w:rPr>
            </w:pPr>
            <w:r w:rsidRPr="00B801F4">
              <w:rPr>
                <w:rFonts w:ascii="Arial" w:hAnsi="Arial"/>
                <w:b/>
              </w:rPr>
              <w:t>Pension</w:t>
            </w:r>
          </w:p>
        </w:tc>
        <w:tc>
          <w:tcPr>
            <w:tcW w:w="2551" w:type="dxa"/>
            <w:shd w:val="clear" w:color="auto" w:fill="E2EFD9" w:themeFill="accent6" w:themeFillTint="33"/>
          </w:tcPr>
          <w:p w14:paraId="5A64E5FD" w14:textId="77777777" w:rsidR="00B801F4" w:rsidRPr="00B801F4" w:rsidRDefault="00B801F4" w:rsidP="00B801F4">
            <w:pPr>
              <w:jc w:val="left"/>
              <w:rPr>
                <w:rFonts w:ascii="Arial" w:hAnsi="Arial"/>
              </w:rPr>
            </w:pPr>
            <w:r w:rsidRPr="00B801F4">
              <w:rPr>
                <w:rFonts w:ascii="Arial" w:hAnsi="Arial"/>
              </w:rPr>
              <w:t>Each year worked is worth 1/80 x final pensionable salary</w:t>
            </w:r>
          </w:p>
        </w:tc>
        <w:tc>
          <w:tcPr>
            <w:tcW w:w="2977" w:type="dxa"/>
            <w:shd w:val="clear" w:color="auto" w:fill="E2EFD9" w:themeFill="accent6" w:themeFillTint="33"/>
          </w:tcPr>
          <w:p w14:paraId="6BD7FEA3" w14:textId="77777777" w:rsidR="00B801F4" w:rsidRPr="00B801F4" w:rsidRDefault="00B801F4" w:rsidP="00B801F4">
            <w:pPr>
              <w:jc w:val="left"/>
              <w:rPr>
                <w:rFonts w:ascii="Arial" w:hAnsi="Arial"/>
              </w:rPr>
            </w:pPr>
            <w:r w:rsidRPr="00B801F4">
              <w:rPr>
                <w:rFonts w:ascii="Arial" w:hAnsi="Arial"/>
              </w:rPr>
              <w:t>Each year worked is worth 1/60 x final pensionable salary</w:t>
            </w:r>
          </w:p>
        </w:tc>
        <w:tc>
          <w:tcPr>
            <w:tcW w:w="2913" w:type="dxa"/>
            <w:shd w:val="clear" w:color="auto" w:fill="E2EFD9" w:themeFill="accent6" w:themeFillTint="33"/>
          </w:tcPr>
          <w:p w14:paraId="5850AA5A" w14:textId="77777777" w:rsidR="00B801F4" w:rsidRPr="00B801F4" w:rsidRDefault="00B801F4" w:rsidP="00B801F4">
            <w:pPr>
              <w:jc w:val="left"/>
              <w:rPr>
                <w:rFonts w:ascii="Arial" w:hAnsi="Arial"/>
              </w:rPr>
            </w:pPr>
            <w:r w:rsidRPr="00B801F4">
              <w:rPr>
                <w:rFonts w:ascii="Arial" w:hAnsi="Arial"/>
              </w:rPr>
              <w:t>Each year worked is worth 1/49</w:t>
            </w:r>
            <w:r w:rsidRPr="00B801F4">
              <w:rPr>
                <w:rFonts w:ascii="Arial" w:hAnsi="Arial"/>
                <w:vertAlign w:val="superscript"/>
              </w:rPr>
              <w:t>th</w:t>
            </w:r>
            <w:r w:rsidRPr="00B801F4">
              <w:rPr>
                <w:rFonts w:ascii="Arial" w:hAnsi="Arial"/>
              </w:rPr>
              <w:t xml:space="preserve"> x the pensionable pay  for that year (or 1/98th of pensionable pay if member opts for the 50/50 section of the scheme)</w:t>
            </w:r>
          </w:p>
        </w:tc>
      </w:tr>
      <w:tr w:rsidR="00B801F4" w:rsidRPr="00B801F4" w14:paraId="0EBC9DFF" w14:textId="77777777" w:rsidTr="00B801F4">
        <w:trPr>
          <w:trHeight w:val="1972"/>
        </w:trPr>
        <w:tc>
          <w:tcPr>
            <w:tcW w:w="1515" w:type="dxa"/>
            <w:shd w:val="clear" w:color="auto" w:fill="E2EFD9" w:themeFill="accent6" w:themeFillTint="33"/>
          </w:tcPr>
          <w:p w14:paraId="163A1DDC" w14:textId="77777777" w:rsidR="00B801F4" w:rsidRPr="00B801F4" w:rsidRDefault="00B801F4" w:rsidP="00B801F4">
            <w:pPr>
              <w:jc w:val="left"/>
              <w:rPr>
                <w:rFonts w:ascii="Arial" w:hAnsi="Arial"/>
                <w:b/>
              </w:rPr>
            </w:pPr>
            <w:r w:rsidRPr="00B801F4">
              <w:rPr>
                <w:rFonts w:ascii="Arial" w:hAnsi="Arial"/>
                <w:b/>
              </w:rPr>
              <w:t>Lump sum</w:t>
            </w:r>
          </w:p>
        </w:tc>
        <w:tc>
          <w:tcPr>
            <w:tcW w:w="2551" w:type="dxa"/>
            <w:shd w:val="clear" w:color="auto" w:fill="E2EFD9" w:themeFill="accent6" w:themeFillTint="33"/>
          </w:tcPr>
          <w:p w14:paraId="4E983FF0" w14:textId="77777777" w:rsidR="00B801F4" w:rsidRPr="00B801F4" w:rsidRDefault="00B801F4" w:rsidP="00B801F4">
            <w:pPr>
              <w:jc w:val="left"/>
              <w:rPr>
                <w:rFonts w:ascii="Arial" w:hAnsi="Arial"/>
              </w:rPr>
            </w:pPr>
            <w:r w:rsidRPr="00B801F4">
              <w:rPr>
                <w:rFonts w:ascii="Arial" w:hAnsi="Arial"/>
              </w:rPr>
              <w:t>Automatic lump sum of 3 x salary.</w:t>
            </w:r>
          </w:p>
          <w:p w14:paraId="41D9AAD0" w14:textId="77777777" w:rsidR="00B801F4" w:rsidRPr="00B801F4" w:rsidRDefault="00B801F4" w:rsidP="00B801F4">
            <w:pPr>
              <w:jc w:val="left"/>
              <w:rPr>
                <w:rFonts w:ascii="Arial" w:hAnsi="Arial"/>
              </w:rPr>
            </w:pPr>
            <w:r w:rsidRPr="00B801F4">
              <w:rPr>
                <w:rFonts w:ascii="Arial" w:hAnsi="Arial"/>
              </w:rPr>
              <w:t>In addition, part of the annual pension can be exchanged for a one-off tax free cash payment.  A lump sum of £12 is paid for each £1 of pension given up</w:t>
            </w:r>
          </w:p>
        </w:tc>
        <w:tc>
          <w:tcPr>
            <w:tcW w:w="2977" w:type="dxa"/>
            <w:shd w:val="clear" w:color="auto" w:fill="E2EFD9" w:themeFill="accent6" w:themeFillTint="33"/>
          </w:tcPr>
          <w:p w14:paraId="567AB21F" w14:textId="77777777" w:rsidR="00B801F4" w:rsidRPr="00B801F4" w:rsidRDefault="00B801F4" w:rsidP="00B801F4">
            <w:pPr>
              <w:jc w:val="left"/>
              <w:rPr>
                <w:rFonts w:ascii="Arial" w:hAnsi="Arial"/>
              </w:rPr>
            </w:pPr>
            <w:r w:rsidRPr="00B801F4">
              <w:rPr>
                <w:rFonts w:ascii="Arial" w:hAnsi="Arial"/>
              </w:rPr>
              <w:t>No automatic lump sum.</w:t>
            </w:r>
          </w:p>
          <w:p w14:paraId="3C1030D2" w14:textId="77777777" w:rsidR="00B801F4" w:rsidRPr="00B801F4" w:rsidRDefault="00B801F4" w:rsidP="00B801F4">
            <w:pPr>
              <w:jc w:val="left"/>
              <w:rPr>
                <w:rFonts w:ascii="Arial" w:hAnsi="Arial"/>
              </w:rPr>
            </w:pPr>
            <w:r w:rsidRPr="00B801F4">
              <w:rPr>
                <w:rFonts w:ascii="Arial" w:hAnsi="Arial"/>
              </w:rPr>
              <w:t>Part of the annual pension can be exchanged for a one-off tax free cash payment.  A lump sum of £12 is paid for each £1 of pension given up</w:t>
            </w:r>
          </w:p>
        </w:tc>
        <w:tc>
          <w:tcPr>
            <w:tcW w:w="2913" w:type="dxa"/>
            <w:shd w:val="clear" w:color="auto" w:fill="E2EFD9" w:themeFill="accent6" w:themeFillTint="33"/>
          </w:tcPr>
          <w:p w14:paraId="542DAECC" w14:textId="77777777" w:rsidR="00B801F4" w:rsidRPr="00B801F4" w:rsidRDefault="00B801F4" w:rsidP="00B801F4">
            <w:pPr>
              <w:jc w:val="left"/>
              <w:rPr>
                <w:rFonts w:ascii="Arial" w:hAnsi="Arial"/>
              </w:rPr>
            </w:pPr>
            <w:r w:rsidRPr="00B801F4">
              <w:rPr>
                <w:rFonts w:ascii="Arial" w:hAnsi="Arial"/>
              </w:rPr>
              <w:t>No automatic lump sum.</w:t>
            </w:r>
          </w:p>
          <w:p w14:paraId="77979F06" w14:textId="77777777" w:rsidR="00B801F4" w:rsidRPr="00B801F4" w:rsidRDefault="00B801F4" w:rsidP="00B801F4">
            <w:pPr>
              <w:jc w:val="left"/>
              <w:rPr>
                <w:rFonts w:ascii="Arial" w:hAnsi="Arial"/>
              </w:rPr>
            </w:pPr>
            <w:r w:rsidRPr="00B801F4">
              <w:rPr>
                <w:rFonts w:ascii="Arial" w:hAnsi="Arial"/>
              </w:rPr>
              <w:t>Part of the annual pension can be exchanged for a one-off tax free cash payment.  A lump sum of £12 is paid for each £1 of pension given up</w:t>
            </w:r>
          </w:p>
        </w:tc>
      </w:tr>
    </w:tbl>
    <w:p w14:paraId="7505FA01" w14:textId="77777777" w:rsidR="00B801F4" w:rsidRPr="00B801F4" w:rsidRDefault="00B801F4" w:rsidP="00B801F4">
      <w:pPr>
        <w:ind w:left="720"/>
        <w:rPr>
          <w:highlight w:val="yellow"/>
        </w:rPr>
      </w:pPr>
    </w:p>
    <w:p w14:paraId="0154E550" w14:textId="77777777" w:rsidR="00B801F4" w:rsidRPr="00B801F4" w:rsidRDefault="00B801F4" w:rsidP="00B801F4">
      <w:pPr>
        <w:ind w:left="720"/>
      </w:pPr>
    </w:p>
    <w:p w14:paraId="30EDE5BC" w14:textId="77777777" w:rsidR="00B801F4" w:rsidRPr="00B801F4" w:rsidRDefault="00B801F4" w:rsidP="00717919">
      <w:pPr>
        <w:numPr>
          <w:ilvl w:val="0"/>
          <w:numId w:val="71"/>
        </w:numPr>
        <w:tabs>
          <w:tab w:val="left" w:pos="567"/>
          <w:tab w:val="num" w:pos="720"/>
        </w:tabs>
        <w:autoSpaceDE/>
        <w:autoSpaceDN/>
        <w:adjustRightInd/>
        <w:spacing w:after="0"/>
        <w:contextualSpacing/>
        <w:jc w:val="left"/>
        <w:rPr>
          <w:b/>
          <w:sz w:val="32"/>
          <w:szCs w:val="32"/>
        </w:rPr>
      </w:pPr>
      <w:r w:rsidRPr="00B801F4">
        <w:rPr>
          <w:b/>
          <w:sz w:val="32"/>
          <w:szCs w:val="32"/>
        </w:rPr>
        <w:t xml:space="preserve">Basis of preparation </w:t>
      </w:r>
    </w:p>
    <w:p w14:paraId="31933591" w14:textId="77777777" w:rsidR="00B801F4" w:rsidRPr="00B801F4" w:rsidRDefault="00B801F4" w:rsidP="00B801F4">
      <w:pPr>
        <w:tabs>
          <w:tab w:val="left" w:pos="567"/>
        </w:tabs>
        <w:jc w:val="left"/>
        <w:rPr>
          <w:b/>
        </w:rPr>
      </w:pPr>
    </w:p>
    <w:p w14:paraId="777AB99A" w14:textId="77777777" w:rsidR="00B801F4" w:rsidRPr="00B801F4" w:rsidRDefault="00B801F4" w:rsidP="00B801F4">
      <w:pPr>
        <w:tabs>
          <w:tab w:val="left" w:pos="1080"/>
        </w:tabs>
        <w:ind w:left="567"/>
        <w:jc w:val="left"/>
      </w:pPr>
      <w:r w:rsidRPr="00B801F4">
        <w:t>The Statement of Accounts summarises the Fund's transactions for the 2014/15 financial year and its position as at 31 March 2015.  The accounts have been prepared in accordance with the Code of Practice on Local Authority Accounting in United Kingdom 2014/15 which is based on International Financial Reporting Standards (IFRS), as amended for the UK public sector.</w:t>
      </w:r>
    </w:p>
    <w:p w14:paraId="3A2F3ACD" w14:textId="77777777" w:rsidR="00B801F4" w:rsidRPr="00B801F4" w:rsidRDefault="00B801F4" w:rsidP="00B801F4">
      <w:pPr>
        <w:ind w:left="567"/>
        <w:jc w:val="left"/>
      </w:pPr>
      <w:r w:rsidRPr="00B801F4">
        <w:t>The accounts summarise the transactions of the Fund and report the net assets available to pay pension benefits. They do not take account of obligations to pay pensions and benefits which fall due after the end of the financial year. The actuarial present value of promised retirement benefits, valued on an International Accounting Standard (IAS) 19 basis, is disclosed in note 25 of these accounts.</w:t>
      </w:r>
    </w:p>
    <w:p w14:paraId="40EF9148" w14:textId="77777777" w:rsidR="00B801F4" w:rsidRDefault="00B801F4" w:rsidP="00B801F4">
      <w:pPr>
        <w:ind w:left="567"/>
        <w:jc w:val="left"/>
      </w:pPr>
    </w:p>
    <w:p w14:paraId="678E34FE" w14:textId="77777777" w:rsidR="003B3B64" w:rsidRDefault="003B3B64" w:rsidP="00B801F4">
      <w:pPr>
        <w:ind w:left="567"/>
        <w:jc w:val="left"/>
      </w:pPr>
    </w:p>
    <w:p w14:paraId="5593CFB0" w14:textId="77777777" w:rsidR="003B3B64" w:rsidRDefault="003B3B64" w:rsidP="00B801F4">
      <w:pPr>
        <w:ind w:left="567"/>
        <w:jc w:val="left"/>
      </w:pPr>
    </w:p>
    <w:p w14:paraId="229368F5" w14:textId="77777777" w:rsidR="003B3B64" w:rsidRDefault="003B3B64" w:rsidP="00B801F4">
      <w:pPr>
        <w:ind w:left="567"/>
        <w:jc w:val="left"/>
      </w:pPr>
    </w:p>
    <w:p w14:paraId="0C2E4690" w14:textId="77777777" w:rsidR="003B3B64" w:rsidRDefault="003B3B64" w:rsidP="00B801F4">
      <w:pPr>
        <w:ind w:left="567"/>
        <w:jc w:val="left"/>
      </w:pPr>
    </w:p>
    <w:p w14:paraId="6655C7B2" w14:textId="77777777" w:rsidR="003B3B64" w:rsidRDefault="003B3B64" w:rsidP="00B801F4">
      <w:pPr>
        <w:ind w:left="567"/>
        <w:jc w:val="left"/>
      </w:pPr>
    </w:p>
    <w:p w14:paraId="03DAD926" w14:textId="77777777" w:rsidR="003B3B64" w:rsidRPr="00B801F4" w:rsidRDefault="003B3B64" w:rsidP="00B801F4">
      <w:pPr>
        <w:ind w:left="567"/>
        <w:jc w:val="left"/>
      </w:pPr>
    </w:p>
    <w:p w14:paraId="41A54395" w14:textId="77777777" w:rsidR="00B801F4" w:rsidRPr="00B801F4" w:rsidRDefault="00B801F4" w:rsidP="00B801F4">
      <w:pPr>
        <w:ind w:left="567"/>
        <w:jc w:val="left"/>
      </w:pPr>
    </w:p>
    <w:p w14:paraId="7C1E8F74" w14:textId="77777777" w:rsidR="00B801F4" w:rsidRPr="00B801F4" w:rsidRDefault="00B801F4" w:rsidP="00717919">
      <w:pPr>
        <w:numPr>
          <w:ilvl w:val="0"/>
          <w:numId w:val="71"/>
        </w:numPr>
        <w:tabs>
          <w:tab w:val="num" w:pos="567"/>
          <w:tab w:val="num" w:pos="720"/>
        </w:tabs>
        <w:autoSpaceDE/>
        <w:autoSpaceDN/>
        <w:adjustRightInd/>
        <w:spacing w:after="0"/>
        <w:ind w:left="567" w:hanging="567"/>
        <w:jc w:val="left"/>
        <w:rPr>
          <w:b/>
          <w:sz w:val="32"/>
          <w:szCs w:val="28"/>
        </w:rPr>
      </w:pPr>
      <w:r w:rsidRPr="00B801F4">
        <w:rPr>
          <w:b/>
          <w:sz w:val="32"/>
          <w:szCs w:val="28"/>
        </w:rPr>
        <w:t>Accounting policies</w:t>
      </w:r>
    </w:p>
    <w:p w14:paraId="3B725DA9" w14:textId="77777777" w:rsidR="00B801F4" w:rsidRPr="00B801F4" w:rsidRDefault="00B801F4" w:rsidP="00B801F4">
      <w:pPr>
        <w:ind w:left="567"/>
        <w:jc w:val="left"/>
        <w:rPr>
          <w:b/>
        </w:rPr>
      </w:pPr>
    </w:p>
    <w:p w14:paraId="2D7FF470" w14:textId="77777777" w:rsidR="00B801F4" w:rsidRPr="00B801F4" w:rsidRDefault="00B801F4" w:rsidP="00717919">
      <w:pPr>
        <w:numPr>
          <w:ilvl w:val="1"/>
          <w:numId w:val="77"/>
        </w:numPr>
        <w:tabs>
          <w:tab w:val="left" w:pos="1134"/>
        </w:tabs>
        <w:spacing w:after="0"/>
        <w:ind w:left="993" w:hanging="426"/>
        <w:contextualSpacing/>
        <w:jc w:val="left"/>
        <w:rPr>
          <w:b/>
          <w:sz w:val="32"/>
          <w:szCs w:val="32"/>
        </w:rPr>
      </w:pPr>
      <w:r w:rsidRPr="00B801F4">
        <w:rPr>
          <w:b/>
          <w:sz w:val="32"/>
          <w:szCs w:val="32"/>
        </w:rPr>
        <w:t>Fund Account - revenue recognition</w:t>
      </w:r>
    </w:p>
    <w:p w14:paraId="20D13093" w14:textId="77777777" w:rsidR="00B801F4" w:rsidRPr="00B801F4" w:rsidRDefault="00B801F4" w:rsidP="00B801F4">
      <w:pPr>
        <w:spacing w:after="0"/>
        <w:jc w:val="left"/>
        <w:rPr>
          <w:b/>
        </w:rPr>
      </w:pPr>
    </w:p>
    <w:p w14:paraId="1441409C" w14:textId="77777777" w:rsidR="00B801F4" w:rsidRPr="00B801F4" w:rsidRDefault="00B801F4" w:rsidP="00B801F4">
      <w:pPr>
        <w:tabs>
          <w:tab w:val="num" w:pos="851"/>
        </w:tabs>
        <w:spacing w:after="0"/>
        <w:ind w:left="567"/>
        <w:jc w:val="left"/>
        <w:rPr>
          <w:b/>
        </w:rPr>
      </w:pPr>
      <w:r w:rsidRPr="00B801F4">
        <w:rPr>
          <w:b/>
        </w:rPr>
        <w:t>3.1.1 Contribution income</w:t>
      </w:r>
    </w:p>
    <w:p w14:paraId="265865E8" w14:textId="77777777" w:rsidR="00B801F4" w:rsidRPr="00B801F4" w:rsidRDefault="00B801F4" w:rsidP="00B801F4">
      <w:pPr>
        <w:tabs>
          <w:tab w:val="left" w:pos="851"/>
        </w:tabs>
        <w:spacing w:after="0"/>
        <w:ind w:left="567"/>
        <w:jc w:val="left"/>
      </w:pPr>
      <w:r w:rsidRPr="00B801F4">
        <w:t>Normal contributions both from the members and from the employer are accounted for on an accruals basis at the percentage rate recommended by the scheme actuary in the payroll period to which they relate.</w:t>
      </w:r>
    </w:p>
    <w:p w14:paraId="284A48D4" w14:textId="77777777" w:rsidR="00B801F4" w:rsidRPr="00B801F4" w:rsidRDefault="00B801F4" w:rsidP="00B801F4">
      <w:pPr>
        <w:tabs>
          <w:tab w:val="left" w:pos="851"/>
        </w:tabs>
        <w:ind w:left="567"/>
        <w:jc w:val="left"/>
      </w:pPr>
    </w:p>
    <w:p w14:paraId="44D8B4CC" w14:textId="77777777" w:rsidR="00B801F4" w:rsidRPr="00B801F4" w:rsidRDefault="00B801F4" w:rsidP="00B801F4">
      <w:pPr>
        <w:tabs>
          <w:tab w:val="left" w:pos="851"/>
        </w:tabs>
        <w:ind w:left="567"/>
        <w:jc w:val="left"/>
      </w:pPr>
      <w:r w:rsidRPr="00B801F4">
        <w:t>Employer deficit funding contributions are accounted for on the due dates on which they are payable under the schedule of contributions set by the scheme actuary or on receipt if earlier than the due date.</w:t>
      </w:r>
    </w:p>
    <w:p w14:paraId="489CD066" w14:textId="77777777" w:rsidR="00B801F4" w:rsidRPr="00B801F4" w:rsidRDefault="00B801F4" w:rsidP="00B801F4">
      <w:pPr>
        <w:ind w:left="567"/>
        <w:jc w:val="left"/>
        <w:rPr>
          <w:b/>
        </w:rPr>
      </w:pPr>
      <w:r w:rsidRPr="00B801F4">
        <w:t>Employers' augmentation contributions and pension strain contributions are accounted for</w:t>
      </w:r>
      <w:r w:rsidRPr="00B801F4">
        <w:rPr>
          <w:b/>
        </w:rPr>
        <w:t xml:space="preserve"> </w:t>
      </w:r>
      <w:r w:rsidRPr="00B801F4">
        <w:t>in</w:t>
      </w:r>
      <w:r w:rsidRPr="00B801F4">
        <w:rPr>
          <w:b/>
        </w:rPr>
        <w:t xml:space="preserve"> </w:t>
      </w:r>
      <w:r w:rsidRPr="00B801F4">
        <w:t>the period in which the liability arises.  Any amount due in the year but unpaid will be classed as a current financial asset.  Amounts not due until future years are classed as long term financial assets.</w:t>
      </w:r>
      <w:r w:rsidRPr="00B801F4">
        <w:rPr>
          <w:b/>
        </w:rPr>
        <w:t xml:space="preserve"> </w:t>
      </w:r>
    </w:p>
    <w:p w14:paraId="42F3AE2C" w14:textId="77777777" w:rsidR="00B801F4" w:rsidRPr="00B801F4" w:rsidRDefault="00B801F4" w:rsidP="00B801F4">
      <w:pPr>
        <w:ind w:left="851"/>
        <w:jc w:val="left"/>
        <w:rPr>
          <w:b/>
        </w:rPr>
      </w:pPr>
    </w:p>
    <w:p w14:paraId="196DB503" w14:textId="77777777" w:rsidR="00B801F4" w:rsidRPr="00B801F4" w:rsidRDefault="00B801F4" w:rsidP="00B801F4">
      <w:pPr>
        <w:spacing w:after="0"/>
        <w:ind w:left="567"/>
        <w:jc w:val="left"/>
        <w:rPr>
          <w:b/>
        </w:rPr>
      </w:pPr>
      <w:r w:rsidRPr="00B801F4">
        <w:rPr>
          <w:b/>
        </w:rPr>
        <w:t>3.1.2 Transfers to and from other schemes</w:t>
      </w:r>
    </w:p>
    <w:p w14:paraId="20C60491" w14:textId="77777777" w:rsidR="00B801F4" w:rsidRPr="00B801F4" w:rsidRDefault="00B801F4" w:rsidP="00B801F4">
      <w:pPr>
        <w:tabs>
          <w:tab w:val="left" w:pos="567"/>
        </w:tabs>
        <w:ind w:left="567"/>
        <w:jc w:val="left"/>
        <w:rPr>
          <w:highlight w:val="yellow"/>
        </w:rPr>
      </w:pPr>
      <w:r w:rsidRPr="00B801F4">
        <w:t>Transfer values represent amounts received and paid during the period for individual members who have either joined or left the Fund during the financial year and are calculated in accordance with Local Government Pension Scheme Regulations.</w:t>
      </w:r>
    </w:p>
    <w:p w14:paraId="67A9E54C" w14:textId="77777777" w:rsidR="00B801F4" w:rsidRPr="00B801F4" w:rsidRDefault="00B801F4" w:rsidP="00B801F4">
      <w:pPr>
        <w:tabs>
          <w:tab w:val="left" w:pos="567"/>
        </w:tabs>
        <w:ind w:left="567"/>
        <w:jc w:val="left"/>
      </w:pPr>
      <w:r w:rsidRPr="00B801F4">
        <w:t>Individual transfers in/out are accounted for when received/paid, which is when the member liability is accepted or discharged.</w:t>
      </w:r>
    </w:p>
    <w:p w14:paraId="7BCE7E68" w14:textId="77777777" w:rsidR="00B801F4" w:rsidRPr="00B801F4" w:rsidRDefault="00B801F4" w:rsidP="00B801F4">
      <w:pPr>
        <w:tabs>
          <w:tab w:val="left" w:pos="567"/>
        </w:tabs>
        <w:ind w:left="567"/>
        <w:jc w:val="left"/>
      </w:pPr>
      <w:r w:rsidRPr="00B801F4">
        <w:t>Transfers in from members wishing to use the proceeds of their additional voluntary contributions to purchase scheme benefits are accounted for on a receipts basis and are included in transfers in.  Bulk (group) transfers are accounted for on an accruals basis in accordance with the terms of the transfer agreement.</w:t>
      </w:r>
    </w:p>
    <w:p w14:paraId="3BD447E7" w14:textId="77777777" w:rsidR="00B801F4" w:rsidRPr="00B801F4" w:rsidRDefault="00B801F4" w:rsidP="00B801F4">
      <w:pPr>
        <w:tabs>
          <w:tab w:val="left" w:pos="851"/>
        </w:tabs>
        <w:ind w:left="851"/>
        <w:jc w:val="left"/>
      </w:pPr>
    </w:p>
    <w:p w14:paraId="59D746F4" w14:textId="77777777" w:rsidR="00B801F4" w:rsidRPr="00717919" w:rsidRDefault="00B801F4" w:rsidP="00717919">
      <w:pPr>
        <w:numPr>
          <w:ilvl w:val="2"/>
          <w:numId w:val="78"/>
        </w:numPr>
        <w:tabs>
          <w:tab w:val="left" w:pos="851"/>
        </w:tabs>
        <w:ind w:left="1276" w:hanging="710"/>
        <w:contextualSpacing/>
        <w:jc w:val="left"/>
      </w:pPr>
      <w:r w:rsidRPr="00B801F4">
        <w:rPr>
          <w:b/>
        </w:rPr>
        <w:t>Investment income</w:t>
      </w:r>
    </w:p>
    <w:p w14:paraId="15682294" w14:textId="77777777" w:rsidR="00717919" w:rsidRPr="00B801F4" w:rsidRDefault="00717919" w:rsidP="00717919">
      <w:pPr>
        <w:tabs>
          <w:tab w:val="left" w:pos="851"/>
        </w:tabs>
        <w:ind w:left="1276"/>
        <w:contextualSpacing/>
        <w:jc w:val="left"/>
      </w:pPr>
    </w:p>
    <w:p w14:paraId="32C9D6E8" w14:textId="77777777" w:rsidR="00B801F4" w:rsidRPr="00B801F4" w:rsidRDefault="00B801F4" w:rsidP="00B801F4">
      <w:pPr>
        <w:tabs>
          <w:tab w:val="left" w:pos="709"/>
        </w:tabs>
        <w:autoSpaceDE/>
        <w:autoSpaceDN/>
        <w:adjustRightInd/>
        <w:spacing w:after="0"/>
        <w:ind w:left="720"/>
        <w:contextualSpacing/>
        <w:jc w:val="left"/>
      </w:pPr>
      <w:r w:rsidRPr="00B801F4">
        <w:rPr>
          <w:b/>
        </w:rPr>
        <w:t>3.1.3.1 Interest income</w:t>
      </w:r>
    </w:p>
    <w:p w14:paraId="04465B13" w14:textId="77777777" w:rsidR="00B801F4" w:rsidRPr="00B801F4" w:rsidRDefault="00B801F4" w:rsidP="00B801F4">
      <w:pPr>
        <w:tabs>
          <w:tab w:val="left" w:pos="709"/>
        </w:tabs>
        <w:ind w:left="709"/>
        <w:jc w:val="left"/>
      </w:pPr>
      <w:r w:rsidRPr="00B801F4">
        <w:t>Interest income is recognised in the fund account as it accrues, using the effective interest rate of the financial instrument as at the date of acquisition or origination.  Income includes the amortisation of any discount or premium, transaction costs or other differences between the initial carrying amount of the instrument and its amount at maturity calculated on an effective interest rate basis.</w:t>
      </w:r>
    </w:p>
    <w:p w14:paraId="1A20A4BF" w14:textId="77777777" w:rsidR="00B801F4" w:rsidRPr="00B801F4" w:rsidRDefault="00B801F4" w:rsidP="00B801F4">
      <w:pPr>
        <w:tabs>
          <w:tab w:val="left" w:pos="851"/>
        </w:tabs>
        <w:ind w:left="851"/>
        <w:jc w:val="left"/>
      </w:pPr>
    </w:p>
    <w:p w14:paraId="715CF9BE" w14:textId="77777777" w:rsidR="00B801F4" w:rsidRPr="00B801F4" w:rsidRDefault="00B801F4" w:rsidP="00717919">
      <w:pPr>
        <w:numPr>
          <w:ilvl w:val="3"/>
          <w:numId w:val="80"/>
        </w:numPr>
        <w:tabs>
          <w:tab w:val="left" w:pos="709"/>
        </w:tabs>
        <w:autoSpaceDE/>
        <w:autoSpaceDN/>
        <w:adjustRightInd/>
        <w:spacing w:after="0"/>
        <w:ind w:left="1560" w:hanging="855"/>
        <w:contextualSpacing/>
        <w:jc w:val="left"/>
      </w:pPr>
      <w:r w:rsidRPr="00B801F4">
        <w:rPr>
          <w:b/>
        </w:rPr>
        <w:t>Dividend income</w:t>
      </w:r>
    </w:p>
    <w:p w14:paraId="16E5DD5F" w14:textId="77777777" w:rsidR="00B801F4" w:rsidRPr="00B801F4" w:rsidRDefault="00B801F4" w:rsidP="00B801F4">
      <w:pPr>
        <w:tabs>
          <w:tab w:val="left" w:pos="709"/>
        </w:tabs>
        <w:ind w:left="709"/>
        <w:jc w:val="left"/>
      </w:pPr>
      <w:r w:rsidRPr="00B801F4">
        <w:t>Dividend income is recognised on the date the shares are quoted ex-dividend.  Any amount not received by the end of the reporting period is disclosed in the net assets statement as a current financial asset.</w:t>
      </w:r>
    </w:p>
    <w:p w14:paraId="0B6A35FE" w14:textId="77777777" w:rsidR="00B801F4" w:rsidRPr="00B801F4" w:rsidRDefault="00B801F4" w:rsidP="00B801F4">
      <w:pPr>
        <w:tabs>
          <w:tab w:val="left" w:pos="851"/>
        </w:tabs>
        <w:ind w:left="927"/>
        <w:jc w:val="left"/>
      </w:pPr>
    </w:p>
    <w:p w14:paraId="04A618C2" w14:textId="77777777" w:rsidR="00B801F4" w:rsidRPr="00B801F4" w:rsidRDefault="00B801F4" w:rsidP="00717919">
      <w:pPr>
        <w:numPr>
          <w:ilvl w:val="3"/>
          <w:numId w:val="80"/>
        </w:numPr>
        <w:tabs>
          <w:tab w:val="left" w:pos="709"/>
        </w:tabs>
        <w:autoSpaceDE/>
        <w:autoSpaceDN/>
        <w:adjustRightInd/>
        <w:spacing w:after="0"/>
        <w:ind w:left="1560" w:hanging="851"/>
        <w:contextualSpacing/>
        <w:jc w:val="left"/>
      </w:pPr>
      <w:r w:rsidRPr="00B801F4">
        <w:rPr>
          <w:b/>
        </w:rPr>
        <w:t>Distribution from pooled funds</w:t>
      </w:r>
    </w:p>
    <w:p w14:paraId="731088E4" w14:textId="77777777" w:rsidR="00B801F4" w:rsidRPr="00B801F4" w:rsidRDefault="00B801F4" w:rsidP="00B801F4">
      <w:pPr>
        <w:tabs>
          <w:tab w:val="left" w:pos="709"/>
        </w:tabs>
        <w:ind w:left="709"/>
        <w:jc w:val="left"/>
      </w:pPr>
      <w:r w:rsidRPr="00B801F4">
        <w:t>Distributions from pooled funds are recognised at the date of issue.  Any amount not received by the end of the reporting period is disclosed in the net assets statement as a current financial asset.</w:t>
      </w:r>
    </w:p>
    <w:p w14:paraId="5C60786E" w14:textId="77777777" w:rsidR="00B801F4" w:rsidRPr="00B801F4" w:rsidRDefault="00B801F4" w:rsidP="00B801F4">
      <w:pPr>
        <w:tabs>
          <w:tab w:val="left" w:pos="851"/>
        </w:tabs>
        <w:ind w:left="927"/>
        <w:jc w:val="left"/>
      </w:pPr>
    </w:p>
    <w:p w14:paraId="7BF8F97C" w14:textId="77777777" w:rsidR="00B801F4" w:rsidRPr="00B801F4" w:rsidRDefault="00B801F4" w:rsidP="00717919">
      <w:pPr>
        <w:numPr>
          <w:ilvl w:val="3"/>
          <w:numId w:val="80"/>
        </w:numPr>
        <w:tabs>
          <w:tab w:val="left" w:pos="709"/>
        </w:tabs>
        <w:autoSpaceDE/>
        <w:autoSpaceDN/>
        <w:adjustRightInd/>
        <w:spacing w:after="0"/>
        <w:ind w:left="1560" w:hanging="855"/>
        <w:contextualSpacing/>
        <w:jc w:val="left"/>
      </w:pPr>
      <w:r w:rsidRPr="00B801F4">
        <w:rPr>
          <w:b/>
        </w:rPr>
        <w:t>Property–related income</w:t>
      </w:r>
    </w:p>
    <w:p w14:paraId="19880EF9" w14:textId="77777777" w:rsidR="00B801F4" w:rsidRPr="00B801F4" w:rsidRDefault="00B801F4" w:rsidP="00B801F4">
      <w:pPr>
        <w:tabs>
          <w:tab w:val="left" w:pos="709"/>
        </w:tabs>
        <w:ind w:left="709"/>
        <w:jc w:val="left"/>
      </w:pPr>
      <w:r w:rsidRPr="00B801F4">
        <w:t>Property-related income consists primarily of rental income.</w:t>
      </w:r>
    </w:p>
    <w:p w14:paraId="13B322ED" w14:textId="77777777" w:rsidR="00B801F4" w:rsidRPr="00B801F4" w:rsidRDefault="00B801F4" w:rsidP="00B801F4">
      <w:pPr>
        <w:tabs>
          <w:tab w:val="left" w:pos="709"/>
        </w:tabs>
        <w:ind w:left="709"/>
        <w:jc w:val="left"/>
      </w:pPr>
      <w:r w:rsidRPr="00B801F4">
        <w:t>Rental income from operating leases on properties owned by the Fund is recognised on a straight line basis over the term of the lease.  Any lease incentives granted are recognised as an integral part of the total rental income, over the term of the lease.</w:t>
      </w:r>
    </w:p>
    <w:p w14:paraId="5A4FA7FA" w14:textId="77777777" w:rsidR="00B801F4" w:rsidRPr="00B801F4" w:rsidRDefault="00B801F4" w:rsidP="00B801F4">
      <w:pPr>
        <w:tabs>
          <w:tab w:val="left" w:pos="709"/>
        </w:tabs>
        <w:ind w:left="709"/>
        <w:jc w:val="left"/>
      </w:pPr>
      <w:r w:rsidRPr="00B801F4">
        <w:t>Contingent rents based on the future amount of a factor that changes other than with the passage of time, such as turnover rents, are only recognised when contractually due.</w:t>
      </w:r>
    </w:p>
    <w:p w14:paraId="7DC09818" w14:textId="77777777" w:rsidR="00B801F4" w:rsidRPr="00B801F4" w:rsidRDefault="00B801F4" w:rsidP="00B801F4">
      <w:pPr>
        <w:tabs>
          <w:tab w:val="left" w:pos="851"/>
        </w:tabs>
        <w:ind w:left="851"/>
        <w:jc w:val="left"/>
      </w:pPr>
    </w:p>
    <w:p w14:paraId="6097D80A" w14:textId="77777777" w:rsidR="00B801F4" w:rsidRPr="00B801F4" w:rsidRDefault="00B801F4" w:rsidP="00717919">
      <w:pPr>
        <w:numPr>
          <w:ilvl w:val="3"/>
          <w:numId w:val="80"/>
        </w:numPr>
        <w:tabs>
          <w:tab w:val="left" w:pos="709"/>
        </w:tabs>
        <w:autoSpaceDE/>
        <w:autoSpaceDN/>
        <w:adjustRightInd/>
        <w:spacing w:after="0"/>
        <w:ind w:left="1560" w:hanging="855"/>
        <w:contextualSpacing/>
        <w:jc w:val="left"/>
      </w:pPr>
      <w:r w:rsidRPr="00B801F4">
        <w:rPr>
          <w:b/>
        </w:rPr>
        <w:t>Movement in the net market value of investments</w:t>
      </w:r>
    </w:p>
    <w:p w14:paraId="3C47D345" w14:textId="77777777" w:rsidR="00B801F4" w:rsidRPr="00B801F4" w:rsidRDefault="00B801F4" w:rsidP="00B801F4">
      <w:pPr>
        <w:tabs>
          <w:tab w:val="left" w:pos="709"/>
        </w:tabs>
        <w:ind w:left="709"/>
        <w:jc w:val="left"/>
      </w:pPr>
      <w:r w:rsidRPr="00B801F4">
        <w:t>Changes in the net market value of investments (including investment properties) are recognised as income and comprise all realised and unrealised profits/losses during the year.</w:t>
      </w:r>
    </w:p>
    <w:p w14:paraId="2A80DD87" w14:textId="77777777" w:rsidR="00B801F4" w:rsidRPr="00B801F4" w:rsidRDefault="00B801F4" w:rsidP="00B801F4">
      <w:pPr>
        <w:tabs>
          <w:tab w:val="left" w:pos="851"/>
        </w:tabs>
        <w:ind w:left="851"/>
        <w:jc w:val="left"/>
      </w:pPr>
    </w:p>
    <w:p w14:paraId="2CBF4741" w14:textId="77777777" w:rsidR="00B801F4" w:rsidRPr="00B801F4" w:rsidRDefault="00B801F4" w:rsidP="00B801F4">
      <w:pPr>
        <w:spacing w:after="0"/>
        <w:ind w:left="567"/>
        <w:jc w:val="left"/>
        <w:rPr>
          <w:b/>
          <w:sz w:val="32"/>
          <w:szCs w:val="32"/>
        </w:rPr>
      </w:pPr>
      <w:r w:rsidRPr="00B801F4">
        <w:rPr>
          <w:b/>
          <w:sz w:val="32"/>
          <w:szCs w:val="32"/>
        </w:rPr>
        <w:t>3.2 Fund account – expense items</w:t>
      </w:r>
    </w:p>
    <w:p w14:paraId="411D5FD4" w14:textId="77777777" w:rsidR="00B801F4" w:rsidRPr="00B801F4" w:rsidRDefault="00B801F4" w:rsidP="00B801F4">
      <w:pPr>
        <w:ind w:left="567"/>
        <w:jc w:val="left"/>
        <w:rPr>
          <w:b/>
          <w:sz w:val="32"/>
          <w:szCs w:val="32"/>
        </w:rPr>
      </w:pPr>
    </w:p>
    <w:p w14:paraId="1EF23257" w14:textId="77777777" w:rsidR="00B801F4" w:rsidRPr="00B801F4" w:rsidRDefault="00B801F4" w:rsidP="00B801F4">
      <w:pPr>
        <w:tabs>
          <w:tab w:val="num" w:pos="567"/>
        </w:tabs>
        <w:spacing w:after="0"/>
        <w:ind w:left="567"/>
        <w:jc w:val="left"/>
        <w:rPr>
          <w:b/>
        </w:rPr>
      </w:pPr>
      <w:r w:rsidRPr="00B801F4">
        <w:rPr>
          <w:b/>
        </w:rPr>
        <w:t>3.2.1 Benefits payable</w:t>
      </w:r>
    </w:p>
    <w:p w14:paraId="4C8203C7" w14:textId="77777777" w:rsidR="00B801F4" w:rsidRPr="00B801F4" w:rsidRDefault="00B801F4" w:rsidP="00B801F4">
      <w:pPr>
        <w:tabs>
          <w:tab w:val="num" w:pos="567"/>
        </w:tabs>
        <w:spacing w:after="0"/>
        <w:ind w:left="567"/>
        <w:jc w:val="left"/>
      </w:pPr>
      <w:r w:rsidRPr="00B801F4">
        <w:t>Pensions and lump sum benefits payable include all amounts known to be due as at the end of the financial year.  Any amounts due but unpaid are disclosed on the net assets statement as current liabilities.</w:t>
      </w:r>
    </w:p>
    <w:p w14:paraId="32D7D0C5" w14:textId="77777777" w:rsidR="00B801F4" w:rsidRPr="00B801F4" w:rsidRDefault="00B801F4" w:rsidP="00B801F4">
      <w:pPr>
        <w:tabs>
          <w:tab w:val="num" w:pos="567"/>
        </w:tabs>
        <w:ind w:left="567"/>
        <w:jc w:val="left"/>
      </w:pPr>
    </w:p>
    <w:p w14:paraId="1C70E97D" w14:textId="77777777" w:rsidR="00B801F4" w:rsidRPr="00B801F4" w:rsidRDefault="00B801F4" w:rsidP="00B801F4">
      <w:pPr>
        <w:tabs>
          <w:tab w:val="num" w:pos="567"/>
        </w:tabs>
        <w:spacing w:after="0"/>
        <w:ind w:left="567"/>
        <w:jc w:val="left"/>
        <w:rPr>
          <w:b/>
        </w:rPr>
      </w:pPr>
      <w:r w:rsidRPr="00B801F4">
        <w:rPr>
          <w:b/>
        </w:rPr>
        <w:t>3.2.2 Taxation</w:t>
      </w:r>
    </w:p>
    <w:p w14:paraId="32BA24AC" w14:textId="77777777" w:rsidR="00B801F4" w:rsidRPr="00B801F4" w:rsidRDefault="00B801F4" w:rsidP="00B801F4">
      <w:pPr>
        <w:tabs>
          <w:tab w:val="num" w:pos="567"/>
        </w:tabs>
        <w:spacing w:after="0"/>
        <w:ind w:left="567"/>
        <w:jc w:val="left"/>
      </w:pPr>
      <w:r w:rsidRPr="00B801F4">
        <w:t>The Fund is a registered public service scheme under section 1(1) of Schedule 36 of the Finance Act 2004 and as such is exempt from UK income tax on interest received and from capital gains tax on the proceeds of investments sold.  Income from overseas investments suffers withholding tax in the country of origin, unless exemption is permitted.  Irrecoverable tax is accounted for as a fund expense as it arises.</w:t>
      </w:r>
    </w:p>
    <w:p w14:paraId="2A1DA02B" w14:textId="77777777" w:rsidR="00B801F4" w:rsidRPr="00B801F4" w:rsidRDefault="00B801F4" w:rsidP="00B801F4">
      <w:pPr>
        <w:tabs>
          <w:tab w:val="num" w:pos="567"/>
        </w:tabs>
        <w:ind w:left="567"/>
        <w:jc w:val="left"/>
      </w:pPr>
    </w:p>
    <w:p w14:paraId="4D96689D" w14:textId="77777777" w:rsidR="00B801F4" w:rsidRPr="00B801F4" w:rsidRDefault="00B801F4" w:rsidP="00B801F4">
      <w:pPr>
        <w:tabs>
          <w:tab w:val="num" w:pos="567"/>
        </w:tabs>
        <w:spacing w:after="0"/>
        <w:ind w:left="567"/>
        <w:jc w:val="left"/>
        <w:rPr>
          <w:b/>
        </w:rPr>
      </w:pPr>
      <w:r w:rsidRPr="00B801F4">
        <w:rPr>
          <w:b/>
        </w:rPr>
        <w:t>3.2.3 Management expenses</w:t>
      </w:r>
    </w:p>
    <w:p w14:paraId="1E382475" w14:textId="77777777" w:rsidR="00B801F4" w:rsidRPr="00B801F4" w:rsidRDefault="00B801F4" w:rsidP="00B801F4">
      <w:pPr>
        <w:spacing w:after="0"/>
        <w:ind w:left="567"/>
        <w:jc w:val="left"/>
        <w:rPr>
          <w:rFonts w:eastAsia="Cambria" w:cs="Arial"/>
          <w:sz w:val="20"/>
          <w:szCs w:val="20"/>
          <w:lang w:eastAsia="en-GB"/>
        </w:rPr>
      </w:pPr>
      <w:r w:rsidRPr="00B801F4">
        <w:rPr>
          <w:rFonts w:eastAsia="Times New Roman" w:cs="Arial"/>
          <w:lang w:eastAsia="en-GB"/>
        </w:rPr>
        <w:t xml:space="preserve">The code does not require any breakdown of pension fund administrative expenses.  However, in the interests of greater transparency, the Fund discloses management expenses in accordance with the CIPFA guidance "Accounting for Local Government Pension Scheme Management Costs".  The comparative figures for 2013/14 have been restated to reflect the implementation of the CIPFA guidance.  </w:t>
      </w:r>
    </w:p>
    <w:p w14:paraId="6ADB52AD" w14:textId="77777777" w:rsidR="00B801F4" w:rsidRPr="00B801F4" w:rsidRDefault="00B801F4" w:rsidP="00B801F4">
      <w:pPr>
        <w:tabs>
          <w:tab w:val="num" w:pos="567"/>
        </w:tabs>
        <w:ind w:left="567"/>
        <w:jc w:val="left"/>
        <w:rPr>
          <w:b/>
        </w:rPr>
      </w:pPr>
    </w:p>
    <w:p w14:paraId="7AFF9D32" w14:textId="77777777" w:rsidR="00B801F4" w:rsidRPr="00B801F4" w:rsidRDefault="00B801F4" w:rsidP="00B801F4">
      <w:pPr>
        <w:tabs>
          <w:tab w:val="num" w:pos="851"/>
        </w:tabs>
        <w:autoSpaceDE/>
        <w:autoSpaceDN/>
        <w:adjustRightInd/>
        <w:spacing w:after="0"/>
        <w:ind w:left="567"/>
        <w:contextualSpacing/>
        <w:jc w:val="left"/>
      </w:pPr>
      <w:r w:rsidRPr="00B801F4">
        <w:rPr>
          <w:b/>
        </w:rPr>
        <w:t>3.2.4 Administrative expenses</w:t>
      </w:r>
    </w:p>
    <w:p w14:paraId="3B3E8C2A" w14:textId="77777777" w:rsidR="00B801F4" w:rsidRPr="00B801F4" w:rsidRDefault="00B801F4" w:rsidP="00B801F4">
      <w:pPr>
        <w:ind w:left="567"/>
        <w:jc w:val="left"/>
      </w:pPr>
      <w:r w:rsidRPr="00B801F4">
        <w:t>All administrative expenses are accounted for on an accruals basis. All staff costs of the pension's administration team are charged directly to the Fund.  Management, accommodation, finance and other overheads are apportioned in accordance with council policy.</w:t>
      </w:r>
    </w:p>
    <w:p w14:paraId="6993EA9E" w14:textId="77777777" w:rsidR="00B801F4" w:rsidRPr="00B801F4" w:rsidRDefault="00B801F4" w:rsidP="00B801F4">
      <w:pPr>
        <w:tabs>
          <w:tab w:val="num" w:pos="567"/>
        </w:tabs>
        <w:ind w:left="567"/>
        <w:jc w:val="left"/>
      </w:pPr>
    </w:p>
    <w:p w14:paraId="6A9C948D" w14:textId="77777777" w:rsidR="00B801F4" w:rsidRPr="00B801F4" w:rsidRDefault="00B801F4" w:rsidP="00B801F4">
      <w:pPr>
        <w:tabs>
          <w:tab w:val="num" w:pos="851"/>
        </w:tabs>
        <w:autoSpaceDE/>
        <w:autoSpaceDN/>
        <w:adjustRightInd/>
        <w:spacing w:after="0"/>
        <w:ind w:left="1287" w:hanging="720"/>
        <w:contextualSpacing/>
        <w:jc w:val="left"/>
        <w:rPr>
          <w:b/>
        </w:rPr>
      </w:pPr>
      <w:r w:rsidRPr="00B801F4">
        <w:rPr>
          <w:b/>
        </w:rPr>
        <w:t>3.2.5 Oversight and governance expenses</w:t>
      </w:r>
    </w:p>
    <w:p w14:paraId="13FBC74F" w14:textId="77777777" w:rsidR="00B801F4" w:rsidRPr="00B801F4" w:rsidRDefault="00B801F4" w:rsidP="00B801F4">
      <w:pPr>
        <w:tabs>
          <w:tab w:val="num" w:pos="567"/>
        </w:tabs>
        <w:ind w:left="567"/>
        <w:jc w:val="left"/>
        <w:rPr>
          <w:rFonts w:cs="Arial"/>
        </w:rPr>
      </w:pPr>
      <w:r w:rsidRPr="00B801F4">
        <w:t>All oversight and governance</w:t>
      </w:r>
      <w:r w:rsidRPr="00B801F4">
        <w:rPr>
          <w:rFonts w:cs="Arial"/>
        </w:rPr>
        <w:t xml:space="preserve"> expenses are accounted for on an accruals basis.  All staff costs associated with governance and oversight are charged direct to the Fund.  Associated management, accommodation and other overheads are apportioned to this activity and charged as expenses to the Fund.</w:t>
      </w:r>
    </w:p>
    <w:p w14:paraId="3D19CC42" w14:textId="77777777" w:rsidR="00B801F4" w:rsidRDefault="00B801F4" w:rsidP="00B801F4">
      <w:pPr>
        <w:tabs>
          <w:tab w:val="num" w:pos="567"/>
        </w:tabs>
        <w:ind w:left="851"/>
        <w:jc w:val="left"/>
        <w:rPr>
          <w:rFonts w:cs="Arial"/>
        </w:rPr>
      </w:pPr>
    </w:p>
    <w:p w14:paraId="0ADBDDC7" w14:textId="77777777" w:rsidR="00792C96" w:rsidRPr="00B801F4" w:rsidRDefault="00792C96" w:rsidP="00B801F4">
      <w:pPr>
        <w:tabs>
          <w:tab w:val="num" w:pos="567"/>
        </w:tabs>
        <w:ind w:left="851"/>
        <w:jc w:val="left"/>
        <w:rPr>
          <w:rFonts w:cs="Arial"/>
        </w:rPr>
      </w:pPr>
    </w:p>
    <w:p w14:paraId="21BDE069" w14:textId="77777777" w:rsidR="00B801F4" w:rsidRPr="00B801F4" w:rsidRDefault="00B801F4" w:rsidP="00B801F4">
      <w:pPr>
        <w:autoSpaceDE/>
        <w:autoSpaceDN/>
        <w:adjustRightInd/>
        <w:spacing w:after="0"/>
        <w:ind w:firstLine="567"/>
        <w:jc w:val="left"/>
        <w:rPr>
          <w:rFonts w:cs="Arial"/>
        </w:rPr>
      </w:pPr>
      <w:r w:rsidRPr="00B801F4">
        <w:rPr>
          <w:rFonts w:cs="Arial"/>
          <w:b/>
        </w:rPr>
        <w:t>3.2.6 Investment management expenses</w:t>
      </w:r>
    </w:p>
    <w:p w14:paraId="0C56ED38" w14:textId="77777777" w:rsidR="00B801F4" w:rsidRPr="00B801F4" w:rsidRDefault="00B801F4" w:rsidP="00B801F4">
      <w:pPr>
        <w:tabs>
          <w:tab w:val="num" w:pos="567"/>
        </w:tabs>
        <w:ind w:left="567"/>
        <w:contextualSpacing/>
        <w:jc w:val="left"/>
        <w:rPr>
          <w:rFonts w:cs="Arial"/>
        </w:rPr>
      </w:pPr>
      <w:r w:rsidRPr="00B801F4">
        <w:rPr>
          <w:rFonts w:cs="Arial"/>
        </w:rPr>
        <w:t>All investment management expenses are accounted for on an accruals basis.</w:t>
      </w:r>
    </w:p>
    <w:p w14:paraId="7DD74559" w14:textId="77777777" w:rsidR="00B801F4" w:rsidRPr="00B801F4" w:rsidRDefault="00B801F4" w:rsidP="00B801F4">
      <w:pPr>
        <w:tabs>
          <w:tab w:val="num" w:pos="993"/>
        </w:tabs>
        <w:ind w:left="567"/>
        <w:jc w:val="left"/>
        <w:rPr>
          <w:rFonts w:cs="Arial"/>
        </w:rPr>
      </w:pPr>
      <w:r w:rsidRPr="00B801F4">
        <w:rPr>
          <w:rFonts w:cs="Arial"/>
        </w:rPr>
        <w:t>Fees of the external investment managers and custodian are agreed in the respective mandates governing their appointments.  Broadly, these are based on the market value of investments under their management and therefore increase or reduce as the value of these investments change.</w:t>
      </w:r>
    </w:p>
    <w:p w14:paraId="468C5687" w14:textId="77777777" w:rsidR="00B801F4" w:rsidRPr="00B801F4" w:rsidRDefault="00B801F4" w:rsidP="00B801F4">
      <w:pPr>
        <w:tabs>
          <w:tab w:val="num" w:pos="851"/>
        </w:tabs>
        <w:ind w:left="851" w:hanging="284"/>
        <w:jc w:val="left"/>
        <w:rPr>
          <w:rFonts w:cs="Arial"/>
        </w:rPr>
      </w:pPr>
      <w:r w:rsidRPr="00B801F4">
        <w:rPr>
          <w:rFonts w:cs="Arial"/>
        </w:rPr>
        <w:t>The Fund has negotiated performance related fees with a number of managers.</w:t>
      </w:r>
    </w:p>
    <w:p w14:paraId="10E041CD" w14:textId="77777777" w:rsidR="00B801F4" w:rsidRPr="00B801F4" w:rsidRDefault="00B801F4" w:rsidP="00B801F4">
      <w:pPr>
        <w:tabs>
          <w:tab w:val="num" w:pos="567"/>
        </w:tabs>
        <w:ind w:left="567"/>
        <w:jc w:val="left"/>
        <w:rPr>
          <w:rFonts w:cs="Arial"/>
        </w:rPr>
      </w:pPr>
      <w:r w:rsidRPr="00B801F4">
        <w:rPr>
          <w:rFonts w:cs="Arial"/>
        </w:rPr>
        <w:t>Where an investment manager's fee note has not been received by the net assets statement date, an estimate based upon the market value of their mandate as at the end of the year is used for the inclusion in the fund account.  In 2014/15, £2.3m of fees is based on such estimates (2013/14: £2.8m).</w:t>
      </w:r>
    </w:p>
    <w:p w14:paraId="06491743" w14:textId="77777777" w:rsidR="00B801F4" w:rsidRPr="00B801F4" w:rsidRDefault="00B801F4" w:rsidP="00B801F4">
      <w:pPr>
        <w:tabs>
          <w:tab w:val="num" w:pos="567"/>
        </w:tabs>
        <w:ind w:left="567"/>
        <w:jc w:val="left"/>
        <w:rPr>
          <w:rFonts w:cs="Arial"/>
        </w:rPr>
      </w:pPr>
      <w:r w:rsidRPr="00B801F4">
        <w:rPr>
          <w:rFonts w:cs="Arial"/>
        </w:rPr>
        <w:t>The costs of the council's in-house fund management team are charged direct to the Fund and a proportion of the council's costs representing management time spent by officers on investment management are also charged to the Fund.</w:t>
      </w:r>
    </w:p>
    <w:p w14:paraId="3D0E2B40" w14:textId="77777777" w:rsidR="00B801F4" w:rsidRPr="00B801F4" w:rsidRDefault="00B801F4" w:rsidP="00B801F4">
      <w:pPr>
        <w:jc w:val="left"/>
        <w:rPr>
          <w:b/>
        </w:rPr>
      </w:pPr>
    </w:p>
    <w:p w14:paraId="639DFBC8" w14:textId="77777777" w:rsidR="00B801F4" w:rsidRPr="00B801F4" w:rsidRDefault="00B801F4" w:rsidP="00B801F4">
      <w:pPr>
        <w:ind w:left="567"/>
        <w:jc w:val="left"/>
        <w:rPr>
          <w:b/>
          <w:sz w:val="32"/>
          <w:szCs w:val="32"/>
        </w:rPr>
      </w:pPr>
      <w:r w:rsidRPr="00B801F4">
        <w:rPr>
          <w:b/>
          <w:sz w:val="32"/>
          <w:szCs w:val="32"/>
        </w:rPr>
        <w:t>3.3 Net assets statement</w:t>
      </w:r>
    </w:p>
    <w:p w14:paraId="3ED11713" w14:textId="77777777" w:rsidR="00B801F4" w:rsidRPr="00B801F4" w:rsidRDefault="00B801F4" w:rsidP="00B801F4">
      <w:pPr>
        <w:jc w:val="left"/>
        <w:rPr>
          <w:b/>
        </w:rPr>
      </w:pPr>
    </w:p>
    <w:p w14:paraId="766F118F" w14:textId="77777777" w:rsidR="00B801F4" w:rsidRPr="00B801F4" w:rsidRDefault="00B801F4" w:rsidP="00B801F4">
      <w:pPr>
        <w:spacing w:after="0"/>
        <w:ind w:left="567"/>
        <w:jc w:val="left"/>
        <w:rPr>
          <w:b/>
        </w:rPr>
      </w:pPr>
      <w:r w:rsidRPr="00B801F4">
        <w:rPr>
          <w:b/>
        </w:rPr>
        <w:t xml:space="preserve">3.3.1 Financial assets </w:t>
      </w:r>
    </w:p>
    <w:p w14:paraId="1E019D1A" w14:textId="77777777" w:rsidR="00B801F4" w:rsidRPr="00B801F4" w:rsidRDefault="00B801F4" w:rsidP="00B801F4">
      <w:pPr>
        <w:tabs>
          <w:tab w:val="left" w:pos="567"/>
        </w:tabs>
        <w:spacing w:after="0"/>
        <w:ind w:left="567"/>
        <w:jc w:val="left"/>
      </w:pPr>
      <w:r w:rsidRPr="00B801F4">
        <w:t>Financial assets, other than loans and receivables, are included in the net assets statement on a fair value basis as at the reporting date.  A financial asset is recognised in the net assets statement on the date the Fund becomes party to the contractual acquisition of the asset.  From this date any gains or losses arising from changes in the fair value of the asset are recognised by the Fund.</w:t>
      </w:r>
    </w:p>
    <w:p w14:paraId="3EF4B58D" w14:textId="77777777" w:rsidR="00B801F4" w:rsidRPr="00B801F4" w:rsidRDefault="00B801F4" w:rsidP="00B801F4">
      <w:pPr>
        <w:tabs>
          <w:tab w:val="left" w:pos="567"/>
        </w:tabs>
        <w:spacing w:after="0"/>
        <w:ind w:left="567"/>
        <w:jc w:val="left"/>
      </w:pPr>
    </w:p>
    <w:p w14:paraId="4CE5CA86" w14:textId="77777777" w:rsidR="00B801F4" w:rsidRPr="00B801F4" w:rsidRDefault="00B801F4" w:rsidP="00B801F4">
      <w:pPr>
        <w:tabs>
          <w:tab w:val="left" w:pos="567"/>
        </w:tabs>
        <w:spacing w:after="0"/>
        <w:ind w:left="567"/>
        <w:jc w:val="left"/>
      </w:pPr>
      <w:r w:rsidRPr="00B801F4">
        <w:t>The values of investments as shown in the net assets statement have been determined as follows:</w:t>
      </w:r>
    </w:p>
    <w:p w14:paraId="26974A87" w14:textId="77777777" w:rsidR="00B801F4" w:rsidRPr="00B801F4" w:rsidRDefault="00B801F4" w:rsidP="00B801F4">
      <w:pPr>
        <w:tabs>
          <w:tab w:val="left" w:pos="567"/>
          <w:tab w:val="left" w:pos="3600"/>
        </w:tabs>
        <w:ind w:left="567"/>
        <w:jc w:val="left"/>
      </w:pPr>
      <w:r w:rsidRPr="00B801F4">
        <w:tab/>
      </w:r>
    </w:p>
    <w:p w14:paraId="1512DA56" w14:textId="77777777" w:rsidR="00B801F4" w:rsidRPr="00B801F4" w:rsidRDefault="00B801F4" w:rsidP="00B801F4">
      <w:pPr>
        <w:tabs>
          <w:tab w:val="left" w:pos="567"/>
          <w:tab w:val="left" w:pos="1134"/>
        </w:tabs>
        <w:autoSpaceDE/>
        <w:autoSpaceDN/>
        <w:adjustRightInd/>
        <w:spacing w:after="0"/>
        <w:ind w:left="567"/>
        <w:contextualSpacing/>
        <w:jc w:val="left"/>
        <w:rPr>
          <w:b/>
        </w:rPr>
      </w:pPr>
      <w:r w:rsidRPr="00B801F4">
        <w:rPr>
          <w:b/>
        </w:rPr>
        <w:t>3.3.2 Market-quoted investments</w:t>
      </w:r>
    </w:p>
    <w:p w14:paraId="0F4EDF0D" w14:textId="77777777" w:rsidR="00B801F4" w:rsidRPr="00B801F4" w:rsidRDefault="00B801F4" w:rsidP="00B801F4">
      <w:pPr>
        <w:tabs>
          <w:tab w:val="left" w:pos="1134"/>
        </w:tabs>
        <w:ind w:left="567"/>
        <w:jc w:val="left"/>
      </w:pPr>
      <w:r w:rsidRPr="00B801F4">
        <w:t>The value of an investment for which there is a readily available market price is determined by bid market price ruling on the final day of the accounting period.</w:t>
      </w:r>
    </w:p>
    <w:p w14:paraId="5FCFA5FA" w14:textId="77777777" w:rsidR="00B801F4" w:rsidRPr="00B801F4" w:rsidRDefault="00B801F4" w:rsidP="00B801F4">
      <w:pPr>
        <w:tabs>
          <w:tab w:val="left" w:pos="567"/>
        </w:tabs>
        <w:ind w:left="567"/>
        <w:jc w:val="left"/>
      </w:pPr>
    </w:p>
    <w:p w14:paraId="3C1F40C3" w14:textId="77777777" w:rsidR="00B801F4" w:rsidRPr="00B801F4" w:rsidRDefault="00B801F4" w:rsidP="00B801F4">
      <w:pPr>
        <w:tabs>
          <w:tab w:val="left" w:pos="567"/>
        </w:tabs>
        <w:autoSpaceDE/>
        <w:autoSpaceDN/>
        <w:adjustRightInd/>
        <w:spacing w:after="0"/>
        <w:ind w:left="567"/>
        <w:contextualSpacing/>
        <w:jc w:val="left"/>
        <w:rPr>
          <w:b/>
        </w:rPr>
      </w:pPr>
      <w:r w:rsidRPr="00B801F4">
        <w:rPr>
          <w:b/>
        </w:rPr>
        <w:t>3.3.3 Fixed interest securities</w:t>
      </w:r>
    </w:p>
    <w:p w14:paraId="1604439F" w14:textId="77777777" w:rsidR="00B801F4" w:rsidRPr="00B801F4" w:rsidRDefault="00B801F4" w:rsidP="00B801F4">
      <w:pPr>
        <w:tabs>
          <w:tab w:val="left" w:pos="567"/>
          <w:tab w:val="left" w:pos="993"/>
        </w:tabs>
        <w:ind w:left="567"/>
        <w:jc w:val="left"/>
      </w:pPr>
      <w:r w:rsidRPr="00B801F4">
        <w:t>Fixed interest securities are recorded at net market value based on their current yields.</w:t>
      </w:r>
    </w:p>
    <w:p w14:paraId="3CA2E8E1" w14:textId="77777777" w:rsidR="00B801F4" w:rsidRPr="00B801F4" w:rsidRDefault="00B801F4" w:rsidP="00B801F4">
      <w:pPr>
        <w:tabs>
          <w:tab w:val="left" w:pos="567"/>
          <w:tab w:val="left" w:pos="993"/>
        </w:tabs>
        <w:ind w:left="567"/>
        <w:jc w:val="left"/>
      </w:pPr>
    </w:p>
    <w:p w14:paraId="50CCC978" w14:textId="77777777" w:rsidR="00B801F4" w:rsidRPr="00B801F4" w:rsidRDefault="00B801F4" w:rsidP="00B801F4">
      <w:pPr>
        <w:tabs>
          <w:tab w:val="left" w:pos="927"/>
        </w:tabs>
        <w:autoSpaceDE/>
        <w:autoSpaceDN/>
        <w:adjustRightInd/>
        <w:spacing w:after="0"/>
        <w:ind w:left="567"/>
        <w:contextualSpacing/>
        <w:jc w:val="left"/>
        <w:rPr>
          <w:b/>
        </w:rPr>
      </w:pPr>
      <w:r w:rsidRPr="00B801F4">
        <w:rPr>
          <w:b/>
        </w:rPr>
        <w:t>3.3.4 Unquoted investments</w:t>
      </w:r>
    </w:p>
    <w:p w14:paraId="5B59D03E" w14:textId="77777777" w:rsidR="00B801F4" w:rsidRPr="00B801F4" w:rsidRDefault="00B801F4" w:rsidP="00B801F4">
      <w:pPr>
        <w:tabs>
          <w:tab w:val="left" w:pos="993"/>
          <w:tab w:val="left" w:pos="1134"/>
        </w:tabs>
        <w:ind w:left="567"/>
        <w:jc w:val="left"/>
      </w:pPr>
      <w:r w:rsidRPr="00B801F4">
        <w:t>The fair value of investments for which market quotations are not readily available is determined as follows:</w:t>
      </w:r>
    </w:p>
    <w:p w14:paraId="1F96B796" w14:textId="77777777" w:rsidR="00B801F4" w:rsidRPr="00B801F4" w:rsidRDefault="00B801F4" w:rsidP="00B801F4">
      <w:pPr>
        <w:tabs>
          <w:tab w:val="left" w:pos="567"/>
        </w:tabs>
        <w:autoSpaceDE/>
        <w:autoSpaceDN/>
        <w:adjustRightInd/>
        <w:spacing w:after="0"/>
        <w:ind w:left="567"/>
        <w:contextualSpacing/>
        <w:jc w:val="left"/>
      </w:pPr>
      <w:r w:rsidRPr="00B801F4">
        <w:t>Valuations of delisted securities are based on the last sale price prior to delisting, or where subject to liquidation, the amount the Fund expects to receive on wind-up, less estimated realisation costs.</w:t>
      </w:r>
    </w:p>
    <w:p w14:paraId="740DBFE5" w14:textId="77777777" w:rsidR="00B801F4" w:rsidRPr="00B801F4" w:rsidRDefault="00B801F4" w:rsidP="00B801F4">
      <w:pPr>
        <w:tabs>
          <w:tab w:val="left" w:pos="567"/>
        </w:tabs>
        <w:ind w:left="567"/>
        <w:contextualSpacing/>
        <w:jc w:val="left"/>
      </w:pPr>
    </w:p>
    <w:p w14:paraId="4E879C31" w14:textId="77777777" w:rsidR="00B801F4" w:rsidRPr="00B801F4" w:rsidRDefault="00B801F4" w:rsidP="00B801F4">
      <w:pPr>
        <w:tabs>
          <w:tab w:val="left" w:pos="567"/>
        </w:tabs>
        <w:autoSpaceDE/>
        <w:autoSpaceDN/>
        <w:adjustRightInd/>
        <w:spacing w:after="0"/>
        <w:ind w:left="567"/>
        <w:contextualSpacing/>
        <w:jc w:val="left"/>
      </w:pPr>
      <w:r w:rsidRPr="00B801F4">
        <w:t>Where securities are subject to takeover offer, the valuation is based on the consideration offered, less realisation costs.</w:t>
      </w:r>
    </w:p>
    <w:p w14:paraId="437FE223" w14:textId="77777777" w:rsidR="00B801F4" w:rsidRPr="00B801F4" w:rsidRDefault="00B801F4" w:rsidP="00B801F4">
      <w:pPr>
        <w:tabs>
          <w:tab w:val="left" w:pos="567"/>
        </w:tabs>
        <w:ind w:left="567"/>
        <w:contextualSpacing/>
        <w:jc w:val="left"/>
      </w:pPr>
    </w:p>
    <w:p w14:paraId="1C13267E" w14:textId="77777777" w:rsidR="00B801F4" w:rsidRPr="00B801F4" w:rsidRDefault="00B801F4" w:rsidP="00B801F4">
      <w:pPr>
        <w:tabs>
          <w:tab w:val="left" w:pos="567"/>
        </w:tabs>
        <w:autoSpaceDE/>
        <w:autoSpaceDN/>
        <w:adjustRightInd/>
        <w:spacing w:after="0"/>
        <w:ind w:left="567"/>
        <w:contextualSpacing/>
        <w:jc w:val="left"/>
      </w:pPr>
      <w:r w:rsidRPr="00B801F4">
        <w:t>Directly held investments include investments in limited partnerships, shares in unlisted companies, trusts and bonds. Other unquoted securities typically include pooled investments in property, infrastructure, debt securities and private equity.  The valuation of these pools or directly held securities is undertaken by the investment manager or responsible entity and advised as a unit or security price.  The valuation standards followed in these valuations adhere to industry guidelines or to standards set by the constituent documents of the pool or the management agreement.</w:t>
      </w:r>
    </w:p>
    <w:p w14:paraId="25B87815" w14:textId="77777777" w:rsidR="00B801F4" w:rsidRPr="00B801F4" w:rsidRDefault="00B801F4" w:rsidP="00B801F4">
      <w:pPr>
        <w:tabs>
          <w:tab w:val="left" w:pos="1134"/>
        </w:tabs>
        <w:ind w:left="1134" w:hanging="283"/>
        <w:jc w:val="left"/>
      </w:pPr>
    </w:p>
    <w:p w14:paraId="30E37BF8" w14:textId="77777777" w:rsidR="00B801F4" w:rsidRPr="00B801F4" w:rsidRDefault="00B801F4" w:rsidP="00B801F4">
      <w:pPr>
        <w:tabs>
          <w:tab w:val="left" w:pos="567"/>
        </w:tabs>
        <w:autoSpaceDE/>
        <w:autoSpaceDN/>
        <w:adjustRightInd/>
        <w:spacing w:after="0"/>
        <w:ind w:left="567"/>
        <w:contextualSpacing/>
        <w:jc w:val="left"/>
      </w:pPr>
      <w:r w:rsidRPr="00B801F4">
        <w:t>Investments in unquoted property and infrastructure pooled funds are valued at the net asset value or a single price advised by the fund manager.</w:t>
      </w:r>
    </w:p>
    <w:p w14:paraId="2217B7BB" w14:textId="77777777" w:rsidR="00B801F4" w:rsidRPr="00B801F4" w:rsidRDefault="00B801F4" w:rsidP="00B801F4">
      <w:pPr>
        <w:tabs>
          <w:tab w:val="left" w:pos="567"/>
        </w:tabs>
        <w:autoSpaceDE/>
        <w:autoSpaceDN/>
        <w:adjustRightInd/>
        <w:spacing w:after="0"/>
        <w:ind w:left="567"/>
        <w:contextualSpacing/>
        <w:jc w:val="left"/>
      </w:pPr>
    </w:p>
    <w:p w14:paraId="02F04439" w14:textId="77777777" w:rsidR="00B801F4" w:rsidRDefault="00B801F4" w:rsidP="00B801F4">
      <w:pPr>
        <w:tabs>
          <w:tab w:val="left" w:pos="567"/>
        </w:tabs>
        <w:autoSpaceDE/>
        <w:autoSpaceDN/>
        <w:adjustRightInd/>
        <w:spacing w:after="0"/>
        <w:ind w:left="567"/>
        <w:contextualSpacing/>
        <w:jc w:val="left"/>
      </w:pPr>
      <w:r w:rsidRPr="00B801F4">
        <w:t>Investments in private equity funds and unquoted listed partnerships are valued based on the fund's share of the net assets in the private equity fund or limited partnership using the latest financial statements published by the respective fund managers in accordance with the guidelines set out by the British Venture Capital Association.</w:t>
      </w:r>
    </w:p>
    <w:p w14:paraId="2FD7E27A" w14:textId="77777777" w:rsidR="00792C96" w:rsidRDefault="00792C96" w:rsidP="00B801F4">
      <w:pPr>
        <w:tabs>
          <w:tab w:val="left" w:pos="567"/>
        </w:tabs>
        <w:autoSpaceDE/>
        <w:autoSpaceDN/>
        <w:adjustRightInd/>
        <w:spacing w:after="0"/>
        <w:ind w:left="567"/>
        <w:contextualSpacing/>
        <w:jc w:val="left"/>
      </w:pPr>
    </w:p>
    <w:p w14:paraId="08182B3B" w14:textId="77777777" w:rsidR="00792C96" w:rsidRPr="00B801F4" w:rsidRDefault="00792C96" w:rsidP="00B801F4">
      <w:pPr>
        <w:tabs>
          <w:tab w:val="left" w:pos="567"/>
        </w:tabs>
        <w:autoSpaceDE/>
        <w:autoSpaceDN/>
        <w:adjustRightInd/>
        <w:spacing w:after="0"/>
        <w:ind w:left="567"/>
        <w:contextualSpacing/>
        <w:jc w:val="left"/>
      </w:pPr>
    </w:p>
    <w:p w14:paraId="64417B70" w14:textId="77777777" w:rsidR="00B801F4" w:rsidRPr="00B801F4" w:rsidRDefault="00B801F4" w:rsidP="00B801F4">
      <w:pPr>
        <w:tabs>
          <w:tab w:val="left" w:pos="567"/>
        </w:tabs>
        <w:autoSpaceDE/>
        <w:autoSpaceDN/>
        <w:adjustRightInd/>
        <w:spacing w:after="0"/>
        <w:ind w:left="567"/>
        <w:jc w:val="left"/>
      </w:pPr>
      <w:r w:rsidRPr="00B801F4">
        <w:rPr>
          <w:b/>
        </w:rPr>
        <w:t>3.3.5 Limited partnerships</w:t>
      </w:r>
    </w:p>
    <w:p w14:paraId="3F295293" w14:textId="77777777" w:rsidR="00B801F4" w:rsidRPr="00B801F4" w:rsidRDefault="00B801F4" w:rsidP="00B801F4">
      <w:pPr>
        <w:tabs>
          <w:tab w:val="left" w:pos="993"/>
          <w:tab w:val="left" w:pos="1134"/>
        </w:tabs>
        <w:ind w:left="567"/>
        <w:jc w:val="left"/>
      </w:pPr>
      <w:r w:rsidRPr="00B801F4">
        <w:t>Fair value is based on the net asset value ascertained from periodic valuations provided by those controlling the partnership.</w:t>
      </w:r>
    </w:p>
    <w:p w14:paraId="2F51B7E8" w14:textId="77777777" w:rsidR="00B801F4" w:rsidRPr="00B801F4" w:rsidRDefault="00B801F4" w:rsidP="00B801F4">
      <w:pPr>
        <w:tabs>
          <w:tab w:val="left" w:pos="851"/>
        </w:tabs>
        <w:ind w:left="851"/>
        <w:jc w:val="left"/>
      </w:pPr>
    </w:p>
    <w:p w14:paraId="6D090556" w14:textId="77777777" w:rsidR="00B801F4" w:rsidRPr="00B801F4" w:rsidRDefault="00B801F4" w:rsidP="00B801F4">
      <w:pPr>
        <w:tabs>
          <w:tab w:val="left" w:pos="567"/>
        </w:tabs>
        <w:autoSpaceDE/>
        <w:autoSpaceDN/>
        <w:adjustRightInd/>
        <w:spacing w:after="0"/>
        <w:ind w:left="567"/>
        <w:contextualSpacing/>
        <w:jc w:val="left"/>
      </w:pPr>
      <w:r w:rsidRPr="00B801F4">
        <w:rPr>
          <w:b/>
        </w:rPr>
        <w:t>3.3.6 Pooled investment vehicles</w:t>
      </w:r>
    </w:p>
    <w:p w14:paraId="0E1EAE14" w14:textId="77777777" w:rsidR="00B801F4" w:rsidRPr="00B801F4" w:rsidRDefault="00B801F4" w:rsidP="00B801F4">
      <w:pPr>
        <w:tabs>
          <w:tab w:val="left" w:pos="993"/>
          <w:tab w:val="left" w:pos="1134"/>
        </w:tabs>
        <w:ind w:left="567"/>
        <w:jc w:val="left"/>
      </w:pPr>
      <w:r w:rsidRPr="00B801F4">
        <w:t>Pooled investment vehicles are valued at closing bid price if both bid and offer prices are published; or if single priced, at the closing single price.  In the case of pooled investment vehicles that are accumulation funds, change in market value also includes income which is reinvested in the Fund, net of applicable withholding tax.</w:t>
      </w:r>
    </w:p>
    <w:p w14:paraId="4A08F63A" w14:textId="77777777" w:rsidR="00B801F4" w:rsidRPr="00B801F4" w:rsidRDefault="00B801F4" w:rsidP="00B801F4">
      <w:pPr>
        <w:tabs>
          <w:tab w:val="left" w:pos="993"/>
          <w:tab w:val="left" w:pos="1134"/>
        </w:tabs>
        <w:ind w:left="567"/>
        <w:jc w:val="left"/>
      </w:pPr>
    </w:p>
    <w:p w14:paraId="54DAFB6A" w14:textId="77777777" w:rsidR="00B801F4" w:rsidRPr="00B801F4" w:rsidRDefault="00B801F4" w:rsidP="00B801F4">
      <w:pPr>
        <w:tabs>
          <w:tab w:val="left" w:pos="709"/>
          <w:tab w:val="left" w:pos="1134"/>
        </w:tabs>
        <w:autoSpaceDE/>
        <w:autoSpaceDN/>
        <w:adjustRightInd/>
        <w:spacing w:after="0"/>
        <w:ind w:left="567"/>
        <w:contextualSpacing/>
        <w:jc w:val="left"/>
      </w:pPr>
      <w:r w:rsidRPr="00B801F4">
        <w:rPr>
          <w:b/>
        </w:rPr>
        <w:t>3.3.7 Freehold and leasehold properties</w:t>
      </w:r>
    </w:p>
    <w:p w14:paraId="6FEC045F" w14:textId="77777777" w:rsidR="00B801F4" w:rsidRDefault="00B801F4" w:rsidP="00B801F4">
      <w:pPr>
        <w:tabs>
          <w:tab w:val="left" w:pos="1134"/>
        </w:tabs>
        <w:ind w:left="567"/>
        <w:contextualSpacing/>
        <w:jc w:val="left"/>
      </w:pPr>
      <w:r w:rsidRPr="00B801F4">
        <w:t>The properties were valued at open market value at 31 March 2015 by Simon Smith MRICS of independent valuers Cushman and Wakefield LLP in accordance with the Royal Institute of Chartered Surveyors' Valuation Standards (9</w:t>
      </w:r>
      <w:r w:rsidRPr="00B801F4">
        <w:rPr>
          <w:vertAlign w:val="superscript"/>
        </w:rPr>
        <w:t>th</w:t>
      </w:r>
      <w:r w:rsidRPr="00B801F4">
        <w:t xml:space="preserve"> Edition).  The valuer's opinion of market value and existing use value was primarily derived using comparable recent market transactions on arms-length terms.</w:t>
      </w:r>
    </w:p>
    <w:p w14:paraId="223F1FCC" w14:textId="77777777" w:rsidR="00792C96" w:rsidRPr="00B801F4" w:rsidRDefault="00792C96" w:rsidP="00B801F4">
      <w:pPr>
        <w:tabs>
          <w:tab w:val="left" w:pos="1134"/>
        </w:tabs>
        <w:ind w:left="567"/>
        <w:contextualSpacing/>
        <w:jc w:val="left"/>
      </w:pPr>
    </w:p>
    <w:p w14:paraId="4C709BCF" w14:textId="77777777" w:rsidR="00B801F4" w:rsidRPr="00B801F4" w:rsidRDefault="00B801F4" w:rsidP="00B801F4">
      <w:pPr>
        <w:tabs>
          <w:tab w:val="left" w:pos="1134"/>
        </w:tabs>
        <w:ind w:left="567"/>
        <w:contextualSpacing/>
        <w:jc w:val="left"/>
      </w:pPr>
    </w:p>
    <w:p w14:paraId="1716323D" w14:textId="77777777" w:rsidR="00B801F4" w:rsidRPr="00B801F4" w:rsidRDefault="00B801F4" w:rsidP="00B801F4">
      <w:pPr>
        <w:tabs>
          <w:tab w:val="left" w:pos="567"/>
        </w:tabs>
        <w:spacing w:after="0"/>
        <w:ind w:left="567"/>
        <w:jc w:val="left"/>
        <w:rPr>
          <w:b/>
        </w:rPr>
      </w:pPr>
      <w:r w:rsidRPr="00B801F4">
        <w:rPr>
          <w:b/>
        </w:rPr>
        <w:t>3.3.8 Acquisition costs of investments</w:t>
      </w:r>
    </w:p>
    <w:p w14:paraId="49920010" w14:textId="77777777" w:rsidR="00B801F4" w:rsidRPr="00B801F4" w:rsidRDefault="00B801F4" w:rsidP="00B801F4">
      <w:pPr>
        <w:tabs>
          <w:tab w:val="left" w:pos="567"/>
        </w:tabs>
        <w:ind w:left="567"/>
        <w:jc w:val="left"/>
      </w:pPr>
      <w:r w:rsidRPr="00B801F4">
        <w:t>The acquisition costs of investments are included within the purchase price.</w:t>
      </w:r>
    </w:p>
    <w:p w14:paraId="01193E9B" w14:textId="77777777" w:rsidR="00B801F4" w:rsidRPr="00B801F4" w:rsidRDefault="00B801F4" w:rsidP="00B801F4">
      <w:pPr>
        <w:tabs>
          <w:tab w:val="left" w:pos="567"/>
        </w:tabs>
        <w:ind w:left="567"/>
        <w:jc w:val="left"/>
      </w:pPr>
    </w:p>
    <w:p w14:paraId="40837D27" w14:textId="77777777" w:rsidR="00B801F4" w:rsidRPr="00B801F4" w:rsidRDefault="00B801F4" w:rsidP="00B801F4">
      <w:pPr>
        <w:tabs>
          <w:tab w:val="left" w:pos="567"/>
        </w:tabs>
        <w:spacing w:after="0"/>
        <w:ind w:left="567"/>
        <w:jc w:val="left"/>
        <w:rPr>
          <w:b/>
        </w:rPr>
      </w:pPr>
      <w:r w:rsidRPr="00B801F4">
        <w:rPr>
          <w:b/>
        </w:rPr>
        <w:t>3.3.9 Valuation of investments</w:t>
      </w:r>
    </w:p>
    <w:p w14:paraId="0F650788" w14:textId="77777777" w:rsidR="00B801F4" w:rsidRPr="00B801F4" w:rsidRDefault="00B801F4" w:rsidP="00B801F4">
      <w:pPr>
        <w:tabs>
          <w:tab w:val="left" w:pos="567"/>
        </w:tabs>
        <w:spacing w:after="0"/>
        <w:ind w:left="567"/>
        <w:jc w:val="left"/>
      </w:pPr>
      <w:r w:rsidRPr="00B801F4">
        <w:t>Investments are shown at their fair value as at 31 March 2015.  The fair value is the current bid price for quoted securities and unitised securities.</w:t>
      </w:r>
    </w:p>
    <w:p w14:paraId="31DE9A7D" w14:textId="77777777" w:rsidR="00B801F4" w:rsidRPr="00B801F4" w:rsidRDefault="00B801F4" w:rsidP="00B801F4">
      <w:pPr>
        <w:tabs>
          <w:tab w:val="left" w:pos="567"/>
        </w:tabs>
        <w:spacing w:after="0"/>
        <w:ind w:left="567"/>
        <w:jc w:val="left"/>
      </w:pPr>
    </w:p>
    <w:p w14:paraId="43D97C16" w14:textId="77777777" w:rsidR="00B801F4" w:rsidRPr="00B801F4" w:rsidRDefault="00B801F4" w:rsidP="00B801F4">
      <w:pPr>
        <w:tabs>
          <w:tab w:val="left" w:pos="567"/>
        </w:tabs>
        <w:spacing w:after="0"/>
        <w:ind w:left="567"/>
        <w:jc w:val="left"/>
      </w:pPr>
    </w:p>
    <w:p w14:paraId="097A2732" w14:textId="77777777" w:rsidR="00B801F4" w:rsidRPr="00B801F4" w:rsidRDefault="00B801F4" w:rsidP="00B801F4">
      <w:pPr>
        <w:tabs>
          <w:tab w:val="left" w:pos="567"/>
        </w:tabs>
        <w:spacing w:after="0"/>
        <w:ind w:left="567"/>
        <w:jc w:val="left"/>
        <w:rPr>
          <w:b/>
        </w:rPr>
      </w:pPr>
      <w:r w:rsidRPr="00B801F4">
        <w:rPr>
          <w:b/>
        </w:rPr>
        <w:t>3.3.10 Foreign currency transactions</w:t>
      </w:r>
    </w:p>
    <w:p w14:paraId="2E3E5C6B" w14:textId="77777777" w:rsidR="00B801F4" w:rsidRPr="00B801F4" w:rsidRDefault="00B801F4" w:rsidP="00B801F4">
      <w:pPr>
        <w:tabs>
          <w:tab w:val="left" w:pos="567"/>
        </w:tabs>
        <w:spacing w:after="0"/>
        <w:ind w:left="567"/>
        <w:jc w:val="left"/>
      </w:pPr>
      <w:r w:rsidRPr="00B801F4">
        <w:t>Dividends, interest and purchases and sales of investments in foreign currencies have been accounted for at the spot market rates at the date of transaction.  End-of-year spot market exchange rates are used to value cash balances held in foreign currency bank accounts, market values of overseas investments and purchases and sales outstanding at the end of the reporting period.  Any gains or losses are treated as part of a change in market value of investments.</w:t>
      </w:r>
    </w:p>
    <w:p w14:paraId="296C31A4" w14:textId="77777777" w:rsidR="00B801F4" w:rsidRPr="00B801F4" w:rsidRDefault="00B801F4" w:rsidP="00B801F4">
      <w:pPr>
        <w:tabs>
          <w:tab w:val="left" w:pos="567"/>
        </w:tabs>
        <w:ind w:left="567"/>
        <w:jc w:val="left"/>
      </w:pPr>
    </w:p>
    <w:p w14:paraId="36B91FF8" w14:textId="77777777" w:rsidR="00B801F4" w:rsidRPr="00B801F4" w:rsidRDefault="00B801F4" w:rsidP="00B801F4">
      <w:pPr>
        <w:spacing w:after="0"/>
        <w:ind w:left="567"/>
        <w:jc w:val="left"/>
        <w:rPr>
          <w:b/>
        </w:rPr>
      </w:pPr>
      <w:r w:rsidRPr="00B801F4">
        <w:rPr>
          <w:b/>
        </w:rPr>
        <w:t>3.3.11 Derivatives</w:t>
      </w:r>
    </w:p>
    <w:p w14:paraId="770C3A31" w14:textId="77777777" w:rsidR="00B801F4" w:rsidRPr="00B801F4" w:rsidRDefault="00B801F4" w:rsidP="00B801F4">
      <w:pPr>
        <w:tabs>
          <w:tab w:val="left" w:pos="851"/>
        </w:tabs>
        <w:spacing w:after="0"/>
        <w:ind w:left="567"/>
        <w:jc w:val="left"/>
      </w:pPr>
      <w:r w:rsidRPr="00B801F4">
        <w:t xml:space="preserve">The Fund uses derivative financial instruments to manage its exposure to specific risks arising from its investment activities.  The Fund does not hold derivatives for speculative purposes. </w:t>
      </w:r>
    </w:p>
    <w:p w14:paraId="2B21667C" w14:textId="77777777" w:rsidR="00B801F4" w:rsidRPr="00B801F4" w:rsidRDefault="00B801F4" w:rsidP="00B801F4">
      <w:pPr>
        <w:tabs>
          <w:tab w:val="left" w:pos="851"/>
        </w:tabs>
        <w:spacing w:after="0"/>
        <w:ind w:left="567"/>
        <w:jc w:val="left"/>
      </w:pPr>
    </w:p>
    <w:p w14:paraId="3B65601D" w14:textId="77777777" w:rsidR="00B801F4" w:rsidRPr="00B801F4" w:rsidRDefault="00B801F4" w:rsidP="00B801F4">
      <w:pPr>
        <w:tabs>
          <w:tab w:val="left" w:pos="851"/>
        </w:tabs>
        <w:spacing w:line="276" w:lineRule="auto"/>
        <w:ind w:left="567"/>
        <w:jc w:val="left"/>
      </w:pPr>
      <w:r w:rsidRPr="00B801F4">
        <w:t>Derivative contract assets are fair valued at bid prices and liabilities are fair valued at offer prices.  Changes in fair value of derivative contracts are included in change in market value.</w:t>
      </w:r>
    </w:p>
    <w:p w14:paraId="3B2513CC" w14:textId="77777777" w:rsidR="00B801F4" w:rsidRPr="00B801F4" w:rsidRDefault="00B801F4" w:rsidP="00B801F4">
      <w:pPr>
        <w:tabs>
          <w:tab w:val="left" w:pos="567"/>
        </w:tabs>
        <w:spacing w:line="276" w:lineRule="auto"/>
        <w:ind w:left="567"/>
        <w:jc w:val="left"/>
      </w:pPr>
      <w:r w:rsidRPr="00B801F4">
        <w:t>The future value of forward currency contracts is based on market forward exchange rates at the year-end date and determined as the gain or loss that would arise if the outstanding contract were matched at the year-end with an equal and opposite contract.</w:t>
      </w:r>
    </w:p>
    <w:p w14:paraId="18755C18" w14:textId="77777777" w:rsidR="00B801F4" w:rsidRPr="00B801F4" w:rsidRDefault="00B801F4" w:rsidP="00B801F4">
      <w:pPr>
        <w:tabs>
          <w:tab w:val="left" w:pos="567"/>
        </w:tabs>
        <w:spacing w:after="0"/>
        <w:ind w:left="567"/>
        <w:jc w:val="left"/>
        <w:rPr>
          <w:b/>
        </w:rPr>
      </w:pPr>
    </w:p>
    <w:p w14:paraId="695AB62B" w14:textId="77777777" w:rsidR="00B801F4" w:rsidRPr="00B801F4" w:rsidRDefault="00B801F4" w:rsidP="00B801F4">
      <w:pPr>
        <w:tabs>
          <w:tab w:val="left" w:pos="567"/>
        </w:tabs>
        <w:spacing w:after="0"/>
        <w:ind w:left="567"/>
        <w:jc w:val="left"/>
        <w:rPr>
          <w:b/>
        </w:rPr>
      </w:pPr>
      <w:r w:rsidRPr="00B801F4">
        <w:rPr>
          <w:b/>
        </w:rPr>
        <w:t>3.3.12 Loans and receivables</w:t>
      </w:r>
    </w:p>
    <w:p w14:paraId="580B8B54" w14:textId="77777777" w:rsidR="00B801F4" w:rsidRPr="00B801F4" w:rsidRDefault="00B801F4" w:rsidP="00B801F4">
      <w:pPr>
        <w:tabs>
          <w:tab w:val="left" w:pos="567"/>
        </w:tabs>
        <w:spacing w:after="0"/>
        <w:ind w:left="567"/>
        <w:jc w:val="left"/>
      </w:pPr>
      <w:r w:rsidRPr="00B801F4">
        <w:t>Loans and receivables are non-derivative financial assets with fixed or determinable payments that are not quoted in an active market.</w:t>
      </w:r>
    </w:p>
    <w:p w14:paraId="4DECEB15" w14:textId="77777777" w:rsidR="00B801F4" w:rsidRPr="00B801F4" w:rsidRDefault="00B801F4" w:rsidP="00B801F4">
      <w:pPr>
        <w:tabs>
          <w:tab w:val="left" w:pos="567"/>
        </w:tabs>
        <w:spacing w:after="0"/>
        <w:ind w:left="567"/>
        <w:jc w:val="left"/>
      </w:pPr>
    </w:p>
    <w:p w14:paraId="15036F1B" w14:textId="77777777" w:rsidR="00B801F4" w:rsidRDefault="00B801F4" w:rsidP="00B801F4">
      <w:pPr>
        <w:tabs>
          <w:tab w:val="left" w:pos="567"/>
        </w:tabs>
        <w:spacing w:after="0"/>
        <w:ind w:left="567"/>
        <w:jc w:val="left"/>
      </w:pPr>
      <w:r w:rsidRPr="00B801F4">
        <w:t>The Fund's loans and receivables comprise of trade and other receivables and cash deposits.</w:t>
      </w:r>
    </w:p>
    <w:p w14:paraId="6AB392C6" w14:textId="77777777" w:rsidR="00792C96" w:rsidRDefault="00792C96" w:rsidP="00B801F4">
      <w:pPr>
        <w:tabs>
          <w:tab w:val="left" w:pos="567"/>
        </w:tabs>
        <w:spacing w:after="0"/>
        <w:ind w:left="567"/>
        <w:jc w:val="left"/>
      </w:pPr>
    </w:p>
    <w:p w14:paraId="57035324" w14:textId="77777777" w:rsidR="00717919" w:rsidRPr="00B801F4" w:rsidRDefault="00717919" w:rsidP="00B801F4">
      <w:pPr>
        <w:tabs>
          <w:tab w:val="left" w:pos="567"/>
        </w:tabs>
        <w:spacing w:after="0"/>
        <w:ind w:left="567"/>
        <w:jc w:val="left"/>
      </w:pPr>
    </w:p>
    <w:p w14:paraId="3FCA168E" w14:textId="77777777" w:rsidR="00B801F4" w:rsidRPr="00B801F4" w:rsidRDefault="00B801F4" w:rsidP="00B801F4">
      <w:pPr>
        <w:tabs>
          <w:tab w:val="left" w:pos="567"/>
        </w:tabs>
        <w:spacing w:after="0"/>
        <w:ind w:left="567"/>
        <w:jc w:val="left"/>
        <w:rPr>
          <w:b/>
        </w:rPr>
      </w:pPr>
      <w:r w:rsidRPr="00B801F4">
        <w:rPr>
          <w:b/>
        </w:rPr>
        <w:t>3.3.13 Cash and cash equivalents</w:t>
      </w:r>
    </w:p>
    <w:p w14:paraId="46D024D2" w14:textId="77777777" w:rsidR="00B801F4" w:rsidRDefault="00B801F4" w:rsidP="00B801F4">
      <w:pPr>
        <w:tabs>
          <w:tab w:val="left" w:pos="567"/>
        </w:tabs>
        <w:spacing w:after="0"/>
        <w:ind w:left="567"/>
        <w:jc w:val="left"/>
      </w:pPr>
      <w:r w:rsidRPr="00B801F4">
        <w:t>Cash comprises of cash in hand and on demand deposits and includes amounts held by the Fund's external managers.</w:t>
      </w:r>
    </w:p>
    <w:p w14:paraId="0612A294" w14:textId="77777777" w:rsidR="00792C96" w:rsidRPr="00B801F4" w:rsidRDefault="00792C96" w:rsidP="00B801F4">
      <w:pPr>
        <w:tabs>
          <w:tab w:val="left" w:pos="567"/>
        </w:tabs>
        <w:spacing w:after="0"/>
        <w:ind w:left="567"/>
        <w:jc w:val="left"/>
      </w:pPr>
    </w:p>
    <w:p w14:paraId="3A2160F5" w14:textId="77777777" w:rsidR="00B801F4" w:rsidRPr="00B801F4" w:rsidRDefault="00B801F4" w:rsidP="00B801F4">
      <w:pPr>
        <w:tabs>
          <w:tab w:val="left" w:pos="567"/>
        </w:tabs>
        <w:ind w:left="567"/>
        <w:jc w:val="left"/>
      </w:pPr>
      <w:r w:rsidRPr="00B801F4">
        <w:t>Cash equivalents are short-term, highly liquid investments that are readily convertible to known amounts of cash and that are subject to minimal risk of changes in value.</w:t>
      </w:r>
    </w:p>
    <w:p w14:paraId="2D917A96" w14:textId="77777777" w:rsidR="00B801F4" w:rsidRPr="00B801F4" w:rsidRDefault="00B801F4" w:rsidP="00B801F4">
      <w:pPr>
        <w:tabs>
          <w:tab w:val="left" w:pos="567"/>
        </w:tabs>
        <w:ind w:left="567"/>
        <w:jc w:val="left"/>
      </w:pPr>
    </w:p>
    <w:p w14:paraId="41188F54" w14:textId="77777777" w:rsidR="00B801F4" w:rsidRPr="00B801F4" w:rsidRDefault="00B801F4" w:rsidP="00B801F4">
      <w:pPr>
        <w:tabs>
          <w:tab w:val="left" w:pos="567"/>
        </w:tabs>
        <w:spacing w:after="0"/>
        <w:ind w:left="567"/>
        <w:jc w:val="left"/>
        <w:rPr>
          <w:b/>
        </w:rPr>
      </w:pPr>
      <w:r w:rsidRPr="00B801F4">
        <w:rPr>
          <w:b/>
        </w:rPr>
        <w:t>3.3.14 Financial liabilities</w:t>
      </w:r>
    </w:p>
    <w:p w14:paraId="663F6440" w14:textId="77777777" w:rsidR="00B801F4" w:rsidRPr="00B801F4" w:rsidRDefault="00B801F4" w:rsidP="00B801F4">
      <w:pPr>
        <w:tabs>
          <w:tab w:val="left" w:pos="567"/>
        </w:tabs>
        <w:spacing w:after="0"/>
        <w:ind w:left="567"/>
        <w:jc w:val="left"/>
      </w:pPr>
      <w:r w:rsidRPr="00B801F4">
        <w:t>The Fund recognises financial liabilities at fair value at the reporting date. A financial liability is recognised in the net assets statement on the date the Fund becomes party to a liability.  From this date any gains or losses arising from changes in the fair value of the liability are recognised by the Fund.</w:t>
      </w:r>
    </w:p>
    <w:p w14:paraId="28F5EA2E" w14:textId="77777777" w:rsidR="00B801F4" w:rsidRPr="00B801F4" w:rsidRDefault="00B801F4" w:rsidP="00B801F4">
      <w:pPr>
        <w:tabs>
          <w:tab w:val="left" w:pos="567"/>
        </w:tabs>
        <w:ind w:left="567"/>
        <w:jc w:val="left"/>
      </w:pPr>
    </w:p>
    <w:p w14:paraId="7D25B502" w14:textId="77777777" w:rsidR="00B801F4" w:rsidRPr="00B801F4" w:rsidRDefault="00B801F4" w:rsidP="00B801F4">
      <w:pPr>
        <w:tabs>
          <w:tab w:val="left" w:pos="567"/>
        </w:tabs>
        <w:spacing w:after="0"/>
        <w:ind w:left="567"/>
        <w:jc w:val="left"/>
        <w:rPr>
          <w:b/>
        </w:rPr>
      </w:pPr>
      <w:r w:rsidRPr="00B801F4">
        <w:rPr>
          <w:b/>
        </w:rPr>
        <w:t>3.3.15 Financial liabilities at amortised cost</w:t>
      </w:r>
    </w:p>
    <w:p w14:paraId="2A9E06D0" w14:textId="77777777" w:rsidR="00B801F4" w:rsidRPr="00B801F4" w:rsidRDefault="00B801F4" w:rsidP="00B801F4">
      <w:pPr>
        <w:tabs>
          <w:tab w:val="left" w:pos="567"/>
        </w:tabs>
        <w:spacing w:after="0"/>
        <w:ind w:left="567"/>
        <w:jc w:val="left"/>
      </w:pPr>
      <w:r w:rsidRPr="00B801F4">
        <w:t>Financial liabilities at amortised cost are the default category for financial instruments that do not meet the definition of financial liabilities at fair value through profit or loss.</w:t>
      </w:r>
    </w:p>
    <w:p w14:paraId="0B78216C" w14:textId="77777777" w:rsidR="00B801F4" w:rsidRPr="00B801F4" w:rsidRDefault="00B801F4" w:rsidP="00B801F4">
      <w:pPr>
        <w:tabs>
          <w:tab w:val="left" w:pos="567"/>
        </w:tabs>
        <w:spacing w:after="0"/>
        <w:ind w:left="567"/>
        <w:jc w:val="left"/>
      </w:pPr>
    </w:p>
    <w:p w14:paraId="1AA6E721" w14:textId="77777777" w:rsidR="00B801F4" w:rsidRPr="00B801F4" w:rsidRDefault="00B801F4" w:rsidP="00B801F4">
      <w:pPr>
        <w:tabs>
          <w:tab w:val="left" w:pos="567"/>
        </w:tabs>
        <w:spacing w:after="0"/>
        <w:ind w:left="567"/>
        <w:jc w:val="left"/>
      </w:pPr>
    </w:p>
    <w:p w14:paraId="0FFDADFD" w14:textId="77777777" w:rsidR="00B801F4" w:rsidRPr="00B801F4" w:rsidRDefault="00B801F4" w:rsidP="00B801F4">
      <w:pPr>
        <w:tabs>
          <w:tab w:val="left" w:pos="567"/>
        </w:tabs>
        <w:spacing w:after="0"/>
        <w:ind w:left="567"/>
        <w:jc w:val="left"/>
        <w:rPr>
          <w:b/>
        </w:rPr>
      </w:pPr>
      <w:r w:rsidRPr="00B801F4">
        <w:rPr>
          <w:b/>
        </w:rPr>
        <w:t>3.3.16 Actuarial present value of promised retirement benefits</w:t>
      </w:r>
    </w:p>
    <w:p w14:paraId="120883F3" w14:textId="77777777" w:rsidR="00B801F4" w:rsidRPr="00B801F4" w:rsidRDefault="00B801F4" w:rsidP="00B801F4">
      <w:pPr>
        <w:tabs>
          <w:tab w:val="left" w:pos="567"/>
        </w:tabs>
        <w:spacing w:after="0"/>
        <w:ind w:left="567"/>
        <w:jc w:val="left"/>
      </w:pPr>
      <w:r w:rsidRPr="00B801F4">
        <w:t>The actuarial present value of promised retirement benefits is assessed on a triennial basis by the scheme actuary in accordance with the requirements of IAS19 and relevant actuarial standards.</w:t>
      </w:r>
    </w:p>
    <w:p w14:paraId="6BBACE3A" w14:textId="77777777" w:rsidR="00B801F4" w:rsidRPr="00B801F4" w:rsidRDefault="00B801F4" w:rsidP="00B801F4">
      <w:pPr>
        <w:tabs>
          <w:tab w:val="left" w:pos="567"/>
        </w:tabs>
        <w:spacing w:after="0"/>
        <w:ind w:left="567"/>
        <w:jc w:val="left"/>
      </w:pPr>
    </w:p>
    <w:p w14:paraId="788675D0" w14:textId="77777777" w:rsidR="00B801F4" w:rsidRPr="00B801F4" w:rsidRDefault="00B801F4" w:rsidP="00B801F4">
      <w:pPr>
        <w:tabs>
          <w:tab w:val="left" w:pos="567"/>
        </w:tabs>
        <w:ind w:left="567"/>
        <w:jc w:val="left"/>
      </w:pPr>
      <w:r w:rsidRPr="00B801F4">
        <w:t>As permitted under IAS 26 the Fund has opted to disclose the actuarial present value of promised retirement benefits by way of a note to the net asset statement (note 25).</w:t>
      </w:r>
    </w:p>
    <w:p w14:paraId="59629862" w14:textId="77777777" w:rsidR="00B801F4" w:rsidRPr="00B801F4" w:rsidRDefault="00B801F4" w:rsidP="00B801F4">
      <w:pPr>
        <w:tabs>
          <w:tab w:val="left" w:pos="567"/>
        </w:tabs>
        <w:ind w:left="567"/>
        <w:jc w:val="left"/>
      </w:pPr>
    </w:p>
    <w:p w14:paraId="367CD021" w14:textId="77777777" w:rsidR="00B801F4" w:rsidRPr="00B801F4" w:rsidRDefault="00B801F4" w:rsidP="00B801F4">
      <w:pPr>
        <w:tabs>
          <w:tab w:val="left" w:pos="567"/>
        </w:tabs>
        <w:spacing w:after="0"/>
        <w:ind w:left="567"/>
        <w:jc w:val="left"/>
        <w:rPr>
          <w:b/>
        </w:rPr>
      </w:pPr>
      <w:r w:rsidRPr="00B801F4">
        <w:rPr>
          <w:b/>
        </w:rPr>
        <w:t>3.3.17 Additional voluntary contributions</w:t>
      </w:r>
    </w:p>
    <w:p w14:paraId="6D49445F" w14:textId="77777777" w:rsidR="00B801F4" w:rsidRPr="00B801F4" w:rsidRDefault="00B801F4" w:rsidP="00B801F4">
      <w:pPr>
        <w:tabs>
          <w:tab w:val="left" w:pos="567"/>
        </w:tabs>
        <w:spacing w:after="0"/>
        <w:ind w:left="567"/>
        <w:jc w:val="left"/>
      </w:pPr>
      <w:r w:rsidRPr="00B801F4">
        <w:t>Lancashire County Pension Fund provides an additional voluntary contributions (AVC) scheme for its members, the assets of which are invested separately from those of the Pension Fund.  The AVC providers to the Pension Fund are Equitable Life and Prudential.  AVCs are paid to the AVC provider by employers and are specifically for providing additional benefits for individual contributors.  Each AVC contributor receives an annual statement showing the amount held in their account and the movements in the year.</w:t>
      </w:r>
    </w:p>
    <w:p w14:paraId="2ED0EE2B" w14:textId="77777777" w:rsidR="00B801F4" w:rsidRPr="00B801F4" w:rsidRDefault="00B801F4" w:rsidP="00B801F4">
      <w:pPr>
        <w:tabs>
          <w:tab w:val="left" w:pos="567"/>
        </w:tabs>
        <w:ind w:left="567"/>
        <w:jc w:val="left"/>
      </w:pPr>
    </w:p>
    <w:p w14:paraId="204DB2A0" w14:textId="77777777" w:rsidR="00B801F4" w:rsidRPr="00B801F4" w:rsidRDefault="00B801F4" w:rsidP="00B801F4">
      <w:pPr>
        <w:tabs>
          <w:tab w:val="left" w:pos="567"/>
        </w:tabs>
        <w:ind w:left="567"/>
        <w:jc w:val="left"/>
      </w:pPr>
      <w:r w:rsidRPr="00B801F4">
        <w:t>AVCs are not included in the Pension Fund accounts in accordance with section 4(2) (b) of the Local Government Pension Scheme (Management and Investment of Funds) Regulations 2009 (SI 2009/3093) but are disclosed as a note only (note 19).</w:t>
      </w:r>
    </w:p>
    <w:p w14:paraId="7CFCEF85" w14:textId="77777777" w:rsidR="003B3B64" w:rsidRPr="00B801F4" w:rsidRDefault="003B3B64" w:rsidP="00B801F4">
      <w:pPr>
        <w:tabs>
          <w:tab w:val="left" w:pos="567"/>
        </w:tabs>
        <w:ind w:left="567"/>
        <w:jc w:val="left"/>
      </w:pPr>
    </w:p>
    <w:p w14:paraId="7549AA2B" w14:textId="77777777" w:rsidR="00B801F4" w:rsidRPr="00B801F4" w:rsidRDefault="00B801F4" w:rsidP="00B801F4">
      <w:pPr>
        <w:tabs>
          <w:tab w:val="left" w:pos="567"/>
        </w:tabs>
        <w:ind w:left="567"/>
        <w:contextualSpacing/>
        <w:jc w:val="left"/>
        <w:rPr>
          <w:b/>
        </w:rPr>
      </w:pPr>
      <w:r w:rsidRPr="00B801F4">
        <w:rPr>
          <w:b/>
        </w:rPr>
        <w:t>3.3.18 Securities lending</w:t>
      </w:r>
    </w:p>
    <w:p w14:paraId="26122AC2" w14:textId="77777777" w:rsidR="00B801F4" w:rsidRPr="00B801F4" w:rsidRDefault="00B801F4" w:rsidP="00B801F4">
      <w:pPr>
        <w:tabs>
          <w:tab w:val="left" w:pos="567"/>
        </w:tabs>
        <w:ind w:left="567"/>
        <w:jc w:val="left"/>
      </w:pPr>
      <w:r w:rsidRPr="00B801F4">
        <w:t>Investments lent under securities lending arrangements continue to be recognised in the net assets statement to reflect the scheme's continuing economic interest in the securities and are measured in accordance with the accounting policy for assets 'at fair value through profit and loss' or 'available for sale' as appropriate.</w:t>
      </w:r>
    </w:p>
    <w:p w14:paraId="21FF2720" w14:textId="77777777" w:rsidR="00B801F4" w:rsidRPr="00B801F4" w:rsidRDefault="00B801F4" w:rsidP="00B801F4">
      <w:pPr>
        <w:tabs>
          <w:tab w:val="left" w:pos="567"/>
        </w:tabs>
        <w:ind w:left="567"/>
        <w:jc w:val="left"/>
      </w:pPr>
      <w:r w:rsidRPr="00B801F4">
        <w:t>Collateral is marked to market, and adjusted daily.  As the Fund has an obligation to return the collateral to the borrowers, collateral is excluded from the fund valuation.</w:t>
      </w:r>
    </w:p>
    <w:p w14:paraId="22523AFA" w14:textId="77777777" w:rsidR="00B801F4" w:rsidRPr="00B801F4" w:rsidRDefault="00B801F4" w:rsidP="00B801F4">
      <w:pPr>
        <w:tabs>
          <w:tab w:val="left" w:pos="567"/>
        </w:tabs>
        <w:ind w:left="567"/>
        <w:jc w:val="left"/>
        <w:rPr>
          <w:rFonts w:eastAsiaTheme="minorHAnsi" w:cstheme="minorBidi"/>
          <w:szCs w:val="22"/>
        </w:rPr>
      </w:pPr>
    </w:p>
    <w:p w14:paraId="47AD4F54" w14:textId="77777777" w:rsidR="00B801F4" w:rsidRPr="00B801F4" w:rsidRDefault="00B801F4" w:rsidP="00717919">
      <w:pPr>
        <w:numPr>
          <w:ilvl w:val="0"/>
          <w:numId w:val="72"/>
        </w:numPr>
        <w:tabs>
          <w:tab w:val="left" w:pos="567"/>
        </w:tabs>
        <w:autoSpaceDE/>
        <w:autoSpaceDN/>
        <w:adjustRightInd/>
        <w:spacing w:after="0"/>
        <w:ind w:left="0" w:firstLine="0"/>
        <w:jc w:val="left"/>
        <w:rPr>
          <w:rFonts w:eastAsiaTheme="minorHAnsi" w:cstheme="minorBidi"/>
          <w:sz w:val="32"/>
          <w:szCs w:val="32"/>
        </w:rPr>
      </w:pPr>
      <w:r w:rsidRPr="00B801F4">
        <w:rPr>
          <w:rFonts w:eastAsiaTheme="minorHAnsi" w:cstheme="minorBidi"/>
          <w:b/>
          <w:sz w:val="32"/>
          <w:szCs w:val="32"/>
        </w:rPr>
        <w:t>Critical judgements in applying accounting policies</w:t>
      </w:r>
    </w:p>
    <w:p w14:paraId="5EC9206E" w14:textId="77777777" w:rsidR="00B801F4" w:rsidRPr="00B801F4" w:rsidRDefault="00B801F4" w:rsidP="00B801F4">
      <w:pPr>
        <w:jc w:val="left"/>
        <w:rPr>
          <w:sz w:val="32"/>
          <w:szCs w:val="32"/>
          <w:lang w:eastAsia="en-GB"/>
        </w:rPr>
      </w:pPr>
    </w:p>
    <w:p w14:paraId="64EE10C6" w14:textId="77777777" w:rsidR="00B801F4" w:rsidRPr="00B801F4" w:rsidRDefault="00B801F4" w:rsidP="00B801F4">
      <w:pPr>
        <w:tabs>
          <w:tab w:val="left" w:pos="567"/>
        </w:tabs>
        <w:spacing w:after="0"/>
        <w:ind w:left="567"/>
        <w:jc w:val="left"/>
        <w:rPr>
          <w:rFonts w:eastAsiaTheme="minorHAnsi" w:cstheme="minorBidi"/>
          <w:szCs w:val="22"/>
        </w:rPr>
      </w:pPr>
      <w:r w:rsidRPr="00B801F4">
        <w:rPr>
          <w:rFonts w:eastAsiaTheme="minorHAnsi" w:cstheme="minorBidi"/>
          <w:b/>
          <w:szCs w:val="22"/>
        </w:rPr>
        <w:t>4.1 Unquoted private equity and infrastructure investments</w:t>
      </w:r>
    </w:p>
    <w:p w14:paraId="1C065C97" w14:textId="77777777" w:rsidR="00B801F4" w:rsidRPr="00B801F4" w:rsidRDefault="00B801F4" w:rsidP="00B801F4">
      <w:pPr>
        <w:tabs>
          <w:tab w:val="left" w:pos="567"/>
        </w:tabs>
        <w:ind w:left="567"/>
        <w:jc w:val="left"/>
        <w:rPr>
          <w:rFonts w:eastAsiaTheme="minorHAnsi" w:cstheme="minorBidi"/>
          <w:szCs w:val="22"/>
        </w:rPr>
      </w:pPr>
      <w:r w:rsidRPr="00B801F4">
        <w:rPr>
          <w:rFonts w:eastAsiaTheme="minorHAnsi" w:cstheme="minorBidi"/>
          <w:szCs w:val="22"/>
        </w:rPr>
        <w:t>It is important to recognise the highly subjective nature of determining the fair value of private equity and infrastructure investments.  They are inherently based on forward looking estimates and judgements involving many factors.  Unquoted private equities and infrastructure investments are valued by the investment managers using guidelines set out by the British Venture Capital Association.</w:t>
      </w:r>
    </w:p>
    <w:p w14:paraId="3B1ACC78" w14:textId="77777777" w:rsidR="00B801F4" w:rsidRPr="00B801F4" w:rsidRDefault="00B801F4" w:rsidP="00B801F4">
      <w:pPr>
        <w:tabs>
          <w:tab w:val="left" w:pos="567"/>
        </w:tabs>
        <w:spacing w:after="0"/>
        <w:ind w:left="567"/>
        <w:jc w:val="left"/>
        <w:rPr>
          <w:rFonts w:eastAsiaTheme="minorHAnsi" w:cstheme="minorBidi"/>
          <w:szCs w:val="22"/>
        </w:rPr>
      </w:pPr>
    </w:p>
    <w:p w14:paraId="0E22F99A" w14:textId="77777777" w:rsidR="00B801F4" w:rsidRPr="00B801F4" w:rsidRDefault="00B801F4" w:rsidP="00B801F4">
      <w:pPr>
        <w:tabs>
          <w:tab w:val="left" w:pos="567"/>
        </w:tabs>
        <w:spacing w:after="0"/>
        <w:ind w:left="567"/>
        <w:jc w:val="left"/>
        <w:rPr>
          <w:rFonts w:eastAsiaTheme="minorHAnsi" w:cstheme="minorBidi"/>
          <w:szCs w:val="22"/>
        </w:rPr>
      </w:pPr>
      <w:r w:rsidRPr="00B801F4">
        <w:rPr>
          <w:rFonts w:eastAsiaTheme="minorHAnsi" w:cstheme="minorBidi"/>
          <w:b/>
          <w:szCs w:val="22"/>
        </w:rPr>
        <w:t xml:space="preserve">4.2  </w:t>
      </w:r>
      <w:r w:rsidRPr="00B801F4">
        <w:rPr>
          <w:rFonts w:eastAsiaTheme="minorHAnsi" w:cstheme="minorBidi"/>
          <w:szCs w:val="22"/>
        </w:rPr>
        <w:t xml:space="preserve"> </w:t>
      </w:r>
      <w:r w:rsidRPr="00B801F4">
        <w:rPr>
          <w:rFonts w:eastAsiaTheme="minorHAnsi" w:cstheme="minorBidi"/>
          <w:b/>
          <w:szCs w:val="22"/>
        </w:rPr>
        <w:t>Pension Fund liability</w:t>
      </w:r>
    </w:p>
    <w:p w14:paraId="6ECE52E6" w14:textId="77777777" w:rsidR="00B801F4" w:rsidRPr="00B801F4" w:rsidRDefault="00B801F4" w:rsidP="00B801F4">
      <w:pPr>
        <w:tabs>
          <w:tab w:val="left" w:pos="567"/>
        </w:tabs>
        <w:ind w:left="567"/>
        <w:jc w:val="left"/>
        <w:rPr>
          <w:rFonts w:eastAsiaTheme="minorHAnsi" w:cstheme="minorBidi"/>
          <w:szCs w:val="22"/>
        </w:rPr>
      </w:pPr>
      <w:r w:rsidRPr="00B801F4">
        <w:rPr>
          <w:rFonts w:eastAsiaTheme="minorHAnsi" w:cstheme="minorBidi"/>
          <w:szCs w:val="22"/>
        </w:rPr>
        <w:t>The Pension Fund liability is calculated every three years by the appointed actuary, with annual updates in the intervening years.  The methodology used is in line with accepted guidelines and in accordance with IAS19.  Assumptions underpinning the valuations are agreed with the actuary and are summarised in note 24.  This estimate is subject to significant variances based on changes to the underlying assumptions.</w:t>
      </w:r>
    </w:p>
    <w:p w14:paraId="7C4F261B" w14:textId="77777777" w:rsidR="00B801F4" w:rsidRPr="00B801F4" w:rsidRDefault="00B801F4" w:rsidP="00B801F4">
      <w:pPr>
        <w:jc w:val="left"/>
        <w:rPr>
          <w:lang w:eastAsia="en-GB"/>
        </w:rPr>
      </w:pPr>
    </w:p>
    <w:p w14:paraId="0375D106" w14:textId="77777777" w:rsidR="00B801F4" w:rsidRPr="00B801F4" w:rsidRDefault="00B801F4" w:rsidP="00B801F4">
      <w:pPr>
        <w:jc w:val="left"/>
        <w:rPr>
          <w:lang w:eastAsia="en-GB"/>
        </w:rPr>
      </w:pPr>
    </w:p>
    <w:p w14:paraId="59E0865B" w14:textId="77777777" w:rsidR="00B801F4" w:rsidRPr="00B801F4" w:rsidRDefault="00B801F4" w:rsidP="00717919">
      <w:pPr>
        <w:numPr>
          <w:ilvl w:val="0"/>
          <w:numId w:val="73"/>
        </w:numPr>
        <w:tabs>
          <w:tab w:val="num" w:pos="567"/>
        </w:tabs>
        <w:autoSpaceDE/>
        <w:autoSpaceDN/>
        <w:adjustRightInd/>
        <w:spacing w:after="0"/>
        <w:ind w:left="567" w:hanging="567"/>
        <w:jc w:val="left"/>
        <w:rPr>
          <w:b/>
          <w:sz w:val="32"/>
          <w:szCs w:val="32"/>
        </w:rPr>
      </w:pPr>
      <w:r w:rsidRPr="00B801F4">
        <w:rPr>
          <w:b/>
          <w:sz w:val="32"/>
          <w:szCs w:val="32"/>
        </w:rPr>
        <w:t>Assumptions made about the future and other major sources of estimation uncertainty</w:t>
      </w:r>
    </w:p>
    <w:p w14:paraId="158F2D39" w14:textId="77777777" w:rsidR="00B801F4" w:rsidRPr="00B801F4" w:rsidRDefault="00B801F4" w:rsidP="00B801F4">
      <w:pPr>
        <w:ind w:left="709"/>
        <w:jc w:val="left"/>
        <w:rPr>
          <w:b/>
          <w:sz w:val="32"/>
          <w:szCs w:val="32"/>
        </w:rPr>
      </w:pPr>
    </w:p>
    <w:p w14:paraId="30C6A738" w14:textId="77777777" w:rsidR="00B801F4" w:rsidRPr="00B801F4" w:rsidRDefault="00B801F4" w:rsidP="00B801F4">
      <w:pPr>
        <w:tabs>
          <w:tab w:val="left" w:pos="709"/>
        </w:tabs>
        <w:ind w:left="567"/>
        <w:jc w:val="left"/>
      </w:pPr>
      <w:r w:rsidRPr="00B801F4">
        <w:t>The preparation of financial statements requires management to make judgements, estimates and assumptions that affect the amounts reported for assets and liabilities at the net assets statement date and the amounts reported for the revenues and expenses during the year. Estimates and assumptions are made taking into account historical experience, current trends and other relevant factors.  However, the nature of estimation means that actual outcomes could be materially different from the assumptions and estimates.</w:t>
      </w:r>
    </w:p>
    <w:p w14:paraId="5009DC12" w14:textId="77777777" w:rsidR="00B801F4" w:rsidRPr="00B801F4" w:rsidRDefault="00B801F4" w:rsidP="00B801F4">
      <w:pPr>
        <w:tabs>
          <w:tab w:val="left" w:pos="709"/>
        </w:tabs>
        <w:ind w:left="567"/>
        <w:jc w:val="left"/>
      </w:pPr>
    </w:p>
    <w:p w14:paraId="254C7861" w14:textId="77777777" w:rsidR="00B801F4" w:rsidRDefault="00B801F4" w:rsidP="00B801F4">
      <w:pPr>
        <w:tabs>
          <w:tab w:val="left" w:pos="851"/>
        </w:tabs>
        <w:ind w:left="567"/>
        <w:jc w:val="left"/>
      </w:pPr>
      <w:r w:rsidRPr="00B801F4">
        <w:t>The items in the Pension Fund's net assets statement at 31 March 2015 for which there is a significant risk of material adjustment in the forthcoming year are as follows:</w:t>
      </w:r>
    </w:p>
    <w:p w14:paraId="6C0D9557" w14:textId="77777777" w:rsidR="00792C96" w:rsidRDefault="00792C96" w:rsidP="00B801F4">
      <w:pPr>
        <w:tabs>
          <w:tab w:val="left" w:pos="851"/>
        </w:tabs>
        <w:ind w:left="567"/>
        <w:jc w:val="left"/>
      </w:pPr>
    </w:p>
    <w:p w14:paraId="60271B25" w14:textId="77777777" w:rsidR="00792C96" w:rsidRDefault="00792C96" w:rsidP="00B801F4">
      <w:pPr>
        <w:tabs>
          <w:tab w:val="left" w:pos="851"/>
        </w:tabs>
        <w:ind w:left="567"/>
        <w:jc w:val="left"/>
      </w:pPr>
    </w:p>
    <w:p w14:paraId="5749540D" w14:textId="77777777" w:rsidR="00792C96" w:rsidRPr="00B801F4" w:rsidRDefault="00792C96" w:rsidP="00B801F4">
      <w:pPr>
        <w:tabs>
          <w:tab w:val="left" w:pos="851"/>
        </w:tabs>
        <w:ind w:left="567"/>
        <w:jc w:val="left"/>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4078"/>
        <w:gridCol w:w="4041"/>
      </w:tblGrid>
      <w:tr w:rsidR="00B801F4" w:rsidRPr="00B801F4" w14:paraId="2CD1B3E5" w14:textId="77777777" w:rsidTr="00B801F4">
        <w:tc>
          <w:tcPr>
            <w:tcW w:w="1662" w:type="dxa"/>
            <w:shd w:val="clear" w:color="auto" w:fill="C5E0B3" w:themeFill="accent6" w:themeFillTint="66"/>
          </w:tcPr>
          <w:p w14:paraId="01B2F2EA" w14:textId="77777777" w:rsidR="00B801F4" w:rsidRPr="00B801F4" w:rsidRDefault="00B801F4" w:rsidP="00B801F4">
            <w:pPr>
              <w:jc w:val="left"/>
              <w:rPr>
                <w:b/>
              </w:rPr>
            </w:pPr>
            <w:r w:rsidRPr="00B801F4">
              <w:rPr>
                <w:b/>
              </w:rPr>
              <w:t>Item</w:t>
            </w:r>
          </w:p>
        </w:tc>
        <w:tc>
          <w:tcPr>
            <w:tcW w:w="0" w:type="auto"/>
            <w:shd w:val="clear" w:color="auto" w:fill="C5E0B3" w:themeFill="accent6" w:themeFillTint="66"/>
          </w:tcPr>
          <w:p w14:paraId="491DAE09" w14:textId="77777777" w:rsidR="00B801F4" w:rsidRPr="00B801F4" w:rsidRDefault="00B801F4" w:rsidP="00B801F4">
            <w:pPr>
              <w:jc w:val="left"/>
              <w:rPr>
                <w:b/>
              </w:rPr>
            </w:pPr>
            <w:r w:rsidRPr="00B801F4">
              <w:rPr>
                <w:b/>
              </w:rPr>
              <w:t>Uncertainties</w:t>
            </w:r>
          </w:p>
        </w:tc>
        <w:tc>
          <w:tcPr>
            <w:tcW w:w="0" w:type="auto"/>
            <w:shd w:val="clear" w:color="auto" w:fill="C5E0B3" w:themeFill="accent6" w:themeFillTint="66"/>
          </w:tcPr>
          <w:p w14:paraId="12AA5D80" w14:textId="77777777" w:rsidR="00B801F4" w:rsidRPr="00B801F4" w:rsidRDefault="00B801F4" w:rsidP="00B801F4">
            <w:pPr>
              <w:jc w:val="left"/>
              <w:rPr>
                <w:b/>
              </w:rPr>
            </w:pPr>
            <w:r w:rsidRPr="00B801F4">
              <w:rPr>
                <w:b/>
              </w:rPr>
              <w:t>Impact if actual results differ from assumptions</w:t>
            </w:r>
          </w:p>
        </w:tc>
      </w:tr>
      <w:tr w:rsidR="00B801F4" w:rsidRPr="00B801F4" w14:paraId="29BF2D1E" w14:textId="77777777" w:rsidTr="00B801F4">
        <w:trPr>
          <w:trHeight w:val="2088"/>
        </w:trPr>
        <w:tc>
          <w:tcPr>
            <w:tcW w:w="1662" w:type="dxa"/>
            <w:shd w:val="clear" w:color="auto" w:fill="E2EFD9" w:themeFill="accent6" w:themeFillTint="33"/>
          </w:tcPr>
          <w:p w14:paraId="03EF1B1B" w14:textId="77777777" w:rsidR="00B801F4" w:rsidRPr="00B801F4" w:rsidRDefault="00B801F4" w:rsidP="00B801F4">
            <w:pPr>
              <w:jc w:val="left"/>
              <w:rPr>
                <w:sz w:val="22"/>
                <w:szCs w:val="22"/>
              </w:rPr>
            </w:pPr>
            <w:r w:rsidRPr="00B801F4">
              <w:rPr>
                <w:sz w:val="22"/>
                <w:szCs w:val="22"/>
              </w:rPr>
              <w:t xml:space="preserve">Private equity and infrastructure investments. </w:t>
            </w:r>
          </w:p>
          <w:p w14:paraId="06EF9628" w14:textId="77777777" w:rsidR="00B801F4" w:rsidRPr="00B801F4" w:rsidRDefault="00B801F4" w:rsidP="00B801F4">
            <w:pPr>
              <w:jc w:val="left"/>
              <w:rPr>
                <w:sz w:val="22"/>
                <w:szCs w:val="22"/>
              </w:rPr>
            </w:pPr>
          </w:p>
        </w:tc>
        <w:tc>
          <w:tcPr>
            <w:tcW w:w="0" w:type="auto"/>
            <w:shd w:val="clear" w:color="auto" w:fill="E2EFD9" w:themeFill="accent6" w:themeFillTint="33"/>
          </w:tcPr>
          <w:p w14:paraId="30602A9D" w14:textId="77777777" w:rsidR="00B801F4" w:rsidRPr="00B801F4" w:rsidRDefault="00B801F4" w:rsidP="00B801F4">
            <w:pPr>
              <w:jc w:val="left"/>
              <w:rPr>
                <w:sz w:val="22"/>
                <w:szCs w:val="22"/>
              </w:rPr>
            </w:pPr>
            <w:r w:rsidRPr="00B801F4">
              <w:rPr>
                <w:sz w:val="22"/>
                <w:szCs w:val="22"/>
              </w:rPr>
              <w:t>Private equity and infrastructure investments are valued at fair value in accordance with British Private Equity and Venture Capital Association guidelines / International Private Equity and Venture Capital Valuation guidelines or equivalent. These investments are not publicly listed and as such there is a degree of estimation involved in the valuation.</w:t>
            </w:r>
          </w:p>
        </w:tc>
        <w:tc>
          <w:tcPr>
            <w:tcW w:w="0" w:type="auto"/>
            <w:shd w:val="clear" w:color="auto" w:fill="E2EFD9" w:themeFill="accent6" w:themeFillTint="33"/>
          </w:tcPr>
          <w:p w14:paraId="744F97B5" w14:textId="77777777" w:rsidR="00B801F4" w:rsidRPr="00B801F4" w:rsidRDefault="00B801F4" w:rsidP="00B801F4">
            <w:pPr>
              <w:jc w:val="left"/>
              <w:rPr>
                <w:sz w:val="22"/>
                <w:szCs w:val="22"/>
              </w:rPr>
            </w:pPr>
            <w:r w:rsidRPr="00B801F4">
              <w:rPr>
                <w:sz w:val="22"/>
                <w:szCs w:val="22"/>
              </w:rPr>
              <w:t>The market value of private equity and infrastructure investments in the financial statements totals £601.2m.</w:t>
            </w:r>
          </w:p>
          <w:p w14:paraId="2C7BF051" w14:textId="77777777" w:rsidR="00B801F4" w:rsidRPr="00B801F4" w:rsidRDefault="00B801F4" w:rsidP="00B801F4">
            <w:pPr>
              <w:jc w:val="left"/>
              <w:rPr>
                <w:sz w:val="22"/>
                <w:szCs w:val="22"/>
              </w:rPr>
            </w:pPr>
            <w:r w:rsidRPr="00B801F4">
              <w:rPr>
                <w:sz w:val="22"/>
                <w:szCs w:val="22"/>
              </w:rPr>
              <w:t>There is a risk that these investments might be under or overstated in the accounts.</w:t>
            </w:r>
          </w:p>
        </w:tc>
      </w:tr>
      <w:tr w:rsidR="00B801F4" w:rsidRPr="00B801F4" w14:paraId="600806F6" w14:textId="77777777" w:rsidTr="00B801F4">
        <w:trPr>
          <w:trHeight w:val="1431"/>
        </w:trPr>
        <w:tc>
          <w:tcPr>
            <w:tcW w:w="1662" w:type="dxa"/>
            <w:shd w:val="clear" w:color="auto" w:fill="E2EFD9" w:themeFill="accent6" w:themeFillTint="33"/>
          </w:tcPr>
          <w:p w14:paraId="26329BA3" w14:textId="77777777" w:rsidR="00B801F4" w:rsidRPr="00B801F4" w:rsidRDefault="00B801F4" w:rsidP="00B801F4">
            <w:pPr>
              <w:jc w:val="left"/>
              <w:rPr>
                <w:sz w:val="22"/>
                <w:szCs w:val="22"/>
              </w:rPr>
            </w:pPr>
            <w:r w:rsidRPr="00B801F4">
              <w:rPr>
                <w:sz w:val="22"/>
                <w:szCs w:val="22"/>
              </w:rPr>
              <w:t>Long-term credit investments</w:t>
            </w:r>
          </w:p>
        </w:tc>
        <w:tc>
          <w:tcPr>
            <w:tcW w:w="0" w:type="auto"/>
            <w:shd w:val="clear" w:color="auto" w:fill="E2EFD9" w:themeFill="accent6" w:themeFillTint="33"/>
          </w:tcPr>
          <w:p w14:paraId="7E89777B" w14:textId="77777777" w:rsidR="00B801F4" w:rsidRPr="00B801F4" w:rsidRDefault="00B801F4" w:rsidP="00B801F4">
            <w:pPr>
              <w:jc w:val="left"/>
              <w:rPr>
                <w:sz w:val="22"/>
                <w:szCs w:val="22"/>
              </w:rPr>
            </w:pPr>
            <w:r w:rsidRPr="00B801F4">
              <w:rPr>
                <w:sz w:val="22"/>
                <w:szCs w:val="22"/>
              </w:rPr>
              <w:t>Long-term credit investments are valued as the Fund's percentage share of the independently audited Net Asset Value of each individual strategy as provided by the relevant manager.  In some cases the underlying investments will comprise level three assets whose valuations involve a degree of management judgement.</w:t>
            </w:r>
          </w:p>
        </w:tc>
        <w:tc>
          <w:tcPr>
            <w:tcW w:w="0" w:type="auto"/>
            <w:shd w:val="clear" w:color="auto" w:fill="E2EFD9" w:themeFill="accent6" w:themeFillTint="33"/>
          </w:tcPr>
          <w:p w14:paraId="7AB99D85" w14:textId="77777777" w:rsidR="00B801F4" w:rsidRPr="00B801F4" w:rsidRDefault="00B801F4" w:rsidP="00B801F4">
            <w:pPr>
              <w:jc w:val="left"/>
              <w:rPr>
                <w:sz w:val="22"/>
                <w:szCs w:val="22"/>
              </w:rPr>
            </w:pPr>
            <w:r w:rsidRPr="00B801F4">
              <w:rPr>
                <w:sz w:val="22"/>
                <w:szCs w:val="22"/>
              </w:rPr>
              <w:t xml:space="preserve">The market value of long-term credit investments in the financial statements totals £1,236.0m.  </w:t>
            </w:r>
          </w:p>
          <w:p w14:paraId="3DDCF0A0" w14:textId="77777777" w:rsidR="00B801F4" w:rsidRPr="00B801F4" w:rsidRDefault="00B801F4" w:rsidP="00B801F4">
            <w:pPr>
              <w:jc w:val="left"/>
              <w:rPr>
                <w:sz w:val="22"/>
                <w:szCs w:val="22"/>
              </w:rPr>
            </w:pPr>
            <w:r w:rsidRPr="00B801F4">
              <w:rPr>
                <w:sz w:val="22"/>
                <w:szCs w:val="22"/>
              </w:rPr>
              <w:t>There is a risk that these investments might be under or overstated in the accounts.</w:t>
            </w:r>
          </w:p>
        </w:tc>
      </w:tr>
      <w:tr w:rsidR="00B801F4" w:rsidRPr="00B801F4" w14:paraId="78CA7E54" w14:textId="77777777" w:rsidTr="00B801F4">
        <w:trPr>
          <w:trHeight w:val="1431"/>
        </w:trPr>
        <w:tc>
          <w:tcPr>
            <w:tcW w:w="1662" w:type="dxa"/>
            <w:shd w:val="clear" w:color="auto" w:fill="E2EFD9" w:themeFill="accent6" w:themeFillTint="33"/>
          </w:tcPr>
          <w:p w14:paraId="2EFFE73B" w14:textId="77777777" w:rsidR="00B801F4" w:rsidRPr="00B801F4" w:rsidRDefault="00B801F4" w:rsidP="00B801F4">
            <w:pPr>
              <w:jc w:val="left"/>
              <w:rPr>
                <w:sz w:val="22"/>
                <w:szCs w:val="22"/>
              </w:rPr>
            </w:pPr>
            <w:r w:rsidRPr="00B801F4">
              <w:rPr>
                <w:sz w:val="22"/>
                <w:szCs w:val="22"/>
              </w:rPr>
              <w:t>Bonds secured on affordable housing assets.</w:t>
            </w:r>
          </w:p>
          <w:p w14:paraId="2A569070" w14:textId="77777777" w:rsidR="00B801F4" w:rsidRPr="00B801F4" w:rsidRDefault="00B801F4" w:rsidP="00B801F4">
            <w:pPr>
              <w:jc w:val="left"/>
              <w:rPr>
                <w:sz w:val="22"/>
                <w:szCs w:val="22"/>
              </w:rPr>
            </w:pPr>
            <w:r w:rsidRPr="00B801F4">
              <w:rPr>
                <w:sz w:val="22"/>
                <w:szCs w:val="22"/>
              </w:rPr>
              <w:t xml:space="preserve"> </w:t>
            </w:r>
          </w:p>
        </w:tc>
        <w:tc>
          <w:tcPr>
            <w:tcW w:w="0" w:type="auto"/>
            <w:shd w:val="clear" w:color="auto" w:fill="E2EFD9" w:themeFill="accent6" w:themeFillTint="33"/>
          </w:tcPr>
          <w:p w14:paraId="55EFCF89" w14:textId="77777777" w:rsidR="00B801F4" w:rsidRPr="00B801F4" w:rsidRDefault="00B801F4" w:rsidP="00B801F4">
            <w:pPr>
              <w:jc w:val="left"/>
              <w:rPr>
                <w:sz w:val="22"/>
                <w:szCs w:val="22"/>
              </w:rPr>
            </w:pPr>
            <w:r w:rsidRPr="00B801F4">
              <w:rPr>
                <w:sz w:val="22"/>
                <w:szCs w:val="22"/>
              </w:rPr>
              <w:t xml:space="preserve">The bonds are held at the best estimate of market value.  The value is based on long term expectations of interest rates, inflation and credit spreads in the housing association sector. Exact market benchmarks for these estimates may not be easily observable.  </w:t>
            </w:r>
          </w:p>
        </w:tc>
        <w:tc>
          <w:tcPr>
            <w:tcW w:w="0" w:type="auto"/>
            <w:shd w:val="clear" w:color="auto" w:fill="E2EFD9" w:themeFill="accent6" w:themeFillTint="33"/>
          </w:tcPr>
          <w:p w14:paraId="6BF9931C" w14:textId="77777777" w:rsidR="00B801F4" w:rsidRPr="00B801F4" w:rsidRDefault="00B801F4" w:rsidP="00B801F4">
            <w:pPr>
              <w:jc w:val="left"/>
              <w:rPr>
                <w:sz w:val="22"/>
                <w:szCs w:val="22"/>
              </w:rPr>
            </w:pPr>
            <w:r w:rsidRPr="00B801F4">
              <w:rPr>
                <w:sz w:val="22"/>
                <w:szCs w:val="22"/>
              </w:rPr>
              <w:t>The market value of housing authority bonds totals £42.6m in the financial statements.</w:t>
            </w:r>
          </w:p>
          <w:p w14:paraId="608D78EE" w14:textId="77777777" w:rsidR="00B801F4" w:rsidRPr="00B801F4" w:rsidRDefault="00B801F4" w:rsidP="00B801F4">
            <w:pPr>
              <w:jc w:val="left"/>
              <w:rPr>
                <w:sz w:val="22"/>
                <w:szCs w:val="22"/>
              </w:rPr>
            </w:pPr>
            <w:r w:rsidRPr="00B801F4">
              <w:rPr>
                <w:sz w:val="22"/>
                <w:szCs w:val="22"/>
              </w:rPr>
              <w:t>There is a risk that this may be under or overstated.</w:t>
            </w:r>
          </w:p>
          <w:p w14:paraId="2E6521B2" w14:textId="77777777" w:rsidR="00B801F4" w:rsidRPr="00B801F4" w:rsidRDefault="00B801F4" w:rsidP="00B801F4">
            <w:pPr>
              <w:jc w:val="left"/>
              <w:rPr>
                <w:sz w:val="22"/>
                <w:szCs w:val="22"/>
                <w:highlight w:val="yellow"/>
              </w:rPr>
            </w:pPr>
          </w:p>
        </w:tc>
      </w:tr>
      <w:tr w:rsidR="00B801F4" w:rsidRPr="00B801F4" w14:paraId="0BD4B72B" w14:textId="77777777" w:rsidTr="00B801F4">
        <w:trPr>
          <w:trHeight w:val="2088"/>
        </w:trPr>
        <w:tc>
          <w:tcPr>
            <w:tcW w:w="1662" w:type="dxa"/>
            <w:shd w:val="clear" w:color="auto" w:fill="E2EFD9" w:themeFill="accent6" w:themeFillTint="33"/>
          </w:tcPr>
          <w:p w14:paraId="0B5D6676" w14:textId="77777777" w:rsidR="00B801F4" w:rsidRPr="00B801F4" w:rsidRDefault="00B801F4" w:rsidP="00B801F4">
            <w:pPr>
              <w:jc w:val="left"/>
              <w:rPr>
                <w:sz w:val="22"/>
                <w:szCs w:val="22"/>
                <w:highlight w:val="yellow"/>
              </w:rPr>
            </w:pPr>
            <w:r w:rsidRPr="00B801F4">
              <w:rPr>
                <w:sz w:val="22"/>
                <w:szCs w:val="22"/>
              </w:rPr>
              <w:t>Indirect property valuations.</w:t>
            </w:r>
          </w:p>
        </w:tc>
        <w:tc>
          <w:tcPr>
            <w:tcW w:w="0" w:type="auto"/>
            <w:shd w:val="clear" w:color="auto" w:fill="E2EFD9" w:themeFill="accent6" w:themeFillTint="33"/>
          </w:tcPr>
          <w:p w14:paraId="19307FC8" w14:textId="77777777" w:rsidR="00B801F4" w:rsidRPr="00B801F4" w:rsidRDefault="00B801F4" w:rsidP="00B801F4">
            <w:pPr>
              <w:jc w:val="left"/>
              <w:rPr>
                <w:sz w:val="22"/>
                <w:szCs w:val="22"/>
                <w:highlight w:val="yellow"/>
              </w:rPr>
            </w:pPr>
            <w:r w:rsidRPr="00B801F4">
              <w:rPr>
                <w:sz w:val="22"/>
                <w:szCs w:val="22"/>
              </w:rPr>
              <w:t>Indirect properties are valued at the current open market value as defined by the RICS Appraisal and Valuation Standards. These investments are not publicly listed and as such there is a degree of estimation involved in the valuation.</w:t>
            </w:r>
          </w:p>
        </w:tc>
        <w:tc>
          <w:tcPr>
            <w:tcW w:w="0" w:type="auto"/>
            <w:shd w:val="clear" w:color="auto" w:fill="E2EFD9" w:themeFill="accent6" w:themeFillTint="33"/>
          </w:tcPr>
          <w:p w14:paraId="74A2D6FF" w14:textId="77777777" w:rsidR="00B801F4" w:rsidRPr="00B801F4" w:rsidRDefault="00B801F4" w:rsidP="00B801F4">
            <w:pPr>
              <w:jc w:val="left"/>
              <w:rPr>
                <w:sz w:val="22"/>
                <w:szCs w:val="22"/>
              </w:rPr>
            </w:pPr>
            <w:r w:rsidRPr="00B801F4">
              <w:rPr>
                <w:sz w:val="22"/>
                <w:szCs w:val="22"/>
              </w:rPr>
              <w:t xml:space="preserve">Indirect property investments in the financial statements total £43m.  </w:t>
            </w:r>
          </w:p>
          <w:p w14:paraId="261EEF72" w14:textId="77777777" w:rsidR="00B801F4" w:rsidRPr="00B801F4" w:rsidRDefault="00B801F4" w:rsidP="00B801F4">
            <w:pPr>
              <w:jc w:val="left"/>
              <w:rPr>
                <w:sz w:val="22"/>
                <w:szCs w:val="22"/>
              </w:rPr>
            </w:pPr>
            <w:r w:rsidRPr="00B801F4">
              <w:rPr>
                <w:sz w:val="22"/>
                <w:szCs w:val="22"/>
              </w:rPr>
              <w:t>There is a risk that these investments may be under or overstated in the accounts.</w:t>
            </w:r>
          </w:p>
        </w:tc>
      </w:tr>
      <w:tr w:rsidR="00B801F4" w:rsidRPr="00B801F4" w14:paraId="448109F0" w14:textId="77777777" w:rsidTr="00B801F4">
        <w:trPr>
          <w:trHeight w:val="3074"/>
        </w:trPr>
        <w:tc>
          <w:tcPr>
            <w:tcW w:w="1662" w:type="dxa"/>
            <w:shd w:val="clear" w:color="auto" w:fill="E2EFD9" w:themeFill="accent6" w:themeFillTint="33"/>
          </w:tcPr>
          <w:p w14:paraId="7A839C6C" w14:textId="77777777" w:rsidR="00B801F4" w:rsidRPr="00B801F4" w:rsidRDefault="00B801F4" w:rsidP="00B801F4">
            <w:pPr>
              <w:jc w:val="left"/>
              <w:rPr>
                <w:rFonts w:cs="Arial"/>
                <w:sz w:val="22"/>
                <w:szCs w:val="22"/>
              </w:rPr>
            </w:pPr>
            <w:r w:rsidRPr="00B801F4">
              <w:rPr>
                <w:rFonts w:cs="Arial"/>
                <w:sz w:val="22"/>
                <w:szCs w:val="22"/>
              </w:rPr>
              <w:t>Actuarial present value of retirement benefits</w:t>
            </w:r>
          </w:p>
        </w:tc>
        <w:tc>
          <w:tcPr>
            <w:tcW w:w="0" w:type="auto"/>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3862"/>
            </w:tblGrid>
            <w:tr w:rsidR="00B801F4" w:rsidRPr="00B801F4" w14:paraId="088C70F0" w14:textId="77777777" w:rsidTr="00B801F4">
              <w:trPr>
                <w:trHeight w:val="3077"/>
              </w:trPr>
              <w:tc>
                <w:tcPr>
                  <w:tcW w:w="0" w:type="auto"/>
                </w:tcPr>
                <w:p w14:paraId="2614D718" w14:textId="77777777" w:rsidR="00B801F4" w:rsidRPr="00B801F4" w:rsidRDefault="00B801F4" w:rsidP="00B801F4">
                  <w:pPr>
                    <w:jc w:val="left"/>
                    <w:rPr>
                      <w:rFonts w:cs="Arial"/>
                      <w:sz w:val="22"/>
                      <w:szCs w:val="22"/>
                    </w:rPr>
                  </w:pPr>
                  <w:r w:rsidRPr="00B801F4">
                    <w:rPr>
                      <w:rFonts w:cs="Arial"/>
                      <w:sz w:val="22"/>
                      <w:szCs w:val="22"/>
                    </w:rPr>
                    <w:t>Estimation of the net liability to pay pensions depends on a number of complex judgements relating to the discount rate used, the rate at which salaries are projected to increase, changes in retirement ages, mortality rates and expected returns on pension fund assets. A firm of consulting actuaries (Mercers) is engaged to provide the authority with expert advice about the assumptions to be applied.</w:t>
                  </w:r>
                </w:p>
              </w:tc>
            </w:tr>
          </w:tbl>
          <w:p w14:paraId="0ED56A07" w14:textId="77777777" w:rsidR="00B801F4" w:rsidRPr="00B801F4" w:rsidRDefault="00B801F4" w:rsidP="00B801F4">
            <w:pPr>
              <w:jc w:val="left"/>
              <w:rPr>
                <w:sz w:val="22"/>
                <w:szCs w:val="22"/>
              </w:rPr>
            </w:pPr>
          </w:p>
        </w:tc>
        <w:tc>
          <w:tcPr>
            <w:tcW w:w="0" w:type="auto"/>
            <w:shd w:val="clear" w:color="auto" w:fill="E2EFD9" w:themeFill="accent6" w:themeFillTint="33"/>
          </w:tcPr>
          <w:p w14:paraId="2C5142EB" w14:textId="77777777" w:rsidR="00B801F4" w:rsidRPr="00B801F4" w:rsidRDefault="00B801F4" w:rsidP="00B801F4">
            <w:pPr>
              <w:jc w:val="left"/>
              <w:rPr>
                <w:rFonts w:cs="Arial"/>
                <w:sz w:val="22"/>
                <w:szCs w:val="22"/>
              </w:rPr>
            </w:pPr>
            <w:r w:rsidRPr="00B801F4">
              <w:rPr>
                <w:rFonts w:cs="Arial"/>
                <w:sz w:val="22"/>
                <w:szCs w:val="22"/>
              </w:rPr>
              <w:t>The effects on the net pension liability of changes in individual assumptions can be measured. For instance, a 0.25% reduction in the discount rate assumption would increase the value of the liabilities by approximately £450m.  A 0.5% increase in assumed earnings inflation would increase the value of the liabilities by approximately £200m and a 1 year increase in assumed life expectancy would increase the liabilities by approximately £170m.</w:t>
            </w:r>
          </w:p>
        </w:tc>
      </w:tr>
    </w:tbl>
    <w:p w14:paraId="25670A7D" w14:textId="77777777" w:rsidR="00B801F4" w:rsidRDefault="00B801F4" w:rsidP="00B801F4">
      <w:pPr>
        <w:jc w:val="left"/>
        <w:rPr>
          <w:lang w:eastAsia="en-GB"/>
        </w:rPr>
      </w:pPr>
    </w:p>
    <w:p w14:paraId="332A48FF" w14:textId="77777777" w:rsidR="00792C96" w:rsidRDefault="00792C96" w:rsidP="00B801F4">
      <w:pPr>
        <w:jc w:val="left"/>
        <w:rPr>
          <w:lang w:eastAsia="en-GB"/>
        </w:rPr>
      </w:pPr>
    </w:p>
    <w:p w14:paraId="783F230B" w14:textId="77777777" w:rsidR="00792C96" w:rsidRDefault="00792C96" w:rsidP="00B801F4">
      <w:pPr>
        <w:jc w:val="left"/>
        <w:rPr>
          <w:lang w:eastAsia="en-GB"/>
        </w:rPr>
      </w:pPr>
    </w:p>
    <w:p w14:paraId="293056FB" w14:textId="77777777" w:rsidR="00792C96" w:rsidRPr="00B801F4" w:rsidRDefault="00792C96" w:rsidP="00B801F4">
      <w:pPr>
        <w:jc w:val="left"/>
        <w:rPr>
          <w:lang w:eastAsia="en-GB"/>
        </w:rPr>
      </w:pPr>
    </w:p>
    <w:p w14:paraId="7D0A3021" w14:textId="77777777" w:rsidR="00B801F4" w:rsidRPr="00B801F4" w:rsidRDefault="00B801F4" w:rsidP="00717919">
      <w:pPr>
        <w:numPr>
          <w:ilvl w:val="0"/>
          <w:numId w:val="73"/>
        </w:numPr>
        <w:tabs>
          <w:tab w:val="num" w:pos="567"/>
        </w:tabs>
        <w:autoSpaceDE/>
        <w:autoSpaceDN/>
        <w:adjustRightInd/>
        <w:spacing w:after="0"/>
        <w:ind w:left="567" w:hanging="567"/>
        <w:jc w:val="left"/>
        <w:rPr>
          <w:b/>
          <w:sz w:val="32"/>
          <w:szCs w:val="32"/>
        </w:rPr>
      </w:pPr>
      <w:r w:rsidRPr="00B801F4">
        <w:rPr>
          <w:b/>
          <w:sz w:val="32"/>
          <w:szCs w:val="32"/>
        </w:rPr>
        <w:t>Contributions receivable</w:t>
      </w:r>
    </w:p>
    <w:p w14:paraId="0AE55036" w14:textId="77777777" w:rsidR="00B801F4" w:rsidRPr="00B801F4" w:rsidRDefault="00B801F4" w:rsidP="00B801F4">
      <w:pPr>
        <w:ind w:left="567"/>
        <w:jc w:val="left"/>
        <w:rPr>
          <w:rFonts w:cs="Arial"/>
          <w:b/>
        </w:rPr>
      </w:pP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801F4" w:rsidRPr="00B801F4" w14:paraId="59281AAF" w14:textId="77777777" w:rsidTr="00B801F4">
        <w:tc>
          <w:tcPr>
            <w:tcW w:w="5058" w:type="dxa"/>
          </w:tcPr>
          <w:p w14:paraId="1A42E297" w14:textId="77777777" w:rsidR="00B801F4" w:rsidRPr="00B801F4" w:rsidRDefault="00B801F4" w:rsidP="00B801F4">
            <w:pPr>
              <w:spacing w:after="0"/>
              <w:ind w:left="-119"/>
              <w:jc w:val="left"/>
              <w:rPr>
                <w:rFonts w:ascii="Arial" w:hAnsi="Arial" w:cs="Arial"/>
                <w:b/>
              </w:rPr>
            </w:pPr>
            <w:r w:rsidRPr="00B801F4">
              <w:rPr>
                <w:rFonts w:ascii="Arial" w:hAnsi="Arial" w:cs="Arial"/>
                <w:b/>
              </w:rPr>
              <w:t>By category</w:t>
            </w:r>
          </w:p>
        </w:tc>
        <w:tc>
          <w:tcPr>
            <w:tcW w:w="1559" w:type="dxa"/>
          </w:tcPr>
          <w:p w14:paraId="12FB6C76" w14:textId="77777777" w:rsidR="00B801F4" w:rsidRPr="00B801F4" w:rsidRDefault="00B801F4" w:rsidP="00B801F4">
            <w:pPr>
              <w:spacing w:after="0"/>
              <w:jc w:val="right"/>
              <w:rPr>
                <w:rFonts w:ascii="Arial" w:hAnsi="Arial" w:cs="Arial"/>
                <w:b/>
              </w:rPr>
            </w:pPr>
            <w:r w:rsidRPr="00B801F4">
              <w:rPr>
                <w:rFonts w:ascii="Arial" w:hAnsi="Arial" w:cs="Arial"/>
                <w:b/>
              </w:rPr>
              <w:t>2014/15</w:t>
            </w:r>
          </w:p>
          <w:p w14:paraId="527CA7C8"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133D9759" w14:textId="77777777" w:rsidR="00B801F4" w:rsidRPr="00B801F4" w:rsidRDefault="00B801F4" w:rsidP="00B801F4">
            <w:pPr>
              <w:spacing w:after="0"/>
              <w:jc w:val="right"/>
              <w:rPr>
                <w:rFonts w:ascii="Arial" w:hAnsi="Arial" w:cs="Arial"/>
                <w:b/>
              </w:rPr>
            </w:pPr>
          </w:p>
          <w:p w14:paraId="3CE3F631" w14:textId="77777777" w:rsidR="00B801F4" w:rsidRPr="00B801F4" w:rsidRDefault="00B801F4" w:rsidP="00B801F4">
            <w:pPr>
              <w:spacing w:after="0"/>
              <w:jc w:val="right"/>
              <w:rPr>
                <w:rFonts w:ascii="Arial" w:hAnsi="Arial" w:cs="Arial"/>
                <w:b/>
              </w:rPr>
            </w:pPr>
          </w:p>
        </w:tc>
        <w:tc>
          <w:tcPr>
            <w:tcW w:w="1696" w:type="dxa"/>
            <w:tcBorders>
              <w:left w:val="single" w:sz="4" w:space="0" w:color="FFFFFF" w:themeColor="background1"/>
            </w:tcBorders>
          </w:tcPr>
          <w:p w14:paraId="10688CDF" w14:textId="77777777" w:rsidR="00B801F4" w:rsidRPr="00B801F4" w:rsidRDefault="00B801F4" w:rsidP="00B801F4">
            <w:pPr>
              <w:spacing w:after="0"/>
              <w:jc w:val="right"/>
              <w:rPr>
                <w:rFonts w:ascii="Arial" w:hAnsi="Arial" w:cs="Arial"/>
                <w:b/>
              </w:rPr>
            </w:pPr>
            <w:r w:rsidRPr="00B801F4">
              <w:rPr>
                <w:rFonts w:ascii="Arial" w:hAnsi="Arial" w:cs="Arial"/>
                <w:b/>
              </w:rPr>
              <w:t>2013/14</w:t>
            </w:r>
          </w:p>
          <w:p w14:paraId="15F0FD0A"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1020677D" w14:textId="77777777" w:rsidTr="00B801F4">
        <w:tc>
          <w:tcPr>
            <w:tcW w:w="5058" w:type="dxa"/>
          </w:tcPr>
          <w:p w14:paraId="7294924C" w14:textId="77777777" w:rsidR="00B801F4" w:rsidRPr="00B801F4" w:rsidRDefault="00B801F4" w:rsidP="00B801F4">
            <w:pPr>
              <w:ind w:left="-119"/>
              <w:jc w:val="left"/>
              <w:rPr>
                <w:rFonts w:ascii="Arial" w:hAnsi="Arial" w:cs="Arial"/>
              </w:rPr>
            </w:pPr>
            <w:r w:rsidRPr="00B801F4">
              <w:rPr>
                <w:rFonts w:ascii="Arial" w:hAnsi="Arial" w:cs="Arial"/>
              </w:rPr>
              <w:t xml:space="preserve">Employers </w:t>
            </w:r>
          </w:p>
        </w:tc>
        <w:tc>
          <w:tcPr>
            <w:tcW w:w="1559" w:type="dxa"/>
          </w:tcPr>
          <w:p w14:paraId="48BD6EEF" w14:textId="77777777" w:rsidR="00B801F4" w:rsidRPr="00B801F4" w:rsidRDefault="00B801F4" w:rsidP="00B801F4">
            <w:pPr>
              <w:jc w:val="right"/>
              <w:rPr>
                <w:rFonts w:ascii="Arial" w:hAnsi="Arial" w:cs="Arial"/>
              </w:rPr>
            </w:pPr>
            <w:r w:rsidRPr="00B801F4">
              <w:rPr>
                <w:rFonts w:ascii="Arial" w:hAnsi="Arial" w:cs="Arial"/>
              </w:rPr>
              <w:t>183.2</w:t>
            </w:r>
          </w:p>
        </w:tc>
        <w:tc>
          <w:tcPr>
            <w:tcW w:w="430" w:type="dxa"/>
            <w:tcBorders>
              <w:right w:val="single" w:sz="4" w:space="0" w:color="FFFFFF" w:themeColor="background1"/>
            </w:tcBorders>
          </w:tcPr>
          <w:p w14:paraId="2655B472"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40F8494A" w14:textId="77777777" w:rsidR="00B801F4" w:rsidRPr="00B801F4" w:rsidRDefault="00B801F4" w:rsidP="00B801F4">
            <w:pPr>
              <w:jc w:val="right"/>
              <w:rPr>
                <w:rFonts w:ascii="Arial" w:hAnsi="Arial" w:cs="Arial"/>
              </w:rPr>
            </w:pPr>
            <w:r w:rsidRPr="00B801F4">
              <w:rPr>
                <w:rFonts w:ascii="Arial" w:hAnsi="Arial" w:cs="Arial"/>
              </w:rPr>
              <w:t>160.0</w:t>
            </w:r>
          </w:p>
        </w:tc>
      </w:tr>
      <w:tr w:rsidR="00B801F4" w:rsidRPr="00B801F4" w14:paraId="62B5250C" w14:textId="77777777" w:rsidTr="005E7EC8">
        <w:tc>
          <w:tcPr>
            <w:tcW w:w="5058" w:type="dxa"/>
          </w:tcPr>
          <w:p w14:paraId="462EE473" w14:textId="77777777" w:rsidR="00B801F4" w:rsidRPr="00B801F4" w:rsidRDefault="00B801F4" w:rsidP="00B801F4">
            <w:pPr>
              <w:ind w:left="-119"/>
              <w:jc w:val="left"/>
              <w:rPr>
                <w:rFonts w:ascii="Arial" w:hAnsi="Arial" w:cs="Arial"/>
              </w:rPr>
            </w:pPr>
            <w:r w:rsidRPr="00B801F4">
              <w:rPr>
                <w:rFonts w:ascii="Arial" w:hAnsi="Arial" w:cs="Arial"/>
              </w:rPr>
              <w:t>Members</w:t>
            </w:r>
          </w:p>
        </w:tc>
        <w:tc>
          <w:tcPr>
            <w:tcW w:w="1559" w:type="dxa"/>
            <w:tcBorders>
              <w:bottom w:val="single" w:sz="18" w:space="0" w:color="auto"/>
            </w:tcBorders>
          </w:tcPr>
          <w:p w14:paraId="0FFEF8E8" w14:textId="77777777" w:rsidR="00B801F4" w:rsidRPr="00B801F4" w:rsidRDefault="00B801F4" w:rsidP="00B801F4">
            <w:pPr>
              <w:jc w:val="right"/>
              <w:rPr>
                <w:rFonts w:ascii="Arial" w:hAnsi="Arial" w:cs="Arial"/>
              </w:rPr>
            </w:pPr>
            <w:r w:rsidRPr="00B801F4">
              <w:rPr>
                <w:rFonts w:ascii="Arial" w:hAnsi="Arial" w:cs="Arial"/>
              </w:rPr>
              <w:t>54.8</w:t>
            </w:r>
          </w:p>
        </w:tc>
        <w:tc>
          <w:tcPr>
            <w:tcW w:w="430" w:type="dxa"/>
            <w:tcBorders>
              <w:right w:val="single" w:sz="4" w:space="0" w:color="FFFFFF" w:themeColor="background1"/>
            </w:tcBorders>
          </w:tcPr>
          <w:p w14:paraId="439F89B0" w14:textId="77777777" w:rsidR="00B801F4" w:rsidRPr="00B801F4" w:rsidRDefault="00B801F4" w:rsidP="00B801F4">
            <w:pPr>
              <w:jc w:val="right"/>
              <w:rPr>
                <w:rFonts w:ascii="Arial" w:hAnsi="Arial" w:cs="Arial"/>
              </w:rPr>
            </w:pPr>
          </w:p>
        </w:tc>
        <w:tc>
          <w:tcPr>
            <w:tcW w:w="1696" w:type="dxa"/>
            <w:tcBorders>
              <w:left w:val="single" w:sz="4" w:space="0" w:color="FFFFFF" w:themeColor="background1"/>
              <w:bottom w:val="single" w:sz="18" w:space="0" w:color="auto"/>
            </w:tcBorders>
          </w:tcPr>
          <w:p w14:paraId="5A72019F" w14:textId="77777777" w:rsidR="00B801F4" w:rsidRPr="00B801F4" w:rsidRDefault="00B801F4" w:rsidP="00B801F4">
            <w:pPr>
              <w:jc w:val="right"/>
              <w:rPr>
                <w:rFonts w:ascii="Arial" w:hAnsi="Arial" w:cs="Arial"/>
              </w:rPr>
            </w:pPr>
            <w:r w:rsidRPr="00B801F4">
              <w:rPr>
                <w:rFonts w:ascii="Arial" w:hAnsi="Arial" w:cs="Arial"/>
              </w:rPr>
              <w:t>54.0</w:t>
            </w:r>
          </w:p>
        </w:tc>
      </w:tr>
      <w:tr w:rsidR="00B801F4" w:rsidRPr="00B801F4" w14:paraId="5670FF6B" w14:textId="77777777" w:rsidTr="005E7EC8">
        <w:tc>
          <w:tcPr>
            <w:tcW w:w="5058" w:type="dxa"/>
          </w:tcPr>
          <w:p w14:paraId="5A5B39F7" w14:textId="77777777" w:rsidR="00B801F4" w:rsidRPr="00B801F4" w:rsidRDefault="00B801F4" w:rsidP="00B801F4">
            <w:pPr>
              <w:ind w:left="-119"/>
              <w:jc w:val="left"/>
              <w:rPr>
                <w:rFonts w:ascii="Arial" w:hAnsi="Arial" w:cs="Arial"/>
              </w:rPr>
            </w:pPr>
          </w:p>
        </w:tc>
        <w:tc>
          <w:tcPr>
            <w:tcW w:w="1559" w:type="dxa"/>
            <w:tcBorders>
              <w:top w:val="single" w:sz="18" w:space="0" w:color="auto"/>
              <w:bottom w:val="single" w:sz="18" w:space="0" w:color="auto"/>
            </w:tcBorders>
          </w:tcPr>
          <w:p w14:paraId="78CB9530" w14:textId="77777777" w:rsidR="00B801F4" w:rsidRPr="00B801F4" w:rsidRDefault="00B801F4" w:rsidP="00B801F4">
            <w:pPr>
              <w:jc w:val="right"/>
              <w:rPr>
                <w:rFonts w:ascii="Arial" w:hAnsi="Arial" w:cs="Arial"/>
              </w:rPr>
            </w:pPr>
            <w:r w:rsidRPr="00B801F4">
              <w:rPr>
                <w:rFonts w:ascii="Arial" w:hAnsi="Arial" w:cs="Arial"/>
              </w:rPr>
              <w:t>238.0</w:t>
            </w:r>
          </w:p>
        </w:tc>
        <w:tc>
          <w:tcPr>
            <w:tcW w:w="430" w:type="dxa"/>
          </w:tcPr>
          <w:p w14:paraId="3527582F" w14:textId="77777777" w:rsidR="00B801F4" w:rsidRPr="00B801F4" w:rsidRDefault="00B801F4" w:rsidP="00B801F4">
            <w:pPr>
              <w:jc w:val="right"/>
              <w:rPr>
                <w:rFonts w:ascii="Arial" w:hAnsi="Arial" w:cs="Arial"/>
              </w:rPr>
            </w:pPr>
          </w:p>
        </w:tc>
        <w:tc>
          <w:tcPr>
            <w:tcW w:w="1696" w:type="dxa"/>
            <w:tcBorders>
              <w:top w:val="single" w:sz="18" w:space="0" w:color="auto"/>
              <w:bottom w:val="single" w:sz="18" w:space="0" w:color="auto"/>
            </w:tcBorders>
          </w:tcPr>
          <w:p w14:paraId="416EE5C1" w14:textId="77777777" w:rsidR="00B801F4" w:rsidRPr="00B801F4" w:rsidRDefault="00B801F4" w:rsidP="00B801F4">
            <w:pPr>
              <w:jc w:val="right"/>
              <w:rPr>
                <w:rFonts w:ascii="Arial" w:hAnsi="Arial" w:cs="Arial"/>
              </w:rPr>
            </w:pPr>
            <w:r w:rsidRPr="00B801F4">
              <w:rPr>
                <w:rFonts w:ascii="Arial" w:hAnsi="Arial" w:cs="Arial"/>
              </w:rPr>
              <w:t>214.0</w:t>
            </w:r>
          </w:p>
        </w:tc>
      </w:tr>
      <w:tr w:rsidR="00B801F4" w:rsidRPr="00B801F4" w14:paraId="7D550FBB" w14:textId="77777777" w:rsidTr="005E7EC8">
        <w:tc>
          <w:tcPr>
            <w:tcW w:w="5058" w:type="dxa"/>
          </w:tcPr>
          <w:p w14:paraId="480391B3" w14:textId="77777777" w:rsidR="00B801F4" w:rsidRPr="00B801F4" w:rsidRDefault="00B801F4" w:rsidP="00B801F4">
            <w:pPr>
              <w:ind w:left="-119"/>
              <w:jc w:val="left"/>
              <w:rPr>
                <w:rFonts w:ascii="Arial" w:hAnsi="Arial" w:cs="Arial"/>
                <w:b/>
              </w:rPr>
            </w:pPr>
          </w:p>
          <w:p w14:paraId="371C1547" w14:textId="77777777" w:rsidR="00B801F4" w:rsidRPr="00B801F4" w:rsidRDefault="00B801F4" w:rsidP="00B801F4">
            <w:pPr>
              <w:ind w:left="-119"/>
              <w:jc w:val="left"/>
              <w:rPr>
                <w:rFonts w:ascii="Arial" w:hAnsi="Arial" w:cs="Arial"/>
                <w:b/>
              </w:rPr>
            </w:pPr>
          </w:p>
        </w:tc>
        <w:tc>
          <w:tcPr>
            <w:tcW w:w="1559" w:type="dxa"/>
            <w:tcBorders>
              <w:top w:val="single" w:sz="18" w:space="0" w:color="auto"/>
            </w:tcBorders>
          </w:tcPr>
          <w:p w14:paraId="4B692899" w14:textId="77777777" w:rsidR="00B801F4" w:rsidRPr="00B801F4" w:rsidRDefault="00B801F4" w:rsidP="00B801F4">
            <w:pPr>
              <w:jc w:val="right"/>
              <w:rPr>
                <w:rFonts w:ascii="Arial" w:hAnsi="Arial" w:cs="Arial"/>
                <w:b/>
              </w:rPr>
            </w:pPr>
          </w:p>
        </w:tc>
        <w:tc>
          <w:tcPr>
            <w:tcW w:w="430" w:type="dxa"/>
          </w:tcPr>
          <w:p w14:paraId="1C474D53" w14:textId="77777777" w:rsidR="00B801F4" w:rsidRPr="00B801F4" w:rsidRDefault="00B801F4" w:rsidP="00B801F4">
            <w:pPr>
              <w:jc w:val="right"/>
              <w:rPr>
                <w:rFonts w:ascii="Arial" w:hAnsi="Arial" w:cs="Arial"/>
                <w:b/>
              </w:rPr>
            </w:pPr>
          </w:p>
        </w:tc>
        <w:tc>
          <w:tcPr>
            <w:tcW w:w="1696" w:type="dxa"/>
            <w:tcBorders>
              <w:top w:val="single" w:sz="18" w:space="0" w:color="auto"/>
            </w:tcBorders>
          </w:tcPr>
          <w:p w14:paraId="766E3786" w14:textId="77777777" w:rsidR="00B801F4" w:rsidRPr="00B801F4" w:rsidRDefault="00B801F4" w:rsidP="00B801F4">
            <w:pPr>
              <w:jc w:val="right"/>
              <w:rPr>
                <w:rFonts w:ascii="Arial" w:hAnsi="Arial" w:cs="Arial"/>
                <w:b/>
              </w:rPr>
            </w:pPr>
          </w:p>
        </w:tc>
      </w:tr>
      <w:tr w:rsidR="00B801F4" w:rsidRPr="00B801F4" w14:paraId="4473879A" w14:textId="77777777" w:rsidTr="00B801F4">
        <w:tc>
          <w:tcPr>
            <w:tcW w:w="5058" w:type="dxa"/>
          </w:tcPr>
          <w:p w14:paraId="4349631B" w14:textId="77777777" w:rsidR="00B801F4" w:rsidRPr="00B801F4" w:rsidRDefault="00B801F4" w:rsidP="00B801F4">
            <w:pPr>
              <w:spacing w:after="0"/>
              <w:ind w:left="-119"/>
              <w:jc w:val="left"/>
              <w:rPr>
                <w:rFonts w:ascii="Arial" w:hAnsi="Arial" w:cs="Arial"/>
                <w:b/>
              </w:rPr>
            </w:pPr>
            <w:r w:rsidRPr="00B801F4">
              <w:rPr>
                <w:rFonts w:ascii="Arial" w:hAnsi="Arial" w:cs="Arial"/>
                <w:b/>
              </w:rPr>
              <w:t>By authority</w:t>
            </w:r>
          </w:p>
          <w:p w14:paraId="716BEB7B" w14:textId="77777777" w:rsidR="00B801F4" w:rsidRPr="00B801F4" w:rsidRDefault="00B801F4" w:rsidP="00B801F4">
            <w:pPr>
              <w:spacing w:after="0"/>
              <w:ind w:left="-119"/>
              <w:jc w:val="left"/>
              <w:rPr>
                <w:rFonts w:ascii="Arial" w:hAnsi="Arial" w:cs="Arial"/>
                <w:b/>
              </w:rPr>
            </w:pPr>
          </w:p>
        </w:tc>
        <w:tc>
          <w:tcPr>
            <w:tcW w:w="1559" w:type="dxa"/>
          </w:tcPr>
          <w:p w14:paraId="5435C45E" w14:textId="77777777" w:rsidR="00B801F4" w:rsidRPr="00B801F4" w:rsidRDefault="00B801F4" w:rsidP="00B801F4">
            <w:pPr>
              <w:spacing w:after="0"/>
              <w:jc w:val="right"/>
              <w:rPr>
                <w:rFonts w:ascii="Arial" w:hAnsi="Arial" w:cs="Arial"/>
                <w:b/>
              </w:rPr>
            </w:pPr>
          </w:p>
          <w:p w14:paraId="2DBB3F90" w14:textId="77777777" w:rsidR="00B801F4" w:rsidRPr="00B801F4" w:rsidRDefault="00B801F4" w:rsidP="00B801F4">
            <w:pPr>
              <w:spacing w:after="0"/>
              <w:jc w:val="right"/>
              <w:rPr>
                <w:rFonts w:ascii="Arial" w:hAnsi="Arial" w:cs="Arial"/>
                <w:b/>
              </w:rPr>
            </w:pPr>
            <w:r w:rsidRPr="00B801F4">
              <w:rPr>
                <w:rFonts w:ascii="Arial" w:hAnsi="Arial" w:cs="Arial"/>
                <w:b/>
              </w:rPr>
              <w:t>2014/15</w:t>
            </w:r>
          </w:p>
          <w:p w14:paraId="038242FE"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Pr>
          <w:p w14:paraId="3750CF49" w14:textId="77777777" w:rsidR="00B801F4" w:rsidRPr="00B801F4" w:rsidRDefault="00B801F4" w:rsidP="00B801F4">
            <w:pPr>
              <w:spacing w:after="0"/>
              <w:jc w:val="right"/>
              <w:rPr>
                <w:rFonts w:ascii="Arial" w:hAnsi="Arial" w:cs="Arial"/>
                <w:b/>
              </w:rPr>
            </w:pPr>
          </w:p>
          <w:p w14:paraId="322CE229" w14:textId="77777777" w:rsidR="00B801F4" w:rsidRPr="00B801F4" w:rsidRDefault="00B801F4" w:rsidP="00B801F4">
            <w:pPr>
              <w:spacing w:after="0"/>
              <w:jc w:val="right"/>
              <w:rPr>
                <w:rFonts w:ascii="Arial" w:hAnsi="Arial" w:cs="Arial"/>
                <w:b/>
              </w:rPr>
            </w:pPr>
          </w:p>
        </w:tc>
        <w:tc>
          <w:tcPr>
            <w:tcW w:w="1696" w:type="dxa"/>
          </w:tcPr>
          <w:p w14:paraId="7EED1309" w14:textId="77777777" w:rsidR="00B801F4" w:rsidRPr="00B801F4" w:rsidRDefault="00B801F4" w:rsidP="00B801F4">
            <w:pPr>
              <w:spacing w:after="0"/>
              <w:jc w:val="right"/>
              <w:rPr>
                <w:rFonts w:ascii="Arial" w:hAnsi="Arial" w:cs="Arial"/>
                <w:b/>
              </w:rPr>
            </w:pPr>
          </w:p>
          <w:p w14:paraId="68003FCC" w14:textId="77777777" w:rsidR="00B801F4" w:rsidRPr="00B801F4" w:rsidRDefault="00B801F4" w:rsidP="00B801F4">
            <w:pPr>
              <w:spacing w:after="0"/>
              <w:jc w:val="right"/>
              <w:rPr>
                <w:rFonts w:ascii="Arial" w:hAnsi="Arial" w:cs="Arial"/>
                <w:b/>
              </w:rPr>
            </w:pPr>
            <w:r w:rsidRPr="00B801F4">
              <w:rPr>
                <w:rFonts w:ascii="Arial" w:hAnsi="Arial" w:cs="Arial"/>
                <w:b/>
              </w:rPr>
              <w:t>2013/14</w:t>
            </w:r>
          </w:p>
          <w:p w14:paraId="6C9C54F1"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7338E911" w14:textId="77777777" w:rsidTr="00B801F4">
        <w:tc>
          <w:tcPr>
            <w:tcW w:w="5058" w:type="dxa"/>
          </w:tcPr>
          <w:p w14:paraId="1F260812" w14:textId="77777777" w:rsidR="00B801F4" w:rsidRPr="00B801F4" w:rsidRDefault="00B801F4" w:rsidP="00B801F4">
            <w:pPr>
              <w:ind w:left="-119"/>
              <w:jc w:val="left"/>
              <w:rPr>
                <w:rFonts w:ascii="Arial" w:hAnsi="Arial" w:cs="Arial"/>
              </w:rPr>
            </w:pPr>
            <w:r w:rsidRPr="00B801F4">
              <w:rPr>
                <w:rFonts w:ascii="Arial" w:hAnsi="Arial" w:cs="Arial"/>
              </w:rPr>
              <w:t>County Council</w:t>
            </w:r>
          </w:p>
        </w:tc>
        <w:tc>
          <w:tcPr>
            <w:tcW w:w="1559" w:type="dxa"/>
          </w:tcPr>
          <w:p w14:paraId="11106E50" w14:textId="77777777" w:rsidR="00B801F4" w:rsidRPr="00B801F4" w:rsidRDefault="00B801F4" w:rsidP="00B801F4">
            <w:pPr>
              <w:jc w:val="right"/>
              <w:rPr>
                <w:rFonts w:ascii="Arial" w:hAnsi="Arial" w:cs="Arial"/>
              </w:rPr>
            </w:pPr>
            <w:r w:rsidRPr="00B801F4">
              <w:rPr>
                <w:rFonts w:ascii="Arial" w:hAnsi="Arial" w:cs="Arial"/>
              </w:rPr>
              <w:t>102.1</w:t>
            </w:r>
          </w:p>
        </w:tc>
        <w:tc>
          <w:tcPr>
            <w:tcW w:w="430" w:type="dxa"/>
          </w:tcPr>
          <w:p w14:paraId="3E64A963" w14:textId="77777777" w:rsidR="00B801F4" w:rsidRPr="00B801F4" w:rsidRDefault="00B801F4" w:rsidP="00B801F4">
            <w:pPr>
              <w:jc w:val="right"/>
              <w:rPr>
                <w:rFonts w:ascii="Arial" w:hAnsi="Arial" w:cs="Arial"/>
              </w:rPr>
            </w:pPr>
          </w:p>
        </w:tc>
        <w:tc>
          <w:tcPr>
            <w:tcW w:w="1696" w:type="dxa"/>
          </w:tcPr>
          <w:p w14:paraId="36C308E4" w14:textId="77777777" w:rsidR="00B801F4" w:rsidRPr="00B801F4" w:rsidRDefault="00B801F4" w:rsidP="00B801F4">
            <w:pPr>
              <w:jc w:val="right"/>
              <w:rPr>
                <w:rFonts w:ascii="Arial" w:hAnsi="Arial" w:cs="Arial"/>
              </w:rPr>
            </w:pPr>
            <w:r w:rsidRPr="00B801F4">
              <w:rPr>
                <w:rFonts w:ascii="Arial" w:hAnsi="Arial" w:cs="Arial"/>
              </w:rPr>
              <w:t>91.3</w:t>
            </w:r>
          </w:p>
        </w:tc>
      </w:tr>
      <w:tr w:rsidR="00B801F4" w:rsidRPr="00B801F4" w14:paraId="1182B836" w14:textId="77777777" w:rsidTr="00B801F4">
        <w:tc>
          <w:tcPr>
            <w:tcW w:w="5058" w:type="dxa"/>
          </w:tcPr>
          <w:p w14:paraId="69523400" w14:textId="77777777" w:rsidR="00B801F4" w:rsidRPr="00B801F4" w:rsidRDefault="00B801F4" w:rsidP="00B801F4">
            <w:pPr>
              <w:ind w:left="-119"/>
              <w:jc w:val="left"/>
              <w:rPr>
                <w:rFonts w:ascii="Arial" w:hAnsi="Arial" w:cs="Arial"/>
              </w:rPr>
            </w:pPr>
            <w:r w:rsidRPr="00B801F4">
              <w:rPr>
                <w:rFonts w:ascii="Arial" w:hAnsi="Arial" w:cs="Arial"/>
              </w:rPr>
              <w:t>Scheduled Bodies</w:t>
            </w:r>
          </w:p>
        </w:tc>
        <w:tc>
          <w:tcPr>
            <w:tcW w:w="1559" w:type="dxa"/>
          </w:tcPr>
          <w:p w14:paraId="11A1C389" w14:textId="77777777" w:rsidR="00B801F4" w:rsidRPr="00B801F4" w:rsidRDefault="00B801F4" w:rsidP="00B801F4">
            <w:pPr>
              <w:jc w:val="right"/>
              <w:rPr>
                <w:rFonts w:ascii="Arial" w:hAnsi="Arial" w:cs="Arial"/>
              </w:rPr>
            </w:pPr>
            <w:r w:rsidRPr="00B801F4">
              <w:rPr>
                <w:rFonts w:ascii="Arial" w:hAnsi="Arial" w:cs="Arial"/>
              </w:rPr>
              <w:t>115.4</w:t>
            </w:r>
          </w:p>
        </w:tc>
        <w:tc>
          <w:tcPr>
            <w:tcW w:w="430" w:type="dxa"/>
          </w:tcPr>
          <w:p w14:paraId="05D728F4" w14:textId="77777777" w:rsidR="00B801F4" w:rsidRPr="00B801F4" w:rsidRDefault="00B801F4" w:rsidP="00B801F4">
            <w:pPr>
              <w:jc w:val="right"/>
              <w:rPr>
                <w:rFonts w:ascii="Arial" w:hAnsi="Arial" w:cs="Arial"/>
              </w:rPr>
            </w:pPr>
          </w:p>
        </w:tc>
        <w:tc>
          <w:tcPr>
            <w:tcW w:w="1696" w:type="dxa"/>
          </w:tcPr>
          <w:p w14:paraId="2A4AC560" w14:textId="77777777" w:rsidR="00B801F4" w:rsidRPr="00B801F4" w:rsidRDefault="00B801F4" w:rsidP="00B801F4">
            <w:pPr>
              <w:jc w:val="right"/>
              <w:rPr>
                <w:rFonts w:ascii="Arial" w:hAnsi="Arial" w:cs="Arial"/>
              </w:rPr>
            </w:pPr>
            <w:r w:rsidRPr="00B801F4">
              <w:rPr>
                <w:rFonts w:ascii="Arial" w:hAnsi="Arial" w:cs="Arial"/>
              </w:rPr>
              <w:t>104.4</w:t>
            </w:r>
          </w:p>
        </w:tc>
      </w:tr>
      <w:tr w:rsidR="00B801F4" w:rsidRPr="00B801F4" w14:paraId="4143C946" w14:textId="77777777" w:rsidTr="005E7EC8">
        <w:tc>
          <w:tcPr>
            <w:tcW w:w="5058" w:type="dxa"/>
          </w:tcPr>
          <w:p w14:paraId="5EE1BC44" w14:textId="77777777" w:rsidR="00B801F4" w:rsidRPr="00B801F4" w:rsidRDefault="00B801F4" w:rsidP="00B801F4">
            <w:pPr>
              <w:ind w:left="-119"/>
              <w:jc w:val="left"/>
              <w:rPr>
                <w:rFonts w:ascii="Arial" w:hAnsi="Arial" w:cs="Arial"/>
              </w:rPr>
            </w:pPr>
            <w:r w:rsidRPr="00B801F4">
              <w:rPr>
                <w:rFonts w:ascii="Arial" w:hAnsi="Arial" w:cs="Arial"/>
              </w:rPr>
              <w:t>Admitted Bodies</w:t>
            </w:r>
          </w:p>
        </w:tc>
        <w:tc>
          <w:tcPr>
            <w:tcW w:w="1559" w:type="dxa"/>
            <w:tcBorders>
              <w:bottom w:val="single" w:sz="18" w:space="0" w:color="auto"/>
            </w:tcBorders>
          </w:tcPr>
          <w:p w14:paraId="150075F1" w14:textId="77777777" w:rsidR="00B801F4" w:rsidRPr="00B801F4" w:rsidRDefault="00B801F4" w:rsidP="00B801F4">
            <w:pPr>
              <w:jc w:val="right"/>
              <w:rPr>
                <w:rFonts w:ascii="Arial" w:hAnsi="Arial" w:cs="Arial"/>
              </w:rPr>
            </w:pPr>
            <w:r w:rsidRPr="00B801F4">
              <w:rPr>
                <w:rFonts w:ascii="Arial" w:hAnsi="Arial" w:cs="Arial"/>
              </w:rPr>
              <w:t>20.5</w:t>
            </w:r>
          </w:p>
        </w:tc>
        <w:tc>
          <w:tcPr>
            <w:tcW w:w="430" w:type="dxa"/>
          </w:tcPr>
          <w:p w14:paraId="4DB94DFB" w14:textId="77777777" w:rsidR="00B801F4" w:rsidRPr="00B801F4" w:rsidRDefault="00B801F4" w:rsidP="00B801F4">
            <w:pPr>
              <w:jc w:val="right"/>
              <w:rPr>
                <w:rFonts w:ascii="Arial" w:hAnsi="Arial" w:cs="Arial"/>
              </w:rPr>
            </w:pPr>
          </w:p>
        </w:tc>
        <w:tc>
          <w:tcPr>
            <w:tcW w:w="1696" w:type="dxa"/>
            <w:tcBorders>
              <w:bottom w:val="single" w:sz="18" w:space="0" w:color="auto"/>
            </w:tcBorders>
          </w:tcPr>
          <w:p w14:paraId="58F16F32" w14:textId="77777777" w:rsidR="00B801F4" w:rsidRPr="00B801F4" w:rsidRDefault="00B801F4" w:rsidP="00B801F4">
            <w:pPr>
              <w:jc w:val="right"/>
              <w:rPr>
                <w:rFonts w:ascii="Arial" w:hAnsi="Arial" w:cs="Arial"/>
              </w:rPr>
            </w:pPr>
            <w:r w:rsidRPr="00B801F4">
              <w:rPr>
                <w:rFonts w:ascii="Arial" w:hAnsi="Arial" w:cs="Arial"/>
              </w:rPr>
              <w:t>18.3</w:t>
            </w:r>
          </w:p>
        </w:tc>
      </w:tr>
      <w:tr w:rsidR="00B801F4" w:rsidRPr="00B801F4" w14:paraId="37A59722" w14:textId="77777777" w:rsidTr="005E7EC8">
        <w:tc>
          <w:tcPr>
            <w:tcW w:w="5058" w:type="dxa"/>
          </w:tcPr>
          <w:p w14:paraId="608D62C9" w14:textId="77777777" w:rsidR="00B801F4" w:rsidRPr="00B801F4" w:rsidRDefault="00B801F4" w:rsidP="00B801F4">
            <w:pPr>
              <w:ind w:left="-119"/>
              <w:jc w:val="left"/>
              <w:rPr>
                <w:rFonts w:ascii="Arial" w:hAnsi="Arial" w:cs="Arial"/>
              </w:rPr>
            </w:pPr>
          </w:p>
        </w:tc>
        <w:tc>
          <w:tcPr>
            <w:tcW w:w="1559" w:type="dxa"/>
            <w:tcBorders>
              <w:top w:val="single" w:sz="18" w:space="0" w:color="auto"/>
              <w:bottom w:val="single" w:sz="18" w:space="0" w:color="auto"/>
            </w:tcBorders>
          </w:tcPr>
          <w:p w14:paraId="2B13A97D" w14:textId="77777777" w:rsidR="00B801F4" w:rsidRPr="00B801F4" w:rsidRDefault="00B801F4" w:rsidP="00B801F4">
            <w:pPr>
              <w:jc w:val="right"/>
              <w:rPr>
                <w:rFonts w:ascii="Arial" w:hAnsi="Arial" w:cs="Arial"/>
              </w:rPr>
            </w:pPr>
            <w:r w:rsidRPr="00B801F4">
              <w:rPr>
                <w:rFonts w:ascii="Arial" w:hAnsi="Arial" w:cs="Arial"/>
              </w:rPr>
              <w:t>238.0</w:t>
            </w:r>
          </w:p>
        </w:tc>
        <w:tc>
          <w:tcPr>
            <w:tcW w:w="430" w:type="dxa"/>
          </w:tcPr>
          <w:p w14:paraId="2C59EC8A" w14:textId="77777777" w:rsidR="00B801F4" w:rsidRPr="00B801F4" w:rsidRDefault="00B801F4" w:rsidP="00B801F4">
            <w:pPr>
              <w:jc w:val="right"/>
              <w:rPr>
                <w:rFonts w:ascii="Arial" w:hAnsi="Arial" w:cs="Arial"/>
              </w:rPr>
            </w:pPr>
          </w:p>
        </w:tc>
        <w:tc>
          <w:tcPr>
            <w:tcW w:w="1696" w:type="dxa"/>
            <w:tcBorders>
              <w:top w:val="single" w:sz="18" w:space="0" w:color="auto"/>
              <w:bottom w:val="single" w:sz="18" w:space="0" w:color="auto"/>
            </w:tcBorders>
          </w:tcPr>
          <w:p w14:paraId="10D43297" w14:textId="77777777" w:rsidR="00B801F4" w:rsidRPr="00B801F4" w:rsidRDefault="00B801F4" w:rsidP="00B801F4">
            <w:pPr>
              <w:jc w:val="right"/>
              <w:rPr>
                <w:rFonts w:ascii="Arial" w:hAnsi="Arial" w:cs="Arial"/>
              </w:rPr>
            </w:pPr>
            <w:r w:rsidRPr="00B801F4">
              <w:rPr>
                <w:rFonts w:ascii="Arial" w:hAnsi="Arial" w:cs="Arial"/>
              </w:rPr>
              <w:t>214.0</w:t>
            </w:r>
          </w:p>
        </w:tc>
      </w:tr>
      <w:tr w:rsidR="00B801F4" w:rsidRPr="00B801F4" w14:paraId="7956D7BA" w14:textId="77777777" w:rsidTr="005E7EC8">
        <w:tc>
          <w:tcPr>
            <w:tcW w:w="5058" w:type="dxa"/>
          </w:tcPr>
          <w:p w14:paraId="66A3C9BE" w14:textId="77777777" w:rsidR="00B801F4" w:rsidRPr="00B801F4" w:rsidRDefault="00B801F4" w:rsidP="00B801F4">
            <w:pPr>
              <w:ind w:left="-119"/>
              <w:jc w:val="left"/>
              <w:rPr>
                <w:rFonts w:ascii="Arial" w:hAnsi="Arial" w:cs="Arial"/>
                <w:b/>
              </w:rPr>
            </w:pPr>
          </w:p>
        </w:tc>
        <w:tc>
          <w:tcPr>
            <w:tcW w:w="1559" w:type="dxa"/>
            <w:tcBorders>
              <w:top w:val="single" w:sz="18" w:space="0" w:color="auto"/>
            </w:tcBorders>
          </w:tcPr>
          <w:p w14:paraId="347F686C" w14:textId="77777777" w:rsidR="00B801F4" w:rsidRPr="00B801F4" w:rsidRDefault="00B801F4" w:rsidP="00B801F4">
            <w:pPr>
              <w:jc w:val="left"/>
              <w:rPr>
                <w:rFonts w:ascii="Arial" w:hAnsi="Arial" w:cs="Arial"/>
                <w:b/>
              </w:rPr>
            </w:pPr>
          </w:p>
        </w:tc>
        <w:tc>
          <w:tcPr>
            <w:tcW w:w="430" w:type="dxa"/>
          </w:tcPr>
          <w:p w14:paraId="16D5CE61" w14:textId="77777777" w:rsidR="00B801F4" w:rsidRPr="00B801F4" w:rsidRDefault="00B801F4" w:rsidP="00B801F4">
            <w:pPr>
              <w:jc w:val="left"/>
              <w:rPr>
                <w:rFonts w:ascii="Arial" w:hAnsi="Arial" w:cs="Arial"/>
                <w:b/>
              </w:rPr>
            </w:pPr>
          </w:p>
        </w:tc>
        <w:tc>
          <w:tcPr>
            <w:tcW w:w="1696" w:type="dxa"/>
            <w:tcBorders>
              <w:top w:val="single" w:sz="18" w:space="0" w:color="auto"/>
            </w:tcBorders>
          </w:tcPr>
          <w:p w14:paraId="235B1C3B" w14:textId="77777777" w:rsidR="00B801F4" w:rsidRPr="00B801F4" w:rsidRDefault="00B801F4" w:rsidP="00B801F4">
            <w:pPr>
              <w:jc w:val="left"/>
              <w:rPr>
                <w:rFonts w:ascii="Arial" w:hAnsi="Arial" w:cs="Arial"/>
                <w:b/>
              </w:rPr>
            </w:pPr>
          </w:p>
        </w:tc>
      </w:tr>
      <w:tr w:rsidR="00B801F4" w:rsidRPr="00B801F4" w14:paraId="42D0F1D7" w14:textId="77777777" w:rsidTr="00B801F4">
        <w:tc>
          <w:tcPr>
            <w:tcW w:w="5058" w:type="dxa"/>
          </w:tcPr>
          <w:p w14:paraId="139EE1AD" w14:textId="77777777" w:rsidR="00B801F4" w:rsidRPr="00B801F4" w:rsidRDefault="00B801F4" w:rsidP="00B801F4">
            <w:pPr>
              <w:ind w:left="-119"/>
              <w:jc w:val="left"/>
              <w:rPr>
                <w:rFonts w:ascii="Arial" w:hAnsi="Arial" w:cs="Arial"/>
                <w:b/>
              </w:rPr>
            </w:pPr>
          </w:p>
        </w:tc>
        <w:tc>
          <w:tcPr>
            <w:tcW w:w="1559" w:type="dxa"/>
          </w:tcPr>
          <w:p w14:paraId="51445AED" w14:textId="77777777" w:rsidR="00B801F4" w:rsidRPr="00B801F4" w:rsidRDefault="00B801F4" w:rsidP="00B801F4">
            <w:pPr>
              <w:jc w:val="left"/>
              <w:rPr>
                <w:rFonts w:ascii="Arial" w:hAnsi="Arial" w:cs="Arial"/>
                <w:b/>
              </w:rPr>
            </w:pPr>
          </w:p>
          <w:p w14:paraId="1487DD8B" w14:textId="77777777" w:rsidR="00B801F4" w:rsidRPr="00B801F4" w:rsidRDefault="00B801F4" w:rsidP="00B801F4">
            <w:pPr>
              <w:jc w:val="left"/>
              <w:rPr>
                <w:rFonts w:ascii="Arial" w:hAnsi="Arial" w:cs="Arial"/>
                <w:b/>
              </w:rPr>
            </w:pPr>
          </w:p>
        </w:tc>
        <w:tc>
          <w:tcPr>
            <w:tcW w:w="430" w:type="dxa"/>
          </w:tcPr>
          <w:p w14:paraId="3B4ADFBC" w14:textId="77777777" w:rsidR="00B801F4" w:rsidRPr="00B801F4" w:rsidRDefault="00B801F4" w:rsidP="00B801F4">
            <w:pPr>
              <w:jc w:val="left"/>
              <w:rPr>
                <w:rFonts w:ascii="Arial" w:hAnsi="Arial" w:cs="Arial"/>
                <w:b/>
              </w:rPr>
            </w:pPr>
          </w:p>
        </w:tc>
        <w:tc>
          <w:tcPr>
            <w:tcW w:w="1696" w:type="dxa"/>
          </w:tcPr>
          <w:p w14:paraId="4275F8A7" w14:textId="77777777" w:rsidR="00B801F4" w:rsidRPr="00B801F4" w:rsidRDefault="00B801F4" w:rsidP="00B801F4">
            <w:pPr>
              <w:jc w:val="left"/>
              <w:rPr>
                <w:rFonts w:ascii="Arial" w:hAnsi="Arial" w:cs="Arial"/>
                <w:b/>
              </w:rPr>
            </w:pPr>
          </w:p>
        </w:tc>
      </w:tr>
      <w:tr w:rsidR="00B801F4" w:rsidRPr="00B801F4" w14:paraId="6E203AAE" w14:textId="77777777" w:rsidTr="00B801F4">
        <w:tc>
          <w:tcPr>
            <w:tcW w:w="5058" w:type="dxa"/>
          </w:tcPr>
          <w:p w14:paraId="64DA9068" w14:textId="77777777" w:rsidR="00B801F4" w:rsidRPr="00B801F4" w:rsidRDefault="00B801F4" w:rsidP="00B801F4">
            <w:pPr>
              <w:spacing w:after="0"/>
              <w:ind w:left="-119"/>
              <w:jc w:val="left"/>
              <w:rPr>
                <w:rFonts w:ascii="Arial" w:hAnsi="Arial" w:cs="Arial"/>
                <w:b/>
              </w:rPr>
            </w:pPr>
            <w:r w:rsidRPr="00B801F4">
              <w:rPr>
                <w:rFonts w:ascii="Arial" w:hAnsi="Arial" w:cs="Arial"/>
                <w:b/>
              </w:rPr>
              <w:t>By type</w:t>
            </w:r>
          </w:p>
        </w:tc>
        <w:tc>
          <w:tcPr>
            <w:tcW w:w="1559" w:type="dxa"/>
          </w:tcPr>
          <w:p w14:paraId="2FE2D4AD" w14:textId="77777777" w:rsidR="00B801F4" w:rsidRPr="00B801F4" w:rsidRDefault="00B801F4" w:rsidP="00B801F4">
            <w:pPr>
              <w:spacing w:after="0"/>
              <w:jc w:val="right"/>
              <w:rPr>
                <w:rFonts w:ascii="Arial" w:hAnsi="Arial" w:cs="Arial"/>
                <w:b/>
              </w:rPr>
            </w:pPr>
            <w:r w:rsidRPr="00B801F4">
              <w:rPr>
                <w:rFonts w:ascii="Arial" w:hAnsi="Arial" w:cs="Arial"/>
                <w:b/>
              </w:rPr>
              <w:t>2014/15</w:t>
            </w:r>
          </w:p>
        </w:tc>
        <w:tc>
          <w:tcPr>
            <w:tcW w:w="430" w:type="dxa"/>
          </w:tcPr>
          <w:p w14:paraId="2C05C418" w14:textId="77777777" w:rsidR="00B801F4" w:rsidRPr="00B801F4" w:rsidRDefault="00B801F4" w:rsidP="00B801F4">
            <w:pPr>
              <w:spacing w:after="0"/>
              <w:jc w:val="right"/>
              <w:rPr>
                <w:rFonts w:ascii="Arial" w:hAnsi="Arial" w:cs="Arial"/>
                <w:b/>
              </w:rPr>
            </w:pPr>
          </w:p>
        </w:tc>
        <w:tc>
          <w:tcPr>
            <w:tcW w:w="1696" w:type="dxa"/>
          </w:tcPr>
          <w:p w14:paraId="74409EFD" w14:textId="77777777" w:rsidR="00B801F4" w:rsidRPr="00B801F4" w:rsidRDefault="00B801F4" w:rsidP="00B801F4">
            <w:pPr>
              <w:spacing w:after="0"/>
              <w:jc w:val="right"/>
              <w:rPr>
                <w:rFonts w:ascii="Arial" w:hAnsi="Arial" w:cs="Arial"/>
                <w:b/>
              </w:rPr>
            </w:pPr>
            <w:r w:rsidRPr="00B801F4">
              <w:rPr>
                <w:rFonts w:ascii="Arial" w:hAnsi="Arial" w:cs="Arial"/>
                <w:b/>
              </w:rPr>
              <w:t>2013/14</w:t>
            </w:r>
          </w:p>
        </w:tc>
      </w:tr>
      <w:tr w:rsidR="00B801F4" w:rsidRPr="00B801F4" w14:paraId="047FD430" w14:textId="77777777" w:rsidTr="00B801F4">
        <w:tc>
          <w:tcPr>
            <w:tcW w:w="5058" w:type="dxa"/>
          </w:tcPr>
          <w:p w14:paraId="65781F44" w14:textId="77777777" w:rsidR="00B801F4" w:rsidRPr="00B801F4" w:rsidRDefault="00B801F4" w:rsidP="00B801F4">
            <w:pPr>
              <w:spacing w:after="0"/>
              <w:ind w:left="-119"/>
              <w:jc w:val="left"/>
              <w:rPr>
                <w:rFonts w:ascii="Arial" w:hAnsi="Arial" w:cs="Arial"/>
                <w:b/>
              </w:rPr>
            </w:pPr>
          </w:p>
        </w:tc>
        <w:tc>
          <w:tcPr>
            <w:tcW w:w="1559" w:type="dxa"/>
          </w:tcPr>
          <w:p w14:paraId="4C546FDC"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Pr>
          <w:p w14:paraId="5E5423EF" w14:textId="77777777" w:rsidR="00B801F4" w:rsidRPr="00B801F4" w:rsidRDefault="00B801F4" w:rsidP="00B801F4">
            <w:pPr>
              <w:spacing w:after="0"/>
              <w:jc w:val="right"/>
              <w:rPr>
                <w:rFonts w:ascii="Arial" w:hAnsi="Arial" w:cs="Arial"/>
                <w:b/>
              </w:rPr>
            </w:pPr>
          </w:p>
        </w:tc>
        <w:tc>
          <w:tcPr>
            <w:tcW w:w="1696" w:type="dxa"/>
          </w:tcPr>
          <w:p w14:paraId="5CF37FEF"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7105D01E" w14:textId="77777777" w:rsidTr="00B801F4">
        <w:tc>
          <w:tcPr>
            <w:tcW w:w="5058" w:type="dxa"/>
          </w:tcPr>
          <w:p w14:paraId="36FBD92E" w14:textId="77777777" w:rsidR="00B801F4" w:rsidRPr="00B801F4" w:rsidRDefault="00B801F4" w:rsidP="00B801F4">
            <w:pPr>
              <w:ind w:left="-119"/>
              <w:jc w:val="left"/>
              <w:rPr>
                <w:rFonts w:ascii="Arial" w:hAnsi="Arial" w:cs="Arial"/>
              </w:rPr>
            </w:pPr>
            <w:r w:rsidRPr="00B801F4">
              <w:rPr>
                <w:rFonts w:ascii="Arial" w:hAnsi="Arial" w:cs="Arial"/>
              </w:rPr>
              <w:t>Employee's normal contributions</w:t>
            </w:r>
          </w:p>
        </w:tc>
        <w:tc>
          <w:tcPr>
            <w:tcW w:w="1559" w:type="dxa"/>
          </w:tcPr>
          <w:p w14:paraId="76C785D6" w14:textId="77777777" w:rsidR="00B801F4" w:rsidRPr="00B801F4" w:rsidRDefault="00B801F4" w:rsidP="00B801F4">
            <w:pPr>
              <w:jc w:val="right"/>
              <w:rPr>
                <w:rFonts w:ascii="Arial" w:hAnsi="Arial" w:cs="Arial"/>
              </w:rPr>
            </w:pPr>
            <w:r w:rsidRPr="00B801F4">
              <w:rPr>
                <w:rFonts w:ascii="Arial" w:hAnsi="Arial" w:cs="Arial"/>
              </w:rPr>
              <w:t>54.8</w:t>
            </w:r>
          </w:p>
        </w:tc>
        <w:tc>
          <w:tcPr>
            <w:tcW w:w="430" w:type="dxa"/>
          </w:tcPr>
          <w:p w14:paraId="5F66518F" w14:textId="77777777" w:rsidR="00B801F4" w:rsidRPr="00B801F4" w:rsidRDefault="00B801F4" w:rsidP="00B801F4">
            <w:pPr>
              <w:jc w:val="right"/>
              <w:rPr>
                <w:rFonts w:ascii="Arial" w:hAnsi="Arial" w:cs="Arial"/>
              </w:rPr>
            </w:pPr>
          </w:p>
        </w:tc>
        <w:tc>
          <w:tcPr>
            <w:tcW w:w="1696" w:type="dxa"/>
          </w:tcPr>
          <w:p w14:paraId="7353CDA9" w14:textId="77777777" w:rsidR="00B801F4" w:rsidRPr="00B801F4" w:rsidRDefault="00B801F4" w:rsidP="00B801F4">
            <w:pPr>
              <w:jc w:val="right"/>
              <w:rPr>
                <w:rFonts w:ascii="Arial" w:hAnsi="Arial" w:cs="Arial"/>
              </w:rPr>
            </w:pPr>
            <w:r w:rsidRPr="00B801F4">
              <w:rPr>
                <w:rFonts w:ascii="Arial" w:hAnsi="Arial" w:cs="Arial"/>
              </w:rPr>
              <w:t>54.0</w:t>
            </w:r>
          </w:p>
        </w:tc>
      </w:tr>
      <w:tr w:rsidR="00B801F4" w:rsidRPr="00B801F4" w14:paraId="064D0232" w14:textId="77777777" w:rsidTr="00B801F4">
        <w:tc>
          <w:tcPr>
            <w:tcW w:w="5058" w:type="dxa"/>
          </w:tcPr>
          <w:p w14:paraId="070DF554" w14:textId="77777777" w:rsidR="00B801F4" w:rsidRPr="00B801F4" w:rsidRDefault="00B801F4" w:rsidP="00B801F4">
            <w:pPr>
              <w:ind w:left="-119"/>
              <w:jc w:val="left"/>
              <w:rPr>
                <w:rFonts w:ascii="Arial" w:hAnsi="Arial" w:cs="Arial"/>
              </w:rPr>
            </w:pPr>
            <w:r w:rsidRPr="00B801F4">
              <w:rPr>
                <w:rFonts w:ascii="Arial" w:hAnsi="Arial" w:cs="Arial"/>
              </w:rPr>
              <w:t>Employer's contributions*</w:t>
            </w:r>
          </w:p>
        </w:tc>
        <w:tc>
          <w:tcPr>
            <w:tcW w:w="1559" w:type="dxa"/>
          </w:tcPr>
          <w:p w14:paraId="3D8956AE" w14:textId="77777777" w:rsidR="00B801F4" w:rsidRPr="00B801F4" w:rsidRDefault="00B801F4" w:rsidP="00B801F4">
            <w:pPr>
              <w:jc w:val="right"/>
              <w:rPr>
                <w:rFonts w:ascii="Arial" w:hAnsi="Arial" w:cs="Arial"/>
              </w:rPr>
            </w:pPr>
            <w:r w:rsidRPr="00B801F4">
              <w:rPr>
                <w:rFonts w:ascii="Arial" w:hAnsi="Arial" w:cs="Arial"/>
              </w:rPr>
              <w:t>171.7</w:t>
            </w:r>
          </w:p>
        </w:tc>
        <w:tc>
          <w:tcPr>
            <w:tcW w:w="430" w:type="dxa"/>
          </w:tcPr>
          <w:p w14:paraId="58CF2FC5" w14:textId="77777777" w:rsidR="00B801F4" w:rsidRPr="00B801F4" w:rsidRDefault="00B801F4" w:rsidP="00B801F4">
            <w:pPr>
              <w:jc w:val="right"/>
              <w:rPr>
                <w:rFonts w:ascii="Arial" w:hAnsi="Arial" w:cs="Arial"/>
              </w:rPr>
            </w:pPr>
          </w:p>
        </w:tc>
        <w:tc>
          <w:tcPr>
            <w:tcW w:w="1696" w:type="dxa"/>
          </w:tcPr>
          <w:p w14:paraId="1F687B40" w14:textId="77777777" w:rsidR="00B801F4" w:rsidRPr="00B801F4" w:rsidRDefault="00B801F4" w:rsidP="00B801F4">
            <w:pPr>
              <w:jc w:val="right"/>
              <w:rPr>
                <w:rFonts w:ascii="Arial" w:hAnsi="Arial" w:cs="Arial"/>
              </w:rPr>
            </w:pPr>
            <w:r w:rsidRPr="00B801F4">
              <w:rPr>
                <w:rFonts w:ascii="Arial" w:hAnsi="Arial" w:cs="Arial"/>
              </w:rPr>
              <w:t>154.6</w:t>
            </w:r>
          </w:p>
        </w:tc>
      </w:tr>
      <w:tr w:rsidR="00B801F4" w:rsidRPr="00B801F4" w14:paraId="259346A1" w14:textId="77777777" w:rsidTr="005E7EC8">
        <w:tc>
          <w:tcPr>
            <w:tcW w:w="5058" w:type="dxa"/>
          </w:tcPr>
          <w:p w14:paraId="5359F7A1" w14:textId="77777777" w:rsidR="00B801F4" w:rsidRPr="00B801F4" w:rsidRDefault="00B801F4" w:rsidP="00B801F4">
            <w:pPr>
              <w:ind w:left="-119"/>
              <w:jc w:val="left"/>
              <w:rPr>
                <w:rFonts w:ascii="Arial" w:hAnsi="Arial" w:cs="Arial"/>
                <w:vertAlign w:val="superscript"/>
              </w:rPr>
            </w:pPr>
            <w:r w:rsidRPr="00B801F4">
              <w:rPr>
                <w:rFonts w:ascii="Arial" w:hAnsi="Arial" w:cs="Arial"/>
              </w:rPr>
              <w:t>Employer's augmentation contributions</w:t>
            </w:r>
            <w:r w:rsidRPr="00B801F4">
              <w:rPr>
                <w:rFonts w:ascii="Arial" w:hAnsi="Arial" w:cs="Arial"/>
                <w:vertAlign w:val="superscript"/>
              </w:rPr>
              <w:t>**</w:t>
            </w:r>
          </w:p>
        </w:tc>
        <w:tc>
          <w:tcPr>
            <w:tcW w:w="1559" w:type="dxa"/>
            <w:tcBorders>
              <w:bottom w:val="single" w:sz="18" w:space="0" w:color="auto"/>
            </w:tcBorders>
          </w:tcPr>
          <w:p w14:paraId="3D7DAF8F" w14:textId="77777777" w:rsidR="00B801F4" w:rsidRPr="00B801F4" w:rsidRDefault="00B801F4" w:rsidP="00B801F4">
            <w:pPr>
              <w:jc w:val="right"/>
              <w:rPr>
                <w:rFonts w:ascii="Arial" w:hAnsi="Arial" w:cs="Arial"/>
              </w:rPr>
            </w:pPr>
            <w:r w:rsidRPr="00B801F4">
              <w:rPr>
                <w:rFonts w:ascii="Arial" w:hAnsi="Arial" w:cs="Arial"/>
              </w:rPr>
              <w:t>11.5</w:t>
            </w:r>
          </w:p>
        </w:tc>
        <w:tc>
          <w:tcPr>
            <w:tcW w:w="430" w:type="dxa"/>
            <w:tcBorders>
              <w:right w:val="single" w:sz="4" w:space="0" w:color="FFFFFF" w:themeColor="background1"/>
            </w:tcBorders>
          </w:tcPr>
          <w:p w14:paraId="19C4D326" w14:textId="77777777" w:rsidR="00B801F4" w:rsidRPr="00B801F4" w:rsidRDefault="00B801F4" w:rsidP="00B801F4">
            <w:pPr>
              <w:jc w:val="right"/>
              <w:rPr>
                <w:rFonts w:ascii="Arial" w:hAnsi="Arial" w:cs="Arial"/>
              </w:rPr>
            </w:pPr>
          </w:p>
        </w:tc>
        <w:tc>
          <w:tcPr>
            <w:tcW w:w="1696" w:type="dxa"/>
            <w:tcBorders>
              <w:left w:val="single" w:sz="4" w:space="0" w:color="FFFFFF" w:themeColor="background1"/>
              <w:bottom w:val="single" w:sz="18" w:space="0" w:color="auto"/>
            </w:tcBorders>
          </w:tcPr>
          <w:p w14:paraId="2EE5163F" w14:textId="77777777" w:rsidR="00B801F4" w:rsidRPr="00B801F4" w:rsidRDefault="00B801F4" w:rsidP="00B801F4">
            <w:pPr>
              <w:jc w:val="right"/>
              <w:rPr>
                <w:rFonts w:ascii="Arial" w:hAnsi="Arial" w:cs="Arial"/>
              </w:rPr>
            </w:pPr>
            <w:r w:rsidRPr="00B801F4">
              <w:rPr>
                <w:rFonts w:ascii="Arial" w:hAnsi="Arial" w:cs="Arial"/>
              </w:rPr>
              <w:t>5.4</w:t>
            </w:r>
          </w:p>
        </w:tc>
      </w:tr>
      <w:tr w:rsidR="00B801F4" w:rsidRPr="00B801F4" w14:paraId="0D5B8FE6" w14:textId="77777777" w:rsidTr="005E7EC8">
        <w:tc>
          <w:tcPr>
            <w:tcW w:w="5058" w:type="dxa"/>
          </w:tcPr>
          <w:p w14:paraId="1E095CDE" w14:textId="77777777" w:rsidR="00B801F4" w:rsidRPr="00B801F4" w:rsidRDefault="00B801F4" w:rsidP="00B801F4">
            <w:pPr>
              <w:ind w:left="-119"/>
              <w:jc w:val="left"/>
              <w:rPr>
                <w:rFonts w:ascii="Arial" w:hAnsi="Arial" w:cs="Arial"/>
              </w:rPr>
            </w:pPr>
          </w:p>
        </w:tc>
        <w:tc>
          <w:tcPr>
            <w:tcW w:w="1559" w:type="dxa"/>
            <w:tcBorders>
              <w:top w:val="single" w:sz="18" w:space="0" w:color="auto"/>
              <w:bottom w:val="single" w:sz="18" w:space="0" w:color="auto"/>
            </w:tcBorders>
          </w:tcPr>
          <w:p w14:paraId="683C63F9" w14:textId="77777777" w:rsidR="00B801F4" w:rsidRPr="00B801F4" w:rsidRDefault="00B801F4" w:rsidP="00B801F4">
            <w:pPr>
              <w:jc w:val="right"/>
              <w:rPr>
                <w:rFonts w:ascii="Arial" w:hAnsi="Arial" w:cs="Arial"/>
              </w:rPr>
            </w:pPr>
            <w:r w:rsidRPr="00B801F4">
              <w:rPr>
                <w:rFonts w:ascii="Arial" w:hAnsi="Arial" w:cs="Arial"/>
              </w:rPr>
              <w:t>238.0</w:t>
            </w:r>
          </w:p>
        </w:tc>
        <w:tc>
          <w:tcPr>
            <w:tcW w:w="430" w:type="dxa"/>
            <w:tcBorders>
              <w:right w:val="single" w:sz="4" w:space="0" w:color="FFFFFF" w:themeColor="background1"/>
            </w:tcBorders>
          </w:tcPr>
          <w:p w14:paraId="6FD4318E" w14:textId="77777777" w:rsidR="00B801F4" w:rsidRPr="00B801F4" w:rsidRDefault="00B801F4" w:rsidP="00B801F4">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3A7DF638" w14:textId="77777777" w:rsidR="00B801F4" w:rsidRPr="00B801F4" w:rsidRDefault="00B801F4" w:rsidP="00B801F4">
            <w:pPr>
              <w:jc w:val="right"/>
              <w:rPr>
                <w:rFonts w:ascii="Arial" w:hAnsi="Arial" w:cs="Arial"/>
              </w:rPr>
            </w:pPr>
            <w:r w:rsidRPr="00B801F4">
              <w:rPr>
                <w:rFonts w:ascii="Arial" w:hAnsi="Arial" w:cs="Arial"/>
              </w:rPr>
              <w:t>214.0</w:t>
            </w:r>
          </w:p>
        </w:tc>
      </w:tr>
    </w:tbl>
    <w:p w14:paraId="0CAC1DF5" w14:textId="77777777" w:rsidR="00B801F4" w:rsidRPr="00B801F4" w:rsidRDefault="00B801F4" w:rsidP="00B801F4">
      <w:pPr>
        <w:ind w:left="720"/>
        <w:jc w:val="left"/>
        <w:rPr>
          <w:rFonts w:cs="Arial"/>
        </w:rPr>
      </w:pPr>
    </w:p>
    <w:p w14:paraId="42060AB5" w14:textId="77777777" w:rsidR="00B801F4" w:rsidRPr="00B801F4" w:rsidRDefault="00B801F4" w:rsidP="00B801F4">
      <w:pPr>
        <w:ind w:left="720"/>
        <w:rPr>
          <w:rFonts w:cs="Arial"/>
        </w:rPr>
      </w:pPr>
      <w:r w:rsidRPr="00B801F4">
        <w:rPr>
          <w:rFonts w:cs="Arial"/>
          <w:vertAlign w:val="superscript"/>
        </w:rPr>
        <w:t xml:space="preserve">* </w:t>
      </w:r>
      <w:r w:rsidRPr="00B801F4">
        <w:rPr>
          <w:rFonts w:cs="Arial"/>
        </w:rPr>
        <w:t>2014/15 employer's contributions include £47.3m in respect of deficit contributions.</w:t>
      </w:r>
    </w:p>
    <w:p w14:paraId="7CD59F43" w14:textId="77777777" w:rsidR="00B801F4" w:rsidRPr="00B801F4" w:rsidRDefault="00B801F4" w:rsidP="00B801F4">
      <w:pPr>
        <w:ind w:left="720"/>
        <w:rPr>
          <w:rFonts w:cs="Arial"/>
        </w:rPr>
      </w:pPr>
      <w:r w:rsidRPr="00B801F4">
        <w:rPr>
          <w:rFonts w:cs="Arial"/>
          <w:vertAlign w:val="superscript"/>
        </w:rPr>
        <w:t>**</w:t>
      </w:r>
      <w:r w:rsidRPr="00B801F4">
        <w:rPr>
          <w:rFonts w:cs="Arial"/>
        </w:rPr>
        <w:t>Augmentation contributions comprise additional pension benefits awarded to scheme members in line with the general conditions of employment.</w:t>
      </w:r>
    </w:p>
    <w:p w14:paraId="2A4BC18E" w14:textId="77777777" w:rsidR="00B801F4" w:rsidRPr="00B801F4" w:rsidRDefault="00B801F4" w:rsidP="00B801F4">
      <w:pPr>
        <w:ind w:left="720"/>
        <w:rPr>
          <w:rFonts w:cs="Arial"/>
        </w:rPr>
      </w:pPr>
      <w:r w:rsidRPr="00B801F4">
        <w:rPr>
          <w:rFonts w:cs="Arial"/>
        </w:rPr>
        <w:t xml:space="preserve">Within the employee contributions figure for 2014/15, £0.4m is voluntary and additional regular contributions.  </w:t>
      </w:r>
      <w:r w:rsidRPr="00B801F4">
        <w:t>(2013/14: £0.4m)</w:t>
      </w:r>
    </w:p>
    <w:p w14:paraId="374D33F0" w14:textId="77777777" w:rsidR="00B801F4" w:rsidRPr="00B801F4" w:rsidRDefault="00B801F4" w:rsidP="00B801F4">
      <w:pPr>
        <w:ind w:left="720"/>
        <w:jc w:val="left"/>
        <w:rPr>
          <w:rFonts w:cs="Arial"/>
        </w:rPr>
      </w:pPr>
    </w:p>
    <w:p w14:paraId="27CE3F60" w14:textId="77777777" w:rsidR="00B801F4" w:rsidRPr="00B801F4" w:rsidRDefault="00B801F4" w:rsidP="00B801F4">
      <w:pPr>
        <w:ind w:left="720"/>
        <w:jc w:val="left"/>
      </w:pPr>
    </w:p>
    <w:p w14:paraId="2E6220C4" w14:textId="77777777" w:rsidR="00B801F4" w:rsidRPr="00B801F4" w:rsidRDefault="00B801F4" w:rsidP="00717919">
      <w:pPr>
        <w:numPr>
          <w:ilvl w:val="0"/>
          <w:numId w:val="73"/>
        </w:numPr>
        <w:autoSpaceDE/>
        <w:autoSpaceDN/>
        <w:adjustRightInd/>
        <w:spacing w:after="0"/>
        <w:ind w:left="862"/>
        <w:contextualSpacing/>
        <w:jc w:val="left"/>
        <w:rPr>
          <w:b/>
          <w:sz w:val="32"/>
          <w:szCs w:val="32"/>
        </w:rPr>
      </w:pPr>
      <w:r w:rsidRPr="00B801F4">
        <w:rPr>
          <w:b/>
          <w:sz w:val="32"/>
          <w:szCs w:val="32"/>
        </w:rPr>
        <w:t>Transfers in from other Pension  Funds</w:t>
      </w:r>
    </w:p>
    <w:p w14:paraId="058FBF58" w14:textId="77777777" w:rsidR="00B801F4" w:rsidRPr="00B801F4" w:rsidRDefault="00B801F4" w:rsidP="00B801F4">
      <w:pPr>
        <w:autoSpaceDE/>
        <w:autoSpaceDN/>
        <w:adjustRightInd/>
        <w:spacing w:after="0"/>
        <w:ind w:left="862"/>
        <w:contextualSpacing/>
        <w:jc w:val="left"/>
        <w:rPr>
          <w:b/>
          <w:sz w:val="32"/>
          <w:szCs w:val="32"/>
        </w:rPr>
      </w:pP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801F4" w:rsidRPr="00B801F4" w14:paraId="02CB2D81" w14:textId="77777777" w:rsidTr="00B801F4">
        <w:tc>
          <w:tcPr>
            <w:tcW w:w="5058" w:type="dxa"/>
          </w:tcPr>
          <w:p w14:paraId="76AC5906" w14:textId="77777777" w:rsidR="00B801F4" w:rsidRPr="00B801F4" w:rsidRDefault="00B801F4" w:rsidP="00B801F4">
            <w:pPr>
              <w:spacing w:after="0"/>
              <w:jc w:val="left"/>
              <w:rPr>
                <w:rFonts w:ascii="Arial" w:hAnsi="Arial" w:cs="Arial"/>
                <w:b/>
              </w:rPr>
            </w:pPr>
          </w:p>
        </w:tc>
        <w:tc>
          <w:tcPr>
            <w:tcW w:w="1559" w:type="dxa"/>
          </w:tcPr>
          <w:p w14:paraId="4CE03503" w14:textId="77777777" w:rsidR="00B801F4" w:rsidRPr="00B801F4" w:rsidRDefault="00B801F4" w:rsidP="00B801F4">
            <w:pPr>
              <w:spacing w:after="0"/>
              <w:jc w:val="right"/>
              <w:rPr>
                <w:rFonts w:ascii="Arial" w:hAnsi="Arial" w:cs="Arial"/>
                <w:b/>
              </w:rPr>
            </w:pPr>
            <w:r w:rsidRPr="00B801F4">
              <w:rPr>
                <w:rFonts w:ascii="Arial" w:hAnsi="Arial" w:cs="Arial"/>
                <w:b/>
              </w:rPr>
              <w:t>2014/15</w:t>
            </w:r>
          </w:p>
          <w:p w14:paraId="505E9B6A"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587D1DDA" w14:textId="77777777" w:rsidR="00B801F4" w:rsidRPr="00B801F4" w:rsidRDefault="00B801F4" w:rsidP="00B801F4">
            <w:pPr>
              <w:spacing w:after="0"/>
              <w:jc w:val="right"/>
              <w:rPr>
                <w:rFonts w:ascii="Arial" w:hAnsi="Arial" w:cs="Arial"/>
                <w:b/>
              </w:rPr>
            </w:pPr>
          </w:p>
          <w:p w14:paraId="52EF270F" w14:textId="77777777" w:rsidR="00B801F4" w:rsidRPr="00B801F4" w:rsidRDefault="00B801F4" w:rsidP="00B801F4">
            <w:pPr>
              <w:spacing w:after="0"/>
              <w:jc w:val="right"/>
              <w:rPr>
                <w:rFonts w:ascii="Arial" w:hAnsi="Arial" w:cs="Arial"/>
                <w:b/>
              </w:rPr>
            </w:pPr>
          </w:p>
        </w:tc>
        <w:tc>
          <w:tcPr>
            <w:tcW w:w="1696" w:type="dxa"/>
            <w:tcBorders>
              <w:left w:val="single" w:sz="4" w:space="0" w:color="FFFFFF" w:themeColor="background1"/>
            </w:tcBorders>
          </w:tcPr>
          <w:p w14:paraId="3BBA55BF" w14:textId="77777777" w:rsidR="00B801F4" w:rsidRPr="00B801F4" w:rsidRDefault="00B801F4" w:rsidP="00B801F4">
            <w:pPr>
              <w:spacing w:after="0"/>
              <w:jc w:val="right"/>
              <w:rPr>
                <w:rFonts w:ascii="Arial" w:hAnsi="Arial" w:cs="Arial"/>
                <w:b/>
              </w:rPr>
            </w:pPr>
            <w:r w:rsidRPr="00B801F4">
              <w:rPr>
                <w:rFonts w:ascii="Arial" w:hAnsi="Arial" w:cs="Arial"/>
                <w:b/>
              </w:rPr>
              <w:t>2013/14</w:t>
            </w:r>
          </w:p>
          <w:p w14:paraId="76785E6B"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5741ABBB" w14:textId="77777777" w:rsidTr="005E7EC8">
        <w:tc>
          <w:tcPr>
            <w:tcW w:w="5058" w:type="dxa"/>
          </w:tcPr>
          <w:p w14:paraId="479D6071" w14:textId="77777777" w:rsidR="00B801F4" w:rsidRPr="00B801F4" w:rsidRDefault="00B801F4" w:rsidP="00B801F4">
            <w:pPr>
              <w:jc w:val="left"/>
              <w:rPr>
                <w:rFonts w:ascii="Arial" w:hAnsi="Arial" w:cs="Arial"/>
              </w:rPr>
            </w:pPr>
            <w:r w:rsidRPr="00B801F4">
              <w:rPr>
                <w:rFonts w:ascii="Arial" w:hAnsi="Arial" w:cs="Arial"/>
              </w:rPr>
              <w:t>Individual transfers in from other schemes</w:t>
            </w:r>
          </w:p>
        </w:tc>
        <w:tc>
          <w:tcPr>
            <w:tcW w:w="1559" w:type="dxa"/>
            <w:tcBorders>
              <w:bottom w:val="single" w:sz="18" w:space="0" w:color="auto"/>
            </w:tcBorders>
          </w:tcPr>
          <w:p w14:paraId="7B8999D4" w14:textId="77777777" w:rsidR="00B801F4" w:rsidRPr="00B801F4" w:rsidRDefault="00B801F4" w:rsidP="00B801F4">
            <w:pPr>
              <w:jc w:val="right"/>
              <w:rPr>
                <w:rFonts w:ascii="Arial" w:hAnsi="Arial" w:cs="Arial"/>
              </w:rPr>
            </w:pPr>
            <w:r w:rsidRPr="00B801F4">
              <w:rPr>
                <w:rFonts w:ascii="Arial" w:hAnsi="Arial" w:cs="Arial"/>
              </w:rPr>
              <w:t>4.8</w:t>
            </w:r>
          </w:p>
        </w:tc>
        <w:tc>
          <w:tcPr>
            <w:tcW w:w="430" w:type="dxa"/>
            <w:tcBorders>
              <w:right w:val="single" w:sz="4" w:space="0" w:color="FFFFFF" w:themeColor="background1"/>
            </w:tcBorders>
          </w:tcPr>
          <w:p w14:paraId="68DF557F" w14:textId="77777777" w:rsidR="00B801F4" w:rsidRPr="00B801F4" w:rsidRDefault="00B801F4" w:rsidP="00B801F4">
            <w:pPr>
              <w:jc w:val="right"/>
              <w:rPr>
                <w:rFonts w:ascii="Arial" w:hAnsi="Arial" w:cs="Arial"/>
              </w:rPr>
            </w:pPr>
          </w:p>
        </w:tc>
        <w:tc>
          <w:tcPr>
            <w:tcW w:w="1696" w:type="dxa"/>
            <w:tcBorders>
              <w:left w:val="single" w:sz="4" w:space="0" w:color="FFFFFF" w:themeColor="background1"/>
              <w:bottom w:val="single" w:sz="18" w:space="0" w:color="auto"/>
            </w:tcBorders>
          </w:tcPr>
          <w:p w14:paraId="5ADFD029" w14:textId="77777777" w:rsidR="00B801F4" w:rsidRPr="00B801F4" w:rsidRDefault="00B801F4" w:rsidP="00B801F4">
            <w:pPr>
              <w:jc w:val="right"/>
              <w:rPr>
                <w:rFonts w:ascii="Arial" w:hAnsi="Arial" w:cs="Arial"/>
              </w:rPr>
            </w:pPr>
            <w:r w:rsidRPr="00B801F4">
              <w:rPr>
                <w:rFonts w:ascii="Arial" w:hAnsi="Arial" w:cs="Arial"/>
              </w:rPr>
              <w:t>7.1</w:t>
            </w:r>
          </w:p>
        </w:tc>
      </w:tr>
      <w:tr w:rsidR="00B801F4" w:rsidRPr="00B801F4" w14:paraId="7C3E4DD7" w14:textId="77777777" w:rsidTr="005E7EC8">
        <w:tc>
          <w:tcPr>
            <w:tcW w:w="5058" w:type="dxa"/>
          </w:tcPr>
          <w:p w14:paraId="0D6601EC" w14:textId="77777777" w:rsidR="00B801F4" w:rsidRPr="00B801F4" w:rsidRDefault="00B801F4" w:rsidP="00B801F4">
            <w:pPr>
              <w:jc w:val="left"/>
              <w:rPr>
                <w:rFonts w:ascii="Arial" w:hAnsi="Arial" w:cs="Arial"/>
              </w:rPr>
            </w:pPr>
          </w:p>
        </w:tc>
        <w:tc>
          <w:tcPr>
            <w:tcW w:w="1559" w:type="dxa"/>
            <w:tcBorders>
              <w:top w:val="single" w:sz="18" w:space="0" w:color="auto"/>
              <w:bottom w:val="single" w:sz="18" w:space="0" w:color="auto"/>
            </w:tcBorders>
          </w:tcPr>
          <w:p w14:paraId="1D647E2C" w14:textId="77777777" w:rsidR="00B801F4" w:rsidRPr="00B801F4" w:rsidRDefault="00B801F4" w:rsidP="00B801F4">
            <w:pPr>
              <w:jc w:val="right"/>
              <w:rPr>
                <w:rFonts w:ascii="Arial" w:hAnsi="Arial" w:cs="Arial"/>
              </w:rPr>
            </w:pPr>
            <w:r w:rsidRPr="00B801F4">
              <w:rPr>
                <w:rFonts w:ascii="Arial" w:hAnsi="Arial" w:cs="Arial"/>
              </w:rPr>
              <w:t>4.8</w:t>
            </w:r>
          </w:p>
        </w:tc>
        <w:tc>
          <w:tcPr>
            <w:tcW w:w="430" w:type="dxa"/>
            <w:tcBorders>
              <w:right w:val="single" w:sz="4" w:space="0" w:color="FFFFFF" w:themeColor="background1"/>
            </w:tcBorders>
          </w:tcPr>
          <w:p w14:paraId="334923BE" w14:textId="77777777" w:rsidR="00B801F4" w:rsidRPr="00B801F4" w:rsidRDefault="00B801F4" w:rsidP="00B801F4">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17ED0DFC" w14:textId="77777777" w:rsidR="00B801F4" w:rsidRPr="00B801F4" w:rsidRDefault="00B801F4" w:rsidP="00B801F4">
            <w:pPr>
              <w:jc w:val="right"/>
              <w:rPr>
                <w:rFonts w:ascii="Arial" w:hAnsi="Arial" w:cs="Arial"/>
              </w:rPr>
            </w:pPr>
            <w:r w:rsidRPr="00B801F4">
              <w:rPr>
                <w:rFonts w:ascii="Arial" w:hAnsi="Arial" w:cs="Arial"/>
              </w:rPr>
              <w:t>7.1</w:t>
            </w:r>
          </w:p>
        </w:tc>
      </w:tr>
    </w:tbl>
    <w:p w14:paraId="7D3D3460" w14:textId="77777777" w:rsidR="00B801F4" w:rsidRPr="00B801F4" w:rsidRDefault="00B801F4" w:rsidP="00B801F4">
      <w:pPr>
        <w:tabs>
          <w:tab w:val="left" w:pos="709"/>
        </w:tabs>
        <w:ind w:left="709"/>
        <w:jc w:val="left"/>
        <w:rPr>
          <w:rFonts w:cs="Arial"/>
        </w:rPr>
      </w:pPr>
      <w:r w:rsidRPr="00B801F4">
        <w:rPr>
          <w:rFonts w:cs="Arial"/>
        </w:rPr>
        <w:t xml:space="preserve"> </w:t>
      </w:r>
    </w:p>
    <w:p w14:paraId="300F5012" w14:textId="77777777" w:rsidR="00B801F4" w:rsidRDefault="00B801F4" w:rsidP="00B801F4">
      <w:pPr>
        <w:tabs>
          <w:tab w:val="left" w:pos="709"/>
        </w:tabs>
        <w:ind w:left="709"/>
        <w:jc w:val="left"/>
        <w:rPr>
          <w:rFonts w:cs="Arial"/>
        </w:rPr>
      </w:pPr>
    </w:p>
    <w:p w14:paraId="567F8C7E" w14:textId="77777777" w:rsidR="00B801F4" w:rsidRPr="00B801F4" w:rsidRDefault="00B801F4" w:rsidP="00717919">
      <w:pPr>
        <w:numPr>
          <w:ilvl w:val="0"/>
          <w:numId w:val="73"/>
        </w:numPr>
        <w:autoSpaceDE/>
        <w:autoSpaceDN/>
        <w:adjustRightInd/>
        <w:spacing w:after="0"/>
        <w:ind w:left="862"/>
        <w:jc w:val="left"/>
        <w:rPr>
          <w:rFonts w:cs="Arial"/>
          <w:sz w:val="32"/>
          <w:szCs w:val="32"/>
        </w:rPr>
      </w:pPr>
      <w:r w:rsidRPr="00B801F4">
        <w:rPr>
          <w:rFonts w:cs="Arial"/>
          <w:b/>
          <w:sz w:val="32"/>
          <w:szCs w:val="32"/>
        </w:rPr>
        <w:t>Benefits payable</w:t>
      </w: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1685"/>
        <w:gridCol w:w="1565"/>
        <w:gridCol w:w="423"/>
        <w:gridCol w:w="1674"/>
        <w:gridCol w:w="1152"/>
      </w:tblGrid>
      <w:tr w:rsidR="00B801F4" w:rsidRPr="00B801F4" w14:paraId="0CDBF889" w14:textId="77777777" w:rsidTr="00B801F4">
        <w:trPr>
          <w:gridAfter w:val="1"/>
          <w:wAfter w:w="1195" w:type="dxa"/>
        </w:trPr>
        <w:tc>
          <w:tcPr>
            <w:tcW w:w="5058" w:type="dxa"/>
            <w:gridSpan w:val="2"/>
          </w:tcPr>
          <w:p w14:paraId="763DA253" w14:textId="77777777" w:rsidR="00B801F4" w:rsidRPr="00B801F4" w:rsidRDefault="00B801F4" w:rsidP="00B801F4">
            <w:pPr>
              <w:spacing w:after="0"/>
              <w:jc w:val="left"/>
              <w:rPr>
                <w:rFonts w:ascii="Arial" w:hAnsi="Arial" w:cs="Arial"/>
                <w:b/>
              </w:rPr>
            </w:pPr>
          </w:p>
        </w:tc>
        <w:tc>
          <w:tcPr>
            <w:tcW w:w="1583" w:type="dxa"/>
          </w:tcPr>
          <w:p w14:paraId="35894137" w14:textId="77777777" w:rsidR="00B801F4" w:rsidRPr="00B801F4" w:rsidRDefault="00B801F4" w:rsidP="00B801F4">
            <w:pPr>
              <w:jc w:val="left"/>
              <w:rPr>
                <w:rFonts w:ascii="Arial" w:hAnsi="Arial" w:cs="Arial"/>
                <w:b/>
              </w:rPr>
            </w:pPr>
          </w:p>
        </w:tc>
        <w:tc>
          <w:tcPr>
            <w:tcW w:w="430" w:type="dxa"/>
            <w:tcBorders>
              <w:right w:val="single" w:sz="4" w:space="0" w:color="FFFFFF" w:themeColor="background1"/>
            </w:tcBorders>
          </w:tcPr>
          <w:p w14:paraId="6D97A695" w14:textId="77777777" w:rsidR="00B801F4" w:rsidRPr="00B801F4" w:rsidRDefault="00B801F4" w:rsidP="00B801F4">
            <w:pPr>
              <w:jc w:val="left"/>
              <w:rPr>
                <w:rFonts w:ascii="Arial" w:hAnsi="Arial" w:cs="Arial"/>
                <w:b/>
              </w:rPr>
            </w:pPr>
          </w:p>
        </w:tc>
        <w:tc>
          <w:tcPr>
            <w:tcW w:w="1696" w:type="dxa"/>
            <w:tcBorders>
              <w:left w:val="single" w:sz="4" w:space="0" w:color="FFFFFF" w:themeColor="background1"/>
            </w:tcBorders>
          </w:tcPr>
          <w:p w14:paraId="6DDE8688" w14:textId="77777777" w:rsidR="00B801F4" w:rsidRPr="00B801F4" w:rsidRDefault="00B801F4" w:rsidP="00B801F4">
            <w:pPr>
              <w:jc w:val="left"/>
              <w:rPr>
                <w:rFonts w:ascii="Arial" w:hAnsi="Arial" w:cs="Arial"/>
                <w:b/>
              </w:rPr>
            </w:pPr>
          </w:p>
        </w:tc>
      </w:tr>
      <w:tr w:rsidR="00B801F4" w:rsidRPr="00B801F4" w14:paraId="1590C5E9" w14:textId="77777777" w:rsidTr="00B801F4">
        <w:trPr>
          <w:gridAfter w:val="1"/>
          <w:wAfter w:w="1195" w:type="dxa"/>
        </w:trPr>
        <w:tc>
          <w:tcPr>
            <w:tcW w:w="5058" w:type="dxa"/>
            <w:gridSpan w:val="2"/>
          </w:tcPr>
          <w:p w14:paraId="6DDA4D40" w14:textId="77777777" w:rsidR="00B801F4" w:rsidRPr="00B801F4" w:rsidRDefault="00B801F4" w:rsidP="00B801F4">
            <w:pPr>
              <w:spacing w:after="0"/>
              <w:jc w:val="left"/>
              <w:rPr>
                <w:rFonts w:ascii="Arial" w:hAnsi="Arial" w:cs="Arial"/>
                <w:b/>
              </w:rPr>
            </w:pPr>
            <w:r w:rsidRPr="00B801F4">
              <w:rPr>
                <w:rFonts w:ascii="Arial" w:hAnsi="Arial" w:cs="Arial"/>
                <w:b/>
              </w:rPr>
              <w:t>By category</w:t>
            </w:r>
          </w:p>
        </w:tc>
        <w:tc>
          <w:tcPr>
            <w:tcW w:w="1583" w:type="dxa"/>
          </w:tcPr>
          <w:p w14:paraId="6AD273E7" w14:textId="77777777" w:rsidR="00B801F4" w:rsidRPr="00B801F4" w:rsidRDefault="00B801F4" w:rsidP="008D0533">
            <w:pPr>
              <w:spacing w:after="0"/>
              <w:jc w:val="right"/>
              <w:rPr>
                <w:rFonts w:ascii="Arial" w:hAnsi="Arial" w:cs="Arial"/>
                <w:b/>
              </w:rPr>
            </w:pPr>
            <w:r w:rsidRPr="00B801F4">
              <w:rPr>
                <w:rFonts w:ascii="Arial" w:hAnsi="Arial" w:cs="Arial"/>
                <w:b/>
              </w:rPr>
              <w:t>2014/15</w:t>
            </w:r>
          </w:p>
          <w:p w14:paraId="26B5553D" w14:textId="77777777" w:rsidR="00B801F4" w:rsidRPr="00B801F4" w:rsidRDefault="00B801F4" w:rsidP="008D0533">
            <w:pPr>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1593C36E" w14:textId="77777777" w:rsidR="00B801F4" w:rsidRPr="00B801F4" w:rsidRDefault="00B801F4" w:rsidP="008D0533">
            <w:pPr>
              <w:spacing w:after="0"/>
              <w:jc w:val="right"/>
              <w:rPr>
                <w:rFonts w:ascii="Arial" w:hAnsi="Arial" w:cs="Arial"/>
                <w:b/>
              </w:rPr>
            </w:pPr>
          </w:p>
          <w:p w14:paraId="60BD0443" w14:textId="77777777" w:rsidR="00B801F4" w:rsidRPr="00B801F4" w:rsidRDefault="00B801F4" w:rsidP="008D0533">
            <w:pPr>
              <w:spacing w:after="0"/>
              <w:jc w:val="right"/>
              <w:rPr>
                <w:rFonts w:ascii="Arial" w:hAnsi="Arial" w:cs="Arial"/>
                <w:b/>
              </w:rPr>
            </w:pPr>
          </w:p>
        </w:tc>
        <w:tc>
          <w:tcPr>
            <w:tcW w:w="1696" w:type="dxa"/>
            <w:tcBorders>
              <w:left w:val="single" w:sz="4" w:space="0" w:color="FFFFFF" w:themeColor="background1"/>
            </w:tcBorders>
          </w:tcPr>
          <w:p w14:paraId="4E596C1C" w14:textId="77777777" w:rsidR="00B801F4" w:rsidRPr="00B801F4" w:rsidRDefault="00B801F4" w:rsidP="008D0533">
            <w:pPr>
              <w:spacing w:after="0"/>
              <w:jc w:val="right"/>
              <w:rPr>
                <w:rFonts w:ascii="Arial" w:hAnsi="Arial" w:cs="Arial"/>
                <w:b/>
              </w:rPr>
            </w:pPr>
            <w:r w:rsidRPr="00B801F4">
              <w:rPr>
                <w:rFonts w:ascii="Arial" w:hAnsi="Arial" w:cs="Arial"/>
                <w:b/>
              </w:rPr>
              <w:t>2013/14</w:t>
            </w:r>
          </w:p>
          <w:p w14:paraId="57954BFB" w14:textId="77777777" w:rsidR="00B801F4" w:rsidRPr="00B801F4" w:rsidRDefault="00B801F4" w:rsidP="008D0533">
            <w:pPr>
              <w:spacing w:after="0"/>
              <w:jc w:val="right"/>
              <w:rPr>
                <w:rFonts w:ascii="Arial" w:hAnsi="Arial" w:cs="Arial"/>
                <w:b/>
              </w:rPr>
            </w:pPr>
            <w:r w:rsidRPr="00B801F4">
              <w:rPr>
                <w:rFonts w:ascii="Arial" w:hAnsi="Arial" w:cs="Arial"/>
                <w:b/>
              </w:rPr>
              <w:t>£m</w:t>
            </w:r>
          </w:p>
        </w:tc>
      </w:tr>
      <w:tr w:rsidR="00B801F4" w:rsidRPr="00B801F4" w14:paraId="3B0AB29E" w14:textId="77777777" w:rsidTr="00B801F4">
        <w:trPr>
          <w:gridAfter w:val="1"/>
          <w:wAfter w:w="1195" w:type="dxa"/>
        </w:trPr>
        <w:tc>
          <w:tcPr>
            <w:tcW w:w="5058" w:type="dxa"/>
            <w:gridSpan w:val="2"/>
          </w:tcPr>
          <w:p w14:paraId="6E053A6F" w14:textId="77777777" w:rsidR="00B801F4" w:rsidRPr="00B801F4" w:rsidRDefault="00B801F4" w:rsidP="00B801F4">
            <w:pPr>
              <w:jc w:val="left"/>
              <w:rPr>
                <w:rFonts w:ascii="Arial" w:hAnsi="Arial" w:cs="Arial"/>
              </w:rPr>
            </w:pPr>
            <w:r w:rsidRPr="00B801F4">
              <w:rPr>
                <w:rFonts w:ascii="Arial" w:hAnsi="Arial" w:cs="Arial"/>
              </w:rPr>
              <w:t>Pensions</w:t>
            </w:r>
          </w:p>
        </w:tc>
        <w:tc>
          <w:tcPr>
            <w:tcW w:w="1583" w:type="dxa"/>
          </w:tcPr>
          <w:p w14:paraId="599F9667" w14:textId="77777777" w:rsidR="00B801F4" w:rsidRPr="00B801F4" w:rsidRDefault="00B801F4" w:rsidP="008D0533">
            <w:pPr>
              <w:jc w:val="right"/>
              <w:rPr>
                <w:rFonts w:ascii="Arial" w:hAnsi="Arial" w:cs="Arial"/>
              </w:rPr>
            </w:pPr>
            <w:r w:rsidRPr="00B801F4">
              <w:rPr>
                <w:rFonts w:ascii="Arial" w:hAnsi="Arial" w:cs="Arial"/>
              </w:rPr>
              <w:t>192.0</w:t>
            </w:r>
          </w:p>
        </w:tc>
        <w:tc>
          <w:tcPr>
            <w:tcW w:w="430" w:type="dxa"/>
            <w:tcBorders>
              <w:right w:val="single" w:sz="4" w:space="0" w:color="FFFFFF" w:themeColor="background1"/>
            </w:tcBorders>
          </w:tcPr>
          <w:p w14:paraId="5A59E4C7" w14:textId="77777777" w:rsidR="00B801F4" w:rsidRPr="00B801F4" w:rsidRDefault="00B801F4" w:rsidP="008D0533">
            <w:pPr>
              <w:jc w:val="right"/>
              <w:rPr>
                <w:rFonts w:ascii="Arial" w:hAnsi="Arial" w:cs="Arial"/>
              </w:rPr>
            </w:pPr>
          </w:p>
        </w:tc>
        <w:tc>
          <w:tcPr>
            <w:tcW w:w="1696" w:type="dxa"/>
            <w:tcBorders>
              <w:left w:val="single" w:sz="4" w:space="0" w:color="FFFFFF" w:themeColor="background1"/>
            </w:tcBorders>
          </w:tcPr>
          <w:p w14:paraId="45AA8DB2" w14:textId="77777777" w:rsidR="00B801F4" w:rsidRPr="00B801F4" w:rsidRDefault="00B801F4" w:rsidP="008D0533">
            <w:pPr>
              <w:jc w:val="right"/>
              <w:rPr>
                <w:rFonts w:ascii="Arial" w:hAnsi="Arial" w:cs="Arial"/>
              </w:rPr>
            </w:pPr>
            <w:r w:rsidRPr="00B801F4">
              <w:rPr>
                <w:rFonts w:ascii="Arial" w:hAnsi="Arial" w:cs="Arial"/>
              </w:rPr>
              <w:t>183.9</w:t>
            </w:r>
          </w:p>
        </w:tc>
      </w:tr>
      <w:tr w:rsidR="00B801F4" w:rsidRPr="00B801F4" w14:paraId="30EB0786" w14:textId="77777777" w:rsidTr="00B801F4">
        <w:trPr>
          <w:gridAfter w:val="1"/>
          <w:wAfter w:w="1195" w:type="dxa"/>
        </w:trPr>
        <w:tc>
          <w:tcPr>
            <w:tcW w:w="5058" w:type="dxa"/>
            <w:gridSpan w:val="2"/>
          </w:tcPr>
          <w:p w14:paraId="24731FC8" w14:textId="77777777" w:rsidR="00B801F4" w:rsidRPr="00B801F4" w:rsidRDefault="00B801F4" w:rsidP="00B801F4">
            <w:pPr>
              <w:rPr>
                <w:rFonts w:ascii="Arial" w:hAnsi="Arial" w:cs="Arial"/>
              </w:rPr>
            </w:pPr>
            <w:r w:rsidRPr="00B801F4">
              <w:rPr>
                <w:rFonts w:ascii="Arial" w:hAnsi="Arial" w:cs="Arial"/>
              </w:rPr>
              <w:t>Lump sum retirement benefits</w:t>
            </w:r>
          </w:p>
        </w:tc>
        <w:tc>
          <w:tcPr>
            <w:tcW w:w="1583" w:type="dxa"/>
          </w:tcPr>
          <w:p w14:paraId="6F9700F6" w14:textId="77777777" w:rsidR="00B801F4" w:rsidRPr="00B801F4" w:rsidRDefault="00B801F4" w:rsidP="00B801F4">
            <w:pPr>
              <w:jc w:val="right"/>
              <w:rPr>
                <w:rFonts w:ascii="Arial" w:hAnsi="Arial" w:cs="Arial"/>
              </w:rPr>
            </w:pPr>
            <w:r w:rsidRPr="00B801F4">
              <w:rPr>
                <w:rFonts w:ascii="Arial" w:hAnsi="Arial" w:cs="Arial"/>
              </w:rPr>
              <w:t>41.7</w:t>
            </w:r>
          </w:p>
        </w:tc>
        <w:tc>
          <w:tcPr>
            <w:tcW w:w="430" w:type="dxa"/>
            <w:tcBorders>
              <w:right w:val="single" w:sz="4" w:space="0" w:color="FFFFFF" w:themeColor="background1"/>
            </w:tcBorders>
          </w:tcPr>
          <w:p w14:paraId="0F0CDE3F"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7BB6DA8B" w14:textId="77777777" w:rsidR="00B801F4" w:rsidRPr="00B801F4" w:rsidRDefault="00B801F4" w:rsidP="00B801F4">
            <w:pPr>
              <w:jc w:val="right"/>
              <w:rPr>
                <w:rFonts w:ascii="Arial" w:hAnsi="Arial" w:cs="Arial"/>
              </w:rPr>
            </w:pPr>
            <w:r w:rsidRPr="00B801F4">
              <w:rPr>
                <w:rFonts w:ascii="Arial" w:hAnsi="Arial" w:cs="Arial"/>
              </w:rPr>
              <w:t>33.2</w:t>
            </w:r>
          </w:p>
        </w:tc>
      </w:tr>
      <w:tr w:rsidR="00B801F4" w:rsidRPr="00B801F4" w14:paraId="6A300B4C" w14:textId="77777777" w:rsidTr="00B801F4">
        <w:trPr>
          <w:gridAfter w:val="1"/>
          <w:wAfter w:w="1195" w:type="dxa"/>
        </w:trPr>
        <w:tc>
          <w:tcPr>
            <w:tcW w:w="5058" w:type="dxa"/>
            <w:gridSpan w:val="2"/>
          </w:tcPr>
          <w:p w14:paraId="438C716D" w14:textId="77777777" w:rsidR="00B801F4" w:rsidRPr="00B801F4" w:rsidRDefault="00B801F4" w:rsidP="00B801F4">
            <w:pPr>
              <w:rPr>
                <w:rFonts w:ascii="Arial" w:hAnsi="Arial" w:cs="Arial"/>
              </w:rPr>
            </w:pPr>
            <w:r w:rsidRPr="00B801F4">
              <w:rPr>
                <w:rFonts w:ascii="Arial" w:hAnsi="Arial" w:cs="Arial"/>
              </w:rPr>
              <w:t>Lump sum death benefits</w:t>
            </w:r>
          </w:p>
        </w:tc>
        <w:tc>
          <w:tcPr>
            <w:tcW w:w="1583" w:type="dxa"/>
            <w:tcBorders>
              <w:bottom w:val="single" w:sz="18" w:space="0" w:color="auto"/>
            </w:tcBorders>
          </w:tcPr>
          <w:p w14:paraId="7DE842F4" w14:textId="77777777" w:rsidR="00B801F4" w:rsidRPr="00B801F4" w:rsidRDefault="00B801F4" w:rsidP="00B801F4">
            <w:pPr>
              <w:jc w:val="right"/>
              <w:rPr>
                <w:rFonts w:ascii="Arial" w:hAnsi="Arial" w:cs="Arial"/>
              </w:rPr>
            </w:pPr>
            <w:r w:rsidRPr="00B801F4">
              <w:rPr>
                <w:rFonts w:ascii="Arial" w:hAnsi="Arial" w:cs="Arial"/>
              </w:rPr>
              <w:t>6.5</w:t>
            </w:r>
          </w:p>
        </w:tc>
        <w:tc>
          <w:tcPr>
            <w:tcW w:w="430" w:type="dxa"/>
            <w:tcBorders>
              <w:right w:val="single" w:sz="4" w:space="0" w:color="FFFFFF" w:themeColor="background1"/>
            </w:tcBorders>
          </w:tcPr>
          <w:p w14:paraId="525D7B1B" w14:textId="77777777" w:rsidR="00B801F4" w:rsidRPr="00B801F4" w:rsidRDefault="00B801F4" w:rsidP="00B801F4">
            <w:pPr>
              <w:jc w:val="right"/>
              <w:rPr>
                <w:rFonts w:ascii="Arial" w:hAnsi="Arial" w:cs="Arial"/>
              </w:rPr>
            </w:pPr>
          </w:p>
        </w:tc>
        <w:tc>
          <w:tcPr>
            <w:tcW w:w="1696" w:type="dxa"/>
            <w:tcBorders>
              <w:left w:val="single" w:sz="4" w:space="0" w:color="FFFFFF" w:themeColor="background1"/>
              <w:bottom w:val="single" w:sz="18" w:space="0" w:color="auto"/>
            </w:tcBorders>
          </w:tcPr>
          <w:p w14:paraId="6748AD5F" w14:textId="77777777" w:rsidR="00B801F4" w:rsidRPr="00B801F4" w:rsidRDefault="00B801F4" w:rsidP="00B801F4">
            <w:pPr>
              <w:jc w:val="right"/>
              <w:rPr>
                <w:rFonts w:ascii="Arial" w:hAnsi="Arial" w:cs="Arial"/>
              </w:rPr>
            </w:pPr>
            <w:r w:rsidRPr="00B801F4">
              <w:rPr>
                <w:rFonts w:ascii="Arial" w:hAnsi="Arial" w:cs="Arial"/>
              </w:rPr>
              <w:t>4.0</w:t>
            </w:r>
          </w:p>
        </w:tc>
      </w:tr>
      <w:tr w:rsidR="00B801F4" w:rsidRPr="00B801F4" w14:paraId="65AE1F6D" w14:textId="77777777" w:rsidTr="00B801F4">
        <w:trPr>
          <w:gridAfter w:val="1"/>
          <w:wAfter w:w="1195" w:type="dxa"/>
        </w:trPr>
        <w:tc>
          <w:tcPr>
            <w:tcW w:w="5058" w:type="dxa"/>
            <w:gridSpan w:val="2"/>
          </w:tcPr>
          <w:p w14:paraId="502E5121" w14:textId="77777777" w:rsidR="00B801F4" w:rsidRPr="00B801F4" w:rsidRDefault="00B801F4" w:rsidP="00B801F4">
            <w:pPr>
              <w:rPr>
                <w:rFonts w:ascii="Arial" w:hAnsi="Arial" w:cs="Arial"/>
              </w:rPr>
            </w:pPr>
          </w:p>
        </w:tc>
        <w:tc>
          <w:tcPr>
            <w:tcW w:w="1583" w:type="dxa"/>
            <w:tcBorders>
              <w:top w:val="single" w:sz="18" w:space="0" w:color="auto"/>
              <w:bottom w:val="single" w:sz="18" w:space="0" w:color="auto"/>
            </w:tcBorders>
          </w:tcPr>
          <w:p w14:paraId="1BEB35C2" w14:textId="77777777" w:rsidR="00B801F4" w:rsidRPr="00B801F4" w:rsidRDefault="00B801F4" w:rsidP="00B801F4">
            <w:pPr>
              <w:jc w:val="right"/>
              <w:rPr>
                <w:rFonts w:ascii="Arial" w:hAnsi="Arial" w:cs="Arial"/>
              </w:rPr>
            </w:pPr>
            <w:r w:rsidRPr="00B801F4">
              <w:rPr>
                <w:rFonts w:ascii="Arial" w:hAnsi="Arial" w:cs="Arial"/>
              </w:rPr>
              <w:t>240.2</w:t>
            </w:r>
          </w:p>
        </w:tc>
        <w:tc>
          <w:tcPr>
            <w:tcW w:w="430" w:type="dxa"/>
          </w:tcPr>
          <w:p w14:paraId="297A13FE" w14:textId="77777777" w:rsidR="00B801F4" w:rsidRPr="00B801F4" w:rsidRDefault="00B801F4" w:rsidP="00B801F4">
            <w:pPr>
              <w:jc w:val="right"/>
              <w:rPr>
                <w:rFonts w:ascii="Arial" w:hAnsi="Arial" w:cs="Arial"/>
              </w:rPr>
            </w:pPr>
          </w:p>
        </w:tc>
        <w:tc>
          <w:tcPr>
            <w:tcW w:w="1696" w:type="dxa"/>
            <w:tcBorders>
              <w:top w:val="single" w:sz="18" w:space="0" w:color="auto"/>
              <w:bottom w:val="single" w:sz="18" w:space="0" w:color="auto"/>
            </w:tcBorders>
          </w:tcPr>
          <w:p w14:paraId="4B5DB9CF" w14:textId="77777777" w:rsidR="00B801F4" w:rsidRPr="00B801F4" w:rsidRDefault="00B801F4" w:rsidP="00B801F4">
            <w:pPr>
              <w:jc w:val="right"/>
              <w:rPr>
                <w:rFonts w:ascii="Arial" w:hAnsi="Arial" w:cs="Arial"/>
              </w:rPr>
            </w:pPr>
            <w:r w:rsidRPr="00B801F4">
              <w:rPr>
                <w:rFonts w:ascii="Arial" w:hAnsi="Arial" w:cs="Arial"/>
              </w:rPr>
              <w:t>221.1</w:t>
            </w:r>
          </w:p>
        </w:tc>
      </w:tr>
      <w:tr w:rsidR="00B801F4" w:rsidRPr="00B801F4" w14:paraId="7F9F34B2" w14:textId="77777777" w:rsidTr="00B801F4">
        <w:trPr>
          <w:gridAfter w:val="1"/>
          <w:wAfter w:w="1195" w:type="dxa"/>
          <w:trHeight w:val="332"/>
        </w:trPr>
        <w:tc>
          <w:tcPr>
            <w:tcW w:w="5058" w:type="dxa"/>
            <w:gridSpan w:val="2"/>
          </w:tcPr>
          <w:p w14:paraId="63F881A5" w14:textId="77777777" w:rsidR="00B801F4" w:rsidRPr="00B801F4" w:rsidRDefault="00B801F4" w:rsidP="00B801F4">
            <w:pPr>
              <w:spacing w:after="0"/>
              <w:rPr>
                <w:rFonts w:ascii="Arial" w:hAnsi="Arial" w:cs="Arial"/>
                <w:b/>
              </w:rPr>
            </w:pPr>
          </w:p>
          <w:p w14:paraId="4F928A1B" w14:textId="77777777" w:rsidR="00B801F4" w:rsidRPr="00B801F4" w:rsidRDefault="00B801F4" w:rsidP="00B801F4">
            <w:pPr>
              <w:spacing w:after="0"/>
              <w:rPr>
                <w:rFonts w:ascii="Arial" w:hAnsi="Arial" w:cs="Arial"/>
                <w:b/>
              </w:rPr>
            </w:pPr>
          </w:p>
        </w:tc>
        <w:tc>
          <w:tcPr>
            <w:tcW w:w="1583" w:type="dxa"/>
          </w:tcPr>
          <w:p w14:paraId="43C90E9E" w14:textId="77777777" w:rsidR="00B801F4" w:rsidRPr="00B801F4" w:rsidRDefault="00B801F4" w:rsidP="00B801F4">
            <w:pPr>
              <w:jc w:val="right"/>
              <w:rPr>
                <w:rFonts w:ascii="Arial" w:hAnsi="Arial" w:cs="Arial"/>
                <w:b/>
              </w:rPr>
            </w:pPr>
          </w:p>
        </w:tc>
        <w:tc>
          <w:tcPr>
            <w:tcW w:w="430" w:type="dxa"/>
          </w:tcPr>
          <w:p w14:paraId="134290F4" w14:textId="77777777" w:rsidR="00B801F4" w:rsidRPr="00B801F4" w:rsidRDefault="00B801F4" w:rsidP="00B801F4">
            <w:pPr>
              <w:jc w:val="right"/>
              <w:rPr>
                <w:rFonts w:ascii="Arial" w:hAnsi="Arial" w:cs="Arial"/>
                <w:b/>
              </w:rPr>
            </w:pPr>
          </w:p>
        </w:tc>
        <w:tc>
          <w:tcPr>
            <w:tcW w:w="1696" w:type="dxa"/>
          </w:tcPr>
          <w:p w14:paraId="7BBF940A" w14:textId="77777777" w:rsidR="00B801F4" w:rsidRPr="00B801F4" w:rsidRDefault="00B801F4" w:rsidP="00B801F4">
            <w:pPr>
              <w:jc w:val="right"/>
              <w:rPr>
                <w:rFonts w:ascii="Arial" w:hAnsi="Arial" w:cs="Arial"/>
                <w:b/>
              </w:rPr>
            </w:pPr>
          </w:p>
        </w:tc>
      </w:tr>
      <w:tr w:rsidR="00B801F4" w:rsidRPr="00B801F4" w14:paraId="1EAE17EE" w14:textId="77777777" w:rsidTr="00B801F4">
        <w:trPr>
          <w:gridAfter w:val="1"/>
          <w:wAfter w:w="1195" w:type="dxa"/>
        </w:trPr>
        <w:tc>
          <w:tcPr>
            <w:tcW w:w="5058" w:type="dxa"/>
            <w:gridSpan w:val="2"/>
          </w:tcPr>
          <w:p w14:paraId="19B5949E" w14:textId="77777777" w:rsidR="00B801F4" w:rsidRPr="00B801F4" w:rsidRDefault="00B801F4" w:rsidP="00B801F4">
            <w:pPr>
              <w:spacing w:after="0"/>
              <w:rPr>
                <w:rFonts w:ascii="Arial" w:hAnsi="Arial" w:cs="Arial"/>
                <w:b/>
              </w:rPr>
            </w:pPr>
            <w:r w:rsidRPr="00B801F4">
              <w:rPr>
                <w:rFonts w:ascii="Arial" w:hAnsi="Arial" w:cs="Arial"/>
                <w:b/>
              </w:rPr>
              <w:t>By authority</w:t>
            </w:r>
          </w:p>
          <w:p w14:paraId="66131FED" w14:textId="77777777" w:rsidR="00B801F4" w:rsidRPr="00B801F4" w:rsidRDefault="00B801F4" w:rsidP="00B801F4">
            <w:pPr>
              <w:spacing w:after="0"/>
              <w:rPr>
                <w:rFonts w:ascii="Arial" w:hAnsi="Arial" w:cs="Arial"/>
              </w:rPr>
            </w:pPr>
          </w:p>
        </w:tc>
        <w:tc>
          <w:tcPr>
            <w:tcW w:w="1583" w:type="dxa"/>
          </w:tcPr>
          <w:p w14:paraId="06BCBF96" w14:textId="77777777" w:rsidR="00B801F4" w:rsidRPr="00B801F4" w:rsidRDefault="00B801F4" w:rsidP="00B801F4">
            <w:pPr>
              <w:spacing w:after="0"/>
              <w:jc w:val="right"/>
              <w:rPr>
                <w:rFonts w:ascii="Arial" w:hAnsi="Arial" w:cs="Arial"/>
                <w:b/>
              </w:rPr>
            </w:pPr>
            <w:r w:rsidRPr="00B801F4">
              <w:rPr>
                <w:rFonts w:ascii="Arial" w:hAnsi="Arial" w:cs="Arial"/>
                <w:b/>
              </w:rPr>
              <w:t>2014/15</w:t>
            </w:r>
          </w:p>
          <w:p w14:paraId="120E93F8" w14:textId="77777777" w:rsidR="00B801F4" w:rsidRPr="00B801F4" w:rsidRDefault="00B801F4" w:rsidP="00B801F4">
            <w:pPr>
              <w:spacing w:after="0"/>
              <w:jc w:val="right"/>
              <w:rPr>
                <w:rFonts w:ascii="Arial" w:hAnsi="Arial" w:cs="Arial"/>
              </w:rPr>
            </w:pPr>
            <w:r w:rsidRPr="00B801F4">
              <w:rPr>
                <w:rFonts w:ascii="Arial" w:hAnsi="Arial" w:cs="Arial"/>
                <w:b/>
              </w:rPr>
              <w:t>£m</w:t>
            </w:r>
          </w:p>
        </w:tc>
        <w:tc>
          <w:tcPr>
            <w:tcW w:w="430" w:type="dxa"/>
          </w:tcPr>
          <w:p w14:paraId="544F4697" w14:textId="77777777" w:rsidR="00B801F4" w:rsidRPr="00B801F4" w:rsidRDefault="00B801F4" w:rsidP="00B801F4">
            <w:pPr>
              <w:spacing w:after="0"/>
              <w:jc w:val="right"/>
              <w:rPr>
                <w:rFonts w:ascii="Arial" w:hAnsi="Arial" w:cs="Arial"/>
              </w:rPr>
            </w:pPr>
          </w:p>
        </w:tc>
        <w:tc>
          <w:tcPr>
            <w:tcW w:w="1696" w:type="dxa"/>
          </w:tcPr>
          <w:p w14:paraId="00540339" w14:textId="77777777" w:rsidR="00B801F4" w:rsidRPr="00B801F4" w:rsidRDefault="00B801F4" w:rsidP="00B801F4">
            <w:pPr>
              <w:spacing w:after="0"/>
              <w:jc w:val="right"/>
              <w:rPr>
                <w:rFonts w:ascii="Arial" w:hAnsi="Arial" w:cs="Arial"/>
                <w:b/>
              </w:rPr>
            </w:pPr>
            <w:r w:rsidRPr="00B801F4">
              <w:rPr>
                <w:rFonts w:ascii="Arial" w:hAnsi="Arial" w:cs="Arial"/>
                <w:b/>
              </w:rPr>
              <w:t>2013/14</w:t>
            </w:r>
          </w:p>
          <w:p w14:paraId="320C588E" w14:textId="77777777" w:rsidR="00B801F4" w:rsidRPr="00B801F4" w:rsidRDefault="00B801F4" w:rsidP="00B801F4">
            <w:pPr>
              <w:spacing w:after="0"/>
              <w:jc w:val="right"/>
              <w:rPr>
                <w:rFonts w:ascii="Arial" w:hAnsi="Arial" w:cs="Arial"/>
              </w:rPr>
            </w:pPr>
            <w:r w:rsidRPr="00B801F4">
              <w:rPr>
                <w:rFonts w:ascii="Arial" w:hAnsi="Arial" w:cs="Arial"/>
                <w:b/>
              </w:rPr>
              <w:t>£m</w:t>
            </w:r>
          </w:p>
        </w:tc>
      </w:tr>
      <w:tr w:rsidR="00B801F4" w:rsidRPr="00B801F4" w14:paraId="64EFD7B5" w14:textId="77777777" w:rsidTr="00B801F4">
        <w:trPr>
          <w:gridAfter w:val="1"/>
          <w:wAfter w:w="1195" w:type="dxa"/>
        </w:trPr>
        <w:tc>
          <w:tcPr>
            <w:tcW w:w="5058" w:type="dxa"/>
            <w:gridSpan w:val="2"/>
          </w:tcPr>
          <w:p w14:paraId="17D8CD3F" w14:textId="77777777" w:rsidR="00B801F4" w:rsidRPr="00B801F4" w:rsidRDefault="00B801F4" w:rsidP="00B801F4">
            <w:pPr>
              <w:rPr>
                <w:rFonts w:ascii="Arial" w:hAnsi="Arial" w:cs="Arial"/>
              </w:rPr>
            </w:pPr>
            <w:r w:rsidRPr="00B801F4">
              <w:rPr>
                <w:rFonts w:ascii="Arial" w:hAnsi="Arial" w:cs="Arial"/>
              </w:rPr>
              <w:t>County Council</w:t>
            </w:r>
          </w:p>
        </w:tc>
        <w:tc>
          <w:tcPr>
            <w:tcW w:w="1583" w:type="dxa"/>
          </w:tcPr>
          <w:p w14:paraId="73469DCF" w14:textId="77777777" w:rsidR="00B801F4" w:rsidRPr="00B801F4" w:rsidRDefault="00B801F4" w:rsidP="00B801F4">
            <w:pPr>
              <w:jc w:val="right"/>
              <w:rPr>
                <w:rFonts w:ascii="Arial" w:hAnsi="Arial" w:cs="Arial"/>
              </w:rPr>
            </w:pPr>
            <w:r w:rsidRPr="00B801F4">
              <w:rPr>
                <w:rFonts w:ascii="Arial" w:hAnsi="Arial" w:cs="Arial"/>
              </w:rPr>
              <w:t>106.3</w:t>
            </w:r>
          </w:p>
        </w:tc>
        <w:tc>
          <w:tcPr>
            <w:tcW w:w="430" w:type="dxa"/>
          </w:tcPr>
          <w:p w14:paraId="772109AE" w14:textId="77777777" w:rsidR="00B801F4" w:rsidRPr="00B801F4" w:rsidRDefault="00B801F4" w:rsidP="00B801F4">
            <w:pPr>
              <w:jc w:val="right"/>
              <w:rPr>
                <w:rFonts w:ascii="Arial" w:hAnsi="Arial" w:cs="Arial"/>
              </w:rPr>
            </w:pPr>
          </w:p>
        </w:tc>
        <w:tc>
          <w:tcPr>
            <w:tcW w:w="1696" w:type="dxa"/>
          </w:tcPr>
          <w:p w14:paraId="497D3F3D" w14:textId="77777777" w:rsidR="00B801F4" w:rsidRPr="00B801F4" w:rsidRDefault="00B801F4" w:rsidP="00B801F4">
            <w:pPr>
              <w:jc w:val="right"/>
              <w:rPr>
                <w:rFonts w:ascii="Arial" w:hAnsi="Arial" w:cs="Arial"/>
              </w:rPr>
            </w:pPr>
            <w:r w:rsidRPr="00B801F4">
              <w:rPr>
                <w:rFonts w:ascii="Arial" w:hAnsi="Arial" w:cs="Arial"/>
              </w:rPr>
              <w:t>93.4</w:t>
            </w:r>
          </w:p>
        </w:tc>
      </w:tr>
      <w:tr w:rsidR="00B801F4" w:rsidRPr="00B801F4" w14:paraId="5522D99B" w14:textId="77777777" w:rsidTr="00B801F4">
        <w:trPr>
          <w:gridAfter w:val="1"/>
          <w:wAfter w:w="1195" w:type="dxa"/>
        </w:trPr>
        <w:tc>
          <w:tcPr>
            <w:tcW w:w="5058" w:type="dxa"/>
            <w:gridSpan w:val="2"/>
          </w:tcPr>
          <w:p w14:paraId="60331EB5" w14:textId="77777777" w:rsidR="00B801F4" w:rsidRPr="00B801F4" w:rsidRDefault="00B801F4" w:rsidP="00B801F4">
            <w:pPr>
              <w:rPr>
                <w:rFonts w:ascii="Arial" w:hAnsi="Arial" w:cs="Arial"/>
              </w:rPr>
            </w:pPr>
            <w:r w:rsidRPr="00B801F4">
              <w:rPr>
                <w:rFonts w:ascii="Arial" w:hAnsi="Arial" w:cs="Arial"/>
              </w:rPr>
              <w:t>Scheduled Bodies</w:t>
            </w:r>
          </w:p>
        </w:tc>
        <w:tc>
          <w:tcPr>
            <w:tcW w:w="1583" w:type="dxa"/>
          </w:tcPr>
          <w:p w14:paraId="242DEB6F" w14:textId="77777777" w:rsidR="00B801F4" w:rsidRPr="00B801F4" w:rsidRDefault="00B801F4" w:rsidP="00B801F4">
            <w:pPr>
              <w:jc w:val="right"/>
              <w:rPr>
                <w:rFonts w:ascii="Arial" w:hAnsi="Arial" w:cs="Arial"/>
              </w:rPr>
            </w:pPr>
            <w:r w:rsidRPr="00B801F4">
              <w:rPr>
                <w:rFonts w:ascii="Arial" w:hAnsi="Arial" w:cs="Arial"/>
              </w:rPr>
              <w:t>118.5</w:t>
            </w:r>
          </w:p>
        </w:tc>
        <w:tc>
          <w:tcPr>
            <w:tcW w:w="430" w:type="dxa"/>
          </w:tcPr>
          <w:p w14:paraId="10ADC776" w14:textId="77777777" w:rsidR="00B801F4" w:rsidRPr="00B801F4" w:rsidRDefault="00B801F4" w:rsidP="00B801F4">
            <w:pPr>
              <w:jc w:val="right"/>
              <w:rPr>
                <w:rFonts w:ascii="Arial" w:hAnsi="Arial" w:cs="Arial"/>
              </w:rPr>
            </w:pPr>
          </w:p>
        </w:tc>
        <w:tc>
          <w:tcPr>
            <w:tcW w:w="1696" w:type="dxa"/>
          </w:tcPr>
          <w:p w14:paraId="75C9ADF0" w14:textId="77777777" w:rsidR="00B801F4" w:rsidRPr="00B801F4" w:rsidRDefault="00B801F4" w:rsidP="00B801F4">
            <w:pPr>
              <w:jc w:val="right"/>
              <w:rPr>
                <w:rFonts w:ascii="Arial" w:hAnsi="Arial" w:cs="Arial"/>
              </w:rPr>
            </w:pPr>
            <w:r w:rsidRPr="00B801F4">
              <w:rPr>
                <w:rFonts w:ascii="Arial" w:hAnsi="Arial" w:cs="Arial"/>
              </w:rPr>
              <w:t>112.9</w:t>
            </w:r>
          </w:p>
        </w:tc>
      </w:tr>
      <w:tr w:rsidR="00B801F4" w:rsidRPr="00B801F4" w14:paraId="1DFC25D1" w14:textId="77777777" w:rsidTr="00B801F4">
        <w:trPr>
          <w:gridAfter w:val="1"/>
          <w:wAfter w:w="1195" w:type="dxa"/>
        </w:trPr>
        <w:tc>
          <w:tcPr>
            <w:tcW w:w="5058" w:type="dxa"/>
            <w:gridSpan w:val="2"/>
          </w:tcPr>
          <w:p w14:paraId="3502EE3E" w14:textId="77777777" w:rsidR="00B801F4" w:rsidRPr="00B801F4" w:rsidRDefault="00B801F4" w:rsidP="00B801F4">
            <w:pPr>
              <w:rPr>
                <w:rFonts w:ascii="Arial" w:hAnsi="Arial" w:cs="Arial"/>
              </w:rPr>
            </w:pPr>
            <w:r w:rsidRPr="00B801F4">
              <w:rPr>
                <w:rFonts w:ascii="Arial" w:hAnsi="Arial" w:cs="Arial"/>
              </w:rPr>
              <w:t>Admitted Bodies</w:t>
            </w:r>
          </w:p>
        </w:tc>
        <w:tc>
          <w:tcPr>
            <w:tcW w:w="1583" w:type="dxa"/>
            <w:tcBorders>
              <w:bottom w:val="single" w:sz="18" w:space="0" w:color="auto"/>
            </w:tcBorders>
          </w:tcPr>
          <w:p w14:paraId="4C7A9FAF" w14:textId="77777777" w:rsidR="00B801F4" w:rsidRPr="00B801F4" w:rsidRDefault="00B801F4" w:rsidP="00B801F4">
            <w:pPr>
              <w:jc w:val="right"/>
              <w:rPr>
                <w:rFonts w:ascii="Arial" w:hAnsi="Arial" w:cs="Arial"/>
              </w:rPr>
            </w:pPr>
            <w:r w:rsidRPr="00B801F4">
              <w:rPr>
                <w:rFonts w:ascii="Arial" w:hAnsi="Arial" w:cs="Arial"/>
              </w:rPr>
              <w:t>15.4</w:t>
            </w:r>
          </w:p>
        </w:tc>
        <w:tc>
          <w:tcPr>
            <w:tcW w:w="430" w:type="dxa"/>
          </w:tcPr>
          <w:p w14:paraId="174CCA47" w14:textId="77777777" w:rsidR="00B801F4" w:rsidRPr="00B801F4" w:rsidRDefault="00B801F4" w:rsidP="00B801F4">
            <w:pPr>
              <w:jc w:val="right"/>
              <w:rPr>
                <w:rFonts w:ascii="Arial" w:hAnsi="Arial" w:cs="Arial"/>
              </w:rPr>
            </w:pPr>
          </w:p>
        </w:tc>
        <w:tc>
          <w:tcPr>
            <w:tcW w:w="1696" w:type="dxa"/>
            <w:tcBorders>
              <w:bottom w:val="single" w:sz="18" w:space="0" w:color="auto"/>
            </w:tcBorders>
          </w:tcPr>
          <w:p w14:paraId="77F8C721" w14:textId="77777777" w:rsidR="00B801F4" w:rsidRPr="00B801F4" w:rsidRDefault="00B801F4" w:rsidP="00B801F4">
            <w:pPr>
              <w:jc w:val="right"/>
              <w:rPr>
                <w:rFonts w:ascii="Arial" w:hAnsi="Arial" w:cs="Arial"/>
              </w:rPr>
            </w:pPr>
            <w:r w:rsidRPr="00B801F4">
              <w:rPr>
                <w:rFonts w:ascii="Arial" w:hAnsi="Arial" w:cs="Arial"/>
              </w:rPr>
              <w:t>14.8</w:t>
            </w:r>
          </w:p>
        </w:tc>
      </w:tr>
      <w:tr w:rsidR="00B801F4" w:rsidRPr="00B801F4" w14:paraId="0BAAB7B6" w14:textId="77777777" w:rsidTr="00B801F4">
        <w:trPr>
          <w:gridAfter w:val="1"/>
          <w:wAfter w:w="1195" w:type="dxa"/>
        </w:trPr>
        <w:tc>
          <w:tcPr>
            <w:tcW w:w="5058" w:type="dxa"/>
            <w:gridSpan w:val="2"/>
          </w:tcPr>
          <w:p w14:paraId="6D437AE5" w14:textId="77777777" w:rsidR="00B801F4" w:rsidRPr="00B801F4" w:rsidRDefault="00B801F4" w:rsidP="00B801F4">
            <w:pPr>
              <w:rPr>
                <w:rFonts w:ascii="Arial" w:hAnsi="Arial" w:cs="Arial"/>
              </w:rPr>
            </w:pPr>
          </w:p>
        </w:tc>
        <w:tc>
          <w:tcPr>
            <w:tcW w:w="1583" w:type="dxa"/>
            <w:tcBorders>
              <w:top w:val="single" w:sz="18" w:space="0" w:color="auto"/>
              <w:bottom w:val="single" w:sz="18" w:space="0" w:color="auto"/>
            </w:tcBorders>
          </w:tcPr>
          <w:p w14:paraId="50CE9754" w14:textId="77777777" w:rsidR="00B801F4" w:rsidRPr="00B801F4" w:rsidRDefault="00B801F4" w:rsidP="00B801F4">
            <w:pPr>
              <w:jc w:val="right"/>
              <w:rPr>
                <w:rFonts w:ascii="Arial" w:hAnsi="Arial" w:cs="Arial"/>
              </w:rPr>
            </w:pPr>
            <w:r w:rsidRPr="00B801F4">
              <w:rPr>
                <w:rFonts w:ascii="Arial" w:hAnsi="Arial" w:cs="Arial"/>
              </w:rPr>
              <w:t>240.2</w:t>
            </w:r>
          </w:p>
        </w:tc>
        <w:tc>
          <w:tcPr>
            <w:tcW w:w="430" w:type="dxa"/>
          </w:tcPr>
          <w:p w14:paraId="20906056" w14:textId="77777777" w:rsidR="00B801F4" w:rsidRPr="00B801F4" w:rsidRDefault="00B801F4" w:rsidP="00B801F4">
            <w:pPr>
              <w:jc w:val="right"/>
              <w:rPr>
                <w:rFonts w:ascii="Arial" w:hAnsi="Arial" w:cs="Arial"/>
              </w:rPr>
            </w:pPr>
          </w:p>
        </w:tc>
        <w:tc>
          <w:tcPr>
            <w:tcW w:w="1696" w:type="dxa"/>
            <w:tcBorders>
              <w:top w:val="single" w:sz="18" w:space="0" w:color="auto"/>
              <w:bottom w:val="single" w:sz="18" w:space="0" w:color="auto"/>
            </w:tcBorders>
          </w:tcPr>
          <w:p w14:paraId="5DCC8F85" w14:textId="77777777" w:rsidR="00B801F4" w:rsidRPr="00B801F4" w:rsidRDefault="00B801F4" w:rsidP="00B801F4">
            <w:pPr>
              <w:jc w:val="right"/>
              <w:rPr>
                <w:rFonts w:ascii="Arial" w:hAnsi="Arial" w:cs="Arial"/>
              </w:rPr>
            </w:pPr>
            <w:r w:rsidRPr="00B801F4">
              <w:rPr>
                <w:rFonts w:ascii="Arial" w:hAnsi="Arial" w:cs="Arial"/>
              </w:rPr>
              <w:t>221.1</w:t>
            </w:r>
          </w:p>
        </w:tc>
      </w:tr>
      <w:tr w:rsidR="00B801F4" w:rsidRPr="00B801F4" w14:paraId="601D7F61" w14:textId="77777777" w:rsidTr="00B801F4">
        <w:tc>
          <w:tcPr>
            <w:tcW w:w="3320" w:type="dxa"/>
          </w:tcPr>
          <w:p w14:paraId="1B39E5A3" w14:textId="77777777" w:rsidR="00B801F4" w:rsidRDefault="00B801F4" w:rsidP="00B801F4">
            <w:pPr>
              <w:rPr>
                <w:rFonts w:ascii="Arial" w:hAnsi="Arial" w:cs="Arial"/>
                <w:b/>
              </w:rPr>
            </w:pPr>
          </w:p>
          <w:p w14:paraId="2F568527" w14:textId="77777777" w:rsidR="005E7EC8" w:rsidRPr="00B801F4" w:rsidRDefault="005E7EC8" w:rsidP="00B801F4">
            <w:pPr>
              <w:rPr>
                <w:rFonts w:ascii="Arial" w:hAnsi="Arial" w:cs="Arial"/>
                <w:b/>
              </w:rPr>
            </w:pPr>
          </w:p>
        </w:tc>
        <w:tc>
          <w:tcPr>
            <w:tcW w:w="3321" w:type="dxa"/>
            <w:gridSpan w:val="2"/>
          </w:tcPr>
          <w:p w14:paraId="253F0050" w14:textId="77777777" w:rsidR="00B801F4" w:rsidRPr="00B801F4" w:rsidRDefault="00B801F4" w:rsidP="00B801F4">
            <w:pPr>
              <w:jc w:val="right"/>
              <w:rPr>
                <w:rFonts w:ascii="Arial" w:hAnsi="Arial" w:cs="Arial"/>
                <w:b/>
              </w:rPr>
            </w:pPr>
          </w:p>
        </w:tc>
        <w:tc>
          <w:tcPr>
            <w:tcW w:w="3321" w:type="dxa"/>
            <w:gridSpan w:val="3"/>
          </w:tcPr>
          <w:p w14:paraId="7CFBBA0D" w14:textId="77777777" w:rsidR="00B801F4" w:rsidRPr="00B801F4" w:rsidRDefault="00B801F4" w:rsidP="00B801F4">
            <w:pPr>
              <w:ind w:left="1340"/>
              <w:rPr>
                <w:rFonts w:ascii="Arial" w:hAnsi="Arial" w:cs="Arial"/>
                <w:b/>
              </w:rPr>
            </w:pPr>
          </w:p>
        </w:tc>
      </w:tr>
    </w:tbl>
    <w:p w14:paraId="66AC936A" w14:textId="77777777" w:rsidR="00B801F4" w:rsidRPr="00B801F4" w:rsidRDefault="00B801F4" w:rsidP="00717919">
      <w:pPr>
        <w:numPr>
          <w:ilvl w:val="0"/>
          <w:numId w:val="73"/>
        </w:numPr>
        <w:autoSpaceDE/>
        <w:autoSpaceDN/>
        <w:adjustRightInd/>
        <w:spacing w:after="0"/>
        <w:ind w:left="862"/>
        <w:jc w:val="left"/>
        <w:rPr>
          <w:rFonts w:cs="Arial"/>
          <w:b/>
          <w:sz w:val="32"/>
          <w:szCs w:val="32"/>
        </w:rPr>
      </w:pPr>
      <w:r w:rsidRPr="00B801F4">
        <w:rPr>
          <w:rFonts w:cs="Arial"/>
          <w:b/>
          <w:sz w:val="32"/>
          <w:szCs w:val="32"/>
        </w:rPr>
        <w:t>Payments to and on account of leavers</w:t>
      </w:r>
    </w:p>
    <w:p w14:paraId="05A027EC" w14:textId="77777777" w:rsidR="00B801F4" w:rsidRPr="00B801F4" w:rsidRDefault="00B801F4" w:rsidP="00B801F4">
      <w:pPr>
        <w:ind w:left="862"/>
        <w:rPr>
          <w:rFonts w:cs="Arial"/>
          <w:b/>
        </w:rPr>
      </w:pP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24"/>
        <w:gridCol w:w="260"/>
        <w:gridCol w:w="170"/>
        <w:gridCol w:w="1526"/>
      </w:tblGrid>
      <w:tr w:rsidR="00B801F4" w:rsidRPr="00B801F4" w14:paraId="05745EF5" w14:textId="77777777" w:rsidTr="00B801F4">
        <w:tc>
          <w:tcPr>
            <w:tcW w:w="5058" w:type="dxa"/>
          </w:tcPr>
          <w:p w14:paraId="6C28371D" w14:textId="77777777" w:rsidR="00B801F4" w:rsidRPr="00B801F4" w:rsidRDefault="00B801F4" w:rsidP="00B801F4">
            <w:pPr>
              <w:spacing w:after="0"/>
              <w:rPr>
                <w:rFonts w:ascii="Arial" w:hAnsi="Arial" w:cs="Arial"/>
                <w:b/>
              </w:rPr>
            </w:pPr>
          </w:p>
        </w:tc>
        <w:tc>
          <w:tcPr>
            <w:tcW w:w="1559" w:type="dxa"/>
          </w:tcPr>
          <w:p w14:paraId="5DD73E15" w14:textId="77777777" w:rsidR="00B801F4" w:rsidRPr="00B801F4" w:rsidRDefault="00B801F4" w:rsidP="00B801F4">
            <w:pPr>
              <w:spacing w:after="0"/>
              <w:jc w:val="right"/>
              <w:rPr>
                <w:rFonts w:ascii="Arial" w:hAnsi="Arial" w:cs="Arial"/>
                <w:b/>
              </w:rPr>
            </w:pPr>
            <w:r w:rsidRPr="00B801F4">
              <w:rPr>
                <w:rFonts w:ascii="Arial" w:hAnsi="Arial" w:cs="Arial"/>
                <w:b/>
              </w:rPr>
              <w:t>2014/15</w:t>
            </w:r>
          </w:p>
          <w:p w14:paraId="257590DC"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284" w:type="dxa"/>
            <w:gridSpan w:val="2"/>
            <w:tcBorders>
              <w:right w:val="single" w:sz="4" w:space="0" w:color="FFFFFF" w:themeColor="background1"/>
            </w:tcBorders>
          </w:tcPr>
          <w:p w14:paraId="2A430A9C" w14:textId="77777777" w:rsidR="00B801F4" w:rsidRPr="00B801F4" w:rsidRDefault="00B801F4" w:rsidP="00B801F4">
            <w:pPr>
              <w:spacing w:after="0"/>
              <w:jc w:val="right"/>
              <w:rPr>
                <w:rFonts w:ascii="Arial" w:hAnsi="Arial" w:cs="Arial"/>
                <w:b/>
              </w:rPr>
            </w:pPr>
          </w:p>
          <w:p w14:paraId="68FACF79" w14:textId="77777777" w:rsidR="00B801F4" w:rsidRPr="00B801F4" w:rsidRDefault="00B801F4" w:rsidP="00B801F4">
            <w:pPr>
              <w:spacing w:after="0"/>
              <w:jc w:val="right"/>
              <w:rPr>
                <w:rFonts w:ascii="Arial" w:hAnsi="Arial" w:cs="Arial"/>
                <w:b/>
              </w:rPr>
            </w:pPr>
          </w:p>
        </w:tc>
        <w:tc>
          <w:tcPr>
            <w:tcW w:w="1696" w:type="dxa"/>
            <w:gridSpan w:val="2"/>
            <w:tcBorders>
              <w:left w:val="single" w:sz="4" w:space="0" w:color="FFFFFF" w:themeColor="background1"/>
            </w:tcBorders>
          </w:tcPr>
          <w:p w14:paraId="78F635C3" w14:textId="77777777" w:rsidR="00B801F4" w:rsidRPr="00B801F4" w:rsidRDefault="00B801F4" w:rsidP="00B801F4">
            <w:pPr>
              <w:spacing w:after="0"/>
              <w:jc w:val="right"/>
              <w:rPr>
                <w:rFonts w:ascii="Arial" w:hAnsi="Arial" w:cs="Arial"/>
                <w:b/>
              </w:rPr>
            </w:pPr>
            <w:r w:rsidRPr="00B801F4">
              <w:rPr>
                <w:rFonts w:ascii="Arial" w:hAnsi="Arial" w:cs="Arial"/>
                <w:b/>
              </w:rPr>
              <w:t>2013/14</w:t>
            </w:r>
          </w:p>
          <w:p w14:paraId="18796DC2"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5DAB0CE5" w14:textId="77777777" w:rsidTr="00B801F4">
        <w:tc>
          <w:tcPr>
            <w:tcW w:w="5058" w:type="dxa"/>
          </w:tcPr>
          <w:p w14:paraId="5C6B8850" w14:textId="77777777" w:rsidR="00B801F4" w:rsidRPr="00B801F4" w:rsidRDefault="00B801F4" w:rsidP="00B801F4">
            <w:pPr>
              <w:rPr>
                <w:rFonts w:ascii="Arial" w:hAnsi="Arial" w:cs="Arial"/>
              </w:rPr>
            </w:pPr>
            <w:r w:rsidRPr="00B801F4">
              <w:rPr>
                <w:rFonts w:ascii="Arial" w:hAnsi="Arial" w:cs="Arial"/>
              </w:rPr>
              <w:t>Refunds to members leaving service</w:t>
            </w:r>
          </w:p>
        </w:tc>
        <w:tc>
          <w:tcPr>
            <w:tcW w:w="1559" w:type="dxa"/>
          </w:tcPr>
          <w:p w14:paraId="24593E74" w14:textId="77777777" w:rsidR="00B801F4" w:rsidRPr="00B801F4" w:rsidRDefault="00B801F4" w:rsidP="00B801F4">
            <w:pPr>
              <w:jc w:val="right"/>
              <w:rPr>
                <w:rFonts w:ascii="Arial" w:hAnsi="Arial" w:cs="Arial"/>
              </w:rPr>
            </w:pPr>
            <w:r w:rsidRPr="00B801F4">
              <w:rPr>
                <w:rFonts w:ascii="Arial" w:hAnsi="Arial" w:cs="Arial"/>
              </w:rPr>
              <w:t>0.2</w:t>
            </w:r>
          </w:p>
        </w:tc>
        <w:tc>
          <w:tcPr>
            <w:tcW w:w="284" w:type="dxa"/>
            <w:gridSpan w:val="2"/>
            <w:tcBorders>
              <w:right w:val="single" w:sz="4" w:space="0" w:color="FFFFFF" w:themeColor="background1"/>
            </w:tcBorders>
          </w:tcPr>
          <w:p w14:paraId="0EBDB65E" w14:textId="77777777" w:rsidR="00B801F4" w:rsidRPr="00B801F4" w:rsidRDefault="00B801F4" w:rsidP="00B801F4">
            <w:pPr>
              <w:jc w:val="right"/>
              <w:rPr>
                <w:rFonts w:ascii="Arial" w:hAnsi="Arial" w:cs="Arial"/>
              </w:rPr>
            </w:pPr>
          </w:p>
        </w:tc>
        <w:tc>
          <w:tcPr>
            <w:tcW w:w="1696" w:type="dxa"/>
            <w:gridSpan w:val="2"/>
            <w:tcBorders>
              <w:left w:val="single" w:sz="4" w:space="0" w:color="FFFFFF" w:themeColor="background1"/>
            </w:tcBorders>
          </w:tcPr>
          <w:p w14:paraId="1F09FFE7" w14:textId="77777777" w:rsidR="00B801F4" w:rsidRPr="00B801F4" w:rsidRDefault="00B801F4" w:rsidP="00B801F4">
            <w:pPr>
              <w:jc w:val="right"/>
              <w:rPr>
                <w:rFonts w:ascii="Arial" w:hAnsi="Arial" w:cs="Arial"/>
              </w:rPr>
            </w:pPr>
            <w:r w:rsidRPr="00B801F4">
              <w:rPr>
                <w:rFonts w:ascii="Arial" w:hAnsi="Arial" w:cs="Arial"/>
              </w:rPr>
              <w:t>0.0</w:t>
            </w:r>
          </w:p>
        </w:tc>
      </w:tr>
      <w:tr w:rsidR="00B801F4" w:rsidRPr="00B801F4" w14:paraId="5C5FD8EA" w14:textId="77777777" w:rsidTr="00B801F4">
        <w:tc>
          <w:tcPr>
            <w:tcW w:w="5058" w:type="dxa"/>
          </w:tcPr>
          <w:p w14:paraId="061A8E14" w14:textId="77777777" w:rsidR="00B801F4" w:rsidRPr="00B801F4" w:rsidRDefault="00B801F4" w:rsidP="00B801F4">
            <w:pPr>
              <w:rPr>
                <w:rFonts w:ascii="Arial" w:hAnsi="Arial" w:cs="Arial"/>
              </w:rPr>
            </w:pPr>
            <w:r w:rsidRPr="00B801F4">
              <w:rPr>
                <w:rFonts w:ascii="Arial" w:hAnsi="Arial" w:cs="Arial"/>
              </w:rPr>
              <w:t>Individual transfers</w:t>
            </w:r>
          </w:p>
        </w:tc>
        <w:tc>
          <w:tcPr>
            <w:tcW w:w="1583" w:type="dxa"/>
            <w:gridSpan w:val="2"/>
          </w:tcPr>
          <w:p w14:paraId="43C9436C" w14:textId="77777777" w:rsidR="00B801F4" w:rsidRPr="00B801F4" w:rsidRDefault="00B801F4" w:rsidP="00B801F4">
            <w:pPr>
              <w:jc w:val="right"/>
              <w:rPr>
                <w:rFonts w:ascii="Arial" w:hAnsi="Arial" w:cs="Arial"/>
              </w:rPr>
            </w:pPr>
            <w:r w:rsidRPr="00B801F4">
              <w:rPr>
                <w:rFonts w:ascii="Arial" w:hAnsi="Arial" w:cs="Arial"/>
              </w:rPr>
              <w:t>10.3</w:t>
            </w:r>
          </w:p>
        </w:tc>
        <w:tc>
          <w:tcPr>
            <w:tcW w:w="430" w:type="dxa"/>
            <w:gridSpan w:val="2"/>
          </w:tcPr>
          <w:p w14:paraId="1B2C5BE1" w14:textId="77777777" w:rsidR="00B801F4" w:rsidRPr="00B801F4" w:rsidRDefault="00B801F4" w:rsidP="00B801F4">
            <w:pPr>
              <w:jc w:val="right"/>
              <w:rPr>
                <w:rFonts w:ascii="Arial" w:hAnsi="Arial" w:cs="Arial"/>
              </w:rPr>
            </w:pPr>
          </w:p>
        </w:tc>
        <w:tc>
          <w:tcPr>
            <w:tcW w:w="1526" w:type="dxa"/>
          </w:tcPr>
          <w:p w14:paraId="0FCD91D2" w14:textId="77777777" w:rsidR="00B801F4" w:rsidRPr="00B801F4" w:rsidRDefault="00B801F4" w:rsidP="00B801F4">
            <w:pPr>
              <w:jc w:val="right"/>
              <w:rPr>
                <w:rFonts w:ascii="Arial" w:hAnsi="Arial" w:cs="Arial"/>
              </w:rPr>
            </w:pPr>
            <w:r w:rsidRPr="00B801F4">
              <w:rPr>
                <w:rFonts w:ascii="Arial" w:hAnsi="Arial" w:cs="Arial"/>
              </w:rPr>
              <w:t>12.9</w:t>
            </w:r>
          </w:p>
        </w:tc>
      </w:tr>
      <w:tr w:rsidR="00B801F4" w:rsidRPr="00B801F4" w14:paraId="6F4C1845" w14:textId="77777777" w:rsidTr="00B801F4">
        <w:tc>
          <w:tcPr>
            <w:tcW w:w="5058" w:type="dxa"/>
          </w:tcPr>
          <w:p w14:paraId="6411689D" w14:textId="77777777" w:rsidR="00B801F4" w:rsidRPr="00B801F4" w:rsidRDefault="00B801F4" w:rsidP="00B801F4">
            <w:pPr>
              <w:rPr>
                <w:rFonts w:ascii="Arial" w:hAnsi="Arial" w:cs="Arial"/>
              </w:rPr>
            </w:pPr>
            <w:r w:rsidRPr="00B801F4">
              <w:rPr>
                <w:rFonts w:ascii="Arial" w:hAnsi="Arial" w:cs="Arial"/>
              </w:rPr>
              <w:t>Group transfers</w:t>
            </w:r>
          </w:p>
        </w:tc>
        <w:tc>
          <w:tcPr>
            <w:tcW w:w="1583" w:type="dxa"/>
            <w:gridSpan w:val="2"/>
            <w:tcBorders>
              <w:bottom w:val="single" w:sz="18" w:space="0" w:color="auto"/>
            </w:tcBorders>
          </w:tcPr>
          <w:p w14:paraId="0AE7468D" w14:textId="77777777" w:rsidR="00B801F4" w:rsidRPr="00B801F4" w:rsidRDefault="00B801F4" w:rsidP="00B801F4">
            <w:pPr>
              <w:jc w:val="right"/>
              <w:rPr>
                <w:rFonts w:ascii="Arial" w:hAnsi="Arial" w:cs="Arial"/>
              </w:rPr>
            </w:pPr>
            <w:r w:rsidRPr="00B801F4">
              <w:rPr>
                <w:rFonts w:ascii="Arial" w:hAnsi="Arial" w:cs="Arial"/>
              </w:rPr>
              <w:t>89.6</w:t>
            </w:r>
          </w:p>
        </w:tc>
        <w:tc>
          <w:tcPr>
            <w:tcW w:w="430" w:type="dxa"/>
            <w:gridSpan w:val="2"/>
          </w:tcPr>
          <w:p w14:paraId="658A37D5" w14:textId="77777777" w:rsidR="00B801F4" w:rsidRPr="00B801F4" w:rsidRDefault="00B801F4" w:rsidP="00B801F4">
            <w:pPr>
              <w:jc w:val="right"/>
              <w:rPr>
                <w:rFonts w:ascii="Arial" w:hAnsi="Arial" w:cs="Arial"/>
              </w:rPr>
            </w:pPr>
          </w:p>
        </w:tc>
        <w:tc>
          <w:tcPr>
            <w:tcW w:w="1526" w:type="dxa"/>
            <w:tcBorders>
              <w:bottom w:val="single" w:sz="18" w:space="0" w:color="auto"/>
            </w:tcBorders>
          </w:tcPr>
          <w:p w14:paraId="028CD175" w14:textId="77777777" w:rsidR="00B801F4" w:rsidRPr="00B801F4" w:rsidRDefault="00B801F4" w:rsidP="00B801F4">
            <w:pPr>
              <w:jc w:val="right"/>
              <w:rPr>
                <w:rFonts w:ascii="Arial" w:hAnsi="Arial" w:cs="Arial"/>
              </w:rPr>
            </w:pPr>
            <w:r w:rsidRPr="00B801F4">
              <w:rPr>
                <w:rFonts w:ascii="Arial" w:hAnsi="Arial" w:cs="Arial"/>
              </w:rPr>
              <w:t>2.4</w:t>
            </w:r>
          </w:p>
        </w:tc>
      </w:tr>
      <w:tr w:rsidR="00B801F4" w:rsidRPr="00B801F4" w14:paraId="4E001F7D" w14:textId="77777777" w:rsidTr="00B801F4">
        <w:tc>
          <w:tcPr>
            <w:tcW w:w="5058" w:type="dxa"/>
          </w:tcPr>
          <w:p w14:paraId="554BF3B2" w14:textId="77777777" w:rsidR="00B801F4" w:rsidRPr="00B801F4" w:rsidRDefault="00B801F4" w:rsidP="00B801F4">
            <w:pPr>
              <w:rPr>
                <w:rFonts w:ascii="Arial" w:hAnsi="Arial" w:cs="Arial"/>
              </w:rPr>
            </w:pPr>
          </w:p>
        </w:tc>
        <w:tc>
          <w:tcPr>
            <w:tcW w:w="1583" w:type="dxa"/>
            <w:gridSpan w:val="2"/>
            <w:tcBorders>
              <w:top w:val="single" w:sz="18" w:space="0" w:color="auto"/>
              <w:bottom w:val="single" w:sz="18" w:space="0" w:color="auto"/>
            </w:tcBorders>
          </w:tcPr>
          <w:p w14:paraId="5DD0E255" w14:textId="77777777" w:rsidR="00B801F4" w:rsidRPr="00B801F4" w:rsidRDefault="00B801F4" w:rsidP="00B801F4">
            <w:pPr>
              <w:jc w:val="right"/>
              <w:rPr>
                <w:rFonts w:ascii="Arial" w:hAnsi="Arial" w:cs="Arial"/>
              </w:rPr>
            </w:pPr>
            <w:r w:rsidRPr="00B801F4">
              <w:rPr>
                <w:rFonts w:ascii="Arial" w:hAnsi="Arial" w:cs="Arial"/>
              </w:rPr>
              <w:t>100.1</w:t>
            </w:r>
          </w:p>
        </w:tc>
        <w:tc>
          <w:tcPr>
            <w:tcW w:w="430" w:type="dxa"/>
            <w:gridSpan w:val="2"/>
          </w:tcPr>
          <w:p w14:paraId="3187BB95" w14:textId="77777777" w:rsidR="00B801F4" w:rsidRPr="00B801F4" w:rsidRDefault="00B801F4" w:rsidP="00B801F4">
            <w:pPr>
              <w:jc w:val="right"/>
              <w:rPr>
                <w:rFonts w:ascii="Arial" w:hAnsi="Arial" w:cs="Arial"/>
              </w:rPr>
            </w:pPr>
          </w:p>
        </w:tc>
        <w:tc>
          <w:tcPr>
            <w:tcW w:w="1526" w:type="dxa"/>
            <w:tcBorders>
              <w:top w:val="single" w:sz="18" w:space="0" w:color="auto"/>
              <w:bottom w:val="single" w:sz="18" w:space="0" w:color="auto"/>
            </w:tcBorders>
          </w:tcPr>
          <w:p w14:paraId="3F3421C4" w14:textId="77777777" w:rsidR="00B801F4" w:rsidRPr="00B801F4" w:rsidRDefault="00B801F4" w:rsidP="00B801F4">
            <w:pPr>
              <w:jc w:val="right"/>
              <w:rPr>
                <w:rFonts w:ascii="Arial" w:hAnsi="Arial" w:cs="Arial"/>
              </w:rPr>
            </w:pPr>
            <w:r w:rsidRPr="00B801F4">
              <w:rPr>
                <w:rFonts w:ascii="Arial" w:hAnsi="Arial" w:cs="Arial"/>
              </w:rPr>
              <w:t>15.3</w:t>
            </w:r>
          </w:p>
        </w:tc>
      </w:tr>
    </w:tbl>
    <w:p w14:paraId="75C4DC98" w14:textId="77777777" w:rsidR="00B801F4" w:rsidRPr="00B801F4" w:rsidRDefault="00B801F4" w:rsidP="00B801F4">
      <w:pPr>
        <w:ind w:left="720"/>
      </w:pPr>
    </w:p>
    <w:p w14:paraId="1C4F996C" w14:textId="77777777" w:rsidR="00B801F4" w:rsidRPr="00B801F4" w:rsidRDefault="00B801F4" w:rsidP="00B801F4">
      <w:pPr>
        <w:ind w:left="720"/>
        <w:jc w:val="left"/>
        <w:rPr>
          <w:rFonts w:cs="Arial"/>
        </w:rPr>
      </w:pPr>
      <w:r w:rsidRPr="00B801F4">
        <w:t>As part of a Ministry of Justice review, Greater Manchester Pension Fund (GMPF) was chosen to administer the Local Government Pension Scheme for the National Probation Service from 1</w:t>
      </w:r>
      <w:r w:rsidRPr="00B801F4">
        <w:rPr>
          <w:vertAlign w:val="superscript"/>
        </w:rPr>
        <w:t>st</w:t>
      </w:r>
      <w:r w:rsidRPr="00B801F4">
        <w:t xml:space="preserve"> June 2014.  This resulted in a bulk transfer being made to transfer Lancashire Probation Trust's share of assets to the GMPF.</w:t>
      </w:r>
    </w:p>
    <w:p w14:paraId="6801A09C" w14:textId="77777777" w:rsidR="00B801F4" w:rsidRPr="00B801F4" w:rsidRDefault="00B801F4" w:rsidP="00B801F4">
      <w:pPr>
        <w:rPr>
          <w:rFonts w:cs="Arial"/>
        </w:rPr>
      </w:pPr>
    </w:p>
    <w:p w14:paraId="217B665A" w14:textId="77777777" w:rsidR="00B801F4" w:rsidRPr="00B801F4" w:rsidRDefault="00B801F4" w:rsidP="00B801F4">
      <w:pPr>
        <w:rPr>
          <w:rFonts w:cs="Arial"/>
        </w:rPr>
      </w:pPr>
    </w:p>
    <w:p w14:paraId="161250D5" w14:textId="77777777" w:rsidR="00B801F4" w:rsidRPr="00B801F4" w:rsidRDefault="00B801F4" w:rsidP="00717919">
      <w:pPr>
        <w:numPr>
          <w:ilvl w:val="0"/>
          <w:numId w:val="73"/>
        </w:numPr>
        <w:autoSpaceDE/>
        <w:autoSpaceDN/>
        <w:adjustRightInd/>
        <w:spacing w:after="0"/>
        <w:ind w:left="862"/>
        <w:jc w:val="left"/>
        <w:rPr>
          <w:rFonts w:cs="Arial"/>
          <w:b/>
          <w:sz w:val="32"/>
          <w:szCs w:val="32"/>
        </w:rPr>
      </w:pPr>
      <w:r w:rsidRPr="00B801F4">
        <w:rPr>
          <w:rFonts w:cs="Arial"/>
          <w:b/>
          <w:sz w:val="32"/>
          <w:szCs w:val="32"/>
        </w:rPr>
        <w:t>Management expenses</w:t>
      </w: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801F4" w:rsidRPr="00B801F4" w14:paraId="57A081C1" w14:textId="77777777" w:rsidTr="00B801F4">
        <w:tc>
          <w:tcPr>
            <w:tcW w:w="5058" w:type="dxa"/>
          </w:tcPr>
          <w:p w14:paraId="57B3AF74" w14:textId="77777777" w:rsidR="00B801F4" w:rsidRPr="00B801F4" w:rsidRDefault="00B801F4" w:rsidP="00B801F4">
            <w:pPr>
              <w:spacing w:after="0"/>
              <w:rPr>
                <w:rFonts w:ascii="Arial" w:hAnsi="Arial" w:cs="Arial"/>
                <w:b/>
              </w:rPr>
            </w:pPr>
          </w:p>
        </w:tc>
        <w:tc>
          <w:tcPr>
            <w:tcW w:w="1559" w:type="dxa"/>
          </w:tcPr>
          <w:p w14:paraId="235ED833" w14:textId="77777777" w:rsidR="00B801F4" w:rsidRPr="00B801F4" w:rsidRDefault="00B801F4" w:rsidP="00B801F4">
            <w:pPr>
              <w:spacing w:after="0"/>
              <w:jc w:val="right"/>
              <w:rPr>
                <w:rFonts w:ascii="Arial" w:hAnsi="Arial" w:cs="Arial"/>
                <w:b/>
              </w:rPr>
            </w:pPr>
            <w:r w:rsidRPr="00B801F4">
              <w:rPr>
                <w:rFonts w:ascii="Arial" w:hAnsi="Arial" w:cs="Arial"/>
                <w:b/>
              </w:rPr>
              <w:t>2014/15</w:t>
            </w:r>
          </w:p>
          <w:p w14:paraId="0898D4F4"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6A2E3F7F" w14:textId="77777777" w:rsidR="00B801F4" w:rsidRPr="00B801F4" w:rsidRDefault="00B801F4" w:rsidP="00B801F4">
            <w:pPr>
              <w:spacing w:after="0"/>
              <w:jc w:val="right"/>
              <w:rPr>
                <w:rFonts w:ascii="Arial" w:hAnsi="Arial" w:cs="Arial"/>
                <w:b/>
              </w:rPr>
            </w:pPr>
          </w:p>
          <w:p w14:paraId="0B46E772" w14:textId="77777777" w:rsidR="00B801F4" w:rsidRPr="00B801F4" w:rsidRDefault="00B801F4" w:rsidP="00B801F4">
            <w:pPr>
              <w:spacing w:after="0"/>
              <w:jc w:val="right"/>
              <w:rPr>
                <w:rFonts w:ascii="Arial" w:hAnsi="Arial" w:cs="Arial"/>
                <w:b/>
              </w:rPr>
            </w:pPr>
          </w:p>
        </w:tc>
        <w:tc>
          <w:tcPr>
            <w:tcW w:w="1696" w:type="dxa"/>
            <w:tcBorders>
              <w:left w:val="single" w:sz="4" w:space="0" w:color="FFFFFF" w:themeColor="background1"/>
            </w:tcBorders>
          </w:tcPr>
          <w:p w14:paraId="3A29C101" w14:textId="77777777" w:rsidR="00B801F4" w:rsidRPr="00B801F4" w:rsidRDefault="00B801F4" w:rsidP="00B801F4">
            <w:pPr>
              <w:spacing w:after="0"/>
              <w:jc w:val="right"/>
              <w:rPr>
                <w:rFonts w:ascii="Arial" w:hAnsi="Arial" w:cs="Arial"/>
                <w:b/>
              </w:rPr>
            </w:pPr>
            <w:r w:rsidRPr="00B801F4">
              <w:rPr>
                <w:rFonts w:ascii="Arial" w:hAnsi="Arial" w:cs="Arial"/>
                <w:b/>
              </w:rPr>
              <w:t>2013/14</w:t>
            </w:r>
          </w:p>
          <w:p w14:paraId="6EDE0CDE"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439680A7" w14:textId="77777777" w:rsidTr="00B801F4">
        <w:tc>
          <w:tcPr>
            <w:tcW w:w="5058" w:type="dxa"/>
          </w:tcPr>
          <w:p w14:paraId="439EB28A" w14:textId="77777777" w:rsidR="00B801F4" w:rsidRPr="00B801F4" w:rsidRDefault="00B801F4" w:rsidP="00B801F4">
            <w:pPr>
              <w:rPr>
                <w:rFonts w:ascii="Arial" w:hAnsi="Arial" w:cs="Arial"/>
              </w:rPr>
            </w:pPr>
            <w:r w:rsidRPr="00B801F4">
              <w:rPr>
                <w:rFonts w:ascii="Arial" w:hAnsi="Arial" w:cs="Arial"/>
              </w:rPr>
              <w:t>Administrative costs</w:t>
            </w:r>
          </w:p>
        </w:tc>
        <w:tc>
          <w:tcPr>
            <w:tcW w:w="1559" w:type="dxa"/>
          </w:tcPr>
          <w:p w14:paraId="3A34216A" w14:textId="77777777" w:rsidR="00B801F4" w:rsidRPr="00B801F4" w:rsidRDefault="00B801F4" w:rsidP="00B801F4">
            <w:pPr>
              <w:jc w:val="right"/>
              <w:rPr>
                <w:rFonts w:ascii="Arial" w:hAnsi="Arial" w:cs="Arial"/>
              </w:rPr>
            </w:pPr>
            <w:r w:rsidRPr="00B801F4">
              <w:rPr>
                <w:rFonts w:ascii="Arial" w:hAnsi="Arial" w:cs="Arial"/>
              </w:rPr>
              <w:t>3.5</w:t>
            </w:r>
          </w:p>
        </w:tc>
        <w:tc>
          <w:tcPr>
            <w:tcW w:w="430" w:type="dxa"/>
            <w:tcBorders>
              <w:right w:val="single" w:sz="4" w:space="0" w:color="FFFFFF" w:themeColor="background1"/>
            </w:tcBorders>
          </w:tcPr>
          <w:p w14:paraId="7CF2ABB5"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04B2348C" w14:textId="77777777" w:rsidR="00B801F4" w:rsidRPr="00B801F4" w:rsidRDefault="00B801F4" w:rsidP="00B801F4">
            <w:pPr>
              <w:jc w:val="right"/>
              <w:rPr>
                <w:rFonts w:ascii="Arial" w:hAnsi="Arial" w:cs="Arial"/>
              </w:rPr>
            </w:pPr>
            <w:r w:rsidRPr="00B801F4">
              <w:rPr>
                <w:rFonts w:ascii="Arial" w:hAnsi="Arial" w:cs="Arial"/>
              </w:rPr>
              <w:t>3.6</w:t>
            </w:r>
          </w:p>
        </w:tc>
      </w:tr>
      <w:tr w:rsidR="00B801F4" w:rsidRPr="00B801F4" w14:paraId="7FAD5297" w14:textId="77777777" w:rsidTr="00B801F4">
        <w:tc>
          <w:tcPr>
            <w:tcW w:w="5058" w:type="dxa"/>
          </w:tcPr>
          <w:p w14:paraId="7FD25D6E" w14:textId="77777777" w:rsidR="00B801F4" w:rsidRPr="00B801F4" w:rsidRDefault="00B801F4" w:rsidP="00B801F4">
            <w:pPr>
              <w:rPr>
                <w:rFonts w:ascii="Arial" w:hAnsi="Arial" w:cs="Arial"/>
              </w:rPr>
            </w:pPr>
            <w:r w:rsidRPr="00B801F4">
              <w:rPr>
                <w:rFonts w:ascii="Arial" w:hAnsi="Arial" w:cs="Arial"/>
              </w:rPr>
              <w:t>Investment management expenses</w:t>
            </w:r>
          </w:p>
        </w:tc>
        <w:tc>
          <w:tcPr>
            <w:tcW w:w="1559" w:type="dxa"/>
          </w:tcPr>
          <w:p w14:paraId="44575233" w14:textId="77777777" w:rsidR="00B801F4" w:rsidRPr="00B801F4" w:rsidRDefault="00B801F4" w:rsidP="00B801F4">
            <w:pPr>
              <w:jc w:val="right"/>
              <w:rPr>
                <w:rFonts w:ascii="Arial" w:hAnsi="Arial" w:cs="Arial"/>
              </w:rPr>
            </w:pPr>
            <w:r w:rsidRPr="00B801F4">
              <w:rPr>
                <w:rFonts w:ascii="Arial" w:hAnsi="Arial" w:cs="Arial"/>
              </w:rPr>
              <w:t>29.2</w:t>
            </w:r>
          </w:p>
        </w:tc>
        <w:tc>
          <w:tcPr>
            <w:tcW w:w="430" w:type="dxa"/>
            <w:tcBorders>
              <w:right w:val="single" w:sz="4" w:space="0" w:color="FFFFFF" w:themeColor="background1"/>
            </w:tcBorders>
          </w:tcPr>
          <w:p w14:paraId="64F95780"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4C9EB5B2" w14:textId="77777777" w:rsidR="00B801F4" w:rsidRPr="00B801F4" w:rsidRDefault="00B801F4" w:rsidP="00B801F4">
            <w:pPr>
              <w:jc w:val="right"/>
              <w:rPr>
                <w:rFonts w:ascii="Arial" w:hAnsi="Arial" w:cs="Arial"/>
              </w:rPr>
            </w:pPr>
            <w:r w:rsidRPr="00B801F4">
              <w:rPr>
                <w:rFonts w:ascii="Arial" w:hAnsi="Arial" w:cs="Arial"/>
              </w:rPr>
              <w:t>*25.1</w:t>
            </w:r>
          </w:p>
        </w:tc>
      </w:tr>
      <w:tr w:rsidR="00B801F4" w:rsidRPr="00B801F4" w14:paraId="0DAF31FE" w14:textId="77777777" w:rsidTr="00B801F4">
        <w:tc>
          <w:tcPr>
            <w:tcW w:w="5058" w:type="dxa"/>
          </w:tcPr>
          <w:p w14:paraId="37465E65" w14:textId="77777777" w:rsidR="00B801F4" w:rsidRPr="00B801F4" w:rsidRDefault="00B801F4" w:rsidP="00B801F4">
            <w:pPr>
              <w:rPr>
                <w:rFonts w:ascii="Arial" w:hAnsi="Arial" w:cs="Arial"/>
              </w:rPr>
            </w:pPr>
            <w:r w:rsidRPr="00B801F4">
              <w:rPr>
                <w:rFonts w:ascii="Arial" w:hAnsi="Arial" w:cs="Arial"/>
              </w:rPr>
              <w:t>Custody fees</w:t>
            </w:r>
          </w:p>
        </w:tc>
        <w:tc>
          <w:tcPr>
            <w:tcW w:w="1559" w:type="dxa"/>
          </w:tcPr>
          <w:p w14:paraId="21A02621" w14:textId="77777777" w:rsidR="00B801F4" w:rsidRPr="00B801F4" w:rsidRDefault="00B801F4" w:rsidP="00B801F4">
            <w:pPr>
              <w:jc w:val="right"/>
              <w:rPr>
                <w:rFonts w:ascii="Arial" w:hAnsi="Arial" w:cs="Arial"/>
              </w:rPr>
            </w:pPr>
            <w:r w:rsidRPr="00B801F4">
              <w:rPr>
                <w:rFonts w:ascii="Arial" w:hAnsi="Arial" w:cs="Arial"/>
              </w:rPr>
              <w:t>0.2</w:t>
            </w:r>
          </w:p>
        </w:tc>
        <w:tc>
          <w:tcPr>
            <w:tcW w:w="430" w:type="dxa"/>
          </w:tcPr>
          <w:p w14:paraId="17E386E0" w14:textId="77777777" w:rsidR="00B801F4" w:rsidRPr="00B801F4" w:rsidRDefault="00B801F4" w:rsidP="00B801F4">
            <w:pPr>
              <w:jc w:val="right"/>
              <w:rPr>
                <w:rFonts w:ascii="Arial" w:hAnsi="Arial" w:cs="Arial"/>
              </w:rPr>
            </w:pPr>
          </w:p>
        </w:tc>
        <w:tc>
          <w:tcPr>
            <w:tcW w:w="1696" w:type="dxa"/>
          </w:tcPr>
          <w:p w14:paraId="0EB9EC69" w14:textId="77777777" w:rsidR="00B801F4" w:rsidRPr="00B801F4" w:rsidRDefault="00B801F4" w:rsidP="00B801F4">
            <w:pPr>
              <w:jc w:val="right"/>
              <w:rPr>
                <w:rFonts w:ascii="Arial" w:hAnsi="Arial" w:cs="Arial"/>
              </w:rPr>
            </w:pPr>
            <w:r w:rsidRPr="00B801F4">
              <w:rPr>
                <w:rFonts w:ascii="Arial" w:hAnsi="Arial" w:cs="Arial"/>
              </w:rPr>
              <w:t>0.2</w:t>
            </w:r>
          </w:p>
        </w:tc>
      </w:tr>
      <w:tr w:rsidR="00B801F4" w:rsidRPr="00B801F4" w14:paraId="3B965240" w14:textId="77777777" w:rsidTr="00B801F4">
        <w:tc>
          <w:tcPr>
            <w:tcW w:w="5058" w:type="dxa"/>
          </w:tcPr>
          <w:p w14:paraId="151D9972" w14:textId="77777777" w:rsidR="00B801F4" w:rsidRPr="00B801F4" w:rsidRDefault="00B801F4" w:rsidP="00B801F4">
            <w:pPr>
              <w:rPr>
                <w:rFonts w:ascii="Arial" w:hAnsi="Arial" w:cs="Arial"/>
              </w:rPr>
            </w:pPr>
            <w:r w:rsidRPr="00B801F4">
              <w:rPr>
                <w:rFonts w:ascii="Arial" w:hAnsi="Arial" w:cs="Arial"/>
              </w:rPr>
              <w:t>Oversight and governance costs</w:t>
            </w:r>
          </w:p>
        </w:tc>
        <w:tc>
          <w:tcPr>
            <w:tcW w:w="1559" w:type="dxa"/>
            <w:tcBorders>
              <w:bottom w:val="single" w:sz="18" w:space="0" w:color="auto"/>
            </w:tcBorders>
          </w:tcPr>
          <w:p w14:paraId="2B94586C" w14:textId="77777777" w:rsidR="00B801F4" w:rsidRPr="00B801F4" w:rsidRDefault="00B801F4" w:rsidP="00B801F4">
            <w:pPr>
              <w:jc w:val="right"/>
              <w:rPr>
                <w:rFonts w:ascii="Arial" w:hAnsi="Arial" w:cs="Arial"/>
              </w:rPr>
            </w:pPr>
            <w:r w:rsidRPr="00B801F4">
              <w:rPr>
                <w:rFonts w:ascii="Arial" w:hAnsi="Arial" w:cs="Arial"/>
              </w:rPr>
              <w:t>2.5</w:t>
            </w:r>
          </w:p>
        </w:tc>
        <w:tc>
          <w:tcPr>
            <w:tcW w:w="430" w:type="dxa"/>
            <w:tcBorders>
              <w:right w:val="single" w:sz="4" w:space="0" w:color="FFFFFF" w:themeColor="background1"/>
            </w:tcBorders>
          </w:tcPr>
          <w:p w14:paraId="7510EEF0" w14:textId="77777777" w:rsidR="00B801F4" w:rsidRPr="00B801F4" w:rsidRDefault="00B801F4" w:rsidP="00B801F4">
            <w:pPr>
              <w:jc w:val="right"/>
              <w:rPr>
                <w:rFonts w:ascii="Arial" w:hAnsi="Arial" w:cs="Arial"/>
              </w:rPr>
            </w:pPr>
          </w:p>
        </w:tc>
        <w:tc>
          <w:tcPr>
            <w:tcW w:w="1696" w:type="dxa"/>
            <w:tcBorders>
              <w:left w:val="single" w:sz="4" w:space="0" w:color="FFFFFF" w:themeColor="background1"/>
              <w:bottom w:val="single" w:sz="18" w:space="0" w:color="auto"/>
            </w:tcBorders>
          </w:tcPr>
          <w:p w14:paraId="25AB66DF" w14:textId="77777777" w:rsidR="00B801F4" w:rsidRPr="00B801F4" w:rsidRDefault="00B801F4" w:rsidP="00B801F4">
            <w:pPr>
              <w:jc w:val="right"/>
              <w:rPr>
                <w:rFonts w:ascii="Arial" w:hAnsi="Arial" w:cs="Arial"/>
              </w:rPr>
            </w:pPr>
            <w:r w:rsidRPr="00B801F4">
              <w:rPr>
                <w:rFonts w:ascii="Arial" w:hAnsi="Arial" w:cs="Arial"/>
              </w:rPr>
              <w:t>2.4</w:t>
            </w:r>
          </w:p>
        </w:tc>
      </w:tr>
      <w:tr w:rsidR="00B801F4" w:rsidRPr="00B801F4" w14:paraId="5358A993" w14:textId="77777777" w:rsidTr="00B801F4">
        <w:tc>
          <w:tcPr>
            <w:tcW w:w="5058" w:type="dxa"/>
          </w:tcPr>
          <w:p w14:paraId="10DE47E8" w14:textId="77777777" w:rsidR="00B801F4" w:rsidRPr="00B801F4" w:rsidRDefault="00B801F4" w:rsidP="00B801F4">
            <w:pPr>
              <w:rPr>
                <w:rFonts w:ascii="Arial" w:hAnsi="Arial" w:cs="Arial"/>
              </w:rPr>
            </w:pPr>
          </w:p>
        </w:tc>
        <w:tc>
          <w:tcPr>
            <w:tcW w:w="1559" w:type="dxa"/>
            <w:tcBorders>
              <w:top w:val="single" w:sz="18" w:space="0" w:color="auto"/>
              <w:bottom w:val="single" w:sz="18" w:space="0" w:color="auto"/>
            </w:tcBorders>
          </w:tcPr>
          <w:p w14:paraId="3A793CEA" w14:textId="77777777" w:rsidR="00B801F4" w:rsidRPr="00B801F4" w:rsidRDefault="00B801F4" w:rsidP="00B801F4">
            <w:pPr>
              <w:jc w:val="right"/>
              <w:rPr>
                <w:rFonts w:ascii="Arial" w:hAnsi="Arial" w:cs="Arial"/>
              </w:rPr>
            </w:pPr>
            <w:r w:rsidRPr="00B801F4">
              <w:rPr>
                <w:rFonts w:ascii="Arial" w:hAnsi="Arial" w:cs="Arial"/>
              </w:rPr>
              <w:t>35.4</w:t>
            </w:r>
          </w:p>
        </w:tc>
        <w:tc>
          <w:tcPr>
            <w:tcW w:w="430" w:type="dxa"/>
            <w:tcBorders>
              <w:right w:val="single" w:sz="4" w:space="0" w:color="FFFFFF" w:themeColor="background1"/>
            </w:tcBorders>
          </w:tcPr>
          <w:p w14:paraId="5822A83C" w14:textId="77777777" w:rsidR="00B801F4" w:rsidRPr="00B801F4" w:rsidRDefault="00B801F4" w:rsidP="00B801F4">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449CEDB9" w14:textId="77777777" w:rsidR="00B801F4" w:rsidRPr="00B801F4" w:rsidRDefault="00B801F4" w:rsidP="00B801F4">
            <w:pPr>
              <w:jc w:val="right"/>
              <w:rPr>
                <w:rFonts w:ascii="Arial" w:hAnsi="Arial" w:cs="Arial"/>
              </w:rPr>
            </w:pPr>
            <w:r w:rsidRPr="00B801F4">
              <w:rPr>
                <w:rFonts w:ascii="Arial" w:hAnsi="Arial" w:cs="Arial"/>
              </w:rPr>
              <w:t>*31.3</w:t>
            </w:r>
          </w:p>
        </w:tc>
      </w:tr>
    </w:tbl>
    <w:p w14:paraId="1F58D7E8" w14:textId="77777777" w:rsidR="00B801F4" w:rsidRPr="00B801F4" w:rsidRDefault="00B801F4" w:rsidP="008D0533">
      <w:pPr>
        <w:spacing w:after="0"/>
        <w:ind w:left="709"/>
        <w:jc w:val="left"/>
        <w:rPr>
          <w:rFonts w:eastAsia="Times New Roman" w:cs="Arial"/>
          <w:color w:val="auto"/>
          <w:lang w:eastAsia="en-GB"/>
        </w:rPr>
      </w:pPr>
      <w:r w:rsidRPr="00B801F4">
        <w:rPr>
          <w:rFonts w:eastAsia="Times New Roman" w:cs="Arial"/>
          <w:color w:val="auto"/>
          <w:lang w:eastAsia="en-GB"/>
        </w:rPr>
        <w:t xml:space="preserve">*Prior year restated in accordance with CIPFA guidance on accounting for management expenses.  Investment and management expenses include £15.5m of investment fees directly incurred by the fund and previously accounted for within the valuation of investments.  </w:t>
      </w:r>
    </w:p>
    <w:p w14:paraId="0E2D0124" w14:textId="77777777" w:rsidR="005E7EC8" w:rsidRDefault="005E7EC8">
      <w:pPr>
        <w:ind w:left="709"/>
        <w:jc w:val="left"/>
        <w:rPr>
          <w:rFonts w:cs="Arial"/>
        </w:rPr>
      </w:pPr>
    </w:p>
    <w:p w14:paraId="25B5D552" w14:textId="77777777" w:rsidR="00B801F4" w:rsidRPr="00B801F4" w:rsidRDefault="00B801F4" w:rsidP="00B801F4">
      <w:pPr>
        <w:ind w:left="709"/>
        <w:jc w:val="left"/>
        <w:rPr>
          <w:rFonts w:cs="Arial"/>
        </w:rPr>
      </w:pPr>
      <w:r w:rsidRPr="00B801F4">
        <w:rPr>
          <w:rFonts w:cs="Arial"/>
        </w:rPr>
        <w:t>Investment management expenses include £1m (2013/14: £1.5m) in respect of performance-related fees paid/payable to the Fund’s investment managers. Investment management expenses also include £1.8m in respect of transaction costs (2013/14: £1.4m).</w:t>
      </w:r>
    </w:p>
    <w:p w14:paraId="4BC56C33" w14:textId="77777777" w:rsidR="00B801F4" w:rsidRPr="00B801F4" w:rsidRDefault="00B801F4" w:rsidP="00B801F4">
      <w:pPr>
        <w:ind w:left="709"/>
        <w:jc w:val="left"/>
      </w:pPr>
      <w:r w:rsidRPr="00B801F4">
        <w:t>In addition to these costs, indirect costs are incurred through the bid-offer spread on investments sales and purchases. These are reflected in the cost of investment acquisitions and in the proceeds from the sales of investments.</w:t>
      </w:r>
    </w:p>
    <w:p w14:paraId="6FD4D051" w14:textId="77777777" w:rsidR="00B801F4" w:rsidRPr="00B801F4" w:rsidRDefault="00B801F4" w:rsidP="00B801F4">
      <w:pPr>
        <w:ind w:left="709"/>
      </w:pPr>
    </w:p>
    <w:p w14:paraId="086469D3" w14:textId="77777777" w:rsidR="00B801F4" w:rsidRPr="00B801F4" w:rsidRDefault="00B801F4" w:rsidP="00B801F4">
      <w:pPr>
        <w:ind w:left="709"/>
      </w:pPr>
    </w:p>
    <w:p w14:paraId="0F3C6B84" w14:textId="77777777" w:rsidR="00B801F4" w:rsidRPr="00B801F4" w:rsidRDefault="00B801F4" w:rsidP="00717919">
      <w:pPr>
        <w:numPr>
          <w:ilvl w:val="0"/>
          <w:numId w:val="73"/>
        </w:numPr>
        <w:autoSpaceDE/>
        <w:autoSpaceDN/>
        <w:adjustRightInd/>
        <w:ind w:left="862"/>
        <w:jc w:val="left"/>
        <w:rPr>
          <w:sz w:val="32"/>
          <w:szCs w:val="32"/>
        </w:rPr>
      </w:pPr>
      <w:r w:rsidRPr="00B801F4">
        <w:rPr>
          <w:b/>
          <w:sz w:val="32"/>
          <w:szCs w:val="32"/>
        </w:rPr>
        <w:t>Investment income</w:t>
      </w: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801F4" w:rsidRPr="00B801F4" w14:paraId="1F15CF8F" w14:textId="77777777" w:rsidTr="00B801F4">
        <w:tc>
          <w:tcPr>
            <w:tcW w:w="5058" w:type="dxa"/>
          </w:tcPr>
          <w:p w14:paraId="1BF572B5" w14:textId="77777777" w:rsidR="00B801F4" w:rsidRPr="00B801F4" w:rsidRDefault="00B801F4" w:rsidP="00B801F4">
            <w:pPr>
              <w:spacing w:after="0"/>
              <w:rPr>
                <w:rFonts w:ascii="Arial" w:hAnsi="Arial" w:cs="Arial"/>
                <w:b/>
              </w:rPr>
            </w:pPr>
          </w:p>
        </w:tc>
        <w:tc>
          <w:tcPr>
            <w:tcW w:w="1559" w:type="dxa"/>
          </w:tcPr>
          <w:p w14:paraId="323E55BB" w14:textId="77777777" w:rsidR="00B801F4" w:rsidRPr="00B801F4" w:rsidRDefault="00B801F4" w:rsidP="00B801F4">
            <w:pPr>
              <w:spacing w:after="0"/>
              <w:jc w:val="right"/>
              <w:rPr>
                <w:rFonts w:ascii="Arial" w:hAnsi="Arial" w:cs="Arial"/>
                <w:b/>
              </w:rPr>
            </w:pPr>
            <w:r w:rsidRPr="00B801F4">
              <w:rPr>
                <w:rFonts w:ascii="Arial" w:hAnsi="Arial" w:cs="Arial"/>
                <w:b/>
              </w:rPr>
              <w:t>2014/15</w:t>
            </w:r>
          </w:p>
          <w:p w14:paraId="1C6BC7D2"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6DDD7171" w14:textId="77777777" w:rsidR="00B801F4" w:rsidRPr="00B801F4" w:rsidRDefault="00B801F4" w:rsidP="00B801F4">
            <w:pPr>
              <w:spacing w:after="0"/>
              <w:jc w:val="right"/>
              <w:rPr>
                <w:rFonts w:ascii="Arial" w:hAnsi="Arial" w:cs="Arial"/>
                <w:b/>
              </w:rPr>
            </w:pPr>
          </w:p>
          <w:p w14:paraId="6355F80E" w14:textId="77777777" w:rsidR="00B801F4" w:rsidRPr="00B801F4" w:rsidRDefault="00B801F4" w:rsidP="00B801F4">
            <w:pPr>
              <w:spacing w:after="0"/>
              <w:jc w:val="right"/>
              <w:rPr>
                <w:rFonts w:ascii="Arial" w:hAnsi="Arial" w:cs="Arial"/>
                <w:b/>
              </w:rPr>
            </w:pPr>
          </w:p>
        </w:tc>
        <w:tc>
          <w:tcPr>
            <w:tcW w:w="1696" w:type="dxa"/>
            <w:tcBorders>
              <w:left w:val="single" w:sz="4" w:space="0" w:color="FFFFFF" w:themeColor="background1"/>
            </w:tcBorders>
          </w:tcPr>
          <w:p w14:paraId="741A2299" w14:textId="77777777" w:rsidR="00B801F4" w:rsidRPr="00B801F4" w:rsidRDefault="00B801F4" w:rsidP="00B801F4">
            <w:pPr>
              <w:spacing w:after="0"/>
              <w:jc w:val="right"/>
              <w:rPr>
                <w:rFonts w:ascii="Arial" w:hAnsi="Arial" w:cs="Arial"/>
                <w:b/>
              </w:rPr>
            </w:pPr>
            <w:r w:rsidRPr="00B801F4">
              <w:rPr>
                <w:rFonts w:ascii="Arial" w:hAnsi="Arial" w:cs="Arial"/>
                <w:b/>
              </w:rPr>
              <w:t>2013/14</w:t>
            </w:r>
          </w:p>
          <w:p w14:paraId="29AE4EE7"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0D182F70" w14:textId="77777777" w:rsidTr="00B801F4">
        <w:tc>
          <w:tcPr>
            <w:tcW w:w="5058" w:type="dxa"/>
          </w:tcPr>
          <w:p w14:paraId="22C85A0C" w14:textId="77777777" w:rsidR="00B801F4" w:rsidRPr="00B801F4" w:rsidRDefault="00B801F4" w:rsidP="00B801F4">
            <w:pPr>
              <w:rPr>
                <w:rFonts w:ascii="Arial" w:hAnsi="Arial" w:cs="Arial"/>
              </w:rPr>
            </w:pPr>
            <w:r w:rsidRPr="00B801F4">
              <w:rPr>
                <w:rFonts w:ascii="Arial" w:hAnsi="Arial" w:cs="Arial"/>
              </w:rPr>
              <w:t>Fixed interest securities</w:t>
            </w:r>
          </w:p>
        </w:tc>
        <w:tc>
          <w:tcPr>
            <w:tcW w:w="1559" w:type="dxa"/>
          </w:tcPr>
          <w:p w14:paraId="7B334191" w14:textId="77777777" w:rsidR="00B801F4" w:rsidRPr="00B801F4" w:rsidRDefault="00B801F4" w:rsidP="00B801F4">
            <w:pPr>
              <w:jc w:val="right"/>
              <w:rPr>
                <w:rFonts w:ascii="Arial" w:hAnsi="Arial" w:cs="Arial"/>
              </w:rPr>
            </w:pPr>
            <w:r w:rsidRPr="00B801F4">
              <w:rPr>
                <w:rFonts w:ascii="Arial" w:hAnsi="Arial" w:cs="Arial"/>
              </w:rPr>
              <w:t>2.9</w:t>
            </w:r>
          </w:p>
        </w:tc>
        <w:tc>
          <w:tcPr>
            <w:tcW w:w="430" w:type="dxa"/>
            <w:tcBorders>
              <w:right w:val="single" w:sz="4" w:space="0" w:color="FFFFFF" w:themeColor="background1"/>
            </w:tcBorders>
          </w:tcPr>
          <w:p w14:paraId="78675541"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2F3E88F0" w14:textId="77777777" w:rsidR="00B801F4" w:rsidRPr="00B801F4" w:rsidRDefault="00B801F4" w:rsidP="00B801F4">
            <w:pPr>
              <w:jc w:val="right"/>
              <w:rPr>
                <w:rFonts w:ascii="Arial" w:hAnsi="Arial" w:cs="Arial"/>
              </w:rPr>
            </w:pPr>
            <w:r w:rsidRPr="00B801F4">
              <w:rPr>
                <w:rFonts w:ascii="Arial" w:hAnsi="Arial" w:cs="Arial"/>
              </w:rPr>
              <w:t>31.5</w:t>
            </w:r>
          </w:p>
        </w:tc>
      </w:tr>
      <w:tr w:rsidR="00B801F4" w:rsidRPr="00B801F4" w14:paraId="0B90DA5B" w14:textId="77777777" w:rsidTr="00B801F4">
        <w:tc>
          <w:tcPr>
            <w:tcW w:w="5058" w:type="dxa"/>
          </w:tcPr>
          <w:p w14:paraId="73E0A3C4" w14:textId="46C56524" w:rsidR="00B801F4" w:rsidRPr="00B801F4" w:rsidRDefault="00B801F4" w:rsidP="00F3615F">
            <w:pPr>
              <w:rPr>
                <w:rFonts w:ascii="Arial" w:hAnsi="Arial" w:cs="Arial"/>
              </w:rPr>
            </w:pPr>
            <w:r w:rsidRPr="00B801F4">
              <w:rPr>
                <w:rFonts w:ascii="Arial" w:hAnsi="Arial" w:cs="Arial"/>
              </w:rPr>
              <w:t>Equity dividends</w:t>
            </w:r>
          </w:p>
        </w:tc>
        <w:tc>
          <w:tcPr>
            <w:tcW w:w="1559" w:type="dxa"/>
          </w:tcPr>
          <w:p w14:paraId="0BF78C5E" w14:textId="77777777" w:rsidR="00B801F4" w:rsidRPr="00B801F4" w:rsidRDefault="00B801F4" w:rsidP="00B801F4">
            <w:pPr>
              <w:jc w:val="right"/>
              <w:rPr>
                <w:rFonts w:ascii="Arial" w:hAnsi="Arial" w:cs="Arial"/>
                <w:vertAlign w:val="superscript"/>
              </w:rPr>
            </w:pPr>
            <w:r w:rsidRPr="00B801F4">
              <w:rPr>
                <w:rFonts w:ascii="Arial" w:hAnsi="Arial" w:cs="Arial"/>
              </w:rPr>
              <w:t>40.6</w:t>
            </w:r>
          </w:p>
        </w:tc>
        <w:tc>
          <w:tcPr>
            <w:tcW w:w="430" w:type="dxa"/>
            <w:tcBorders>
              <w:right w:val="single" w:sz="4" w:space="0" w:color="FFFFFF" w:themeColor="background1"/>
            </w:tcBorders>
          </w:tcPr>
          <w:p w14:paraId="32D0B6DC"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0C03DF0E" w14:textId="77777777" w:rsidR="00B801F4" w:rsidRPr="00B801F4" w:rsidRDefault="00B801F4" w:rsidP="00B801F4">
            <w:pPr>
              <w:jc w:val="right"/>
              <w:rPr>
                <w:rFonts w:ascii="Arial" w:hAnsi="Arial" w:cs="Arial"/>
              </w:rPr>
            </w:pPr>
            <w:r w:rsidRPr="00B801F4">
              <w:rPr>
                <w:rFonts w:ascii="Arial" w:hAnsi="Arial" w:cs="Arial"/>
              </w:rPr>
              <w:t>36.8</w:t>
            </w:r>
          </w:p>
        </w:tc>
      </w:tr>
      <w:tr w:rsidR="00B801F4" w:rsidRPr="00B801F4" w14:paraId="483F7FD8" w14:textId="77777777" w:rsidTr="00B801F4">
        <w:tc>
          <w:tcPr>
            <w:tcW w:w="5058" w:type="dxa"/>
          </w:tcPr>
          <w:p w14:paraId="4F15865C" w14:textId="77777777" w:rsidR="00B801F4" w:rsidRPr="00B801F4" w:rsidRDefault="00B801F4" w:rsidP="00B801F4">
            <w:pPr>
              <w:rPr>
                <w:rFonts w:ascii="Arial" w:hAnsi="Arial" w:cs="Arial"/>
              </w:rPr>
            </w:pPr>
            <w:r w:rsidRPr="00B801F4">
              <w:rPr>
                <w:rFonts w:ascii="Arial" w:hAnsi="Arial" w:cs="Arial"/>
              </w:rPr>
              <w:t>Index linked securities</w:t>
            </w:r>
          </w:p>
        </w:tc>
        <w:tc>
          <w:tcPr>
            <w:tcW w:w="1559" w:type="dxa"/>
          </w:tcPr>
          <w:p w14:paraId="07D06532" w14:textId="77777777" w:rsidR="00B801F4" w:rsidRPr="00B801F4" w:rsidRDefault="00B801F4" w:rsidP="00B801F4">
            <w:pPr>
              <w:jc w:val="right"/>
              <w:rPr>
                <w:rFonts w:ascii="Arial" w:hAnsi="Arial" w:cs="Arial"/>
              </w:rPr>
            </w:pPr>
            <w:r w:rsidRPr="00B801F4">
              <w:rPr>
                <w:rFonts w:ascii="Arial" w:hAnsi="Arial" w:cs="Arial"/>
              </w:rPr>
              <w:t>0.0</w:t>
            </w:r>
          </w:p>
        </w:tc>
        <w:tc>
          <w:tcPr>
            <w:tcW w:w="430" w:type="dxa"/>
            <w:tcBorders>
              <w:right w:val="single" w:sz="4" w:space="0" w:color="FFFFFF" w:themeColor="background1"/>
            </w:tcBorders>
          </w:tcPr>
          <w:p w14:paraId="60C6E69C"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4989D865" w14:textId="77777777" w:rsidR="00B801F4" w:rsidRPr="00B801F4" w:rsidRDefault="00B801F4" w:rsidP="00B801F4">
            <w:pPr>
              <w:jc w:val="right"/>
              <w:rPr>
                <w:rFonts w:ascii="Arial" w:hAnsi="Arial" w:cs="Arial"/>
              </w:rPr>
            </w:pPr>
            <w:r w:rsidRPr="00B801F4">
              <w:rPr>
                <w:rFonts w:ascii="Arial" w:hAnsi="Arial" w:cs="Arial"/>
              </w:rPr>
              <w:t>1.6</w:t>
            </w:r>
          </w:p>
        </w:tc>
      </w:tr>
      <w:tr w:rsidR="00B801F4" w:rsidRPr="00B801F4" w14:paraId="4A702DC8" w14:textId="77777777" w:rsidTr="00B801F4">
        <w:tc>
          <w:tcPr>
            <w:tcW w:w="5058" w:type="dxa"/>
          </w:tcPr>
          <w:p w14:paraId="4718638D" w14:textId="77777777" w:rsidR="00B801F4" w:rsidRPr="00B801F4" w:rsidRDefault="00B801F4" w:rsidP="00B801F4">
            <w:pPr>
              <w:rPr>
                <w:rFonts w:ascii="Arial" w:hAnsi="Arial" w:cs="Arial"/>
              </w:rPr>
            </w:pPr>
            <w:r w:rsidRPr="00B801F4">
              <w:rPr>
                <w:rFonts w:ascii="Arial" w:hAnsi="Arial" w:cs="Arial"/>
              </w:rPr>
              <w:t>Pooled investment vehicles</w:t>
            </w:r>
          </w:p>
        </w:tc>
        <w:tc>
          <w:tcPr>
            <w:tcW w:w="1559" w:type="dxa"/>
          </w:tcPr>
          <w:p w14:paraId="0DAFE926" w14:textId="77777777" w:rsidR="00B801F4" w:rsidRPr="00B801F4" w:rsidRDefault="00B801F4" w:rsidP="00B801F4">
            <w:pPr>
              <w:jc w:val="right"/>
              <w:rPr>
                <w:rFonts w:ascii="Arial" w:hAnsi="Arial" w:cs="Arial"/>
              </w:rPr>
            </w:pPr>
            <w:r w:rsidRPr="00B801F4">
              <w:rPr>
                <w:rFonts w:ascii="Arial" w:hAnsi="Arial" w:cs="Arial"/>
              </w:rPr>
              <w:t>15.0</w:t>
            </w:r>
          </w:p>
        </w:tc>
        <w:tc>
          <w:tcPr>
            <w:tcW w:w="430" w:type="dxa"/>
            <w:tcBorders>
              <w:right w:val="single" w:sz="4" w:space="0" w:color="FFFFFF" w:themeColor="background1"/>
            </w:tcBorders>
          </w:tcPr>
          <w:p w14:paraId="309010E0"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21E43273" w14:textId="77777777" w:rsidR="00B801F4" w:rsidRPr="00B801F4" w:rsidRDefault="00B801F4" w:rsidP="00B801F4">
            <w:pPr>
              <w:jc w:val="right"/>
              <w:rPr>
                <w:rFonts w:ascii="Arial" w:hAnsi="Arial" w:cs="Arial"/>
              </w:rPr>
            </w:pPr>
            <w:r w:rsidRPr="00B801F4">
              <w:rPr>
                <w:rFonts w:ascii="Arial" w:hAnsi="Arial" w:cs="Arial"/>
              </w:rPr>
              <w:t>6.4</w:t>
            </w:r>
          </w:p>
        </w:tc>
      </w:tr>
      <w:tr w:rsidR="00B801F4" w:rsidRPr="00B801F4" w14:paraId="4250AE8C" w14:textId="77777777" w:rsidTr="00B801F4">
        <w:tc>
          <w:tcPr>
            <w:tcW w:w="5058" w:type="dxa"/>
          </w:tcPr>
          <w:p w14:paraId="4C9940D9" w14:textId="77777777" w:rsidR="00B801F4" w:rsidRPr="00B801F4" w:rsidRDefault="00B801F4" w:rsidP="00B801F4">
            <w:pPr>
              <w:rPr>
                <w:rFonts w:ascii="Arial" w:hAnsi="Arial" w:cs="Arial"/>
              </w:rPr>
            </w:pPr>
            <w:r w:rsidRPr="00B801F4">
              <w:rPr>
                <w:rFonts w:ascii="Arial" w:hAnsi="Arial" w:cs="Arial"/>
              </w:rPr>
              <w:t>Net rents from properties</w:t>
            </w:r>
          </w:p>
        </w:tc>
        <w:tc>
          <w:tcPr>
            <w:tcW w:w="1559" w:type="dxa"/>
          </w:tcPr>
          <w:p w14:paraId="2E59B3F4" w14:textId="77777777" w:rsidR="00B801F4" w:rsidRPr="00B801F4" w:rsidRDefault="00B801F4" w:rsidP="00B801F4">
            <w:pPr>
              <w:jc w:val="right"/>
              <w:rPr>
                <w:rFonts w:ascii="Arial" w:hAnsi="Arial" w:cs="Arial"/>
              </w:rPr>
            </w:pPr>
            <w:r w:rsidRPr="00B801F4">
              <w:rPr>
                <w:rFonts w:ascii="Arial" w:hAnsi="Arial" w:cs="Arial"/>
              </w:rPr>
              <w:t>24.3</w:t>
            </w:r>
          </w:p>
        </w:tc>
        <w:tc>
          <w:tcPr>
            <w:tcW w:w="430" w:type="dxa"/>
            <w:tcBorders>
              <w:right w:val="single" w:sz="4" w:space="0" w:color="FFFFFF" w:themeColor="background1"/>
            </w:tcBorders>
          </w:tcPr>
          <w:p w14:paraId="4259596E"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78C896DE" w14:textId="77777777" w:rsidR="00B801F4" w:rsidRPr="00B801F4" w:rsidRDefault="00B801F4" w:rsidP="00B801F4">
            <w:pPr>
              <w:jc w:val="right"/>
              <w:rPr>
                <w:rFonts w:ascii="Arial" w:hAnsi="Arial" w:cs="Arial"/>
              </w:rPr>
            </w:pPr>
            <w:r w:rsidRPr="00B801F4">
              <w:rPr>
                <w:rFonts w:ascii="Arial" w:hAnsi="Arial" w:cs="Arial"/>
              </w:rPr>
              <w:t>23.5</w:t>
            </w:r>
          </w:p>
        </w:tc>
      </w:tr>
      <w:tr w:rsidR="00B801F4" w:rsidRPr="00B801F4" w14:paraId="37267D0D" w14:textId="77777777" w:rsidTr="00B801F4">
        <w:tc>
          <w:tcPr>
            <w:tcW w:w="5058" w:type="dxa"/>
          </w:tcPr>
          <w:p w14:paraId="2C44F9EA" w14:textId="77777777" w:rsidR="00B801F4" w:rsidRPr="00B801F4" w:rsidRDefault="00B801F4" w:rsidP="00B801F4">
            <w:pPr>
              <w:rPr>
                <w:rFonts w:ascii="Arial" w:hAnsi="Arial" w:cs="Arial"/>
              </w:rPr>
            </w:pPr>
            <w:r w:rsidRPr="00B801F4">
              <w:rPr>
                <w:rFonts w:ascii="Arial" w:hAnsi="Arial" w:cs="Arial"/>
              </w:rPr>
              <w:t>Interest on cash deposits</w:t>
            </w:r>
          </w:p>
        </w:tc>
        <w:tc>
          <w:tcPr>
            <w:tcW w:w="1559" w:type="dxa"/>
          </w:tcPr>
          <w:p w14:paraId="6D3463AA" w14:textId="77777777" w:rsidR="00B801F4" w:rsidRPr="00B801F4" w:rsidRDefault="00B801F4" w:rsidP="00B801F4">
            <w:pPr>
              <w:jc w:val="right"/>
              <w:rPr>
                <w:rFonts w:ascii="Arial" w:hAnsi="Arial" w:cs="Arial"/>
              </w:rPr>
            </w:pPr>
            <w:r w:rsidRPr="00B801F4">
              <w:rPr>
                <w:rFonts w:ascii="Arial" w:hAnsi="Arial" w:cs="Arial"/>
              </w:rPr>
              <w:t>0.5</w:t>
            </w:r>
          </w:p>
        </w:tc>
        <w:tc>
          <w:tcPr>
            <w:tcW w:w="430" w:type="dxa"/>
            <w:tcBorders>
              <w:right w:val="single" w:sz="4" w:space="0" w:color="FFFFFF" w:themeColor="background1"/>
            </w:tcBorders>
          </w:tcPr>
          <w:p w14:paraId="0DE072E9"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76A51BC0" w14:textId="77777777" w:rsidR="00B801F4" w:rsidRPr="00B801F4" w:rsidRDefault="00B801F4" w:rsidP="00B801F4">
            <w:pPr>
              <w:jc w:val="right"/>
              <w:rPr>
                <w:rFonts w:ascii="Arial" w:hAnsi="Arial" w:cs="Arial"/>
              </w:rPr>
            </w:pPr>
            <w:r w:rsidRPr="00B801F4">
              <w:rPr>
                <w:rFonts w:ascii="Arial" w:hAnsi="Arial" w:cs="Arial"/>
              </w:rPr>
              <w:t>3.2</w:t>
            </w:r>
          </w:p>
        </w:tc>
      </w:tr>
      <w:tr w:rsidR="00B801F4" w:rsidRPr="00B801F4" w14:paraId="3BE1ABBE" w14:textId="77777777" w:rsidTr="00B801F4">
        <w:tc>
          <w:tcPr>
            <w:tcW w:w="5058" w:type="dxa"/>
          </w:tcPr>
          <w:p w14:paraId="5A982F91" w14:textId="77777777" w:rsidR="00B801F4" w:rsidRPr="00B801F4" w:rsidRDefault="00B801F4" w:rsidP="00B801F4">
            <w:pPr>
              <w:rPr>
                <w:rFonts w:ascii="Arial" w:hAnsi="Arial" w:cs="Arial"/>
              </w:rPr>
            </w:pPr>
            <w:r w:rsidRPr="00B801F4">
              <w:rPr>
                <w:rFonts w:ascii="Arial" w:hAnsi="Arial" w:cs="Arial"/>
              </w:rPr>
              <w:t>Other</w:t>
            </w:r>
          </w:p>
        </w:tc>
        <w:tc>
          <w:tcPr>
            <w:tcW w:w="1559" w:type="dxa"/>
            <w:tcBorders>
              <w:bottom w:val="single" w:sz="18" w:space="0" w:color="auto"/>
            </w:tcBorders>
          </w:tcPr>
          <w:p w14:paraId="1B65B155" w14:textId="77777777" w:rsidR="00B801F4" w:rsidRPr="00B801F4" w:rsidRDefault="00B801F4" w:rsidP="00B801F4">
            <w:pPr>
              <w:jc w:val="right"/>
              <w:rPr>
                <w:rFonts w:ascii="Arial" w:hAnsi="Arial" w:cs="Arial"/>
              </w:rPr>
            </w:pPr>
            <w:r w:rsidRPr="00B801F4">
              <w:rPr>
                <w:rFonts w:ascii="Arial" w:hAnsi="Arial" w:cs="Arial"/>
              </w:rPr>
              <w:t>7.4</w:t>
            </w:r>
          </w:p>
        </w:tc>
        <w:tc>
          <w:tcPr>
            <w:tcW w:w="430" w:type="dxa"/>
            <w:tcBorders>
              <w:right w:val="single" w:sz="4" w:space="0" w:color="FFFFFF" w:themeColor="background1"/>
            </w:tcBorders>
          </w:tcPr>
          <w:p w14:paraId="2750D3AF" w14:textId="77777777" w:rsidR="00B801F4" w:rsidRPr="00B801F4" w:rsidRDefault="00B801F4" w:rsidP="00B801F4">
            <w:pPr>
              <w:jc w:val="right"/>
              <w:rPr>
                <w:rFonts w:ascii="Arial" w:hAnsi="Arial" w:cs="Arial"/>
              </w:rPr>
            </w:pPr>
          </w:p>
        </w:tc>
        <w:tc>
          <w:tcPr>
            <w:tcW w:w="1696" w:type="dxa"/>
            <w:tcBorders>
              <w:left w:val="single" w:sz="4" w:space="0" w:color="FFFFFF" w:themeColor="background1"/>
              <w:bottom w:val="single" w:sz="18" w:space="0" w:color="auto"/>
            </w:tcBorders>
          </w:tcPr>
          <w:p w14:paraId="62D5B731" w14:textId="77777777" w:rsidR="00B801F4" w:rsidRPr="00B801F4" w:rsidRDefault="00B801F4" w:rsidP="00B801F4">
            <w:pPr>
              <w:jc w:val="right"/>
              <w:rPr>
                <w:rFonts w:ascii="Arial" w:hAnsi="Arial" w:cs="Arial"/>
              </w:rPr>
            </w:pPr>
            <w:r w:rsidRPr="00B801F4">
              <w:rPr>
                <w:rFonts w:ascii="Arial" w:hAnsi="Arial" w:cs="Arial"/>
              </w:rPr>
              <w:t>2.3</w:t>
            </w:r>
          </w:p>
        </w:tc>
      </w:tr>
      <w:tr w:rsidR="00B801F4" w:rsidRPr="00B801F4" w14:paraId="1EBE15F5" w14:textId="77777777" w:rsidTr="00B801F4">
        <w:tc>
          <w:tcPr>
            <w:tcW w:w="5058" w:type="dxa"/>
          </w:tcPr>
          <w:p w14:paraId="5B8662CD" w14:textId="77777777" w:rsidR="00B801F4" w:rsidRPr="00B801F4" w:rsidRDefault="00B801F4" w:rsidP="00B801F4">
            <w:pPr>
              <w:rPr>
                <w:rFonts w:ascii="Arial" w:hAnsi="Arial" w:cs="Arial"/>
              </w:rPr>
            </w:pPr>
          </w:p>
        </w:tc>
        <w:tc>
          <w:tcPr>
            <w:tcW w:w="1559" w:type="dxa"/>
            <w:tcBorders>
              <w:top w:val="single" w:sz="18" w:space="0" w:color="auto"/>
              <w:bottom w:val="single" w:sz="18" w:space="0" w:color="auto"/>
            </w:tcBorders>
          </w:tcPr>
          <w:p w14:paraId="4D8936F3" w14:textId="77777777" w:rsidR="00B801F4" w:rsidRPr="00B801F4" w:rsidRDefault="00B801F4" w:rsidP="00B801F4">
            <w:pPr>
              <w:jc w:val="right"/>
              <w:rPr>
                <w:rFonts w:ascii="Arial" w:hAnsi="Arial" w:cs="Arial"/>
              </w:rPr>
            </w:pPr>
            <w:r w:rsidRPr="00B801F4">
              <w:rPr>
                <w:rFonts w:ascii="Arial" w:hAnsi="Arial" w:cs="Arial"/>
              </w:rPr>
              <w:t>90.7</w:t>
            </w:r>
          </w:p>
        </w:tc>
        <w:tc>
          <w:tcPr>
            <w:tcW w:w="430" w:type="dxa"/>
            <w:tcBorders>
              <w:right w:val="single" w:sz="4" w:space="0" w:color="FFFFFF" w:themeColor="background1"/>
            </w:tcBorders>
          </w:tcPr>
          <w:p w14:paraId="240DF85F" w14:textId="77777777" w:rsidR="00B801F4" w:rsidRPr="00B801F4" w:rsidRDefault="00B801F4" w:rsidP="00B801F4">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46FE2429" w14:textId="77777777" w:rsidR="00B801F4" w:rsidRPr="00B801F4" w:rsidRDefault="00B801F4" w:rsidP="00B801F4">
            <w:pPr>
              <w:jc w:val="right"/>
              <w:rPr>
                <w:rFonts w:ascii="Arial" w:hAnsi="Arial" w:cs="Arial"/>
              </w:rPr>
            </w:pPr>
            <w:r w:rsidRPr="00B801F4">
              <w:rPr>
                <w:rFonts w:ascii="Arial" w:hAnsi="Arial" w:cs="Arial"/>
              </w:rPr>
              <w:t>105.3</w:t>
            </w:r>
          </w:p>
        </w:tc>
      </w:tr>
    </w:tbl>
    <w:p w14:paraId="7D5D2267" w14:textId="77777777" w:rsidR="00B801F4" w:rsidRPr="00B801F4" w:rsidRDefault="00B801F4" w:rsidP="00B801F4">
      <w:pPr>
        <w:autoSpaceDE/>
        <w:autoSpaceDN/>
        <w:adjustRightInd/>
        <w:spacing w:after="0"/>
        <w:ind w:left="709"/>
        <w:rPr>
          <w:b/>
          <w:sz w:val="32"/>
          <w:szCs w:val="32"/>
        </w:rPr>
      </w:pPr>
    </w:p>
    <w:p w14:paraId="78FDD7C7" w14:textId="77777777" w:rsidR="00B801F4" w:rsidRPr="00B801F4" w:rsidRDefault="00B801F4" w:rsidP="00B801F4">
      <w:pPr>
        <w:autoSpaceDE/>
        <w:autoSpaceDN/>
        <w:adjustRightInd/>
        <w:spacing w:after="0"/>
        <w:ind w:left="862"/>
        <w:rPr>
          <w:b/>
          <w:sz w:val="32"/>
          <w:szCs w:val="32"/>
        </w:rPr>
      </w:pPr>
    </w:p>
    <w:p w14:paraId="3D4BF1FE" w14:textId="77777777" w:rsidR="00B801F4" w:rsidRPr="00B801F4" w:rsidRDefault="00B801F4" w:rsidP="00717919">
      <w:pPr>
        <w:numPr>
          <w:ilvl w:val="0"/>
          <w:numId w:val="73"/>
        </w:numPr>
        <w:autoSpaceDE/>
        <w:autoSpaceDN/>
        <w:adjustRightInd/>
        <w:spacing w:after="0"/>
        <w:ind w:left="862"/>
        <w:rPr>
          <w:b/>
          <w:sz w:val="32"/>
          <w:szCs w:val="32"/>
        </w:rPr>
      </w:pPr>
      <w:r w:rsidRPr="00B801F4">
        <w:rPr>
          <w:b/>
          <w:sz w:val="32"/>
          <w:szCs w:val="32"/>
        </w:rPr>
        <w:t>Property income</w:t>
      </w: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801F4" w:rsidRPr="00B801F4" w14:paraId="7E2AD216" w14:textId="77777777" w:rsidTr="00B801F4">
        <w:tc>
          <w:tcPr>
            <w:tcW w:w="5058" w:type="dxa"/>
          </w:tcPr>
          <w:p w14:paraId="258F6B20" w14:textId="77777777" w:rsidR="00B801F4" w:rsidRPr="00B801F4" w:rsidRDefault="00B801F4" w:rsidP="00B801F4">
            <w:pPr>
              <w:spacing w:after="0"/>
              <w:rPr>
                <w:rFonts w:ascii="Arial" w:hAnsi="Arial" w:cs="Arial"/>
                <w:b/>
              </w:rPr>
            </w:pPr>
          </w:p>
        </w:tc>
        <w:tc>
          <w:tcPr>
            <w:tcW w:w="1559" w:type="dxa"/>
          </w:tcPr>
          <w:p w14:paraId="0A0D79E7" w14:textId="77777777" w:rsidR="00B801F4" w:rsidRPr="00B801F4" w:rsidRDefault="00B801F4" w:rsidP="00B801F4">
            <w:pPr>
              <w:spacing w:after="0"/>
              <w:jc w:val="right"/>
              <w:rPr>
                <w:rFonts w:ascii="Arial" w:hAnsi="Arial" w:cs="Arial"/>
                <w:b/>
              </w:rPr>
            </w:pPr>
            <w:r w:rsidRPr="00B801F4">
              <w:rPr>
                <w:rFonts w:ascii="Arial" w:hAnsi="Arial" w:cs="Arial"/>
                <w:b/>
              </w:rPr>
              <w:t>2014/15</w:t>
            </w:r>
          </w:p>
          <w:p w14:paraId="420A4D23"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203E16BA" w14:textId="77777777" w:rsidR="00B801F4" w:rsidRPr="00B801F4" w:rsidRDefault="00B801F4" w:rsidP="00B801F4">
            <w:pPr>
              <w:spacing w:after="0"/>
              <w:jc w:val="right"/>
              <w:rPr>
                <w:rFonts w:ascii="Arial" w:hAnsi="Arial" w:cs="Arial"/>
                <w:b/>
              </w:rPr>
            </w:pPr>
          </w:p>
          <w:p w14:paraId="08FA9D57" w14:textId="77777777" w:rsidR="00B801F4" w:rsidRPr="00B801F4" w:rsidRDefault="00B801F4" w:rsidP="00B801F4">
            <w:pPr>
              <w:spacing w:after="0"/>
              <w:jc w:val="right"/>
              <w:rPr>
                <w:rFonts w:ascii="Arial" w:hAnsi="Arial" w:cs="Arial"/>
                <w:b/>
              </w:rPr>
            </w:pPr>
          </w:p>
        </w:tc>
        <w:tc>
          <w:tcPr>
            <w:tcW w:w="1696" w:type="dxa"/>
            <w:tcBorders>
              <w:left w:val="single" w:sz="4" w:space="0" w:color="FFFFFF" w:themeColor="background1"/>
            </w:tcBorders>
          </w:tcPr>
          <w:p w14:paraId="1172B5D3" w14:textId="77777777" w:rsidR="00B801F4" w:rsidRPr="00B801F4" w:rsidRDefault="00B801F4" w:rsidP="00B801F4">
            <w:pPr>
              <w:spacing w:after="0"/>
              <w:jc w:val="right"/>
              <w:rPr>
                <w:rFonts w:ascii="Arial" w:hAnsi="Arial" w:cs="Arial"/>
                <w:b/>
              </w:rPr>
            </w:pPr>
            <w:r w:rsidRPr="00B801F4">
              <w:rPr>
                <w:rFonts w:ascii="Arial" w:hAnsi="Arial" w:cs="Arial"/>
                <w:b/>
              </w:rPr>
              <w:t>2013/14</w:t>
            </w:r>
          </w:p>
          <w:p w14:paraId="78B6215C"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7DFDA404" w14:textId="77777777" w:rsidTr="00B801F4">
        <w:tc>
          <w:tcPr>
            <w:tcW w:w="5058" w:type="dxa"/>
          </w:tcPr>
          <w:p w14:paraId="4BCA8602" w14:textId="77777777" w:rsidR="00B801F4" w:rsidRPr="00B801F4" w:rsidRDefault="00B801F4" w:rsidP="00B801F4">
            <w:pPr>
              <w:rPr>
                <w:rFonts w:ascii="Arial" w:hAnsi="Arial" w:cs="Arial"/>
              </w:rPr>
            </w:pPr>
            <w:r w:rsidRPr="00B801F4">
              <w:rPr>
                <w:rFonts w:ascii="Arial" w:hAnsi="Arial" w:cs="Arial"/>
              </w:rPr>
              <w:t>Rental income</w:t>
            </w:r>
          </w:p>
        </w:tc>
        <w:tc>
          <w:tcPr>
            <w:tcW w:w="1559" w:type="dxa"/>
          </w:tcPr>
          <w:p w14:paraId="3383E9D9" w14:textId="77777777" w:rsidR="00B801F4" w:rsidRPr="00B801F4" w:rsidRDefault="00B801F4" w:rsidP="00B801F4">
            <w:pPr>
              <w:jc w:val="right"/>
              <w:rPr>
                <w:rFonts w:ascii="Arial" w:hAnsi="Arial" w:cs="Arial"/>
              </w:rPr>
            </w:pPr>
            <w:r w:rsidRPr="00B801F4">
              <w:rPr>
                <w:rFonts w:ascii="Arial" w:hAnsi="Arial" w:cs="Arial"/>
              </w:rPr>
              <w:t>29.7</w:t>
            </w:r>
          </w:p>
        </w:tc>
        <w:tc>
          <w:tcPr>
            <w:tcW w:w="430" w:type="dxa"/>
            <w:tcBorders>
              <w:right w:val="single" w:sz="4" w:space="0" w:color="FFFFFF" w:themeColor="background1"/>
            </w:tcBorders>
          </w:tcPr>
          <w:p w14:paraId="66AEEB9E"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5F91F8AB" w14:textId="77777777" w:rsidR="00B801F4" w:rsidRPr="00B801F4" w:rsidRDefault="00B801F4" w:rsidP="00B801F4">
            <w:pPr>
              <w:jc w:val="right"/>
              <w:rPr>
                <w:rFonts w:ascii="Arial" w:hAnsi="Arial" w:cs="Arial"/>
              </w:rPr>
            </w:pPr>
            <w:r w:rsidRPr="00B801F4">
              <w:rPr>
                <w:rFonts w:ascii="Arial" w:hAnsi="Arial" w:cs="Arial"/>
              </w:rPr>
              <w:t>27.4</w:t>
            </w:r>
          </w:p>
        </w:tc>
      </w:tr>
      <w:tr w:rsidR="00B801F4" w:rsidRPr="00B801F4" w14:paraId="0F17CA25" w14:textId="77777777" w:rsidTr="00B801F4">
        <w:tc>
          <w:tcPr>
            <w:tcW w:w="5058" w:type="dxa"/>
          </w:tcPr>
          <w:p w14:paraId="068A1CE0" w14:textId="77777777" w:rsidR="00B801F4" w:rsidRPr="00B801F4" w:rsidRDefault="00B801F4" w:rsidP="00B801F4">
            <w:pPr>
              <w:rPr>
                <w:rFonts w:ascii="Arial" w:hAnsi="Arial" w:cs="Arial"/>
              </w:rPr>
            </w:pPr>
            <w:r w:rsidRPr="00B801F4">
              <w:rPr>
                <w:rFonts w:ascii="Arial" w:hAnsi="Arial" w:cs="Arial"/>
              </w:rPr>
              <w:t>Direct operating expenses</w:t>
            </w:r>
          </w:p>
        </w:tc>
        <w:tc>
          <w:tcPr>
            <w:tcW w:w="1559" w:type="dxa"/>
            <w:tcBorders>
              <w:bottom w:val="single" w:sz="18" w:space="0" w:color="auto"/>
            </w:tcBorders>
          </w:tcPr>
          <w:p w14:paraId="7B8274BE" w14:textId="77777777" w:rsidR="00B801F4" w:rsidRPr="00B801F4" w:rsidRDefault="00B801F4" w:rsidP="00B801F4">
            <w:pPr>
              <w:jc w:val="right"/>
              <w:rPr>
                <w:rFonts w:ascii="Arial" w:hAnsi="Arial" w:cs="Arial"/>
              </w:rPr>
            </w:pPr>
            <w:r w:rsidRPr="00B801F4">
              <w:rPr>
                <w:rFonts w:ascii="Arial" w:hAnsi="Arial" w:cs="Arial"/>
              </w:rPr>
              <w:t>(5.4)</w:t>
            </w:r>
          </w:p>
        </w:tc>
        <w:tc>
          <w:tcPr>
            <w:tcW w:w="430" w:type="dxa"/>
            <w:tcBorders>
              <w:right w:val="single" w:sz="4" w:space="0" w:color="FFFFFF" w:themeColor="background1"/>
            </w:tcBorders>
          </w:tcPr>
          <w:p w14:paraId="56C5A624" w14:textId="77777777" w:rsidR="00B801F4" w:rsidRPr="00B801F4" w:rsidRDefault="00B801F4" w:rsidP="00B801F4">
            <w:pPr>
              <w:jc w:val="right"/>
              <w:rPr>
                <w:rFonts w:ascii="Arial" w:hAnsi="Arial" w:cs="Arial"/>
              </w:rPr>
            </w:pPr>
          </w:p>
        </w:tc>
        <w:tc>
          <w:tcPr>
            <w:tcW w:w="1696" w:type="dxa"/>
            <w:tcBorders>
              <w:left w:val="single" w:sz="4" w:space="0" w:color="FFFFFF" w:themeColor="background1"/>
              <w:bottom w:val="single" w:sz="18" w:space="0" w:color="auto"/>
            </w:tcBorders>
          </w:tcPr>
          <w:p w14:paraId="77839C80" w14:textId="77777777" w:rsidR="00B801F4" w:rsidRPr="00B801F4" w:rsidRDefault="00B801F4" w:rsidP="00B801F4">
            <w:pPr>
              <w:jc w:val="right"/>
              <w:rPr>
                <w:rFonts w:ascii="Arial" w:hAnsi="Arial" w:cs="Arial"/>
              </w:rPr>
            </w:pPr>
            <w:r w:rsidRPr="00B801F4">
              <w:rPr>
                <w:rFonts w:ascii="Arial" w:hAnsi="Arial" w:cs="Arial"/>
              </w:rPr>
              <w:t>(3.9)</w:t>
            </w:r>
          </w:p>
        </w:tc>
      </w:tr>
      <w:tr w:rsidR="00B801F4" w:rsidRPr="00B801F4" w14:paraId="425F8A0F" w14:textId="77777777" w:rsidTr="00B801F4">
        <w:tc>
          <w:tcPr>
            <w:tcW w:w="5058" w:type="dxa"/>
          </w:tcPr>
          <w:p w14:paraId="1EB2B9CC" w14:textId="77777777" w:rsidR="00B801F4" w:rsidRPr="00B801F4" w:rsidRDefault="00B801F4" w:rsidP="00B801F4">
            <w:pPr>
              <w:rPr>
                <w:rFonts w:ascii="Arial" w:hAnsi="Arial" w:cs="Arial"/>
              </w:rPr>
            </w:pPr>
            <w:r w:rsidRPr="00B801F4">
              <w:rPr>
                <w:rFonts w:ascii="Arial" w:hAnsi="Arial" w:cs="Arial"/>
              </w:rPr>
              <w:t>Net income</w:t>
            </w:r>
          </w:p>
        </w:tc>
        <w:tc>
          <w:tcPr>
            <w:tcW w:w="1559" w:type="dxa"/>
            <w:tcBorders>
              <w:top w:val="single" w:sz="18" w:space="0" w:color="auto"/>
              <w:bottom w:val="single" w:sz="18" w:space="0" w:color="auto"/>
            </w:tcBorders>
          </w:tcPr>
          <w:p w14:paraId="498E7E1B" w14:textId="77777777" w:rsidR="00B801F4" w:rsidRPr="00B801F4" w:rsidRDefault="00B801F4" w:rsidP="00B801F4">
            <w:pPr>
              <w:jc w:val="right"/>
              <w:rPr>
                <w:rFonts w:ascii="Arial" w:hAnsi="Arial" w:cs="Arial"/>
              </w:rPr>
            </w:pPr>
            <w:r w:rsidRPr="00B801F4">
              <w:rPr>
                <w:rFonts w:ascii="Arial" w:hAnsi="Arial" w:cs="Arial"/>
              </w:rPr>
              <w:t>24.3</w:t>
            </w:r>
          </w:p>
        </w:tc>
        <w:tc>
          <w:tcPr>
            <w:tcW w:w="430" w:type="dxa"/>
            <w:tcBorders>
              <w:right w:val="single" w:sz="4" w:space="0" w:color="FFFFFF" w:themeColor="background1"/>
            </w:tcBorders>
          </w:tcPr>
          <w:p w14:paraId="7A88B815" w14:textId="77777777" w:rsidR="00B801F4" w:rsidRPr="00B801F4" w:rsidRDefault="00B801F4" w:rsidP="00B801F4">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6A0AFB82" w14:textId="77777777" w:rsidR="00B801F4" w:rsidRPr="00B801F4" w:rsidRDefault="00B801F4" w:rsidP="00B801F4">
            <w:pPr>
              <w:jc w:val="right"/>
              <w:rPr>
                <w:rFonts w:ascii="Arial" w:hAnsi="Arial" w:cs="Arial"/>
              </w:rPr>
            </w:pPr>
            <w:r w:rsidRPr="00B801F4">
              <w:rPr>
                <w:rFonts w:ascii="Arial" w:hAnsi="Arial" w:cs="Arial"/>
              </w:rPr>
              <w:t>23.5</w:t>
            </w:r>
          </w:p>
        </w:tc>
      </w:tr>
      <w:tr w:rsidR="00B801F4" w:rsidRPr="00B801F4" w14:paraId="73554518" w14:textId="77777777" w:rsidTr="00B801F4">
        <w:trPr>
          <w:gridBefore w:val="1"/>
          <w:wBefore w:w="5058" w:type="dxa"/>
        </w:trPr>
        <w:tc>
          <w:tcPr>
            <w:tcW w:w="1559" w:type="dxa"/>
          </w:tcPr>
          <w:p w14:paraId="66404780" w14:textId="77777777" w:rsidR="00B801F4" w:rsidRPr="00B801F4" w:rsidRDefault="00B801F4" w:rsidP="00B801F4">
            <w:pPr>
              <w:jc w:val="right"/>
            </w:pPr>
          </w:p>
        </w:tc>
        <w:tc>
          <w:tcPr>
            <w:tcW w:w="430" w:type="dxa"/>
          </w:tcPr>
          <w:p w14:paraId="4B03E279" w14:textId="77777777" w:rsidR="00B801F4" w:rsidRPr="00B801F4" w:rsidRDefault="00B801F4" w:rsidP="00B801F4">
            <w:pPr>
              <w:jc w:val="right"/>
            </w:pPr>
          </w:p>
        </w:tc>
        <w:tc>
          <w:tcPr>
            <w:tcW w:w="1696" w:type="dxa"/>
          </w:tcPr>
          <w:p w14:paraId="6F142827" w14:textId="77777777" w:rsidR="00B801F4" w:rsidRPr="00B801F4" w:rsidRDefault="00B801F4" w:rsidP="00B801F4">
            <w:pPr>
              <w:jc w:val="right"/>
            </w:pPr>
          </w:p>
        </w:tc>
      </w:tr>
      <w:tr w:rsidR="00B801F4" w:rsidRPr="00B801F4" w14:paraId="4B0EB509" w14:textId="77777777" w:rsidTr="00B801F4">
        <w:trPr>
          <w:gridBefore w:val="1"/>
          <w:wBefore w:w="5058" w:type="dxa"/>
        </w:trPr>
        <w:tc>
          <w:tcPr>
            <w:tcW w:w="1559" w:type="dxa"/>
            <w:tcBorders>
              <w:bottom w:val="nil"/>
            </w:tcBorders>
          </w:tcPr>
          <w:p w14:paraId="29489D56" w14:textId="77777777" w:rsidR="00B801F4" w:rsidRPr="00B801F4" w:rsidRDefault="00B801F4" w:rsidP="00B801F4">
            <w:pPr>
              <w:jc w:val="right"/>
            </w:pPr>
          </w:p>
        </w:tc>
        <w:tc>
          <w:tcPr>
            <w:tcW w:w="430" w:type="dxa"/>
          </w:tcPr>
          <w:p w14:paraId="61C8AA35" w14:textId="77777777" w:rsidR="00B801F4" w:rsidRPr="00B801F4" w:rsidRDefault="00B801F4" w:rsidP="00B801F4">
            <w:pPr>
              <w:jc w:val="right"/>
            </w:pPr>
          </w:p>
        </w:tc>
        <w:tc>
          <w:tcPr>
            <w:tcW w:w="1696" w:type="dxa"/>
            <w:tcBorders>
              <w:bottom w:val="nil"/>
            </w:tcBorders>
          </w:tcPr>
          <w:p w14:paraId="6A369568" w14:textId="77777777" w:rsidR="00B801F4" w:rsidRPr="00B801F4" w:rsidRDefault="00B801F4" w:rsidP="00B801F4">
            <w:pPr>
              <w:jc w:val="right"/>
            </w:pPr>
          </w:p>
        </w:tc>
      </w:tr>
    </w:tbl>
    <w:p w14:paraId="0E43F696" w14:textId="77777777" w:rsidR="00B801F4" w:rsidRPr="00B801F4" w:rsidRDefault="00B801F4" w:rsidP="00717919">
      <w:pPr>
        <w:numPr>
          <w:ilvl w:val="0"/>
          <w:numId w:val="74"/>
        </w:numPr>
        <w:autoSpaceDE/>
        <w:autoSpaceDN/>
        <w:adjustRightInd/>
        <w:spacing w:after="240"/>
        <w:jc w:val="left"/>
        <w:rPr>
          <w:sz w:val="32"/>
          <w:szCs w:val="32"/>
        </w:rPr>
      </w:pPr>
      <w:r w:rsidRPr="00B801F4">
        <w:rPr>
          <w:b/>
          <w:sz w:val="32"/>
          <w:szCs w:val="32"/>
        </w:rPr>
        <w:t>Stock lending</w:t>
      </w:r>
    </w:p>
    <w:p w14:paraId="60578393" w14:textId="77777777" w:rsidR="00B801F4" w:rsidRPr="00B801F4" w:rsidRDefault="00B801F4" w:rsidP="00B801F4">
      <w:pPr>
        <w:tabs>
          <w:tab w:val="left" w:pos="1080"/>
        </w:tabs>
        <w:spacing w:after="80"/>
        <w:ind w:left="709"/>
        <w:jc w:val="left"/>
      </w:pPr>
      <w:r w:rsidRPr="00B801F4">
        <w:t>Northern Trust the Fund's custodian, are authorised to release stock to a third party under stock lending arrangements up to the statutory limits for this activity.  Stock lending income generated in 2014/15 was £2.2m (2013/14: £1.2m)</w:t>
      </w:r>
    </w:p>
    <w:p w14:paraId="185F8941" w14:textId="77777777" w:rsidR="00B801F4" w:rsidRPr="00B801F4" w:rsidRDefault="00B801F4" w:rsidP="00B801F4">
      <w:pPr>
        <w:tabs>
          <w:tab w:val="left" w:pos="1080"/>
        </w:tabs>
        <w:spacing w:after="80"/>
        <w:ind w:left="709"/>
        <w:jc w:val="left"/>
      </w:pPr>
      <w:r w:rsidRPr="00B801F4">
        <w:t>Securities on loan at the 31</w:t>
      </w:r>
      <w:r w:rsidRPr="00B801F4">
        <w:rPr>
          <w:vertAlign w:val="superscript"/>
        </w:rPr>
        <w:t>st</w:t>
      </w:r>
      <w:r w:rsidRPr="00B801F4">
        <w:t xml:space="preserve"> March 2015 were £86m (2014: £131.7m) and are included in the net assets statement to reflect the scheme's continuing economic interest in the securities.  This consisted of £86m of equities (2014: £129.9m equities and £1.8m bonds).</w:t>
      </w:r>
    </w:p>
    <w:p w14:paraId="242136D7" w14:textId="77777777" w:rsidR="00B801F4" w:rsidRPr="00B801F4" w:rsidRDefault="00B801F4" w:rsidP="00B801F4">
      <w:pPr>
        <w:tabs>
          <w:tab w:val="left" w:pos="1080"/>
        </w:tabs>
        <w:spacing w:after="80"/>
        <w:ind w:left="709"/>
        <w:jc w:val="left"/>
      </w:pPr>
      <w:r w:rsidRPr="00B801F4">
        <w:t>Collateral is marked to market, and adjusted daily. Additional collateral of between 2% and 5% is requested as an additional measure of industry standard practice to mitigate risk. As the Fund has an obligation to return the collateral to the borrowers, collateral is excluded from the fund valuation. The collateral is non cash and totalled £92m of equities (2014: £139.8m bonds).</w:t>
      </w:r>
    </w:p>
    <w:p w14:paraId="2941A0BC" w14:textId="77777777" w:rsidR="00B801F4" w:rsidRPr="00B801F4" w:rsidRDefault="00B801F4" w:rsidP="00B801F4">
      <w:pPr>
        <w:tabs>
          <w:tab w:val="left" w:pos="1080"/>
        </w:tabs>
        <w:spacing w:after="80"/>
        <w:ind w:left="709"/>
        <w:jc w:val="left"/>
        <w:sectPr w:rsidR="00B801F4" w:rsidRPr="00B801F4" w:rsidSect="00B801F4">
          <w:headerReference w:type="default" r:id="rId35"/>
          <w:pgSz w:w="11900" w:h="16840" w:code="9"/>
          <w:pgMar w:top="720" w:right="720" w:bottom="720" w:left="720" w:header="284" w:footer="284" w:gutter="0"/>
          <w:cols w:space="292"/>
          <w:docGrid w:linePitch="326"/>
        </w:sectPr>
      </w:pPr>
    </w:p>
    <w:p w14:paraId="55C022D7" w14:textId="77777777" w:rsidR="00B801F4" w:rsidRPr="00B801F4" w:rsidRDefault="00B801F4" w:rsidP="00B801F4">
      <w:pPr>
        <w:tabs>
          <w:tab w:val="left" w:pos="1080"/>
        </w:tabs>
        <w:spacing w:after="80"/>
        <w:ind w:left="709"/>
      </w:pPr>
    </w:p>
    <w:p w14:paraId="47056414" w14:textId="77777777" w:rsidR="00B801F4" w:rsidRPr="00B801F4" w:rsidRDefault="00B801F4" w:rsidP="00717919">
      <w:pPr>
        <w:numPr>
          <w:ilvl w:val="0"/>
          <w:numId w:val="74"/>
        </w:numPr>
        <w:autoSpaceDE/>
        <w:autoSpaceDN/>
        <w:adjustRightInd/>
        <w:contextualSpacing/>
        <w:jc w:val="left"/>
        <w:rPr>
          <w:b/>
          <w:sz w:val="32"/>
          <w:szCs w:val="32"/>
        </w:rPr>
      </w:pPr>
      <w:r w:rsidRPr="00B801F4">
        <w:rPr>
          <w:b/>
          <w:sz w:val="32"/>
          <w:szCs w:val="32"/>
        </w:rPr>
        <w:t>Reconciliation of movements in investments and derivatives</w:t>
      </w:r>
    </w:p>
    <w:p w14:paraId="34DD222B" w14:textId="77777777" w:rsidR="00B801F4" w:rsidRPr="00B801F4" w:rsidRDefault="00B801F4" w:rsidP="00B801F4">
      <w:pPr>
        <w:ind w:left="862"/>
        <w:contextualSpacing/>
        <w:rPr>
          <w:b/>
          <w:sz w:val="28"/>
          <w:szCs w:val="28"/>
        </w:rPr>
      </w:pPr>
    </w:p>
    <w:tbl>
      <w:tblPr>
        <w:tblStyle w:val="TableGrid1"/>
        <w:tblW w:w="0" w:type="auto"/>
        <w:tblLook w:val="04A0" w:firstRow="1" w:lastRow="0" w:firstColumn="1" w:lastColumn="0" w:noHBand="0" w:noVBand="1"/>
      </w:tblPr>
      <w:tblGrid>
        <w:gridCol w:w="2830"/>
        <w:gridCol w:w="284"/>
        <w:gridCol w:w="2016"/>
        <w:gridCol w:w="2565"/>
        <w:gridCol w:w="2565"/>
        <w:gridCol w:w="2565"/>
        <w:gridCol w:w="2565"/>
      </w:tblGrid>
      <w:tr w:rsidR="00B801F4" w:rsidRPr="00B801F4" w14:paraId="2406B528" w14:textId="77777777" w:rsidTr="008D0533">
        <w:tc>
          <w:tcPr>
            <w:tcW w:w="2830" w:type="dxa"/>
            <w:tcBorders>
              <w:top w:val="single" w:sz="4" w:space="0" w:color="auto"/>
              <w:left w:val="single" w:sz="4" w:space="0" w:color="auto"/>
              <w:bottom w:val="nil"/>
              <w:right w:val="nil"/>
            </w:tcBorders>
            <w:shd w:val="clear" w:color="auto" w:fill="A8D08D" w:themeFill="accent6" w:themeFillTint="99"/>
          </w:tcPr>
          <w:p w14:paraId="2274895D" w14:textId="77777777" w:rsidR="00B801F4" w:rsidRPr="00B801F4" w:rsidRDefault="00B801F4" w:rsidP="00B801F4">
            <w:pPr>
              <w:rPr>
                <w:b/>
              </w:rPr>
            </w:pPr>
          </w:p>
        </w:tc>
        <w:tc>
          <w:tcPr>
            <w:tcW w:w="2300" w:type="dxa"/>
            <w:gridSpan w:val="2"/>
            <w:tcBorders>
              <w:top w:val="single" w:sz="4" w:space="0" w:color="auto"/>
              <w:left w:val="nil"/>
              <w:bottom w:val="nil"/>
              <w:right w:val="nil"/>
            </w:tcBorders>
            <w:shd w:val="clear" w:color="auto" w:fill="A8D08D" w:themeFill="accent6" w:themeFillTint="99"/>
          </w:tcPr>
          <w:p w14:paraId="6BC68209" w14:textId="57F8CE0A" w:rsidR="00B801F4" w:rsidRPr="00B801F4" w:rsidRDefault="00B801F4" w:rsidP="00B801F4">
            <w:pPr>
              <w:jc w:val="right"/>
              <w:rPr>
                <w:b/>
              </w:rPr>
            </w:pPr>
            <w:r w:rsidRPr="00B801F4">
              <w:rPr>
                <w:b/>
              </w:rPr>
              <w:t xml:space="preserve">Market value </w:t>
            </w:r>
            <w:r w:rsidR="00F3615F">
              <w:rPr>
                <w:b/>
              </w:rPr>
              <w:t xml:space="preserve">as </w:t>
            </w:r>
            <w:r w:rsidRPr="00B801F4">
              <w:rPr>
                <w:b/>
              </w:rPr>
              <w:t>at</w:t>
            </w:r>
          </w:p>
          <w:p w14:paraId="39777786" w14:textId="77777777" w:rsidR="00B801F4" w:rsidRPr="00B801F4" w:rsidRDefault="00B801F4" w:rsidP="00B801F4">
            <w:pPr>
              <w:jc w:val="right"/>
              <w:rPr>
                <w:b/>
              </w:rPr>
            </w:pPr>
            <w:r w:rsidRPr="00B801F4">
              <w:rPr>
                <w:b/>
              </w:rPr>
              <w:t>1 April 2014</w:t>
            </w:r>
          </w:p>
        </w:tc>
        <w:tc>
          <w:tcPr>
            <w:tcW w:w="2565" w:type="dxa"/>
            <w:tcBorders>
              <w:top w:val="single" w:sz="4" w:space="0" w:color="auto"/>
              <w:left w:val="nil"/>
              <w:bottom w:val="nil"/>
              <w:right w:val="nil"/>
            </w:tcBorders>
            <w:shd w:val="clear" w:color="auto" w:fill="A8D08D" w:themeFill="accent6" w:themeFillTint="99"/>
          </w:tcPr>
          <w:p w14:paraId="37312B05" w14:textId="77777777" w:rsidR="00B801F4" w:rsidRPr="00B801F4" w:rsidRDefault="00B801F4" w:rsidP="00B801F4">
            <w:pPr>
              <w:jc w:val="right"/>
              <w:rPr>
                <w:b/>
              </w:rPr>
            </w:pPr>
            <w:r w:rsidRPr="00B801F4">
              <w:rPr>
                <w:b/>
              </w:rPr>
              <w:t>Purchases at cost and derivative payments</w:t>
            </w:r>
          </w:p>
        </w:tc>
        <w:tc>
          <w:tcPr>
            <w:tcW w:w="2565" w:type="dxa"/>
            <w:tcBorders>
              <w:top w:val="single" w:sz="4" w:space="0" w:color="auto"/>
              <w:left w:val="nil"/>
              <w:bottom w:val="nil"/>
              <w:right w:val="nil"/>
            </w:tcBorders>
            <w:shd w:val="clear" w:color="auto" w:fill="A8D08D" w:themeFill="accent6" w:themeFillTint="99"/>
          </w:tcPr>
          <w:p w14:paraId="744C2266" w14:textId="77777777" w:rsidR="00B801F4" w:rsidRPr="00B801F4" w:rsidRDefault="00B801F4" w:rsidP="00B801F4">
            <w:pPr>
              <w:jc w:val="right"/>
              <w:rPr>
                <w:b/>
              </w:rPr>
            </w:pPr>
            <w:r w:rsidRPr="00B801F4">
              <w:rPr>
                <w:b/>
              </w:rPr>
              <w:t>Sales proceeds and derivative receipts</w:t>
            </w:r>
          </w:p>
        </w:tc>
        <w:tc>
          <w:tcPr>
            <w:tcW w:w="2565" w:type="dxa"/>
            <w:tcBorders>
              <w:top w:val="single" w:sz="4" w:space="0" w:color="auto"/>
              <w:left w:val="nil"/>
              <w:bottom w:val="nil"/>
              <w:right w:val="nil"/>
            </w:tcBorders>
            <w:shd w:val="clear" w:color="auto" w:fill="A8D08D" w:themeFill="accent6" w:themeFillTint="99"/>
          </w:tcPr>
          <w:p w14:paraId="27D09D1D" w14:textId="77777777" w:rsidR="00B801F4" w:rsidRPr="00B801F4" w:rsidRDefault="00B801F4" w:rsidP="00B801F4">
            <w:pPr>
              <w:jc w:val="right"/>
              <w:rPr>
                <w:b/>
              </w:rPr>
            </w:pPr>
            <w:r w:rsidRPr="00B801F4">
              <w:rPr>
                <w:b/>
              </w:rPr>
              <w:t>Change in market value</w:t>
            </w:r>
          </w:p>
        </w:tc>
        <w:tc>
          <w:tcPr>
            <w:tcW w:w="2565" w:type="dxa"/>
            <w:tcBorders>
              <w:top w:val="single" w:sz="4" w:space="0" w:color="auto"/>
              <w:left w:val="nil"/>
              <w:bottom w:val="nil"/>
              <w:right w:val="single" w:sz="4" w:space="0" w:color="auto"/>
            </w:tcBorders>
            <w:shd w:val="clear" w:color="auto" w:fill="A8D08D" w:themeFill="accent6" w:themeFillTint="99"/>
          </w:tcPr>
          <w:p w14:paraId="09283755" w14:textId="03A60F72" w:rsidR="00B801F4" w:rsidRPr="00B801F4" w:rsidRDefault="00B801F4" w:rsidP="00B801F4">
            <w:pPr>
              <w:jc w:val="right"/>
              <w:rPr>
                <w:b/>
              </w:rPr>
            </w:pPr>
            <w:r w:rsidRPr="00B801F4">
              <w:rPr>
                <w:b/>
              </w:rPr>
              <w:t xml:space="preserve">Market value </w:t>
            </w:r>
            <w:r w:rsidR="00F3615F">
              <w:rPr>
                <w:b/>
              </w:rPr>
              <w:t xml:space="preserve">as </w:t>
            </w:r>
            <w:r w:rsidRPr="00B801F4">
              <w:rPr>
                <w:b/>
              </w:rPr>
              <w:t>at</w:t>
            </w:r>
          </w:p>
          <w:p w14:paraId="66DF6A87" w14:textId="77777777" w:rsidR="00B801F4" w:rsidRPr="00B801F4" w:rsidRDefault="00B801F4" w:rsidP="00B801F4">
            <w:pPr>
              <w:jc w:val="right"/>
              <w:rPr>
                <w:b/>
              </w:rPr>
            </w:pPr>
            <w:r w:rsidRPr="00B801F4">
              <w:rPr>
                <w:b/>
              </w:rPr>
              <w:t xml:space="preserve"> 31 March 2015</w:t>
            </w:r>
          </w:p>
        </w:tc>
      </w:tr>
      <w:tr w:rsidR="00B801F4" w:rsidRPr="00B801F4" w14:paraId="23969BE3" w14:textId="77777777" w:rsidTr="00B801F4">
        <w:trPr>
          <w:trHeight w:val="532"/>
        </w:trPr>
        <w:tc>
          <w:tcPr>
            <w:tcW w:w="3114" w:type="dxa"/>
            <w:gridSpan w:val="2"/>
            <w:tcBorders>
              <w:top w:val="nil"/>
              <w:left w:val="single" w:sz="4" w:space="0" w:color="auto"/>
              <w:bottom w:val="single" w:sz="4" w:space="0" w:color="auto"/>
              <w:right w:val="nil"/>
            </w:tcBorders>
            <w:shd w:val="clear" w:color="auto" w:fill="A8D08D" w:themeFill="accent6" w:themeFillTint="99"/>
          </w:tcPr>
          <w:p w14:paraId="30607987" w14:textId="77777777" w:rsidR="00B801F4" w:rsidRPr="00B801F4" w:rsidRDefault="00B801F4" w:rsidP="00B801F4">
            <w:pPr>
              <w:autoSpaceDE/>
              <w:autoSpaceDN/>
              <w:adjustRightInd/>
              <w:spacing w:after="0"/>
              <w:jc w:val="left"/>
            </w:pPr>
          </w:p>
        </w:tc>
        <w:tc>
          <w:tcPr>
            <w:tcW w:w="2016" w:type="dxa"/>
            <w:tcBorders>
              <w:top w:val="nil"/>
              <w:left w:val="nil"/>
              <w:bottom w:val="single" w:sz="4" w:space="0" w:color="auto"/>
              <w:right w:val="nil"/>
            </w:tcBorders>
            <w:shd w:val="clear" w:color="auto" w:fill="A8D08D" w:themeFill="accent6" w:themeFillTint="99"/>
          </w:tcPr>
          <w:p w14:paraId="0022FA27" w14:textId="77777777" w:rsidR="00B801F4" w:rsidRPr="00B801F4" w:rsidRDefault="00B801F4" w:rsidP="00B801F4">
            <w:pPr>
              <w:autoSpaceDE/>
              <w:autoSpaceDN/>
              <w:adjustRightInd/>
              <w:spacing w:after="0"/>
              <w:jc w:val="right"/>
              <w:rPr>
                <w:b/>
              </w:rPr>
            </w:pPr>
            <w:r w:rsidRPr="00B801F4">
              <w:rPr>
                <w:b/>
              </w:rPr>
              <w:t>£m</w:t>
            </w:r>
          </w:p>
        </w:tc>
        <w:tc>
          <w:tcPr>
            <w:tcW w:w="2565" w:type="dxa"/>
            <w:tcBorders>
              <w:top w:val="nil"/>
              <w:left w:val="nil"/>
              <w:bottom w:val="single" w:sz="4" w:space="0" w:color="auto"/>
              <w:right w:val="nil"/>
            </w:tcBorders>
            <w:shd w:val="clear" w:color="auto" w:fill="A8D08D" w:themeFill="accent6" w:themeFillTint="99"/>
          </w:tcPr>
          <w:p w14:paraId="58E34FEE" w14:textId="77777777" w:rsidR="00B801F4" w:rsidRPr="00B801F4" w:rsidRDefault="00B801F4" w:rsidP="00B801F4">
            <w:pPr>
              <w:jc w:val="right"/>
              <w:rPr>
                <w:b/>
              </w:rPr>
            </w:pPr>
            <w:r w:rsidRPr="00B801F4">
              <w:rPr>
                <w:b/>
              </w:rPr>
              <w:t>£m</w:t>
            </w:r>
          </w:p>
        </w:tc>
        <w:tc>
          <w:tcPr>
            <w:tcW w:w="2565" w:type="dxa"/>
            <w:tcBorders>
              <w:top w:val="nil"/>
              <w:left w:val="nil"/>
              <w:bottom w:val="single" w:sz="4" w:space="0" w:color="auto"/>
              <w:right w:val="nil"/>
            </w:tcBorders>
            <w:shd w:val="clear" w:color="auto" w:fill="A8D08D" w:themeFill="accent6" w:themeFillTint="99"/>
          </w:tcPr>
          <w:p w14:paraId="237E4C49" w14:textId="77777777" w:rsidR="00B801F4" w:rsidRPr="00B801F4" w:rsidRDefault="00B801F4" w:rsidP="00B801F4">
            <w:pPr>
              <w:jc w:val="right"/>
              <w:rPr>
                <w:b/>
              </w:rPr>
            </w:pPr>
            <w:r w:rsidRPr="00B801F4">
              <w:rPr>
                <w:b/>
              </w:rPr>
              <w:t>£m</w:t>
            </w:r>
          </w:p>
        </w:tc>
        <w:tc>
          <w:tcPr>
            <w:tcW w:w="2565" w:type="dxa"/>
            <w:tcBorders>
              <w:top w:val="nil"/>
              <w:left w:val="nil"/>
              <w:bottom w:val="single" w:sz="4" w:space="0" w:color="auto"/>
              <w:right w:val="nil"/>
            </w:tcBorders>
            <w:shd w:val="clear" w:color="auto" w:fill="A8D08D" w:themeFill="accent6" w:themeFillTint="99"/>
          </w:tcPr>
          <w:p w14:paraId="3F4140D2" w14:textId="77777777" w:rsidR="00B801F4" w:rsidRPr="00B801F4" w:rsidRDefault="00B801F4" w:rsidP="00B801F4">
            <w:pPr>
              <w:jc w:val="right"/>
              <w:rPr>
                <w:b/>
              </w:rPr>
            </w:pPr>
            <w:r w:rsidRPr="00B801F4">
              <w:rPr>
                <w:b/>
              </w:rPr>
              <w:t>£m</w:t>
            </w:r>
          </w:p>
        </w:tc>
        <w:tc>
          <w:tcPr>
            <w:tcW w:w="2565" w:type="dxa"/>
            <w:tcBorders>
              <w:top w:val="nil"/>
              <w:left w:val="nil"/>
              <w:bottom w:val="single" w:sz="4" w:space="0" w:color="auto"/>
              <w:right w:val="single" w:sz="4" w:space="0" w:color="auto"/>
            </w:tcBorders>
            <w:shd w:val="clear" w:color="auto" w:fill="A8D08D" w:themeFill="accent6" w:themeFillTint="99"/>
          </w:tcPr>
          <w:p w14:paraId="456089E3" w14:textId="77777777" w:rsidR="00B801F4" w:rsidRPr="00B801F4" w:rsidRDefault="00B801F4" w:rsidP="00B801F4">
            <w:pPr>
              <w:jc w:val="right"/>
              <w:rPr>
                <w:b/>
              </w:rPr>
            </w:pPr>
            <w:r w:rsidRPr="00B801F4">
              <w:rPr>
                <w:b/>
              </w:rPr>
              <w:t>£m</w:t>
            </w:r>
          </w:p>
        </w:tc>
      </w:tr>
      <w:tr w:rsidR="00B801F4" w:rsidRPr="00B801F4" w14:paraId="5FA0C56A" w14:textId="77777777" w:rsidTr="00B801F4">
        <w:trPr>
          <w:trHeight w:val="156"/>
        </w:trPr>
        <w:tc>
          <w:tcPr>
            <w:tcW w:w="3114" w:type="dxa"/>
            <w:gridSpan w:val="2"/>
            <w:tcBorders>
              <w:top w:val="single" w:sz="4" w:space="0" w:color="auto"/>
              <w:left w:val="single" w:sz="4" w:space="0" w:color="auto"/>
              <w:bottom w:val="nil"/>
              <w:right w:val="nil"/>
            </w:tcBorders>
          </w:tcPr>
          <w:p w14:paraId="63E725CF" w14:textId="77777777" w:rsidR="00B801F4" w:rsidRPr="00B801F4" w:rsidRDefault="00B801F4" w:rsidP="00B801F4">
            <w:pPr>
              <w:autoSpaceDE/>
              <w:autoSpaceDN/>
              <w:adjustRightInd/>
              <w:spacing w:after="0"/>
              <w:jc w:val="left"/>
            </w:pPr>
          </w:p>
        </w:tc>
        <w:tc>
          <w:tcPr>
            <w:tcW w:w="2016" w:type="dxa"/>
            <w:tcBorders>
              <w:top w:val="single" w:sz="4" w:space="0" w:color="auto"/>
              <w:left w:val="nil"/>
              <w:bottom w:val="nil"/>
              <w:right w:val="nil"/>
            </w:tcBorders>
          </w:tcPr>
          <w:p w14:paraId="35A267F1" w14:textId="77777777" w:rsidR="00B801F4" w:rsidRPr="00B801F4" w:rsidRDefault="00B801F4" w:rsidP="00B801F4">
            <w:pPr>
              <w:autoSpaceDE/>
              <w:autoSpaceDN/>
              <w:adjustRightInd/>
              <w:spacing w:after="0"/>
              <w:jc w:val="right"/>
            </w:pPr>
          </w:p>
        </w:tc>
        <w:tc>
          <w:tcPr>
            <w:tcW w:w="2565" w:type="dxa"/>
            <w:tcBorders>
              <w:top w:val="single" w:sz="4" w:space="0" w:color="auto"/>
              <w:left w:val="nil"/>
              <w:bottom w:val="nil"/>
              <w:right w:val="nil"/>
            </w:tcBorders>
          </w:tcPr>
          <w:p w14:paraId="327A580D" w14:textId="77777777" w:rsidR="00B801F4" w:rsidRPr="00B801F4" w:rsidRDefault="00B801F4" w:rsidP="00B801F4">
            <w:pPr>
              <w:autoSpaceDE/>
              <w:autoSpaceDN/>
              <w:adjustRightInd/>
              <w:spacing w:after="0"/>
              <w:jc w:val="right"/>
            </w:pPr>
          </w:p>
        </w:tc>
        <w:tc>
          <w:tcPr>
            <w:tcW w:w="2565" w:type="dxa"/>
            <w:tcBorders>
              <w:top w:val="single" w:sz="4" w:space="0" w:color="auto"/>
              <w:left w:val="nil"/>
              <w:bottom w:val="nil"/>
              <w:right w:val="nil"/>
            </w:tcBorders>
          </w:tcPr>
          <w:p w14:paraId="1A90B9D9" w14:textId="77777777" w:rsidR="00B801F4" w:rsidRPr="00B801F4" w:rsidRDefault="00B801F4" w:rsidP="00B801F4">
            <w:pPr>
              <w:autoSpaceDE/>
              <w:autoSpaceDN/>
              <w:adjustRightInd/>
              <w:spacing w:after="0"/>
              <w:jc w:val="right"/>
            </w:pPr>
          </w:p>
        </w:tc>
        <w:tc>
          <w:tcPr>
            <w:tcW w:w="2565" w:type="dxa"/>
            <w:tcBorders>
              <w:top w:val="single" w:sz="4" w:space="0" w:color="auto"/>
              <w:left w:val="nil"/>
              <w:bottom w:val="nil"/>
              <w:right w:val="nil"/>
            </w:tcBorders>
          </w:tcPr>
          <w:p w14:paraId="3D368C7A" w14:textId="77777777" w:rsidR="00B801F4" w:rsidRPr="00B801F4" w:rsidRDefault="00B801F4" w:rsidP="00B801F4">
            <w:pPr>
              <w:autoSpaceDE/>
              <w:autoSpaceDN/>
              <w:adjustRightInd/>
              <w:spacing w:after="0"/>
              <w:jc w:val="right"/>
            </w:pPr>
          </w:p>
        </w:tc>
        <w:tc>
          <w:tcPr>
            <w:tcW w:w="2565" w:type="dxa"/>
            <w:tcBorders>
              <w:top w:val="single" w:sz="4" w:space="0" w:color="auto"/>
              <w:left w:val="nil"/>
              <w:bottom w:val="nil"/>
              <w:right w:val="single" w:sz="4" w:space="0" w:color="auto"/>
            </w:tcBorders>
          </w:tcPr>
          <w:p w14:paraId="70B80B92" w14:textId="77777777" w:rsidR="00B801F4" w:rsidRPr="00B801F4" w:rsidRDefault="00B801F4" w:rsidP="00B801F4">
            <w:pPr>
              <w:autoSpaceDE/>
              <w:autoSpaceDN/>
              <w:adjustRightInd/>
              <w:spacing w:after="0"/>
              <w:jc w:val="right"/>
            </w:pPr>
          </w:p>
        </w:tc>
      </w:tr>
      <w:tr w:rsidR="00B801F4" w:rsidRPr="00B801F4" w14:paraId="59115C6B" w14:textId="77777777" w:rsidTr="00B801F4">
        <w:trPr>
          <w:trHeight w:val="426"/>
        </w:trPr>
        <w:tc>
          <w:tcPr>
            <w:tcW w:w="3114" w:type="dxa"/>
            <w:gridSpan w:val="2"/>
            <w:tcBorders>
              <w:top w:val="nil"/>
              <w:left w:val="single" w:sz="4" w:space="0" w:color="auto"/>
              <w:bottom w:val="nil"/>
              <w:right w:val="nil"/>
            </w:tcBorders>
          </w:tcPr>
          <w:p w14:paraId="35C26A92" w14:textId="77777777" w:rsidR="00B801F4" w:rsidRPr="00B801F4" w:rsidRDefault="00B801F4" w:rsidP="00B801F4">
            <w:pPr>
              <w:autoSpaceDE/>
              <w:autoSpaceDN/>
              <w:adjustRightInd/>
              <w:spacing w:after="0"/>
              <w:jc w:val="left"/>
            </w:pPr>
            <w:r w:rsidRPr="00B801F4">
              <w:t>Fixed interest securities</w:t>
            </w:r>
          </w:p>
        </w:tc>
        <w:tc>
          <w:tcPr>
            <w:tcW w:w="2016" w:type="dxa"/>
            <w:tcBorders>
              <w:top w:val="nil"/>
              <w:left w:val="nil"/>
              <w:bottom w:val="nil"/>
              <w:right w:val="nil"/>
            </w:tcBorders>
          </w:tcPr>
          <w:p w14:paraId="7E7F2E90" w14:textId="77777777" w:rsidR="00B801F4" w:rsidRPr="00B801F4" w:rsidRDefault="00B801F4" w:rsidP="00B801F4">
            <w:pPr>
              <w:autoSpaceDE/>
              <w:autoSpaceDN/>
              <w:adjustRightInd/>
              <w:spacing w:after="0"/>
              <w:jc w:val="right"/>
            </w:pPr>
            <w:r w:rsidRPr="00B801F4">
              <w:t>233.0</w:t>
            </w:r>
          </w:p>
        </w:tc>
        <w:tc>
          <w:tcPr>
            <w:tcW w:w="2565" w:type="dxa"/>
            <w:tcBorders>
              <w:top w:val="nil"/>
              <w:left w:val="nil"/>
              <w:bottom w:val="nil"/>
              <w:right w:val="nil"/>
            </w:tcBorders>
          </w:tcPr>
          <w:p w14:paraId="702A4E1C" w14:textId="77777777" w:rsidR="00B801F4" w:rsidRPr="00B801F4" w:rsidRDefault="00B801F4" w:rsidP="00B801F4">
            <w:pPr>
              <w:autoSpaceDE/>
              <w:autoSpaceDN/>
              <w:adjustRightInd/>
              <w:spacing w:after="0"/>
              <w:jc w:val="right"/>
            </w:pPr>
            <w:r w:rsidRPr="00B801F4">
              <w:t>328.1</w:t>
            </w:r>
          </w:p>
        </w:tc>
        <w:tc>
          <w:tcPr>
            <w:tcW w:w="2565" w:type="dxa"/>
            <w:tcBorders>
              <w:top w:val="nil"/>
              <w:left w:val="nil"/>
              <w:bottom w:val="nil"/>
              <w:right w:val="nil"/>
            </w:tcBorders>
          </w:tcPr>
          <w:p w14:paraId="2203757F" w14:textId="77777777" w:rsidR="00B801F4" w:rsidRPr="00B801F4" w:rsidRDefault="00B801F4" w:rsidP="00B801F4">
            <w:pPr>
              <w:autoSpaceDE/>
              <w:autoSpaceDN/>
              <w:adjustRightInd/>
              <w:spacing w:after="0"/>
              <w:jc w:val="right"/>
            </w:pPr>
            <w:r w:rsidRPr="00B801F4">
              <w:t>(411.6)</w:t>
            </w:r>
          </w:p>
        </w:tc>
        <w:tc>
          <w:tcPr>
            <w:tcW w:w="2565" w:type="dxa"/>
            <w:tcBorders>
              <w:top w:val="nil"/>
              <w:left w:val="nil"/>
              <w:bottom w:val="nil"/>
              <w:right w:val="nil"/>
            </w:tcBorders>
          </w:tcPr>
          <w:p w14:paraId="79BF3D35" w14:textId="77777777" w:rsidR="00B801F4" w:rsidRPr="00B801F4" w:rsidRDefault="00B801F4" w:rsidP="00B801F4">
            <w:pPr>
              <w:autoSpaceDE/>
              <w:autoSpaceDN/>
              <w:adjustRightInd/>
              <w:spacing w:after="0"/>
              <w:jc w:val="right"/>
            </w:pPr>
            <w:r w:rsidRPr="00B801F4">
              <w:t>(0.7)</w:t>
            </w:r>
          </w:p>
        </w:tc>
        <w:tc>
          <w:tcPr>
            <w:tcW w:w="2565" w:type="dxa"/>
            <w:tcBorders>
              <w:top w:val="nil"/>
              <w:left w:val="nil"/>
              <w:bottom w:val="nil"/>
              <w:right w:val="single" w:sz="4" w:space="0" w:color="auto"/>
            </w:tcBorders>
          </w:tcPr>
          <w:p w14:paraId="389C23AC" w14:textId="77777777" w:rsidR="00B801F4" w:rsidRPr="00B801F4" w:rsidRDefault="00B801F4" w:rsidP="00B801F4">
            <w:pPr>
              <w:autoSpaceDE/>
              <w:autoSpaceDN/>
              <w:adjustRightInd/>
              <w:spacing w:after="0"/>
              <w:jc w:val="right"/>
            </w:pPr>
            <w:r w:rsidRPr="00B801F4">
              <w:t>148.8</w:t>
            </w:r>
          </w:p>
        </w:tc>
      </w:tr>
      <w:tr w:rsidR="00B801F4" w:rsidRPr="00B801F4" w14:paraId="66FEA2BA" w14:textId="77777777" w:rsidTr="00B801F4">
        <w:trPr>
          <w:trHeight w:val="420"/>
        </w:trPr>
        <w:tc>
          <w:tcPr>
            <w:tcW w:w="3114" w:type="dxa"/>
            <w:gridSpan w:val="2"/>
            <w:tcBorders>
              <w:top w:val="nil"/>
              <w:left w:val="single" w:sz="4" w:space="0" w:color="auto"/>
              <w:bottom w:val="nil"/>
              <w:right w:val="nil"/>
            </w:tcBorders>
          </w:tcPr>
          <w:p w14:paraId="0A135409" w14:textId="77777777" w:rsidR="00B801F4" w:rsidRPr="00B801F4" w:rsidRDefault="00B801F4" w:rsidP="00B801F4">
            <w:pPr>
              <w:autoSpaceDE/>
              <w:autoSpaceDN/>
              <w:adjustRightInd/>
              <w:spacing w:after="0"/>
              <w:jc w:val="left"/>
            </w:pPr>
            <w:r w:rsidRPr="00B801F4">
              <w:t>Equities</w:t>
            </w:r>
          </w:p>
        </w:tc>
        <w:tc>
          <w:tcPr>
            <w:tcW w:w="2016" w:type="dxa"/>
            <w:tcBorders>
              <w:top w:val="nil"/>
              <w:left w:val="nil"/>
              <w:bottom w:val="nil"/>
              <w:right w:val="nil"/>
            </w:tcBorders>
          </w:tcPr>
          <w:p w14:paraId="228B849C" w14:textId="77777777" w:rsidR="00B801F4" w:rsidRPr="00B801F4" w:rsidRDefault="00B801F4" w:rsidP="00B801F4">
            <w:pPr>
              <w:autoSpaceDE/>
              <w:autoSpaceDN/>
              <w:adjustRightInd/>
              <w:spacing w:after="0"/>
              <w:jc w:val="right"/>
            </w:pPr>
            <w:r w:rsidRPr="00B801F4">
              <w:t>1,921.1</w:t>
            </w:r>
          </w:p>
        </w:tc>
        <w:tc>
          <w:tcPr>
            <w:tcW w:w="2565" w:type="dxa"/>
            <w:tcBorders>
              <w:top w:val="nil"/>
              <w:left w:val="nil"/>
              <w:bottom w:val="nil"/>
              <w:right w:val="nil"/>
            </w:tcBorders>
          </w:tcPr>
          <w:p w14:paraId="5D6B1602" w14:textId="77777777" w:rsidR="00B801F4" w:rsidRPr="00B801F4" w:rsidRDefault="00B801F4" w:rsidP="00B801F4">
            <w:pPr>
              <w:autoSpaceDE/>
              <w:autoSpaceDN/>
              <w:adjustRightInd/>
              <w:spacing w:after="0"/>
              <w:jc w:val="right"/>
            </w:pPr>
            <w:r w:rsidRPr="00B801F4">
              <w:t>356.8</w:t>
            </w:r>
          </w:p>
        </w:tc>
        <w:tc>
          <w:tcPr>
            <w:tcW w:w="2565" w:type="dxa"/>
            <w:tcBorders>
              <w:top w:val="nil"/>
              <w:left w:val="nil"/>
              <w:bottom w:val="nil"/>
              <w:right w:val="nil"/>
            </w:tcBorders>
          </w:tcPr>
          <w:p w14:paraId="7038338C" w14:textId="77777777" w:rsidR="00B801F4" w:rsidRPr="00B801F4" w:rsidRDefault="00B801F4" w:rsidP="00B801F4">
            <w:pPr>
              <w:autoSpaceDE/>
              <w:autoSpaceDN/>
              <w:adjustRightInd/>
              <w:spacing w:after="0"/>
              <w:jc w:val="right"/>
            </w:pPr>
            <w:r w:rsidRPr="00B801F4">
              <w:t>(611.0)</w:t>
            </w:r>
          </w:p>
        </w:tc>
        <w:tc>
          <w:tcPr>
            <w:tcW w:w="2565" w:type="dxa"/>
            <w:tcBorders>
              <w:top w:val="nil"/>
              <w:left w:val="nil"/>
              <w:bottom w:val="nil"/>
              <w:right w:val="nil"/>
            </w:tcBorders>
          </w:tcPr>
          <w:p w14:paraId="371E867C" w14:textId="77777777" w:rsidR="00B801F4" w:rsidRPr="00B801F4" w:rsidRDefault="00B801F4" w:rsidP="00B801F4">
            <w:pPr>
              <w:autoSpaceDE/>
              <w:autoSpaceDN/>
              <w:adjustRightInd/>
              <w:spacing w:after="0"/>
              <w:jc w:val="right"/>
            </w:pPr>
            <w:r w:rsidRPr="00B801F4">
              <w:t>333.8</w:t>
            </w:r>
          </w:p>
        </w:tc>
        <w:tc>
          <w:tcPr>
            <w:tcW w:w="2565" w:type="dxa"/>
            <w:tcBorders>
              <w:top w:val="nil"/>
              <w:left w:val="nil"/>
              <w:bottom w:val="nil"/>
              <w:right w:val="single" w:sz="4" w:space="0" w:color="auto"/>
            </w:tcBorders>
          </w:tcPr>
          <w:p w14:paraId="291A0A01" w14:textId="77777777" w:rsidR="00B801F4" w:rsidRPr="00B801F4" w:rsidRDefault="00B801F4" w:rsidP="00B801F4">
            <w:pPr>
              <w:autoSpaceDE/>
              <w:autoSpaceDN/>
              <w:adjustRightInd/>
              <w:spacing w:after="0"/>
              <w:jc w:val="right"/>
            </w:pPr>
            <w:r w:rsidRPr="00B801F4">
              <w:t>2,000.7</w:t>
            </w:r>
          </w:p>
        </w:tc>
      </w:tr>
      <w:tr w:rsidR="00B801F4" w:rsidRPr="00B801F4" w14:paraId="38DC15EA" w14:textId="77777777" w:rsidTr="00B801F4">
        <w:trPr>
          <w:trHeight w:val="561"/>
        </w:trPr>
        <w:tc>
          <w:tcPr>
            <w:tcW w:w="3114" w:type="dxa"/>
            <w:gridSpan w:val="2"/>
            <w:tcBorders>
              <w:top w:val="nil"/>
              <w:left w:val="single" w:sz="4" w:space="0" w:color="auto"/>
              <w:bottom w:val="nil"/>
              <w:right w:val="nil"/>
            </w:tcBorders>
          </w:tcPr>
          <w:p w14:paraId="51B595A8" w14:textId="77777777" w:rsidR="00B801F4" w:rsidRPr="00B801F4" w:rsidRDefault="00B801F4" w:rsidP="00B801F4">
            <w:pPr>
              <w:autoSpaceDE/>
              <w:autoSpaceDN/>
              <w:adjustRightInd/>
              <w:spacing w:after="0"/>
              <w:jc w:val="left"/>
            </w:pPr>
            <w:r w:rsidRPr="00B801F4">
              <w:t>Index linked securities</w:t>
            </w:r>
          </w:p>
        </w:tc>
        <w:tc>
          <w:tcPr>
            <w:tcW w:w="2016" w:type="dxa"/>
            <w:tcBorders>
              <w:top w:val="nil"/>
              <w:left w:val="nil"/>
              <w:bottom w:val="nil"/>
              <w:right w:val="nil"/>
            </w:tcBorders>
          </w:tcPr>
          <w:p w14:paraId="3E3B30F0" w14:textId="77777777" w:rsidR="00B801F4" w:rsidRPr="00B801F4" w:rsidRDefault="00B801F4" w:rsidP="00B801F4">
            <w:pPr>
              <w:autoSpaceDE/>
              <w:autoSpaceDN/>
              <w:adjustRightInd/>
              <w:spacing w:after="0"/>
              <w:jc w:val="right"/>
            </w:pPr>
            <w:r w:rsidRPr="00B801F4">
              <w:t>0.0</w:t>
            </w:r>
          </w:p>
        </w:tc>
        <w:tc>
          <w:tcPr>
            <w:tcW w:w="2565" w:type="dxa"/>
            <w:tcBorders>
              <w:top w:val="nil"/>
              <w:left w:val="nil"/>
              <w:bottom w:val="nil"/>
              <w:right w:val="nil"/>
            </w:tcBorders>
          </w:tcPr>
          <w:p w14:paraId="7FD13808" w14:textId="77777777" w:rsidR="00B801F4" w:rsidRPr="00B801F4" w:rsidRDefault="00B801F4" w:rsidP="00B801F4">
            <w:pPr>
              <w:autoSpaceDE/>
              <w:autoSpaceDN/>
              <w:adjustRightInd/>
              <w:spacing w:after="0"/>
              <w:jc w:val="right"/>
            </w:pPr>
            <w:r w:rsidRPr="00B801F4">
              <w:t>1,133.4</w:t>
            </w:r>
          </w:p>
        </w:tc>
        <w:tc>
          <w:tcPr>
            <w:tcW w:w="2565" w:type="dxa"/>
            <w:tcBorders>
              <w:top w:val="nil"/>
              <w:left w:val="nil"/>
              <w:bottom w:val="nil"/>
              <w:right w:val="nil"/>
            </w:tcBorders>
          </w:tcPr>
          <w:p w14:paraId="185F8ABD" w14:textId="77777777" w:rsidR="00B801F4" w:rsidRPr="00B801F4" w:rsidRDefault="00B801F4" w:rsidP="00B801F4">
            <w:pPr>
              <w:autoSpaceDE/>
              <w:autoSpaceDN/>
              <w:adjustRightInd/>
              <w:spacing w:after="0"/>
              <w:jc w:val="right"/>
            </w:pPr>
            <w:r w:rsidRPr="00B801F4">
              <w:t>(873.3)</w:t>
            </w:r>
          </w:p>
        </w:tc>
        <w:tc>
          <w:tcPr>
            <w:tcW w:w="2565" w:type="dxa"/>
            <w:tcBorders>
              <w:top w:val="nil"/>
              <w:left w:val="nil"/>
              <w:bottom w:val="nil"/>
              <w:right w:val="nil"/>
            </w:tcBorders>
          </w:tcPr>
          <w:p w14:paraId="245A23A4" w14:textId="77777777" w:rsidR="00B801F4" w:rsidRPr="00B801F4" w:rsidRDefault="00B801F4" w:rsidP="00B801F4">
            <w:pPr>
              <w:autoSpaceDE/>
              <w:autoSpaceDN/>
              <w:adjustRightInd/>
              <w:spacing w:after="0"/>
              <w:jc w:val="right"/>
            </w:pPr>
            <w:r w:rsidRPr="00B801F4">
              <w:t>57.8</w:t>
            </w:r>
          </w:p>
        </w:tc>
        <w:tc>
          <w:tcPr>
            <w:tcW w:w="2565" w:type="dxa"/>
            <w:tcBorders>
              <w:top w:val="nil"/>
              <w:left w:val="nil"/>
              <w:bottom w:val="nil"/>
              <w:right w:val="single" w:sz="4" w:space="0" w:color="auto"/>
            </w:tcBorders>
          </w:tcPr>
          <w:p w14:paraId="31162026" w14:textId="77777777" w:rsidR="00B801F4" w:rsidRPr="00B801F4" w:rsidRDefault="00B801F4" w:rsidP="00B801F4">
            <w:pPr>
              <w:autoSpaceDE/>
              <w:autoSpaceDN/>
              <w:adjustRightInd/>
              <w:spacing w:after="0"/>
              <w:jc w:val="right"/>
            </w:pPr>
            <w:r w:rsidRPr="00B801F4">
              <w:t>317.9</w:t>
            </w:r>
          </w:p>
        </w:tc>
      </w:tr>
      <w:tr w:rsidR="00B801F4" w:rsidRPr="00B801F4" w14:paraId="10637465" w14:textId="77777777" w:rsidTr="00B801F4">
        <w:trPr>
          <w:trHeight w:val="723"/>
        </w:trPr>
        <w:tc>
          <w:tcPr>
            <w:tcW w:w="3114" w:type="dxa"/>
            <w:gridSpan w:val="2"/>
            <w:tcBorders>
              <w:top w:val="nil"/>
              <w:left w:val="single" w:sz="4" w:space="0" w:color="auto"/>
              <w:bottom w:val="nil"/>
              <w:right w:val="nil"/>
            </w:tcBorders>
          </w:tcPr>
          <w:p w14:paraId="6E41901E" w14:textId="77777777" w:rsidR="00B801F4" w:rsidRPr="00B801F4" w:rsidRDefault="00B801F4" w:rsidP="00B801F4">
            <w:pPr>
              <w:autoSpaceDE/>
              <w:autoSpaceDN/>
              <w:adjustRightInd/>
              <w:spacing w:after="0"/>
              <w:jc w:val="left"/>
            </w:pPr>
            <w:r w:rsidRPr="00B801F4">
              <w:t>Pooled investment vehicles</w:t>
            </w:r>
          </w:p>
        </w:tc>
        <w:tc>
          <w:tcPr>
            <w:tcW w:w="2016" w:type="dxa"/>
            <w:tcBorders>
              <w:top w:val="nil"/>
              <w:left w:val="nil"/>
              <w:bottom w:val="nil"/>
              <w:right w:val="nil"/>
            </w:tcBorders>
          </w:tcPr>
          <w:p w14:paraId="6442AE21" w14:textId="77777777" w:rsidR="00B801F4" w:rsidRPr="00B801F4" w:rsidRDefault="00B801F4" w:rsidP="00B801F4">
            <w:pPr>
              <w:autoSpaceDE/>
              <w:autoSpaceDN/>
              <w:adjustRightInd/>
              <w:spacing w:after="0"/>
              <w:jc w:val="right"/>
            </w:pPr>
            <w:r w:rsidRPr="00B801F4">
              <w:t>2,238.9</w:t>
            </w:r>
          </w:p>
        </w:tc>
        <w:tc>
          <w:tcPr>
            <w:tcW w:w="2565" w:type="dxa"/>
            <w:tcBorders>
              <w:top w:val="nil"/>
              <w:left w:val="nil"/>
              <w:bottom w:val="nil"/>
              <w:right w:val="nil"/>
            </w:tcBorders>
          </w:tcPr>
          <w:p w14:paraId="6D1F2318" w14:textId="77777777" w:rsidR="00B801F4" w:rsidRPr="00B801F4" w:rsidRDefault="00B801F4" w:rsidP="00B801F4">
            <w:pPr>
              <w:autoSpaceDE/>
              <w:autoSpaceDN/>
              <w:adjustRightInd/>
              <w:spacing w:after="0"/>
              <w:jc w:val="right"/>
            </w:pPr>
            <w:r w:rsidRPr="00B801F4">
              <w:t>761.1</w:t>
            </w:r>
          </w:p>
        </w:tc>
        <w:tc>
          <w:tcPr>
            <w:tcW w:w="2565" w:type="dxa"/>
            <w:tcBorders>
              <w:top w:val="nil"/>
              <w:left w:val="nil"/>
              <w:bottom w:val="nil"/>
              <w:right w:val="nil"/>
            </w:tcBorders>
          </w:tcPr>
          <w:p w14:paraId="5E923A44" w14:textId="77777777" w:rsidR="00B801F4" w:rsidRPr="00B801F4" w:rsidRDefault="00B801F4" w:rsidP="00B801F4">
            <w:pPr>
              <w:autoSpaceDE/>
              <w:autoSpaceDN/>
              <w:adjustRightInd/>
              <w:spacing w:after="0"/>
              <w:jc w:val="right"/>
            </w:pPr>
            <w:r w:rsidRPr="00B801F4">
              <w:t>(503.0)</w:t>
            </w:r>
          </w:p>
        </w:tc>
        <w:tc>
          <w:tcPr>
            <w:tcW w:w="2565" w:type="dxa"/>
            <w:tcBorders>
              <w:top w:val="nil"/>
              <w:left w:val="nil"/>
              <w:bottom w:val="nil"/>
              <w:right w:val="nil"/>
            </w:tcBorders>
          </w:tcPr>
          <w:p w14:paraId="2AD227EF" w14:textId="77777777" w:rsidR="00B801F4" w:rsidRPr="00B801F4" w:rsidRDefault="00B801F4" w:rsidP="00B801F4">
            <w:pPr>
              <w:autoSpaceDE/>
              <w:autoSpaceDN/>
              <w:adjustRightInd/>
              <w:spacing w:after="0"/>
              <w:jc w:val="right"/>
            </w:pPr>
            <w:r w:rsidRPr="00B801F4">
              <w:t>243.2</w:t>
            </w:r>
          </w:p>
        </w:tc>
        <w:tc>
          <w:tcPr>
            <w:tcW w:w="2565" w:type="dxa"/>
            <w:tcBorders>
              <w:top w:val="nil"/>
              <w:left w:val="nil"/>
              <w:bottom w:val="nil"/>
              <w:right w:val="single" w:sz="4" w:space="0" w:color="auto"/>
            </w:tcBorders>
          </w:tcPr>
          <w:p w14:paraId="5B52BE82" w14:textId="77777777" w:rsidR="00B801F4" w:rsidRPr="00B801F4" w:rsidRDefault="00B801F4" w:rsidP="00B801F4">
            <w:pPr>
              <w:autoSpaceDE/>
              <w:autoSpaceDN/>
              <w:adjustRightInd/>
              <w:spacing w:after="0"/>
              <w:jc w:val="right"/>
            </w:pPr>
            <w:r w:rsidRPr="00B801F4">
              <w:t>2,740.2</w:t>
            </w:r>
          </w:p>
        </w:tc>
      </w:tr>
      <w:tr w:rsidR="00B801F4" w:rsidRPr="00B801F4" w14:paraId="2C423F1B" w14:textId="77777777" w:rsidTr="00B801F4">
        <w:trPr>
          <w:trHeight w:val="448"/>
        </w:trPr>
        <w:tc>
          <w:tcPr>
            <w:tcW w:w="3114" w:type="dxa"/>
            <w:gridSpan w:val="2"/>
            <w:tcBorders>
              <w:top w:val="nil"/>
              <w:left w:val="single" w:sz="4" w:space="0" w:color="auto"/>
              <w:bottom w:val="nil"/>
              <w:right w:val="nil"/>
            </w:tcBorders>
          </w:tcPr>
          <w:p w14:paraId="52750122" w14:textId="77777777" w:rsidR="00B801F4" w:rsidRPr="00B801F4" w:rsidRDefault="00B801F4" w:rsidP="00B801F4">
            <w:pPr>
              <w:autoSpaceDE/>
              <w:autoSpaceDN/>
              <w:adjustRightInd/>
              <w:spacing w:after="0"/>
              <w:jc w:val="left"/>
            </w:pPr>
            <w:r w:rsidRPr="00B801F4">
              <w:t>Direct property</w:t>
            </w:r>
          </w:p>
        </w:tc>
        <w:tc>
          <w:tcPr>
            <w:tcW w:w="2016" w:type="dxa"/>
            <w:tcBorders>
              <w:top w:val="nil"/>
              <w:left w:val="nil"/>
              <w:bottom w:val="nil"/>
              <w:right w:val="nil"/>
            </w:tcBorders>
          </w:tcPr>
          <w:p w14:paraId="6DB96943" w14:textId="77777777" w:rsidR="00B801F4" w:rsidRPr="00B801F4" w:rsidRDefault="00B801F4" w:rsidP="00B801F4">
            <w:pPr>
              <w:autoSpaceDE/>
              <w:autoSpaceDN/>
              <w:adjustRightInd/>
              <w:spacing w:after="0"/>
              <w:jc w:val="right"/>
            </w:pPr>
            <w:r w:rsidRPr="00B801F4">
              <w:t>450.5</w:t>
            </w:r>
          </w:p>
        </w:tc>
        <w:tc>
          <w:tcPr>
            <w:tcW w:w="2565" w:type="dxa"/>
            <w:tcBorders>
              <w:top w:val="nil"/>
              <w:left w:val="nil"/>
              <w:bottom w:val="nil"/>
              <w:right w:val="nil"/>
            </w:tcBorders>
          </w:tcPr>
          <w:p w14:paraId="7D082F77" w14:textId="77777777" w:rsidR="00B801F4" w:rsidRPr="00B801F4" w:rsidRDefault="00B801F4" w:rsidP="00B801F4">
            <w:pPr>
              <w:autoSpaceDE/>
              <w:autoSpaceDN/>
              <w:adjustRightInd/>
              <w:spacing w:after="0"/>
              <w:jc w:val="right"/>
            </w:pPr>
            <w:r w:rsidRPr="00B801F4">
              <w:t>59.7</w:t>
            </w:r>
          </w:p>
        </w:tc>
        <w:tc>
          <w:tcPr>
            <w:tcW w:w="2565" w:type="dxa"/>
            <w:tcBorders>
              <w:top w:val="nil"/>
              <w:left w:val="nil"/>
              <w:bottom w:val="nil"/>
              <w:right w:val="nil"/>
            </w:tcBorders>
          </w:tcPr>
          <w:p w14:paraId="3E11D973" w14:textId="77777777" w:rsidR="00B801F4" w:rsidRPr="00B801F4" w:rsidRDefault="00B801F4" w:rsidP="00B801F4">
            <w:pPr>
              <w:autoSpaceDE/>
              <w:autoSpaceDN/>
              <w:adjustRightInd/>
              <w:spacing w:after="0"/>
              <w:jc w:val="right"/>
            </w:pPr>
            <w:r w:rsidRPr="00B801F4">
              <w:t>(29.4)</w:t>
            </w:r>
          </w:p>
        </w:tc>
        <w:tc>
          <w:tcPr>
            <w:tcW w:w="2565" w:type="dxa"/>
            <w:tcBorders>
              <w:top w:val="nil"/>
              <w:left w:val="nil"/>
              <w:bottom w:val="nil"/>
              <w:right w:val="nil"/>
            </w:tcBorders>
          </w:tcPr>
          <w:p w14:paraId="4DCFD5F0" w14:textId="77777777" w:rsidR="00B801F4" w:rsidRPr="00B801F4" w:rsidRDefault="00B801F4" w:rsidP="00B801F4">
            <w:pPr>
              <w:autoSpaceDE/>
              <w:autoSpaceDN/>
              <w:adjustRightInd/>
              <w:spacing w:after="0"/>
              <w:jc w:val="right"/>
            </w:pPr>
            <w:r w:rsidRPr="00B801F4">
              <w:t>50.6</w:t>
            </w:r>
          </w:p>
        </w:tc>
        <w:tc>
          <w:tcPr>
            <w:tcW w:w="2565" w:type="dxa"/>
            <w:tcBorders>
              <w:top w:val="nil"/>
              <w:left w:val="nil"/>
              <w:bottom w:val="nil"/>
              <w:right w:val="single" w:sz="4" w:space="0" w:color="auto"/>
            </w:tcBorders>
          </w:tcPr>
          <w:p w14:paraId="394F24C4" w14:textId="77777777" w:rsidR="00B801F4" w:rsidRPr="00B801F4" w:rsidRDefault="00B801F4" w:rsidP="00B801F4">
            <w:pPr>
              <w:autoSpaceDE/>
              <w:autoSpaceDN/>
              <w:adjustRightInd/>
              <w:spacing w:after="0"/>
              <w:jc w:val="right"/>
            </w:pPr>
            <w:r w:rsidRPr="00B801F4">
              <w:t>531.4</w:t>
            </w:r>
          </w:p>
        </w:tc>
      </w:tr>
      <w:tr w:rsidR="00B801F4" w:rsidRPr="00B801F4" w14:paraId="3043409D" w14:textId="77777777" w:rsidTr="00B801F4">
        <w:trPr>
          <w:trHeight w:val="486"/>
        </w:trPr>
        <w:tc>
          <w:tcPr>
            <w:tcW w:w="3114" w:type="dxa"/>
            <w:gridSpan w:val="2"/>
            <w:tcBorders>
              <w:top w:val="nil"/>
              <w:left w:val="single" w:sz="4" w:space="0" w:color="auto"/>
              <w:bottom w:val="nil"/>
              <w:right w:val="nil"/>
            </w:tcBorders>
            <w:shd w:val="clear" w:color="auto" w:fill="E2EFD9" w:themeFill="accent6" w:themeFillTint="33"/>
          </w:tcPr>
          <w:p w14:paraId="047BC8BA" w14:textId="77777777" w:rsidR="00B801F4" w:rsidRPr="00B801F4" w:rsidRDefault="00B801F4" w:rsidP="00B801F4">
            <w:pPr>
              <w:autoSpaceDE/>
              <w:autoSpaceDN/>
              <w:adjustRightInd/>
              <w:spacing w:after="0"/>
              <w:jc w:val="left"/>
            </w:pPr>
          </w:p>
        </w:tc>
        <w:tc>
          <w:tcPr>
            <w:tcW w:w="2016" w:type="dxa"/>
            <w:tcBorders>
              <w:top w:val="nil"/>
              <w:left w:val="nil"/>
              <w:bottom w:val="nil"/>
              <w:right w:val="nil"/>
            </w:tcBorders>
            <w:shd w:val="clear" w:color="auto" w:fill="E2EFD9" w:themeFill="accent6" w:themeFillTint="33"/>
          </w:tcPr>
          <w:p w14:paraId="1BD039DA" w14:textId="77777777" w:rsidR="00B801F4" w:rsidRPr="00B801F4" w:rsidRDefault="00B801F4" w:rsidP="00B801F4">
            <w:pPr>
              <w:autoSpaceDE/>
              <w:autoSpaceDN/>
              <w:adjustRightInd/>
              <w:spacing w:after="0"/>
              <w:jc w:val="right"/>
            </w:pPr>
            <w:r w:rsidRPr="00B801F4">
              <w:t>4,843.5</w:t>
            </w:r>
          </w:p>
        </w:tc>
        <w:tc>
          <w:tcPr>
            <w:tcW w:w="2565" w:type="dxa"/>
            <w:tcBorders>
              <w:top w:val="nil"/>
              <w:left w:val="nil"/>
              <w:bottom w:val="nil"/>
              <w:right w:val="nil"/>
            </w:tcBorders>
            <w:shd w:val="clear" w:color="auto" w:fill="E2EFD9" w:themeFill="accent6" w:themeFillTint="33"/>
          </w:tcPr>
          <w:p w14:paraId="1E480F1A" w14:textId="77777777" w:rsidR="00B801F4" w:rsidRPr="00B801F4" w:rsidRDefault="00B801F4" w:rsidP="00B801F4">
            <w:pPr>
              <w:autoSpaceDE/>
              <w:autoSpaceDN/>
              <w:adjustRightInd/>
              <w:spacing w:after="0"/>
              <w:jc w:val="right"/>
            </w:pPr>
            <w:r w:rsidRPr="00B801F4">
              <w:t>2,639.1</w:t>
            </w:r>
          </w:p>
        </w:tc>
        <w:tc>
          <w:tcPr>
            <w:tcW w:w="2565" w:type="dxa"/>
            <w:tcBorders>
              <w:top w:val="nil"/>
              <w:left w:val="nil"/>
              <w:bottom w:val="nil"/>
              <w:right w:val="nil"/>
            </w:tcBorders>
            <w:shd w:val="clear" w:color="auto" w:fill="E2EFD9" w:themeFill="accent6" w:themeFillTint="33"/>
          </w:tcPr>
          <w:p w14:paraId="4D78270B" w14:textId="77777777" w:rsidR="00B801F4" w:rsidRPr="00B801F4" w:rsidRDefault="00B801F4" w:rsidP="00B801F4">
            <w:pPr>
              <w:autoSpaceDE/>
              <w:autoSpaceDN/>
              <w:adjustRightInd/>
              <w:spacing w:after="0"/>
              <w:jc w:val="right"/>
            </w:pPr>
            <w:r w:rsidRPr="00B801F4">
              <w:t>(2,428.3)</w:t>
            </w:r>
          </w:p>
        </w:tc>
        <w:tc>
          <w:tcPr>
            <w:tcW w:w="2565" w:type="dxa"/>
            <w:tcBorders>
              <w:top w:val="nil"/>
              <w:left w:val="nil"/>
              <w:bottom w:val="nil"/>
              <w:right w:val="nil"/>
            </w:tcBorders>
            <w:shd w:val="clear" w:color="auto" w:fill="E2EFD9" w:themeFill="accent6" w:themeFillTint="33"/>
          </w:tcPr>
          <w:p w14:paraId="157EBF98" w14:textId="77777777" w:rsidR="00B801F4" w:rsidRPr="00B801F4" w:rsidRDefault="00B801F4" w:rsidP="00B801F4">
            <w:pPr>
              <w:autoSpaceDE/>
              <w:autoSpaceDN/>
              <w:adjustRightInd/>
              <w:spacing w:after="0"/>
              <w:jc w:val="right"/>
            </w:pPr>
            <w:r w:rsidRPr="00B801F4">
              <w:t>684.7</w:t>
            </w:r>
          </w:p>
        </w:tc>
        <w:tc>
          <w:tcPr>
            <w:tcW w:w="2565" w:type="dxa"/>
            <w:tcBorders>
              <w:top w:val="nil"/>
              <w:left w:val="nil"/>
              <w:bottom w:val="nil"/>
              <w:right w:val="single" w:sz="4" w:space="0" w:color="auto"/>
            </w:tcBorders>
            <w:shd w:val="clear" w:color="auto" w:fill="E2EFD9" w:themeFill="accent6" w:themeFillTint="33"/>
          </w:tcPr>
          <w:p w14:paraId="3A88E197" w14:textId="77777777" w:rsidR="00B801F4" w:rsidRPr="00B801F4" w:rsidRDefault="00B801F4" w:rsidP="00B801F4">
            <w:pPr>
              <w:autoSpaceDE/>
              <w:autoSpaceDN/>
              <w:adjustRightInd/>
              <w:spacing w:after="0"/>
              <w:jc w:val="right"/>
            </w:pPr>
            <w:r w:rsidRPr="00B801F4">
              <w:t>5,739.0</w:t>
            </w:r>
          </w:p>
        </w:tc>
      </w:tr>
      <w:tr w:rsidR="00B801F4" w:rsidRPr="00B801F4" w14:paraId="4CED0EDB" w14:textId="77777777" w:rsidTr="00B801F4">
        <w:trPr>
          <w:trHeight w:val="456"/>
        </w:trPr>
        <w:tc>
          <w:tcPr>
            <w:tcW w:w="3114" w:type="dxa"/>
            <w:gridSpan w:val="2"/>
            <w:tcBorders>
              <w:top w:val="nil"/>
              <w:left w:val="single" w:sz="4" w:space="0" w:color="auto"/>
              <w:bottom w:val="nil"/>
              <w:right w:val="nil"/>
            </w:tcBorders>
          </w:tcPr>
          <w:p w14:paraId="1F1289F3" w14:textId="77777777" w:rsidR="00B801F4" w:rsidRPr="00B801F4" w:rsidRDefault="00B801F4" w:rsidP="00B801F4">
            <w:pPr>
              <w:autoSpaceDE/>
              <w:autoSpaceDN/>
              <w:adjustRightInd/>
              <w:spacing w:after="0"/>
              <w:jc w:val="left"/>
            </w:pPr>
            <w:r w:rsidRPr="00B801F4">
              <w:t>Derivative contracts:</w:t>
            </w:r>
          </w:p>
        </w:tc>
        <w:tc>
          <w:tcPr>
            <w:tcW w:w="2016" w:type="dxa"/>
            <w:tcBorders>
              <w:top w:val="nil"/>
              <w:left w:val="nil"/>
              <w:bottom w:val="nil"/>
              <w:right w:val="nil"/>
            </w:tcBorders>
          </w:tcPr>
          <w:p w14:paraId="2542EA9F"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132FAA35"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26A181EE"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1D0256AA" w14:textId="77777777" w:rsidR="00B801F4" w:rsidRPr="00B801F4" w:rsidRDefault="00B801F4" w:rsidP="00B801F4">
            <w:pPr>
              <w:autoSpaceDE/>
              <w:autoSpaceDN/>
              <w:adjustRightInd/>
              <w:spacing w:after="0"/>
              <w:jc w:val="right"/>
            </w:pPr>
          </w:p>
        </w:tc>
        <w:tc>
          <w:tcPr>
            <w:tcW w:w="2565" w:type="dxa"/>
            <w:tcBorders>
              <w:top w:val="nil"/>
              <w:left w:val="nil"/>
              <w:bottom w:val="nil"/>
              <w:right w:val="single" w:sz="4" w:space="0" w:color="auto"/>
            </w:tcBorders>
          </w:tcPr>
          <w:p w14:paraId="7DC36B01" w14:textId="77777777" w:rsidR="00B801F4" w:rsidRPr="00B801F4" w:rsidRDefault="00B801F4" w:rsidP="00B801F4">
            <w:pPr>
              <w:autoSpaceDE/>
              <w:autoSpaceDN/>
              <w:adjustRightInd/>
              <w:spacing w:after="0"/>
              <w:jc w:val="right"/>
            </w:pPr>
          </w:p>
        </w:tc>
      </w:tr>
      <w:tr w:rsidR="00B801F4" w:rsidRPr="00B801F4" w14:paraId="2645E3EC" w14:textId="77777777" w:rsidTr="00B801F4">
        <w:trPr>
          <w:trHeight w:val="744"/>
        </w:trPr>
        <w:tc>
          <w:tcPr>
            <w:tcW w:w="3114" w:type="dxa"/>
            <w:gridSpan w:val="2"/>
            <w:tcBorders>
              <w:top w:val="nil"/>
              <w:left w:val="single" w:sz="4" w:space="0" w:color="auto"/>
              <w:bottom w:val="nil"/>
              <w:right w:val="nil"/>
            </w:tcBorders>
          </w:tcPr>
          <w:p w14:paraId="3D5FCD63" w14:textId="77777777" w:rsidR="00B801F4" w:rsidRPr="00B801F4" w:rsidRDefault="00B801F4" w:rsidP="00B801F4">
            <w:pPr>
              <w:autoSpaceDE/>
              <w:autoSpaceDN/>
              <w:adjustRightInd/>
              <w:spacing w:after="0"/>
              <w:jc w:val="left"/>
            </w:pPr>
            <w:r w:rsidRPr="00B801F4">
              <w:t>Forward currency contracts asset value</w:t>
            </w:r>
          </w:p>
        </w:tc>
        <w:tc>
          <w:tcPr>
            <w:tcW w:w="2016" w:type="dxa"/>
            <w:tcBorders>
              <w:top w:val="nil"/>
              <w:left w:val="nil"/>
              <w:bottom w:val="nil"/>
              <w:right w:val="nil"/>
            </w:tcBorders>
          </w:tcPr>
          <w:p w14:paraId="1F572309" w14:textId="77777777" w:rsidR="00B801F4" w:rsidRPr="00B801F4" w:rsidRDefault="00B801F4" w:rsidP="00B801F4">
            <w:pPr>
              <w:autoSpaceDE/>
              <w:autoSpaceDN/>
              <w:adjustRightInd/>
              <w:spacing w:after="0"/>
              <w:jc w:val="right"/>
            </w:pPr>
            <w:r w:rsidRPr="00B801F4">
              <w:t>21.4</w:t>
            </w:r>
          </w:p>
        </w:tc>
        <w:tc>
          <w:tcPr>
            <w:tcW w:w="2565" w:type="dxa"/>
            <w:tcBorders>
              <w:top w:val="nil"/>
              <w:left w:val="nil"/>
              <w:bottom w:val="nil"/>
              <w:right w:val="nil"/>
            </w:tcBorders>
          </w:tcPr>
          <w:p w14:paraId="6CE7E277"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16E7D30A"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5697D802" w14:textId="77777777" w:rsidR="00B801F4" w:rsidRPr="00B801F4" w:rsidRDefault="00B801F4" w:rsidP="00B801F4">
            <w:pPr>
              <w:autoSpaceDE/>
              <w:autoSpaceDN/>
              <w:adjustRightInd/>
              <w:spacing w:after="0"/>
              <w:jc w:val="right"/>
            </w:pPr>
          </w:p>
        </w:tc>
        <w:tc>
          <w:tcPr>
            <w:tcW w:w="2565" w:type="dxa"/>
            <w:tcBorders>
              <w:top w:val="nil"/>
              <w:left w:val="nil"/>
              <w:bottom w:val="nil"/>
              <w:right w:val="single" w:sz="4" w:space="0" w:color="auto"/>
            </w:tcBorders>
          </w:tcPr>
          <w:p w14:paraId="1A46B978" w14:textId="77777777" w:rsidR="00B801F4" w:rsidRPr="00B801F4" w:rsidRDefault="00B801F4" w:rsidP="00B801F4">
            <w:pPr>
              <w:autoSpaceDE/>
              <w:autoSpaceDN/>
              <w:adjustRightInd/>
              <w:spacing w:after="0"/>
              <w:jc w:val="right"/>
            </w:pPr>
            <w:r w:rsidRPr="00B801F4">
              <w:t>632.4</w:t>
            </w:r>
          </w:p>
        </w:tc>
      </w:tr>
      <w:tr w:rsidR="00B801F4" w:rsidRPr="00B801F4" w14:paraId="523480ED" w14:textId="77777777" w:rsidTr="00B801F4">
        <w:trPr>
          <w:trHeight w:val="484"/>
        </w:trPr>
        <w:tc>
          <w:tcPr>
            <w:tcW w:w="3114" w:type="dxa"/>
            <w:gridSpan w:val="2"/>
            <w:tcBorders>
              <w:top w:val="nil"/>
              <w:left w:val="single" w:sz="4" w:space="0" w:color="auto"/>
              <w:bottom w:val="nil"/>
              <w:right w:val="nil"/>
            </w:tcBorders>
          </w:tcPr>
          <w:p w14:paraId="62459878" w14:textId="77777777" w:rsidR="00B801F4" w:rsidRPr="00B801F4" w:rsidRDefault="00B801F4" w:rsidP="00B801F4">
            <w:pPr>
              <w:autoSpaceDE/>
              <w:autoSpaceDN/>
              <w:adjustRightInd/>
              <w:spacing w:after="0"/>
              <w:jc w:val="left"/>
            </w:pPr>
            <w:r w:rsidRPr="00B801F4">
              <w:t>Cash deposits</w:t>
            </w:r>
          </w:p>
        </w:tc>
        <w:tc>
          <w:tcPr>
            <w:tcW w:w="2016" w:type="dxa"/>
            <w:tcBorders>
              <w:top w:val="nil"/>
              <w:left w:val="nil"/>
              <w:bottom w:val="nil"/>
              <w:right w:val="nil"/>
            </w:tcBorders>
          </w:tcPr>
          <w:p w14:paraId="22F7153A" w14:textId="77777777" w:rsidR="00B801F4" w:rsidRPr="00B801F4" w:rsidRDefault="00B801F4" w:rsidP="00B801F4">
            <w:pPr>
              <w:autoSpaceDE/>
              <w:autoSpaceDN/>
              <w:adjustRightInd/>
              <w:spacing w:after="0"/>
              <w:jc w:val="right"/>
            </w:pPr>
            <w:r w:rsidRPr="00B801F4">
              <w:t>315.5</w:t>
            </w:r>
          </w:p>
        </w:tc>
        <w:tc>
          <w:tcPr>
            <w:tcW w:w="2565" w:type="dxa"/>
            <w:tcBorders>
              <w:top w:val="nil"/>
              <w:left w:val="nil"/>
              <w:bottom w:val="nil"/>
              <w:right w:val="nil"/>
            </w:tcBorders>
          </w:tcPr>
          <w:p w14:paraId="7BF61F8B"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2C2510A8"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24FCCBEF" w14:textId="77777777" w:rsidR="00B801F4" w:rsidRPr="00B801F4" w:rsidRDefault="00B801F4" w:rsidP="00B801F4">
            <w:pPr>
              <w:autoSpaceDE/>
              <w:autoSpaceDN/>
              <w:adjustRightInd/>
              <w:spacing w:after="0"/>
              <w:jc w:val="right"/>
            </w:pPr>
          </w:p>
        </w:tc>
        <w:tc>
          <w:tcPr>
            <w:tcW w:w="2565" w:type="dxa"/>
            <w:tcBorders>
              <w:top w:val="nil"/>
              <w:left w:val="nil"/>
              <w:bottom w:val="nil"/>
              <w:right w:val="single" w:sz="4" w:space="0" w:color="auto"/>
            </w:tcBorders>
          </w:tcPr>
          <w:p w14:paraId="11284D91" w14:textId="77777777" w:rsidR="00B801F4" w:rsidRPr="00B801F4" w:rsidRDefault="00B801F4" w:rsidP="00B801F4">
            <w:pPr>
              <w:autoSpaceDE/>
              <w:autoSpaceDN/>
              <w:adjustRightInd/>
              <w:spacing w:after="0"/>
              <w:jc w:val="right"/>
            </w:pPr>
            <w:r w:rsidRPr="00B801F4">
              <w:t>60.0</w:t>
            </w:r>
          </w:p>
        </w:tc>
      </w:tr>
      <w:tr w:rsidR="00B801F4" w:rsidRPr="00B801F4" w14:paraId="73A20A26" w14:textId="77777777" w:rsidTr="00B801F4">
        <w:trPr>
          <w:trHeight w:val="428"/>
        </w:trPr>
        <w:tc>
          <w:tcPr>
            <w:tcW w:w="3114" w:type="dxa"/>
            <w:gridSpan w:val="2"/>
            <w:tcBorders>
              <w:top w:val="nil"/>
              <w:left w:val="single" w:sz="4" w:space="0" w:color="auto"/>
              <w:bottom w:val="nil"/>
              <w:right w:val="nil"/>
            </w:tcBorders>
          </w:tcPr>
          <w:p w14:paraId="4342E85A" w14:textId="77777777" w:rsidR="00B801F4" w:rsidRPr="00B801F4" w:rsidRDefault="00B801F4" w:rsidP="00B801F4">
            <w:pPr>
              <w:autoSpaceDE/>
              <w:autoSpaceDN/>
              <w:adjustRightInd/>
              <w:spacing w:after="0"/>
              <w:jc w:val="left"/>
            </w:pPr>
            <w:r w:rsidRPr="00B801F4">
              <w:t>Investment accruals</w:t>
            </w:r>
          </w:p>
        </w:tc>
        <w:tc>
          <w:tcPr>
            <w:tcW w:w="2016" w:type="dxa"/>
            <w:tcBorders>
              <w:top w:val="nil"/>
              <w:left w:val="nil"/>
              <w:bottom w:val="nil"/>
              <w:right w:val="nil"/>
            </w:tcBorders>
          </w:tcPr>
          <w:p w14:paraId="78D89FE1" w14:textId="77777777" w:rsidR="00B801F4" w:rsidRPr="00B801F4" w:rsidRDefault="00B801F4" w:rsidP="00B801F4">
            <w:pPr>
              <w:autoSpaceDE/>
              <w:autoSpaceDN/>
              <w:adjustRightInd/>
              <w:spacing w:after="0"/>
              <w:jc w:val="right"/>
            </w:pPr>
            <w:r w:rsidRPr="00B801F4">
              <w:t>12.4</w:t>
            </w:r>
          </w:p>
        </w:tc>
        <w:tc>
          <w:tcPr>
            <w:tcW w:w="2565" w:type="dxa"/>
            <w:tcBorders>
              <w:top w:val="nil"/>
              <w:left w:val="nil"/>
              <w:bottom w:val="nil"/>
              <w:right w:val="nil"/>
            </w:tcBorders>
          </w:tcPr>
          <w:p w14:paraId="297A7D1D"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5B1E9D79"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408BFFED" w14:textId="77777777" w:rsidR="00B801F4" w:rsidRPr="00B801F4" w:rsidRDefault="00B801F4" w:rsidP="00B801F4">
            <w:pPr>
              <w:autoSpaceDE/>
              <w:autoSpaceDN/>
              <w:adjustRightInd/>
              <w:spacing w:after="0"/>
              <w:jc w:val="right"/>
            </w:pPr>
          </w:p>
        </w:tc>
        <w:tc>
          <w:tcPr>
            <w:tcW w:w="2565" w:type="dxa"/>
            <w:tcBorders>
              <w:top w:val="nil"/>
              <w:left w:val="nil"/>
              <w:bottom w:val="nil"/>
              <w:right w:val="single" w:sz="4" w:space="0" w:color="auto"/>
            </w:tcBorders>
          </w:tcPr>
          <w:p w14:paraId="55E60030" w14:textId="77777777" w:rsidR="00B801F4" w:rsidRPr="00B801F4" w:rsidRDefault="00B801F4" w:rsidP="00B801F4">
            <w:pPr>
              <w:autoSpaceDE/>
              <w:autoSpaceDN/>
              <w:adjustRightInd/>
              <w:spacing w:after="0"/>
              <w:jc w:val="right"/>
            </w:pPr>
            <w:r w:rsidRPr="00B801F4">
              <w:t>11.7</w:t>
            </w:r>
          </w:p>
        </w:tc>
      </w:tr>
      <w:tr w:rsidR="00B801F4" w:rsidRPr="00B801F4" w14:paraId="3CB1244A" w14:textId="77777777" w:rsidTr="00B801F4">
        <w:trPr>
          <w:trHeight w:val="438"/>
        </w:trPr>
        <w:tc>
          <w:tcPr>
            <w:tcW w:w="3114" w:type="dxa"/>
            <w:gridSpan w:val="2"/>
            <w:tcBorders>
              <w:top w:val="nil"/>
              <w:left w:val="single" w:sz="4" w:space="0" w:color="auto"/>
              <w:bottom w:val="nil"/>
              <w:right w:val="nil"/>
            </w:tcBorders>
            <w:shd w:val="clear" w:color="auto" w:fill="C5E0B3" w:themeFill="accent6" w:themeFillTint="66"/>
          </w:tcPr>
          <w:p w14:paraId="2A6C5668" w14:textId="77777777" w:rsidR="00B801F4" w:rsidRPr="00B801F4" w:rsidRDefault="00B801F4" w:rsidP="00B801F4">
            <w:pPr>
              <w:autoSpaceDE/>
              <w:autoSpaceDN/>
              <w:adjustRightInd/>
              <w:spacing w:after="0"/>
              <w:jc w:val="left"/>
            </w:pPr>
            <w:r w:rsidRPr="00B801F4">
              <w:t>Investment assets</w:t>
            </w:r>
          </w:p>
        </w:tc>
        <w:tc>
          <w:tcPr>
            <w:tcW w:w="2016" w:type="dxa"/>
            <w:tcBorders>
              <w:top w:val="nil"/>
              <w:left w:val="nil"/>
              <w:bottom w:val="nil"/>
              <w:right w:val="nil"/>
            </w:tcBorders>
            <w:shd w:val="clear" w:color="auto" w:fill="C5E0B3" w:themeFill="accent6" w:themeFillTint="66"/>
          </w:tcPr>
          <w:p w14:paraId="193B9E56" w14:textId="77777777" w:rsidR="00B801F4" w:rsidRPr="00B801F4" w:rsidRDefault="00B801F4" w:rsidP="00B801F4">
            <w:pPr>
              <w:autoSpaceDE/>
              <w:autoSpaceDN/>
              <w:adjustRightInd/>
              <w:spacing w:after="0"/>
              <w:jc w:val="right"/>
            </w:pPr>
            <w:r w:rsidRPr="00B801F4">
              <w:t>5,192.8</w:t>
            </w:r>
          </w:p>
        </w:tc>
        <w:tc>
          <w:tcPr>
            <w:tcW w:w="2565" w:type="dxa"/>
            <w:tcBorders>
              <w:top w:val="nil"/>
              <w:left w:val="nil"/>
              <w:bottom w:val="nil"/>
              <w:right w:val="nil"/>
            </w:tcBorders>
            <w:shd w:val="clear" w:color="auto" w:fill="C5E0B3" w:themeFill="accent6" w:themeFillTint="66"/>
          </w:tcPr>
          <w:p w14:paraId="1F3618D2"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shd w:val="clear" w:color="auto" w:fill="C5E0B3" w:themeFill="accent6" w:themeFillTint="66"/>
          </w:tcPr>
          <w:p w14:paraId="7962E004"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shd w:val="clear" w:color="auto" w:fill="C5E0B3" w:themeFill="accent6" w:themeFillTint="66"/>
          </w:tcPr>
          <w:p w14:paraId="6138EE57" w14:textId="77777777" w:rsidR="00B801F4" w:rsidRPr="00B801F4" w:rsidRDefault="00B801F4" w:rsidP="00B801F4">
            <w:pPr>
              <w:autoSpaceDE/>
              <w:autoSpaceDN/>
              <w:adjustRightInd/>
              <w:spacing w:after="0"/>
              <w:jc w:val="right"/>
            </w:pPr>
          </w:p>
        </w:tc>
        <w:tc>
          <w:tcPr>
            <w:tcW w:w="2565" w:type="dxa"/>
            <w:tcBorders>
              <w:top w:val="nil"/>
              <w:left w:val="nil"/>
              <w:bottom w:val="nil"/>
              <w:right w:val="single" w:sz="4" w:space="0" w:color="auto"/>
            </w:tcBorders>
            <w:shd w:val="clear" w:color="auto" w:fill="C5E0B3" w:themeFill="accent6" w:themeFillTint="66"/>
          </w:tcPr>
          <w:p w14:paraId="601C673B" w14:textId="77777777" w:rsidR="00B801F4" w:rsidRPr="00B801F4" w:rsidRDefault="00B801F4" w:rsidP="00B801F4">
            <w:pPr>
              <w:autoSpaceDE/>
              <w:autoSpaceDN/>
              <w:adjustRightInd/>
              <w:spacing w:after="0"/>
              <w:jc w:val="right"/>
            </w:pPr>
            <w:r w:rsidRPr="00B801F4">
              <w:t>6,443.1</w:t>
            </w:r>
          </w:p>
        </w:tc>
      </w:tr>
      <w:tr w:rsidR="00B801F4" w:rsidRPr="00B801F4" w14:paraId="34C13FCB" w14:textId="77777777" w:rsidTr="00B801F4">
        <w:trPr>
          <w:trHeight w:val="856"/>
        </w:trPr>
        <w:tc>
          <w:tcPr>
            <w:tcW w:w="3114" w:type="dxa"/>
            <w:gridSpan w:val="2"/>
            <w:tcBorders>
              <w:top w:val="nil"/>
              <w:left w:val="single" w:sz="4" w:space="0" w:color="auto"/>
              <w:bottom w:val="nil"/>
              <w:right w:val="nil"/>
            </w:tcBorders>
          </w:tcPr>
          <w:p w14:paraId="72CA0D43" w14:textId="77777777" w:rsidR="00B801F4" w:rsidRPr="00B801F4" w:rsidRDefault="00B801F4" w:rsidP="00B801F4">
            <w:pPr>
              <w:autoSpaceDE/>
              <w:autoSpaceDN/>
              <w:adjustRightInd/>
              <w:spacing w:after="0"/>
              <w:jc w:val="left"/>
            </w:pPr>
            <w:r w:rsidRPr="00B801F4">
              <w:t>Forward currency contracts liability value</w:t>
            </w:r>
          </w:p>
        </w:tc>
        <w:tc>
          <w:tcPr>
            <w:tcW w:w="2016" w:type="dxa"/>
            <w:tcBorders>
              <w:top w:val="nil"/>
              <w:left w:val="nil"/>
              <w:bottom w:val="nil"/>
              <w:right w:val="nil"/>
            </w:tcBorders>
          </w:tcPr>
          <w:p w14:paraId="4C6BB023" w14:textId="77777777" w:rsidR="00B801F4" w:rsidRPr="00B801F4" w:rsidRDefault="00B801F4" w:rsidP="00B801F4">
            <w:pPr>
              <w:autoSpaceDE/>
              <w:autoSpaceDN/>
              <w:adjustRightInd/>
              <w:spacing w:after="0"/>
              <w:jc w:val="right"/>
            </w:pPr>
            <w:r w:rsidRPr="00B801F4">
              <w:t>(21.3)</w:t>
            </w:r>
          </w:p>
        </w:tc>
        <w:tc>
          <w:tcPr>
            <w:tcW w:w="2565" w:type="dxa"/>
            <w:tcBorders>
              <w:top w:val="nil"/>
              <w:left w:val="nil"/>
              <w:bottom w:val="nil"/>
              <w:right w:val="nil"/>
            </w:tcBorders>
          </w:tcPr>
          <w:p w14:paraId="5A50FEA9"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70469253"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5E6880CC" w14:textId="77777777" w:rsidR="00B801F4" w:rsidRPr="00B801F4" w:rsidRDefault="00B801F4" w:rsidP="00B801F4">
            <w:pPr>
              <w:autoSpaceDE/>
              <w:autoSpaceDN/>
              <w:adjustRightInd/>
              <w:spacing w:after="0"/>
              <w:jc w:val="right"/>
            </w:pPr>
          </w:p>
        </w:tc>
        <w:tc>
          <w:tcPr>
            <w:tcW w:w="2565" w:type="dxa"/>
            <w:tcBorders>
              <w:top w:val="nil"/>
              <w:left w:val="nil"/>
              <w:bottom w:val="nil"/>
              <w:right w:val="single" w:sz="4" w:space="0" w:color="auto"/>
            </w:tcBorders>
          </w:tcPr>
          <w:p w14:paraId="6A21FBAE" w14:textId="77777777" w:rsidR="00B801F4" w:rsidRPr="00B801F4" w:rsidRDefault="00B801F4" w:rsidP="00B801F4">
            <w:pPr>
              <w:autoSpaceDE/>
              <w:autoSpaceDN/>
              <w:adjustRightInd/>
              <w:spacing w:after="0"/>
              <w:jc w:val="right"/>
            </w:pPr>
            <w:r w:rsidRPr="00B801F4">
              <w:t>(629.6)</w:t>
            </w:r>
          </w:p>
        </w:tc>
      </w:tr>
      <w:tr w:rsidR="00B801F4" w:rsidRPr="00B801F4" w14:paraId="4DB87079" w14:textId="77777777" w:rsidTr="00B801F4">
        <w:trPr>
          <w:trHeight w:val="556"/>
        </w:trPr>
        <w:tc>
          <w:tcPr>
            <w:tcW w:w="3114" w:type="dxa"/>
            <w:gridSpan w:val="2"/>
            <w:tcBorders>
              <w:top w:val="nil"/>
              <w:left w:val="single" w:sz="4" w:space="0" w:color="auto"/>
              <w:bottom w:val="single" w:sz="4" w:space="0" w:color="auto"/>
              <w:right w:val="nil"/>
            </w:tcBorders>
            <w:shd w:val="clear" w:color="auto" w:fill="A8D08D" w:themeFill="accent6" w:themeFillTint="99"/>
          </w:tcPr>
          <w:p w14:paraId="74B912B4" w14:textId="77777777" w:rsidR="00B801F4" w:rsidRPr="00B801F4" w:rsidRDefault="00B801F4" w:rsidP="00B801F4">
            <w:pPr>
              <w:autoSpaceDE/>
              <w:autoSpaceDN/>
              <w:adjustRightInd/>
              <w:spacing w:after="0"/>
              <w:jc w:val="left"/>
              <w:rPr>
                <w:b/>
              </w:rPr>
            </w:pPr>
            <w:r w:rsidRPr="00B801F4">
              <w:rPr>
                <w:b/>
              </w:rPr>
              <w:t>Portfolio value</w:t>
            </w:r>
          </w:p>
        </w:tc>
        <w:tc>
          <w:tcPr>
            <w:tcW w:w="2016" w:type="dxa"/>
            <w:tcBorders>
              <w:top w:val="nil"/>
              <w:left w:val="nil"/>
              <w:bottom w:val="single" w:sz="4" w:space="0" w:color="auto"/>
              <w:right w:val="nil"/>
            </w:tcBorders>
            <w:shd w:val="clear" w:color="auto" w:fill="A8D08D" w:themeFill="accent6" w:themeFillTint="99"/>
          </w:tcPr>
          <w:p w14:paraId="7B0F79ED" w14:textId="77777777" w:rsidR="00B801F4" w:rsidRPr="00B801F4" w:rsidRDefault="00B801F4" w:rsidP="00B801F4">
            <w:pPr>
              <w:autoSpaceDE/>
              <w:autoSpaceDN/>
              <w:adjustRightInd/>
              <w:spacing w:after="0"/>
              <w:jc w:val="right"/>
              <w:rPr>
                <w:b/>
              </w:rPr>
            </w:pPr>
            <w:r w:rsidRPr="00B801F4">
              <w:rPr>
                <w:b/>
              </w:rPr>
              <w:t>5,171.5</w:t>
            </w:r>
          </w:p>
        </w:tc>
        <w:tc>
          <w:tcPr>
            <w:tcW w:w="2565" w:type="dxa"/>
            <w:tcBorders>
              <w:top w:val="nil"/>
              <w:left w:val="nil"/>
              <w:bottom w:val="single" w:sz="4" w:space="0" w:color="auto"/>
              <w:right w:val="nil"/>
            </w:tcBorders>
            <w:shd w:val="clear" w:color="auto" w:fill="A8D08D" w:themeFill="accent6" w:themeFillTint="99"/>
          </w:tcPr>
          <w:p w14:paraId="1BC560BA" w14:textId="77777777" w:rsidR="00B801F4" w:rsidRPr="00B801F4" w:rsidRDefault="00B801F4" w:rsidP="00B801F4">
            <w:pPr>
              <w:autoSpaceDE/>
              <w:autoSpaceDN/>
              <w:adjustRightInd/>
              <w:spacing w:after="0"/>
              <w:jc w:val="right"/>
              <w:rPr>
                <w:b/>
              </w:rPr>
            </w:pPr>
          </w:p>
        </w:tc>
        <w:tc>
          <w:tcPr>
            <w:tcW w:w="2565" w:type="dxa"/>
            <w:tcBorders>
              <w:top w:val="nil"/>
              <w:left w:val="nil"/>
              <w:bottom w:val="single" w:sz="4" w:space="0" w:color="auto"/>
              <w:right w:val="nil"/>
            </w:tcBorders>
            <w:shd w:val="clear" w:color="auto" w:fill="A8D08D" w:themeFill="accent6" w:themeFillTint="99"/>
          </w:tcPr>
          <w:p w14:paraId="7E1C7B23" w14:textId="77777777" w:rsidR="00B801F4" w:rsidRPr="00B801F4" w:rsidRDefault="00B801F4" w:rsidP="00B801F4">
            <w:pPr>
              <w:autoSpaceDE/>
              <w:autoSpaceDN/>
              <w:adjustRightInd/>
              <w:spacing w:after="0"/>
              <w:jc w:val="right"/>
              <w:rPr>
                <w:b/>
              </w:rPr>
            </w:pPr>
          </w:p>
        </w:tc>
        <w:tc>
          <w:tcPr>
            <w:tcW w:w="2565" w:type="dxa"/>
            <w:tcBorders>
              <w:top w:val="nil"/>
              <w:left w:val="nil"/>
              <w:bottom w:val="single" w:sz="4" w:space="0" w:color="auto"/>
              <w:right w:val="nil"/>
            </w:tcBorders>
            <w:shd w:val="clear" w:color="auto" w:fill="A8D08D" w:themeFill="accent6" w:themeFillTint="99"/>
          </w:tcPr>
          <w:p w14:paraId="25ACD711" w14:textId="77777777" w:rsidR="00B801F4" w:rsidRPr="00B801F4" w:rsidRDefault="00B801F4" w:rsidP="00B801F4">
            <w:pPr>
              <w:autoSpaceDE/>
              <w:autoSpaceDN/>
              <w:adjustRightInd/>
              <w:spacing w:after="0"/>
              <w:jc w:val="right"/>
              <w:rPr>
                <w:b/>
              </w:rPr>
            </w:pPr>
          </w:p>
        </w:tc>
        <w:tc>
          <w:tcPr>
            <w:tcW w:w="2565" w:type="dxa"/>
            <w:tcBorders>
              <w:top w:val="nil"/>
              <w:left w:val="nil"/>
              <w:bottom w:val="single" w:sz="4" w:space="0" w:color="auto"/>
              <w:right w:val="single" w:sz="4" w:space="0" w:color="auto"/>
            </w:tcBorders>
            <w:shd w:val="clear" w:color="auto" w:fill="A8D08D" w:themeFill="accent6" w:themeFillTint="99"/>
          </w:tcPr>
          <w:p w14:paraId="72C369A2" w14:textId="77777777" w:rsidR="00B801F4" w:rsidRPr="00B801F4" w:rsidRDefault="00B801F4" w:rsidP="00B801F4">
            <w:pPr>
              <w:autoSpaceDE/>
              <w:autoSpaceDN/>
              <w:adjustRightInd/>
              <w:spacing w:after="0"/>
              <w:jc w:val="right"/>
              <w:rPr>
                <w:b/>
              </w:rPr>
            </w:pPr>
            <w:r w:rsidRPr="00B801F4">
              <w:rPr>
                <w:b/>
              </w:rPr>
              <w:t>5,813.5</w:t>
            </w:r>
          </w:p>
        </w:tc>
      </w:tr>
    </w:tbl>
    <w:p w14:paraId="37BFBF47" w14:textId="77777777" w:rsidR="00B801F4" w:rsidRPr="00B801F4" w:rsidRDefault="00B801F4" w:rsidP="00B801F4">
      <w:pPr>
        <w:autoSpaceDE/>
        <w:autoSpaceDN/>
        <w:adjustRightInd/>
        <w:spacing w:after="0"/>
        <w:jc w:val="left"/>
      </w:pPr>
    </w:p>
    <w:p w14:paraId="5219E128" w14:textId="77777777" w:rsidR="00B801F4" w:rsidRPr="00B801F4" w:rsidRDefault="00B801F4" w:rsidP="00B801F4">
      <w:pPr>
        <w:autoSpaceDE/>
        <w:autoSpaceDN/>
        <w:adjustRightInd/>
        <w:spacing w:after="0"/>
        <w:jc w:val="left"/>
      </w:pPr>
    </w:p>
    <w:tbl>
      <w:tblPr>
        <w:tblStyle w:val="TableGrid1"/>
        <w:tblW w:w="0" w:type="auto"/>
        <w:tblLook w:val="04A0" w:firstRow="1" w:lastRow="0" w:firstColumn="1" w:lastColumn="0" w:noHBand="0" w:noVBand="1"/>
      </w:tblPr>
      <w:tblGrid>
        <w:gridCol w:w="2830"/>
        <w:gridCol w:w="2300"/>
        <w:gridCol w:w="2565"/>
        <w:gridCol w:w="2565"/>
        <w:gridCol w:w="2565"/>
        <w:gridCol w:w="2565"/>
      </w:tblGrid>
      <w:tr w:rsidR="00B801F4" w:rsidRPr="00B801F4" w14:paraId="5CDB79D8" w14:textId="77777777" w:rsidTr="008D0533">
        <w:tc>
          <w:tcPr>
            <w:tcW w:w="2830" w:type="dxa"/>
            <w:tcBorders>
              <w:top w:val="single" w:sz="4" w:space="0" w:color="auto"/>
              <w:left w:val="single" w:sz="4" w:space="0" w:color="auto"/>
              <w:bottom w:val="nil"/>
              <w:right w:val="nil"/>
            </w:tcBorders>
            <w:shd w:val="clear" w:color="auto" w:fill="A8D08D" w:themeFill="accent6" w:themeFillTint="99"/>
          </w:tcPr>
          <w:p w14:paraId="45DF979E" w14:textId="77777777" w:rsidR="00B801F4" w:rsidRPr="00B801F4" w:rsidRDefault="00B801F4" w:rsidP="00B801F4">
            <w:pPr>
              <w:rPr>
                <w:b/>
              </w:rPr>
            </w:pPr>
          </w:p>
        </w:tc>
        <w:tc>
          <w:tcPr>
            <w:tcW w:w="2300" w:type="dxa"/>
            <w:tcBorders>
              <w:top w:val="single" w:sz="4" w:space="0" w:color="auto"/>
              <w:left w:val="nil"/>
              <w:bottom w:val="nil"/>
              <w:right w:val="nil"/>
            </w:tcBorders>
            <w:shd w:val="clear" w:color="auto" w:fill="A8D08D" w:themeFill="accent6" w:themeFillTint="99"/>
          </w:tcPr>
          <w:p w14:paraId="2DC86B4E" w14:textId="72FF5644" w:rsidR="00B801F4" w:rsidRPr="00B801F4" w:rsidRDefault="00B801F4" w:rsidP="00B801F4">
            <w:pPr>
              <w:jc w:val="right"/>
              <w:rPr>
                <w:b/>
              </w:rPr>
            </w:pPr>
            <w:r w:rsidRPr="00B801F4">
              <w:rPr>
                <w:b/>
              </w:rPr>
              <w:t xml:space="preserve">Market value </w:t>
            </w:r>
            <w:r w:rsidR="00F3615F">
              <w:rPr>
                <w:b/>
              </w:rPr>
              <w:t xml:space="preserve">as </w:t>
            </w:r>
            <w:r w:rsidRPr="00B801F4">
              <w:rPr>
                <w:b/>
              </w:rPr>
              <w:t>at</w:t>
            </w:r>
          </w:p>
          <w:p w14:paraId="7CC9602E" w14:textId="77777777" w:rsidR="00B801F4" w:rsidRPr="00B801F4" w:rsidRDefault="00B801F4" w:rsidP="00B801F4">
            <w:pPr>
              <w:jc w:val="right"/>
              <w:rPr>
                <w:b/>
              </w:rPr>
            </w:pPr>
            <w:r w:rsidRPr="00B801F4">
              <w:rPr>
                <w:b/>
              </w:rPr>
              <w:t>1 April 2013</w:t>
            </w:r>
          </w:p>
        </w:tc>
        <w:tc>
          <w:tcPr>
            <w:tcW w:w="2565" w:type="dxa"/>
            <w:tcBorders>
              <w:top w:val="single" w:sz="4" w:space="0" w:color="auto"/>
              <w:left w:val="nil"/>
              <w:bottom w:val="nil"/>
              <w:right w:val="nil"/>
            </w:tcBorders>
            <w:shd w:val="clear" w:color="auto" w:fill="A8D08D" w:themeFill="accent6" w:themeFillTint="99"/>
          </w:tcPr>
          <w:p w14:paraId="547BC48A" w14:textId="77777777" w:rsidR="00B801F4" w:rsidRPr="00B801F4" w:rsidRDefault="00B801F4" w:rsidP="00B801F4">
            <w:pPr>
              <w:jc w:val="right"/>
              <w:rPr>
                <w:b/>
              </w:rPr>
            </w:pPr>
            <w:r w:rsidRPr="00B801F4">
              <w:rPr>
                <w:b/>
              </w:rPr>
              <w:t>Purchases at cost and derivative payments</w:t>
            </w:r>
          </w:p>
        </w:tc>
        <w:tc>
          <w:tcPr>
            <w:tcW w:w="2565" w:type="dxa"/>
            <w:tcBorders>
              <w:top w:val="single" w:sz="4" w:space="0" w:color="auto"/>
              <w:left w:val="nil"/>
              <w:bottom w:val="nil"/>
              <w:right w:val="nil"/>
            </w:tcBorders>
            <w:shd w:val="clear" w:color="auto" w:fill="A8D08D" w:themeFill="accent6" w:themeFillTint="99"/>
          </w:tcPr>
          <w:p w14:paraId="2B2FB77A" w14:textId="77777777" w:rsidR="00B801F4" w:rsidRPr="00B801F4" w:rsidRDefault="00B801F4" w:rsidP="00B801F4">
            <w:pPr>
              <w:jc w:val="right"/>
              <w:rPr>
                <w:b/>
              </w:rPr>
            </w:pPr>
            <w:r w:rsidRPr="00B801F4">
              <w:rPr>
                <w:b/>
              </w:rPr>
              <w:t>Sales proceeds and derivative receipts</w:t>
            </w:r>
          </w:p>
        </w:tc>
        <w:tc>
          <w:tcPr>
            <w:tcW w:w="2565" w:type="dxa"/>
            <w:tcBorders>
              <w:top w:val="single" w:sz="4" w:space="0" w:color="auto"/>
              <w:left w:val="nil"/>
              <w:bottom w:val="nil"/>
              <w:right w:val="nil"/>
            </w:tcBorders>
            <w:shd w:val="clear" w:color="auto" w:fill="A8D08D" w:themeFill="accent6" w:themeFillTint="99"/>
          </w:tcPr>
          <w:p w14:paraId="609E98E3" w14:textId="77777777" w:rsidR="00B801F4" w:rsidRPr="00B801F4" w:rsidRDefault="00B801F4" w:rsidP="00B801F4">
            <w:pPr>
              <w:jc w:val="right"/>
              <w:rPr>
                <w:b/>
              </w:rPr>
            </w:pPr>
            <w:r w:rsidRPr="00B801F4">
              <w:rPr>
                <w:b/>
              </w:rPr>
              <w:t>Change in market value</w:t>
            </w:r>
          </w:p>
        </w:tc>
        <w:tc>
          <w:tcPr>
            <w:tcW w:w="2565" w:type="dxa"/>
            <w:tcBorders>
              <w:top w:val="single" w:sz="4" w:space="0" w:color="auto"/>
              <w:left w:val="nil"/>
              <w:bottom w:val="nil"/>
              <w:right w:val="single" w:sz="4" w:space="0" w:color="auto"/>
            </w:tcBorders>
            <w:shd w:val="clear" w:color="auto" w:fill="A8D08D" w:themeFill="accent6" w:themeFillTint="99"/>
          </w:tcPr>
          <w:p w14:paraId="3F5C26F0" w14:textId="5DCBFAA2" w:rsidR="00B801F4" w:rsidRPr="00B801F4" w:rsidRDefault="00B801F4" w:rsidP="00B801F4">
            <w:pPr>
              <w:jc w:val="right"/>
              <w:rPr>
                <w:b/>
              </w:rPr>
            </w:pPr>
            <w:r w:rsidRPr="00B801F4">
              <w:rPr>
                <w:b/>
              </w:rPr>
              <w:t xml:space="preserve">Market value </w:t>
            </w:r>
            <w:r w:rsidR="00F3615F">
              <w:rPr>
                <w:b/>
              </w:rPr>
              <w:t xml:space="preserve">as </w:t>
            </w:r>
            <w:r w:rsidRPr="00B801F4">
              <w:rPr>
                <w:b/>
              </w:rPr>
              <w:t>at</w:t>
            </w:r>
          </w:p>
          <w:p w14:paraId="4D4EA34C" w14:textId="77777777" w:rsidR="00B801F4" w:rsidRPr="00B801F4" w:rsidRDefault="00B801F4" w:rsidP="00B801F4">
            <w:pPr>
              <w:jc w:val="right"/>
              <w:rPr>
                <w:b/>
              </w:rPr>
            </w:pPr>
            <w:r w:rsidRPr="00B801F4">
              <w:rPr>
                <w:b/>
              </w:rPr>
              <w:t xml:space="preserve"> 31 March 2014</w:t>
            </w:r>
          </w:p>
        </w:tc>
      </w:tr>
      <w:tr w:rsidR="00B801F4" w:rsidRPr="00B801F4" w14:paraId="7869B1AB" w14:textId="77777777" w:rsidTr="008D0533">
        <w:trPr>
          <w:trHeight w:val="532"/>
        </w:trPr>
        <w:tc>
          <w:tcPr>
            <w:tcW w:w="2830" w:type="dxa"/>
            <w:tcBorders>
              <w:top w:val="nil"/>
              <w:left w:val="single" w:sz="4" w:space="0" w:color="auto"/>
              <w:bottom w:val="single" w:sz="4" w:space="0" w:color="auto"/>
              <w:right w:val="nil"/>
            </w:tcBorders>
            <w:shd w:val="clear" w:color="auto" w:fill="A8D08D" w:themeFill="accent6" w:themeFillTint="99"/>
          </w:tcPr>
          <w:p w14:paraId="6ADE2823" w14:textId="77777777" w:rsidR="00B801F4" w:rsidRPr="00B801F4" w:rsidRDefault="00B801F4" w:rsidP="00B801F4">
            <w:pPr>
              <w:autoSpaceDE/>
              <w:autoSpaceDN/>
              <w:adjustRightInd/>
              <w:spacing w:after="0"/>
              <w:jc w:val="left"/>
            </w:pPr>
          </w:p>
        </w:tc>
        <w:tc>
          <w:tcPr>
            <w:tcW w:w="2300" w:type="dxa"/>
            <w:tcBorders>
              <w:top w:val="nil"/>
              <w:left w:val="nil"/>
              <w:bottom w:val="single" w:sz="4" w:space="0" w:color="auto"/>
              <w:right w:val="nil"/>
            </w:tcBorders>
            <w:shd w:val="clear" w:color="auto" w:fill="A8D08D" w:themeFill="accent6" w:themeFillTint="99"/>
          </w:tcPr>
          <w:p w14:paraId="67B6AA4B" w14:textId="77777777" w:rsidR="00B801F4" w:rsidRPr="00B801F4" w:rsidRDefault="00B801F4" w:rsidP="00B801F4">
            <w:pPr>
              <w:autoSpaceDE/>
              <w:autoSpaceDN/>
              <w:adjustRightInd/>
              <w:spacing w:after="0"/>
              <w:jc w:val="right"/>
              <w:rPr>
                <w:b/>
              </w:rPr>
            </w:pPr>
            <w:r w:rsidRPr="00B801F4">
              <w:rPr>
                <w:b/>
              </w:rPr>
              <w:t>£m</w:t>
            </w:r>
          </w:p>
        </w:tc>
        <w:tc>
          <w:tcPr>
            <w:tcW w:w="2565" w:type="dxa"/>
            <w:tcBorders>
              <w:top w:val="nil"/>
              <w:left w:val="nil"/>
              <w:bottom w:val="single" w:sz="4" w:space="0" w:color="auto"/>
              <w:right w:val="nil"/>
            </w:tcBorders>
            <w:shd w:val="clear" w:color="auto" w:fill="A8D08D" w:themeFill="accent6" w:themeFillTint="99"/>
          </w:tcPr>
          <w:p w14:paraId="65AFE885" w14:textId="77777777" w:rsidR="00B801F4" w:rsidRPr="00B801F4" w:rsidRDefault="00B801F4" w:rsidP="00B801F4">
            <w:pPr>
              <w:jc w:val="right"/>
              <w:rPr>
                <w:b/>
              </w:rPr>
            </w:pPr>
            <w:r w:rsidRPr="00B801F4">
              <w:rPr>
                <w:b/>
              </w:rPr>
              <w:t>£m</w:t>
            </w:r>
          </w:p>
        </w:tc>
        <w:tc>
          <w:tcPr>
            <w:tcW w:w="2565" w:type="dxa"/>
            <w:tcBorders>
              <w:top w:val="nil"/>
              <w:left w:val="nil"/>
              <w:bottom w:val="single" w:sz="4" w:space="0" w:color="auto"/>
              <w:right w:val="nil"/>
            </w:tcBorders>
            <w:shd w:val="clear" w:color="auto" w:fill="A8D08D" w:themeFill="accent6" w:themeFillTint="99"/>
          </w:tcPr>
          <w:p w14:paraId="28781806" w14:textId="77777777" w:rsidR="00B801F4" w:rsidRPr="00B801F4" w:rsidRDefault="00B801F4" w:rsidP="00B801F4">
            <w:pPr>
              <w:jc w:val="right"/>
              <w:rPr>
                <w:b/>
              </w:rPr>
            </w:pPr>
            <w:r w:rsidRPr="00B801F4">
              <w:rPr>
                <w:b/>
              </w:rPr>
              <w:t>£m</w:t>
            </w:r>
          </w:p>
        </w:tc>
        <w:tc>
          <w:tcPr>
            <w:tcW w:w="2565" w:type="dxa"/>
            <w:tcBorders>
              <w:top w:val="nil"/>
              <w:left w:val="nil"/>
              <w:bottom w:val="single" w:sz="4" w:space="0" w:color="auto"/>
              <w:right w:val="nil"/>
            </w:tcBorders>
            <w:shd w:val="clear" w:color="auto" w:fill="A8D08D" w:themeFill="accent6" w:themeFillTint="99"/>
          </w:tcPr>
          <w:p w14:paraId="223E72A0" w14:textId="77777777" w:rsidR="00B801F4" w:rsidRPr="00B801F4" w:rsidRDefault="00B801F4" w:rsidP="00B801F4">
            <w:pPr>
              <w:jc w:val="right"/>
              <w:rPr>
                <w:b/>
              </w:rPr>
            </w:pPr>
            <w:r w:rsidRPr="00B801F4">
              <w:rPr>
                <w:b/>
              </w:rPr>
              <w:t>£m</w:t>
            </w:r>
          </w:p>
        </w:tc>
        <w:tc>
          <w:tcPr>
            <w:tcW w:w="2565" w:type="dxa"/>
            <w:tcBorders>
              <w:top w:val="nil"/>
              <w:left w:val="nil"/>
              <w:bottom w:val="single" w:sz="4" w:space="0" w:color="auto"/>
              <w:right w:val="single" w:sz="4" w:space="0" w:color="auto"/>
            </w:tcBorders>
            <w:shd w:val="clear" w:color="auto" w:fill="A8D08D" w:themeFill="accent6" w:themeFillTint="99"/>
          </w:tcPr>
          <w:p w14:paraId="50C032CD" w14:textId="77777777" w:rsidR="00B801F4" w:rsidRPr="00B801F4" w:rsidRDefault="00B801F4" w:rsidP="00B801F4">
            <w:pPr>
              <w:jc w:val="right"/>
              <w:rPr>
                <w:b/>
              </w:rPr>
            </w:pPr>
            <w:r w:rsidRPr="00B801F4">
              <w:rPr>
                <w:b/>
              </w:rPr>
              <w:t>£m</w:t>
            </w:r>
          </w:p>
        </w:tc>
      </w:tr>
      <w:tr w:rsidR="00B801F4" w:rsidRPr="00B801F4" w14:paraId="1F50AEA7" w14:textId="77777777" w:rsidTr="008D0533">
        <w:trPr>
          <w:trHeight w:val="225"/>
        </w:trPr>
        <w:tc>
          <w:tcPr>
            <w:tcW w:w="2830" w:type="dxa"/>
            <w:tcBorders>
              <w:top w:val="single" w:sz="4" w:space="0" w:color="auto"/>
              <w:left w:val="single" w:sz="4" w:space="0" w:color="auto"/>
              <w:bottom w:val="nil"/>
              <w:right w:val="nil"/>
            </w:tcBorders>
          </w:tcPr>
          <w:p w14:paraId="09D1ED1A" w14:textId="77777777" w:rsidR="00B801F4" w:rsidRPr="00B801F4" w:rsidRDefault="00B801F4" w:rsidP="00B801F4">
            <w:pPr>
              <w:autoSpaceDE/>
              <w:autoSpaceDN/>
              <w:adjustRightInd/>
              <w:spacing w:after="0"/>
              <w:jc w:val="left"/>
            </w:pPr>
          </w:p>
        </w:tc>
        <w:tc>
          <w:tcPr>
            <w:tcW w:w="2300" w:type="dxa"/>
            <w:tcBorders>
              <w:top w:val="single" w:sz="4" w:space="0" w:color="auto"/>
              <w:left w:val="nil"/>
              <w:bottom w:val="nil"/>
              <w:right w:val="nil"/>
            </w:tcBorders>
          </w:tcPr>
          <w:p w14:paraId="5581BB36" w14:textId="77777777" w:rsidR="00B801F4" w:rsidRPr="00B801F4" w:rsidRDefault="00B801F4" w:rsidP="00B801F4">
            <w:pPr>
              <w:autoSpaceDE/>
              <w:autoSpaceDN/>
              <w:adjustRightInd/>
              <w:spacing w:after="0"/>
              <w:jc w:val="right"/>
            </w:pPr>
          </w:p>
        </w:tc>
        <w:tc>
          <w:tcPr>
            <w:tcW w:w="2565" w:type="dxa"/>
            <w:tcBorders>
              <w:top w:val="single" w:sz="4" w:space="0" w:color="auto"/>
              <w:left w:val="nil"/>
              <w:bottom w:val="nil"/>
              <w:right w:val="nil"/>
            </w:tcBorders>
          </w:tcPr>
          <w:p w14:paraId="6CF7EC5E" w14:textId="77777777" w:rsidR="00B801F4" w:rsidRPr="00B801F4" w:rsidRDefault="00B801F4" w:rsidP="00B801F4">
            <w:pPr>
              <w:autoSpaceDE/>
              <w:autoSpaceDN/>
              <w:adjustRightInd/>
              <w:spacing w:after="0"/>
              <w:jc w:val="right"/>
            </w:pPr>
          </w:p>
        </w:tc>
        <w:tc>
          <w:tcPr>
            <w:tcW w:w="2565" w:type="dxa"/>
            <w:tcBorders>
              <w:top w:val="single" w:sz="4" w:space="0" w:color="auto"/>
              <w:left w:val="nil"/>
              <w:bottom w:val="nil"/>
              <w:right w:val="nil"/>
            </w:tcBorders>
          </w:tcPr>
          <w:p w14:paraId="7E33C59C" w14:textId="77777777" w:rsidR="00B801F4" w:rsidRPr="00B801F4" w:rsidRDefault="00B801F4" w:rsidP="00B801F4">
            <w:pPr>
              <w:autoSpaceDE/>
              <w:autoSpaceDN/>
              <w:adjustRightInd/>
              <w:spacing w:after="0"/>
              <w:jc w:val="right"/>
            </w:pPr>
          </w:p>
        </w:tc>
        <w:tc>
          <w:tcPr>
            <w:tcW w:w="2565" w:type="dxa"/>
            <w:tcBorders>
              <w:top w:val="single" w:sz="4" w:space="0" w:color="auto"/>
              <w:left w:val="nil"/>
              <w:bottom w:val="nil"/>
              <w:right w:val="nil"/>
            </w:tcBorders>
          </w:tcPr>
          <w:p w14:paraId="2330EE6E" w14:textId="77777777" w:rsidR="00B801F4" w:rsidRPr="00B801F4" w:rsidRDefault="00B801F4" w:rsidP="00B801F4">
            <w:pPr>
              <w:autoSpaceDE/>
              <w:autoSpaceDN/>
              <w:adjustRightInd/>
              <w:spacing w:after="0"/>
              <w:jc w:val="right"/>
            </w:pPr>
          </w:p>
        </w:tc>
        <w:tc>
          <w:tcPr>
            <w:tcW w:w="2565" w:type="dxa"/>
            <w:tcBorders>
              <w:top w:val="single" w:sz="4" w:space="0" w:color="auto"/>
              <w:left w:val="nil"/>
              <w:bottom w:val="nil"/>
              <w:right w:val="single" w:sz="4" w:space="0" w:color="auto"/>
            </w:tcBorders>
          </w:tcPr>
          <w:p w14:paraId="2737B613" w14:textId="77777777" w:rsidR="00B801F4" w:rsidRPr="00B801F4" w:rsidRDefault="00B801F4" w:rsidP="00B801F4">
            <w:pPr>
              <w:autoSpaceDE/>
              <w:autoSpaceDN/>
              <w:adjustRightInd/>
              <w:spacing w:after="0"/>
              <w:jc w:val="right"/>
            </w:pPr>
          </w:p>
        </w:tc>
      </w:tr>
      <w:tr w:rsidR="00B801F4" w:rsidRPr="00B801F4" w14:paraId="4D6145B8" w14:textId="77777777" w:rsidTr="008D0533">
        <w:trPr>
          <w:trHeight w:val="426"/>
        </w:trPr>
        <w:tc>
          <w:tcPr>
            <w:tcW w:w="2830" w:type="dxa"/>
            <w:tcBorders>
              <w:top w:val="nil"/>
              <w:left w:val="single" w:sz="4" w:space="0" w:color="auto"/>
              <w:bottom w:val="nil"/>
              <w:right w:val="nil"/>
            </w:tcBorders>
          </w:tcPr>
          <w:p w14:paraId="7548F589" w14:textId="77777777" w:rsidR="00B801F4" w:rsidRPr="00B801F4" w:rsidRDefault="00B801F4" w:rsidP="00B801F4">
            <w:pPr>
              <w:autoSpaceDE/>
              <w:autoSpaceDN/>
              <w:adjustRightInd/>
              <w:spacing w:after="0"/>
              <w:jc w:val="left"/>
            </w:pPr>
            <w:r w:rsidRPr="00B801F4">
              <w:t>Fixed interest securities</w:t>
            </w:r>
          </w:p>
        </w:tc>
        <w:tc>
          <w:tcPr>
            <w:tcW w:w="2300" w:type="dxa"/>
            <w:tcBorders>
              <w:top w:val="nil"/>
              <w:left w:val="nil"/>
              <w:bottom w:val="nil"/>
              <w:right w:val="nil"/>
            </w:tcBorders>
          </w:tcPr>
          <w:p w14:paraId="0B0083CE" w14:textId="77777777" w:rsidR="00B801F4" w:rsidRPr="00B801F4" w:rsidRDefault="00B801F4" w:rsidP="00B801F4">
            <w:pPr>
              <w:autoSpaceDE/>
              <w:autoSpaceDN/>
              <w:adjustRightInd/>
              <w:spacing w:after="0"/>
              <w:jc w:val="right"/>
            </w:pPr>
            <w:r w:rsidRPr="00B801F4">
              <w:t>843.6</w:t>
            </w:r>
          </w:p>
        </w:tc>
        <w:tc>
          <w:tcPr>
            <w:tcW w:w="2565" w:type="dxa"/>
            <w:tcBorders>
              <w:top w:val="nil"/>
              <w:left w:val="nil"/>
              <w:bottom w:val="nil"/>
              <w:right w:val="nil"/>
            </w:tcBorders>
          </w:tcPr>
          <w:p w14:paraId="2DCD3334" w14:textId="77777777" w:rsidR="00B801F4" w:rsidRPr="00B801F4" w:rsidRDefault="00B801F4" w:rsidP="00B801F4">
            <w:pPr>
              <w:autoSpaceDE/>
              <w:autoSpaceDN/>
              <w:adjustRightInd/>
              <w:spacing w:after="0"/>
              <w:jc w:val="right"/>
            </w:pPr>
            <w:r w:rsidRPr="00B801F4">
              <w:t>190.2</w:t>
            </w:r>
          </w:p>
        </w:tc>
        <w:tc>
          <w:tcPr>
            <w:tcW w:w="2565" w:type="dxa"/>
            <w:tcBorders>
              <w:top w:val="nil"/>
              <w:left w:val="nil"/>
              <w:bottom w:val="nil"/>
              <w:right w:val="nil"/>
            </w:tcBorders>
          </w:tcPr>
          <w:p w14:paraId="343222AA" w14:textId="77777777" w:rsidR="00B801F4" w:rsidRPr="00B801F4" w:rsidRDefault="00B801F4" w:rsidP="00B801F4">
            <w:pPr>
              <w:autoSpaceDE/>
              <w:autoSpaceDN/>
              <w:adjustRightInd/>
              <w:spacing w:after="0"/>
              <w:jc w:val="right"/>
            </w:pPr>
            <w:r w:rsidRPr="00B801F4">
              <w:t>(765.9)</w:t>
            </w:r>
          </w:p>
        </w:tc>
        <w:tc>
          <w:tcPr>
            <w:tcW w:w="2565" w:type="dxa"/>
            <w:tcBorders>
              <w:top w:val="nil"/>
              <w:left w:val="nil"/>
              <w:bottom w:val="nil"/>
              <w:right w:val="nil"/>
            </w:tcBorders>
          </w:tcPr>
          <w:p w14:paraId="0268A642" w14:textId="77777777" w:rsidR="00B801F4" w:rsidRPr="00B801F4" w:rsidRDefault="00B801F4" w:rsidP="00B801F4">
            <w:pPr>
              <w:autoSpaceDE/>
              <w:autoSpaceDN/>
              <w:adjustRightInd/>
              <w:spacing w:after="0"/>
              <w:jc w:val="right"/>
            </w:pPr>
            <w:r w:rsidRPr="00B801F4">
              <w:t>(34.9)</w:t>
            </w:r>
          </w:p>
        </w:tc>
        <w:tc>
          <w:tcPr>
            <w:tcW w:w="2565" w:type="dxa"/>
            <w:tcBorders>
              <w:top w:val="nil"/>
              <w:left w:val="nil"/>
              <w:bottom w:val="nil"/>
              <w:right w:val="single" w:sz="4" w:space="0" w:color="auto"/>
            </w:tcBorders>
          </w:tcPr>
          <w:p w14:paraId="03BEE4EF" w14:textId="77777777" w:rsidR="00B801F4" w:rsidRPr="00B801F4" w:rsidRDefault="00B801F4" w:rsidP="00B801F4">
            <w:pPr>
              <w:autoSpaceDE/>
              <w:autoSpaceDN/>
              <w:adjustRightInd/>
              <w:spacing w:after="0"/>
              <w:jc w:val="right"/>
            </w:pPr>
            <w:r w:rsidRPr="00B801F4">
              <w:t>233.0</w:t>
            </w:r>
          </w:p>
        </w:tc>
      </w:tr>
      <w:tr w:rsidR="00B801F4" w:rsidRPr="00B801F4" w14:paraId="50D907F9" w14:textId="77777777" w:rsidTr="008D0533">
        <w:trPr>
          <w:trHeight w:val="420"/>
        </w:trPr>
        <w:tc>
          <w:tcPr>
            <w:tcW w:w="2830" w:type="dxa"/>
            <w:tcBorders>
              <w:top w:val="nil"/>
              <w:left w:val="single" w:sz="4" w:space="0" w:color="auto"/>
              <w:bottom w:val="nil"/>
              <w:right w:val="nil"/>
            </w:tcBorders>
          </w:tcPr>
          <w:p w14:paraId="27BC8AB6" w14:textId="77777777" w:rsidR="00B801F4" w:rsidRPr="00B801F4" w:rsidRDefault="00B801F4" w:rsidP="00B801F4">
            <w:pPr>
              <w:autoSpaceDE/>
              <w:autoSpaceDN/>
              <w:adjustRightInd/>
              <w:spacing w:after="0"/>
              <w:jc w:val="left"/>
            </w:pPr>
            <w:r w:rsidRPr="00B801F4">
              <w:t>Equities</w:t>
            </w:r>
          </w:p>
        </w:tc>
        <w:tc>
          <w:tcPr>
            <w:tcW w:w="2300" w:type="dxa"/>
            <w:tcBorders>
              <w:top w:val="nil"/>
              <w:left w:val="nil"/>
              <w:bottom w:val="nil"/>
              <w:right w:val="nil"/>
            </w:tcBorders>
          </w:tcPr>
          <w:p w14:paraId="072241BC" w14:textId="77777777" w:rsidR="00B801F4" w:rsidRPr="00B801F4" w:rsidRDefault="00B801F4" w:rsidP="00B801F4">
            <w:pPr>
              <w:autoSpaceDE/>
              <w:autoSpaceDN/>
              <w:adjustRightInd/>
              <w:spacing w:after="0"/>
              <w:jc w:val="right"/>
            </w:pPr>
            <w:r w:rsidRPr="00B801F4">
              <w:t>1,749.3</w:t>
            </w:r>
          </w:p>
        </w:tc>
        <w:tc>
          <w:tcPr>
            <w:tcW w:w="2565" w:type="dxa"/>
            <w:tcBorders>
              <w:top w:val="nil"/>
              <w:left w:val="nil"/>
              <w:bottom w:val="nil"/>
              <w:right w:val="nil"/>
            </w:tcBorders>
          </w:tcPr>
          <w:p w14:paraId="48408610" w14:textId="77777777" w:rsidR="00B801F4" w:rsidRPr="00B801F4" w:rsidRDefault="00B801F4" w:rsidP="00B801F4">
            <w:pPr>
              <w:autoSpaceDE/>
              <w:autoSpaceDN/>
              <w:adjustRightInd/>
              <w:spacing w:after="0"/>
              <w:jc w:val="right"/>
            </w:pPr>
            <w:r w:rsidRPr="00B801F4">
              <w:t>972.5</w:t>
            </w:r>
          </w:p>
        </w:tc>
        <w:tc>
          <w:tcPr>
            <w:tcW w:w="2565" w:type="dxa"/>
            <w:tcBorders>
              <w:top w:val="nil"/>
              <w:left w:val="nil"/>
              <w:bottom w:val="nil"/>
              <w:right w:val="nil"/>
            </w:tcBorders>
          </w:tcPr>
          <w:p w14:paraId="6E63F990" w14:textId="77777777" w:rsidR="00B801F4" w:rsidRPr="00B801F4" w:rsidRDefault="00B801F4" w:rsidP="00B801F4">
            <w:pPr>
              <w:autoSpaceDE/>
              <w:autoSpaceDN/>
              <w:adjustRightInd/>
              <w:spacing w:after="0"/>
              <w:jc w:val="right"/>
            </w:pPr>
            <w:r w:rsidRPr="00B801F4">
              <w:t>(954.8)</w:t>
            </w:r>
          </w:p>
        </w:tc>
        <w:tc>
          <w:tcPr>
            <w:tcW w:w="2565" w:type="dxa"/>
            <w:tcBorders>
              <w:top w:val="nil"/>
              <w:left w:val="nil"/>
              <w:bottom w:val="nil"/>
              <w:right w:val="nil"/>
            </w:tcBorders>
          </w:tcPr>
          <w:p w14:paraId="0C69FCC8" w14:textId="77777777" w:rsidR="00B801F4" w:rsidRPr="00B801F4" w:rsidRDefault="00B801F4" w:rsidP="00B801F4">
            <w:pPr>
              <w:autoSpaceDE/>
              <w:autoSpaceDN/>
              <w:adjustRightInd/>
              <w:spacing w:after="0"/>
              <w:jc w:val="right"/>
            </w:pPr>
            <w:r w:rsidRPr="00B801F4">
              <w:t>154.1</w:t>
            </w:r>
          </w:p>
        </w:tc>
        <w:tc>
          <w:tcPr>
            <w:tcW w:w="2565" w:type="dxa"/>
            <w:tcBorders>
              <w:top w:val="nil"/>
              <w:left w:val="nil"/>
              <w:bottom w:val="nil"/>
              <w:right w:val="single" w:sz="4" w:space="0" w:color="auto"/>
            </w:tcBorders>
          </w:tcPr>
          <w:p w14:paraId="591334AF" w14:textId="77777777" w:rsidR="00B801F4" w:rsidRPr="00B801F4" w:rsidRDefault="00B801F4" w:rsidP="00B801F4">
            <w:pPr>
              <w:autoSpaceDE/>
              <w:autoSpaceDN/>
              <w:adjustRightInd/>
              <w:spacing w:after="0"/>
              <w:jc w:val="right"/>
            </w:pPr>
            <w:r w:rsidRPr="00B801F4">
              <w:t>1,921.1</w:t>
            </w:r>
          </w:p>
        </w:tc>
      </w:tr>
      <w:tr w:rsidR="00B801F4" w:rsidRPr="00B801F4" w14:paraId="6B9E771B" w14:textId="77777777" w:rsidTr="008D0533">
        <w:trPr>
          <w:trHeight w:val="561"/>
        </w:trPr>
        <w:tc>
          <w:tcPr>
            <w:tcW w:w="2830" w:type="dxa"/>
            <w:tcBorders>
              <w:top w:val="nil"/>
              <w:left w:val="single" w:sz="4" w:space="0" w:color="auto"/>
              <w:bottom w:val="nil"/>
              <w:right w:val="nil"/>
            </w:tcBorders>
          </w:tcPr>
          <w:p w14:paraId="3113B29A" w14:textId="77777777" w:rsidR="00B801F4" w:rsidRPr="00B801F4" w:rsidRDefault="00B801F4" w:rsidP="00B801F4">
            <w:pPr>
              <w:autoSpaceDE/>
              <w:autoSpaceDN/>
              <w:adjustRightInd/>
              <w:spacing w:after="0"/>
              <w:jc w:val="left"/>
            </w:pPr>
            <w:r w:rsidRPr="00B801F4">
              <w:t>Index linked securities</w:t>
            </w:r>
          </w:p>
        </w:tc>
        <w:tc>
          <w:tcPr>
            <w:tcW w:w="2300" w:type="dxa"/>
            <w:tcBorders>
              <w:top w:val="nil"/>
              <w:left w:val="nil"/>
              <w:bottom w:val="nil"/>
              <w:right w:val="nil"/>
            </w:tcBorders>
          </w:tcPr>
          <w:p w14:paraId="5BB77AF0" w14:textId="77777777" w:rsidR="00B801F4" w:rsidRPr="00B801F4" w:rsidRDefault="00B801F4" w:rsidP="00B801F4">
            <w:pPr>
              <w:autoSpaceDE/>
              <w:autoSpaceDN/>
              <w:adjustRightInd/>
              <w:spacing w:after="0"/>
              <w:jc w:val="right"/>
            </w:pPr>
            <w:r w:rsidRPr="00B801F4">
              <w:t>164.9</w:t>
            </w:r>
          </w:p>
        </w:tc>
        <w:tc>
          <w:tcPr>
            <w:tcW w:w="2565" w:type="dxa"/>
            <w:tcBorders>
              <w:top w:val="nil"/>
              <w:left w:val="nil"/>
              <w:bottom w:val="nil"/>
              <w:right w:val="nil"/>
            </w:tcBorders>
          </w:tcPr>
          <w:p w14:paraId="28F41D7C" w14:textId="77777777" w:rsidR="00B801F4" w:rsidRPr="00B801F4" w:rsidRDefault="00B801F4" w:rsidP="00B801F4">
            <w:pPr>
              <w:autoSpaceDE/>
              <w:autoSpaceDN/>
              <w:adjustRightInd/>
              <w:spacing w:after="0"/>
              <w:jc w:val="right"/>
            </w:pPr>
            <w:r w:rsidRPr="00B801F4">
              <w:t>92.9</w:t>
            </w:r>
          </w:p>
        </w:tc>
        <w:tc>
          <w:tcPr>
            <w:tcW w:w="2565" w:type="dxa"/>
            <w:tcBorders>
              <w:top w:val="nil"/>
              <w:left w:val="nil"/>
              <w:bottom w:val="nil"/>
              <w:right w:val="nil"/>
            </w:tcBorders>
          </w:tcPr>
          <w:p w14:paraId="381BDEC9" w14:textId="77777777" w:rsidR="00B801F4" w:rsidRPr="00B801F4" w:rsidRDefault="00B801F4" w:rsidP="00B801F4">
            <w:pPr>
              <w:autoSpaceDE/>
              <w:autoSpaceDN/>
              <w:adjustRightInd/>
              <w:spacing w:after="0"/>
              <w:jc w:val="right"/>
            </w:pPr>
            <w:r w:rsidRPr="00B801F4">
              <w:t>(248.5)</w:t>
            </w:r>
          </w:p>
        </w:tc>
        <w:tc>
          <w:tcPr>
            <w:tcW w:w="2565" w:type="dxa"/>
            <w:tcBorders>
              <w:top w:val="nil"/>
              <w:left w:val="nil"/>
              <w:bottom w:val="nil"/>
              <w:right w:val="nil"/>
            </w:tcBorders>
          </w:tcPr>
          <w:p w14:paraId="203E9C77" w14:textId="77777777" w:rsidR="00B801F4" w:rsidRPr="00B801F4" w:rsidRDefault="00B801F4" w:rsidP="00B801F4">
            <w:pPr>
              <w:autoSpaceDE/>
              <w:autoSpaceDN/>
              <w:adjustRightInd/>
              <w:spacing w:after="0"/>
              <w:jc w:val="right"/>
            </w:pPr>
            <w:r w:rsidRPr="00B801F4">
              <w:t>(9.3)</w:t>
            </w:r>
          </w:p>
        </w:tc>
        <w:tc>
          <w:tcPr>
            <w:tcW w:w="2565" w:type="dxa"/>
            <w:tcBorders>
              <w:top w:val="nil"/>
              <w:left w:val="nil"/>
              <w:bottom w:val="nil"/>
              <w:right w:val="single" w:sz="4" w:space="0" w:color="auto"/>
            </w:tcBorders>
          </w:tcPr>
          <w:p w14:paraId="1D0533BC" w14:textId="77777777" w:rsidR="00B801F4" w:rsidRPr="00B801F4" w:rsidRDefault="00B801F4" w:rsidP="00B801F4">
            <w:pPr>
              <w:autoSpaceDE/>
              <w:autoSpaceDN/>
              <w:adjustRightInd/>
              <w:spacing w:after="0"/>
              <w:jc w:val="right"/>
            </w:pPr>
            <w:r w:rsidRPr="00B801F4">
              <w:t>0.0</w:t>
            </w:r>
          </w:p>
        </w:tc>
      </w:tr>
      <w:tr w:rsidR="00B801F4" w:rsidRPr="00B801F4" w14:paraId="024560C8" w14:textId="77777777" w:rsidTr="008D0533">
        <w:trPr>
          <w:trHeight w:val="723"/>
        </w:trPr>
        <w:tc>
          <w:tcPr>
            <w:tcW w:w="2830" w:type="dxa"/>
            <w:tcBorders>
              <w:top w:val="nil"/>
              <w:left w:val="single" w:sz="4" w:space="0" w:color="auto"/>
              <w:bottom w:val="nil"/>
              <w:right w:val="nil"/>
            </w:tcBorders>
          </w:tcPr>
          <w:p w14:paraId="394C2F69" w14:textId="77777777" w:rsidR="00B801F4" w:rsidRPr="00B801F4" w:rsidRDefault="00B801F4" w:rsidP="00B801F4">
            <w:pPr>
              <w:autoSpaceDE/>
              <w:autoSpaceDN/>
              <w:adjustRightInd/>
              <w:spacing w:after="0"/>
              <w:jc w:val="left"/>
            </w:pPr>
            <w:r w:rsidRPr="00B801F4">
              <w:t>Pooled investment vehicles</w:t>
            </w:r>
          </w:p>
        </w:tc>
        <w:tc>
          <w:tcPr>
            <w:tcW w:w="2300" w:type="dxa"/>
            <w:tcBorders>
              <w:top w:val="nil"/>
              <w:left w:val="nil"/>
              <w:bottom w:val="nil"/>
              <w:right w:val="nil"/>
            </w:tcBorders>
          </w:tcPr>
          <w:p w14:paraId="3AC39880" w14:textId="77777777" w:rsidR="00B801F4" w:rsidRPr="00B801F4" w:rsidRDefault="00B801F4" w:rsidP="00B801F4">
            <w:pPr>
              <w:autoSpaceDE/>
              <w:autoSpaceDN/>
              <w:adjustRightInd/>
              <w:spacing w:after="0"/>
              <w:jc w:val="right"/>
            </w:pPr>
            <w:r w:rsidRPr="00B801F4">
              <w:t>1,601.2</w:t>
            </w:r>
          </w:p>
        </w:tc>
        <w:tc>
          <w:tcPr>
            <w:tcW w:w="2565" w:type="dxa"/>
            <w:tcBorders>
              <w:top w:val="nil"/>
              <w:left w:val="nil"/>
              <w:bottom w:val="nil"/>
              <w:right w:val="nil"/>
            </w:tcBorders>
          </w:tcPr>
          <w:p w14:paraId="7CBE39AB" w14:textId="77777777" w:rsidR="00B801F4" w:rsidRPr="00B801F4" w:rsidRDefault="00B801F4" w:rsidP="00B801F4">
            <w:pPr>
              <w:autoSpaceDE/>
              <w:autoSpaceDN/>
              <w:adjustRightInd/>
              <w:spacing w:after="0"/>
              <w:jc w:val="right"/>
            </w:pPr>
            <w:r w:rsidRPr="00B801F4">
              <w:t>1,248.5</w:t>
            </w:r>
          </w:p>
        </w:tc>
        <w:tc>
          <w:tcPr>
            <w:tcW w:w="2565" w:type="dxa"/>
            <w:tcBorders>
              <w:top w:val="nil"/>
              <w:left w:val="nil"/>
              <w:bottom w:val="nil"/>
              <w:right w:val="nil"/>
            </w:tcBorders>
          </w:tcPr>
          <w:p w14:paraId="28B746CA" w14:textId="77777777" w:rsidR="00B801F4" w:rsidRPr="00B801F4" w:rsidRDefault="00B801F4" w:rsidP="00B801F4">
            <w:pPr>
              <w:autoSpaceDE/>
              <w:autoSpaceDN/>
              <w:adjustRightInd/>
              <w:spacing w:after="0"/>
              <w:jc w:val="right"/>
            </w:pPr>
            <w:r w:rsidRPr="00B801F4">
              <w:t>(559.9)</w:t>
            </w:r>
          </w:p>
        </w:tc>
        <w:tc>
          <w:tcPr>
            <w:tcW w:w="2565" w:type="dxa"/>
            <w:tcBorders>
              <w:top w:val="nil"/>
              <w:left w:val="nil"/>
              <w:bottom w:val="nil"/>
              <w:right w:val="nil"/>
            </w:tcBorders>
          </w:tcPr>
          <w:p w14:paraId="1A237BFE" w14:textId="77777777" w:rsidR="00B801F4" w:rsidRPr="00B801F4" w:rsidRDefault="00B801F4" w:rsidP="00B801F4">
            <w:pPr>
              <w:autoSpaceDE/>
              <w:autoSpaceDN/>
              <w:adjustRightInd/>
              <w:spacing w:after="0"/>
              <w:jc w:val="right"/>
            </w:pPr>
            <w:r w:rsidRPr="00B801F4">
              <w:t>(50.9)</w:t>
            </w:r>
          </w:p>
        </w:tc>
        <w:tc>
          <w:tcPr>
            <w:tcW w:w="2565" w:type="dxa"/>
            <w:tcBorders>
              <w:top w:val="nil"/>
              <w:left w:val="nil"/>
              <w:bottom w:val="nil"/>
              <w:right w:val="single" w:sz="4" w:space="0" w:color="auto"/>
            </w:tcBorders>
          </w:tcPr>
          <w:p w14:paraId="5E58731F" w14:textId="77777777" w:rsidR="00B801F4" w:rsidRPr="00B801F4" w:rsidRDefault="00B801F4" w:rsidP="00B801F4">
            <w:pPr>
              <w:autoSpaceDE/>
              <w:autoSpaceDN/>
              <w:adjustRightInd/>
              <w:spacing w:after="0"/>
              <w:jc w:val="right"/>
            </w:pPr>
            <w:r w:rsidRPr="00B801F4">
              <w:t>2,238.9</w:t>
            </w:r>
          </w:p>
        </w:tc>
      </w:tr>
      <w:tr w:rsidR="00B801F4" w:rsidRPr="00B801F4" w14:paraId="793C02A6" w14:textId="77777777" w:rsidTr="008D0533">
        <w:trPr>
          <w:trHeight w:val="448"/>
        </w:trPr>
        <w:tc>
          <w:tcPr>
            <w:tcW w:w="2830" w:type="dxa"/>
            <w:tcBorders>
              <w:top w:val="nil"/>
              <w:left w:val="single" w:sz="4" w:space="0" w:color="auto"/>
              <w:bottom w:val="nil"/>
              <w:right w:val="nil"/>
            </w:tcBorders>
          </w:tcPr>
          <w:p w14:paraId="3A9E7714" w14:textId="77777777" w:rsidR="00B801F4" w:rsidRPr="00B801F4" w:rsidRDefault="00B801F4" w:rsidP="00B801F4">
            <w:pPr>
              <w:autoSpaceDE/>
              <w:autoSpaceDN/>
              <w:adjustRightInd/>
              <w:spacing w:after="0"/>
              <w:jc w:val="left"/>
            </w:pPr>
            <w:r w:rsidRPr="00B801F4">
              <w:t>Direct property</w:t>
            </w:r>
          </w:p>
        </w:tc>
        <w:tc>
          <w:tcPr>
            <w:tcW w:w="2300" w:type="dxa"/>
            <w:tcBorders>
              <w:top w:val="nil"/>
              <w:left w:val="nil"/>
              <w:bottom w:val="nil"/>
              <w:right w:val="nil"/>
            </w:tcBorders>
          </w:tcPr>
          <w:p w14:paraId="6C4B0A5D" w14:textId="77777777" w:rsidR="00B801F4" w:rsidRPr="00B801F4" w:rsidRDefault="00B801F4" w:rsidP="00B801F4">
            <w:pPr>
              <w:autoSpaceDE/>
              <w:autoSpaceDN/>
              <w:adjustRightInd/>
              <w:spacing w:after="0"/>
              <w:jc w:val="right"/>
            </w:pPr>
            <w:r w:rsidRPr="00B801F4">
              <w:t>434.9</w:t>
            </w:r>
          </w:p>
        </w:tc>
        <w:tc>
          <w:tcPr>
            <w:tcW w:w="2565" w:type="dxa"/>
            <w:tcBorders>
              <w:top w:val="nil"/>
              <w:left w:val="nil"/>
              <w:bottom w:val="nil"/>
              <w:right w:val="nil"/>
            </w:tcBorders>
          </w:tcPr>
          <w:p w14:paraId="15D9894C" w14:textId="77777777" w:rsidR="00B801F4" w:rsidRPr="00B801F4" w:rsidRDefault="00B801F4" w:rsidP="00B801F4">
            <w:pPr>
              <w:autoSpaceDE/>
              <w:autoSpaceDN/>
              <w:adjustRightInd/>
              <w:spacing w:after="0"/>
              <w:jc w:val="right"/>
            </w:pPr>
            <w:r w:rsidRPr="00B801F4">
              <w:t>15.0</w:t>
            </w:r>
          </w:p>
        </w:tc>
        <w:tc>
          <w:tcPr>
            <w:tcW w:w="2565" w:type="dxa"/>
            <w:tcBorders>
              <w:top w:val="nil"/>
              <w:left w:val="nil"/>
              <w:bottom w:val="nil"/>
              <w:right w:val="nil"/>
            </w:tcBorders>
          </w:tcPr>
          <w:p w14:paraId="5574F7A8" w14:textId="77777777" w:rsidR="00B801F4" w:rsidRPr="00B801F4" w:rsidRDefault="00B801F4" w:rsidP="00B801F4">
            <w:pPr>
              <w:autoSpaceDE/>
              <w:autoSpaceDN/>
              <w:adjustRightInd/>
              <w:spacing w:after="0"/>
              <w:jc w:val="right"/>
            </w:pPr>
            <w:r w:rsidRPr="00B801F4">
              <w:t>(43.3)</w:t>
            </w:r>
          </w:p>
        </w:tc>
        <w:tc>
          <w:tcPr>
            <w:tcW w:w="2565" w:type="dxa"/>
            <w:tcBorders>
              <w:top w:val="nil"/>
              <w:left w:val="nil"/>
              <w:bottom w:val="nil"/>
              <w:right w:val="nil"/>
            </w:tcBorders>
          </w:tcPr>
          <w:p w14:paraId="034DDA13" w14:textId="77777777" w:rsidR="00B801F4" w:rsidRPr="00B801F4" w:rsidRDefault="00B801F4" w:rsidP="00B801F4">
            <w:pPr>
              <w:autoSpaceDE/>
              <w:autoSpaceDN/>
              <w:adjustRightInd/>
              <w:spacing w:after="0"/>
              <w:jc w:val="right"/>
            </w:pPr>
            <w:r w:rsidRPr="00B801F4">
              <w:t>43.9</w:t>
            </w:r>
          </w:p>
        </w:tc>
        <w:tc>
          <w:tcPr>
            <w:tcW w:w="2565" w:type="dxa"/>
            <w:tcBorders>
              <w:top w:val="nil"/>
              <w:left w:val="nil"/>
              <w:bottom w:val="nil"/>
              <w:right w:val="single" w:sz="4" w:space="0" w:color="auto"/>
            </w:tcBorders>
          </w:tcPr>
          <w:p w14:paraId="5CB3CFE9" w14:textId="77777777" w:rsidR="00B801F4" w:rsidRPr="00B801F4" w:rsidRDefault="00B801F4" w:rsidP="00B801F4">
            <w:pPr>
              <w:autoSpaceDE/>
              <w:autoSpaceDN/>
              <w:adjustRightInd/>
              <w:spacing w:after="0"/>
              <w:jc w:val="right"/>
            </w:pPr>
            <w:r w:rsidRPr="00B801F4">
              <w:t>450.5</w:t>
            </w:r>
          </w:p>
        </w:tc>
      </w:tr>
      <w:tr w:rsidR="00B801F4" w:rsidRPr="00B801F4" w14:paraId="457BD1CC" w14:textId="77777777" w:rsidTr="008D0533">
        <w:trPr>
          <w:trHeight w:val="483"/>
        </w:trPr>
        <w:tc>
          <w:tcPr>
            <w:tcW w:w="2830" w:type="dxa"/>
            <w:tcBorders>
              <w:top w:val="nil"/>
              <w:left w:val="single" w:sz="4" w:space="0" w:color="auto"/>
              <w:bottom w:val="nil"/>
              <w:right w:val="nil"/>
            </w:tcBorders>
            <w:shd w:val="clear" w:color="auto" w:fill="E2EFD9" w:themeFill="accent6" w:themeFillTint="33"/>
          </w:tcPr>
          <w:p w14:paraId="0E3E8575" w14:textId="77777777" w:rsidR="00B801F4" w:rsidRPr="00B801F4" w:rsidRDefault="00B801F4" w:rsidP="00B801F4">
            <w:pPr>
              <w:autoSpaceDE/>
              <w:autoSpaceDN/>
              <w:adjustRightInd/>
              <w:spacing w:after="0"/>
              <w:jc w:val="left"/>
            </w:pPr>
          </w:p>
        </w:tc>
        <w:tc>
          <w:tcPr>
            <w:tcW w:w="2300" w:type="dxa"/>
            <w:tcBorders>
              <w:top w:val="nil"/>
              <w:left w:val="nil"/>
              <w:bottom w:val="nil"/>
              <w:right w:val="nil"/>
            </w:tcBorders>
            <w:shd w:val="clear" w:color="auto" w:fill="E2EFD9" w:themeFill="accent6" w:themeFillTint="33"/>
          </w:tcPr>
          <w:p w14:paraId="0F928364" w14:textId="77777777" w:rsidR="00B801F4" w:rsidRPr="00B801F4" w:rsidRDefault="00B801F4" w:rsidP="00B801F4">
            <w:pPr>
              <w:autoSpaceDE/>
              <w:autoSpaceDN/>
              <w:adjustRightInd/>
              <w:spacing w:after="0"/>
              <w:jc w:val="right"/>
            </w:pPr>
            <w:r w:rsidRPr="00B801F4">
              <w:t>4,793.9</w:t>
            </w:r>
          </w:p>
        </w:tc>
        <w:tc>
          <w:tcPr>
            <w:tcW w:w="2565" w:type="dxa"/>
            <w:tcBorders>
              <w:top w:val="nil"/>
              <w:left w:val="nil"/>
              <w:bottom w:val="nil"/>
              <w:right w:val="nil"/>
            </w:tcBorders>
            <w:shd w:val="clear" w:color="auto" w:fill="E2EFD9" w:themeFill="accent6" w:themeFillTint="33"/>
          </w:tcPr>
          <w:p w14:paraId="02C75B6A" w14:textId="77777777" w:rsidR="00B801F4" w:rsidRPr="00B801F4" w:rsidRDefault="00B801F4" w:rsidP="00B801F4">
            <w:pPr>
              <w:autoSpaceDE/>
              <w:autoSpaceDN/>
              <w:adjustRightInd/>
              <w:spacing w:after="0"/>
              <w:jc w:val="right"/>
            </w:pPr>
            <w:r w:rsidRPr="00B801F4">
              <w:t>2,519.1</w:t>
            </w:r>
          </w:p>
        </w:tc>
        <w:tc>
          <w:tcPr>
            <w:tcW w:w="2565" w:type="dxa"/>
            <w:tcBorders>
              <w:top w:val="nil"/>
              <w:left w:val="nil"/>
              <w:bottom w:val="nil"/>
              <w:right w:val="nil"/>
            </w:tcBorders>
            <w:shd w:val="clear" w:color="auto" w:fill="E2EFD9" w:themeFill="accent6" w:themeFillTint="33"/>
          </w:tcPr>
          <w:p w14:paraId="350A9AF2" w14:textId="77777777" w:rsidR="00B801F4" w:rsidRPr="00B801F4" w:rsidRDefault="00B801F4" w:rsidP="00B801F4">
            <w:pPr>
              <w:autoSpaceDE/>
              <w:autoSpaceDN/>
              <w:adjustRightInd/>
              <w:spacing w:after="0"/>
              <w:jc w:val="right"/>
            </w:pPr>
            <w:r w:rsidRPr="00B801F4">
              <w:t>(2,572.4)</w:t>
            </w:r>
          </w:p>
        </w:tc>
        <w:tc>
          <w:tcPr>
            <w:tcW w:w="2565" w:type="dxa"/>
            <w:tcBorders>
              <w:top w:val="nil"/>
              <w:left w:val="nil"/>
              <w:bottom w:val="nil"/>
              <w:right w:val="nil"/>
            </w:tcBorders>
            <w:shd w:val="clear" w:color="auto" w:fill="E2EFD9" w:themeFill="accent6" w:themeFillTint="33"/>
          </w:tcPr>
          <w:p w14:paraId="72E6FA8C" w14:textId="77777777" w:rsidR="00B801F4" w:rsidRPr="00B801F4" w:rsidRDefault="00B801F4" w:rsidP="00B801F4">
            <w:pPr>
              <w:autoSpaceDE/>
              <w:autoSpaceDN/>
              <w:adjustRightInd/>
              <w:spacing w:after="0"/>
              <w:jc w:val="right"/>
            </w:pPr>
            <w:r w:rsidRPr="00B801F4">
              <w:t>102.9</w:t>
            </w:r>
          </w:p>
        </w:tc>
        <w:tc>
          <w:tcPr>
            <w:tcW w:w="2565" w:type="dxa"/>
            <w:tcBorders>
              <w:top w:val="nil"/>
              <w:left w:val="nil"/>
              <w:bottom w:val="nil"/>
              <w:right w:val="single" w:sz="4" w:space="0" w:color="auto"/>
            </w:tcBorders>
            <w:shd w:val="clear" w:color="auto" w:fill="E2EFD9" w:themeFill="accent6" w:themeFillTint="33"/>
          </w:tcPr>
          <w:p w14:paraId="2226CC64" w14:textId="77777777" w:rsidR="00B801F4" w:rsidRPr="00B801F4" w:rsidRDefault="00B801F4" w:rsidP="00B801F4">
            <w:pPr>
              <w:autoSpaceDE/>
              <w:autoSpaceDN/>
              <w:adjustRightInd/>
              <w:spacing w:after="0"/>
              <w:jc w:val="right"/>
            </w:pPr>
            <w:r w:rsidRPr="00B801F4">
              <w:t>4,843.5</w:t>
            </w:r>
          </w:p>
        </w:tc>
      </w:tr>
      <w:tr w:rsidR="00B801F4" w:rsidRPr="00B801F4" w14:paraId="1AE840E5" w14:textId="77777777" w:rsidTr="008D0533">
        <w:trPr>
          <w:trHeight w:val="456"/>
        </w:trPr>
        <w:tc>
          <w:tcPr>
            <w:tcW w:w="2830" w:type="dxa"/>
            <w:tcBorders>
              <w:top w:val="nil"/>
              <w:left w:val="single" w:sz="4" w:space="0" w:color="auto"/>
              <w:bottom w:val="nil"/>
              <w:right w:val="nil"/>
            </w:tcBorders>
          </w:tcPr>
          <w:p w14:paraId="3A2C652A" w14:textId="77777777" w:rsidR="00B801F4" w:rsidRPr="00B801F4" w:rsidRDefault="00B801F4" w:rsidP="00B801F4">
            <w:pPr>
              <w:autoSpaceDE/>
              <w:autoSpaceDN/>
              <w:adjustRightInd/>
              <w:spacing w:after="0"/>
              <w:jc w:val="left"/>
            </w:pPr>
            <w:r w:rsidRPr="00B801F4">
              <w:t>Derivative contracts:</w:t>
            </w:r>
          </w:p>
        </w:tc>
        <w:tc>
          <w:tcPr>
            <w:tcW w:w="2300" w:type="dxa"/>
            <w:tcBorders>
              <w:top w:val="nil"/>
              <w:left w:val="nil"/>
              <w:bottom w:val="nil"/>
              <w:right w:val="nil"/>
            </w:tcBorders>
          </w:tcPr>
          <w:p w14:paraId="5431BEDE"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137436D9"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6C68E165"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0E9BD33C" w14:textId="77777777" w:rsidR="00B801F4" w:rsidRPr="00B801F4" w:rsidRDefault="00B801F4" w:rsidP="00B801F4">
            <w:pPr>
              <w:autoSpaceDE/>
              <w:autoSpaceDN/>
              <w:adjustRightInd/>
              <w:spacing w:after="0"/>
              <w:jc w:val="right"/>
            </w:pPr>
          </w:p>
        </w:tc>
        <w:tc>
          <w:tcPr>
            <w:tcW w:w="2565" w:type="dxa"/>
            <w:tcBorders>
              <w:top w:val="nil"/>
              <w:left w:val="nil"/>
              <w:bottom w:val="nil"/>
              <w:right w:val="single" w:sz="4" w:space="0" w:color="auto"/>
            </w:tcBorders>
          </w:tcPr>
          <w:p w14:paraId="0B035BDF" w14:textId="77777777" w:rsidR="00B801F4" w:rsidRPr="00B801F4" w:rsidRDefault="00B801F4" w:rsidP="00B801F4">
            <w:pPr>
              <w:autoSpaceDE/>
              <w:autoSpaceDN/>
              <w:adjustRightInd/>
              <w:spacing w:after="0"/>
              <w:jc w:val="right"/>
            </w:pPr>
          </w:p>
        </w:tc>
      </w:tr>
      <w:tr w:rsidR="00B801F4" w:rsidRPr="00B801F4" w14:paraId="45EE4286" w14:textId="77777777" w:rsidTr="008D0533">
        <w:trPr>
          <w:trHeight w:val="744"/>
        </w:trPr>
        <w:tc>
          <w:tcPr>
            <w:tcW w:w="2830" w:type="dxa"/>
            <w:tcBorders>
              <w:top w:val="nil"/>
              <w:left w:val="single" w:sz="4" w:space="0" w:color="auto"/>
              <w:bottom w:val="nil"/>
              <w:right w:val="nil"/>
            </w:tcBorders>
          </w:tcPr>
          <w:p w14:paraId="5B0E6496" w14:textId="77777777" w:rsidR="00B801F4" w:rsidRPr="00B801F4" w:rsidRDefault="00B801F4" w:rsidP="00B801F4">
            <w:pPr>
              <w:autoSpaceDE/>
              <w:autoSpaceDN/>
              <w:adjustRightInd/>
              <w:spacing w:after="0"/>
              <w:jc w:val="left"/>
            </w:pPr>
            <w:r w:rsidRPr="00B801F4">
              <w:t>Forward currency contracts asset value</w:t>
            </w:r>
          </w:p>
        </w:tc>
        <w:tc>
          <w:tcPr>
            <w:tcW w:w="2300" w:type="dxa"/>
            <w:tcBorders>
              <w:top w:val="nil"/>
              <w:left w:val="nil"/>
              <w:bottom w:val="nil"/>
              <w:right w:val="nil"/>
            </w:tcBorders>
          </w:tcPr>
          <w:p w14:paraId="5235AEB3" w14:textId="77777777" w:rsidR="00B801F4" w:rsidRPr="00B801F4" w:rsidRDefault="00B801F4" w:rsidP="00B801F4">
            <w:pPr>
              <w:autoSpaceDE/>
              <w:autoSpaceDN/>
              <w:adjustRightInd/>
              <w:spacing w:after="0"/>
              <w:jc w:val="right"/>
            </w:pPr>
            <w:r w:rsidRPr="00B801F4">
              <w:t>121.4</w:t>
            </w:r>
          </w:p>
        </w:tc>
        <w:tc>
          <w:tcPr>
            <w:tcW w:w="2565" w:type="dxa"/>
            <w:tcBorders>
              <w:top w:val="nil"/>
              <w:left w:val="nil"/>
              <w:bottom w:val="nil"/>
              <w:right w:val="nil"/>
            </w:tcBorders>
          </w:tcPr>
          <w:p w14:paraId="707BEB8E"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5D08A151"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2F218EA6" w14:textId="77777777" w:rsidR="00B801F4" w:rsidRPr="00B801F4" w:rsidRDefault="00B801F4" w:rsidP="00B801F4">
            <w:pPr>
              <w:autoSpaceDE/>
              <w:autoSpaceDN/>
              <w:adjustRightInd/>
              <w:spacing w:after="0"/>
              <w:jc w:val="right"/>
            </w:pPr>
          </w:p>
        </w:tc>
        <w:tc>
          <w:tcPr>
            <w:tcW w:w="2565" w:type="dxa"/>
            <w:tcBorders>
              <w:top w:val="nil"/>
              <w:left w:val="nil"/>
              <w:bottom w:val="nil"/>
              <w:right w:val="single" w:sz="4" w:space="0" w:color="auto"/>
            </w:tcBorders>
          </w:tcPr>
          <w:p w14:paraId="356A3133" w14:textId="77777777" w:rsidR="00B801F4" w:rsidRPr="00B801F4" w:rsidRDefault="00B801F4" w:rsidP="00B801F4">
            <w:pPr>
              <w:autoSpaceDE/>
              <w:autoSpaceDN/>
              <w:adjustRightInd/>
              <w:spacing w:after="0"/>
              <w:jc w:val="right"/>
            </w:pPr>
            <w:r w:rsidRPr="00B801F4">
              <w:t>21.4</w:t>
            </w:r>
          </w:p>
        </w:tc>
      </w:tr>
      <w:tr w:rsidR="00B801F4" w:rsidRPr="00B801F4" w14:paraId="4384A931" w14:textId="77777777" w:rsidTr="008D0533">
        <w:trPr>
          <w:trHeight w:val="410"/>
        </w:trPr>
        <w:tc>
          <w:tcPr>
            <w:tcW w:w="2830" w:type="dxa"/>
            <w:tcBorders>
              <w:top w:val="nil"/>
              <w:left w:val="single" w:sz="4" w:space="0" w:color="auto"/>
              <w:bottom w:val="nil"/>
              <w:right w:val="nil"/>
            </w:tcBorders>
          </w:tcPr>
          <w:p w14:paraId="607AF614" w14:textId="77777777" w:rsidR="00B801F4" w:rsidRPr="00B801F4" w:rsidRDefault="00B801F4" w:rsidP="00B801F4">
            <w:pPr>
              <w:autoSpaceDE/>
              <w:autoSpaceDN/>
              <w:adjustRightInd/>
              <w:spacing w:after="0"/>
              <w:jc w:val="left"/>
            </w:pPr>
            <w:r w:rsidRPr="00B801F4">
              <w:t>Cash deposits</w:t>
            </w:r>
          </w:p>
        </w:tc>
        <w:tc>
          <w:tcPr>
            <w:tcW w:w="2300" w:type="dxa"/>
            <w:tcBorders>
              <w:top w:val="nil"/>
              <w:left w:val="nil"/>
              <w:bottom w:val="nil"/>
              <w:right w:val="nil"/>
            </w:tcBorders>
          </w:tcPr>
          <w:p w14:paraId="683F5094" w14:textId="77777777" w:rsidR="00B801F4" w:rsidRPr="00B801F4" w:rsidRDefault="00B801F4" w:rsidP="00B801F4">
            <w:pPr>
              <w:autoSpaceDE/>
              <w:autoSpaceDN/>
              <w:adjustRightInd/>
              <w:spacing w:after="0"/>
              <w:jc w:val="right"/>
            </w:pPr>
            <w:r w:rsidRPr="00B801F4">
              <w:t>170.5</w:t>
            </w:r>
          </w:p>
        </w:tc>
        <w:tc>
          <w:tcPr>
            <w:tcW w:w="2565" w:type="dxa"/>
            <w:tcBorders>
              <w:top w:val="nil"/>
              <w:left w:val="nil"/>
              <w:bottom w:val="nil"/>
              <w:right w:val="nil"/>
            </w:tcBorders>
          </w:tcPr>
          <w:p w14:paraId="60032C82"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74CF62E5"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5311EC11" w14:textId="77777777" w:rsidR="00B801F4" w:rsidRPr="00B801F4" w:rsidRDefault="00B801F4" w:rsidP="00B801F4">
            <w:pPr>
              <w:autoSpaceDE/>
              <w:autoSpaceDN/>
              <w:adjustRightInd/>
              <w:spacing w:after="0"/>
              <w:jc w:val="right"/>
            </w:pPr>
          </w:p>
        </w:tc>
        <w:tc>
          <w:tcPr>
            <w:tcW w:w="2565" w:type="dxa"/>
            <w:tcBorders>
              <w:top w:val="nil"/>
              <w:left w:val="nil"/>
              <w:bottom w:val="nil"/>
              <w:right w:val="single" w:sz="4" w:space="0" w:color="auto"/>
            </w:tcBorders>
          </w:tcPr>
          <w:p w14:paraId="719A3232" w14:textId="77777777" w:rsidR="00B801F4" w:rsidRPr="00B801F4" w:rsidRDefault="00B801F4" w:rsidP="00B801F4">
            <w:pPr>
              <w:autoSpaceDE/>
              <w:autoSpaceDN/>
              <w:adjustRightInd/>
              <w:spacing w:after="0"/>
              <w:jc w:val="right"/>
            </w:pPr>
            <w:r w:rsidRPr="00B801F4">
              <w:t>315.5</w:t>
            </w:r>
          </w:p>
        </w:tc>
      </w:tr>
      <w:tr w:rsidR="00B801F4" w:rsidRPr="00B801F4" w14:paraId="3232878C" w14:textId="77777777" w:rsidTr="008D0533">
        <w:trPr>
          <w:trHeight w:val="428"/>
        </w:trPr>
        <w:tc>
          <w:tcPr>
            <w:tcW w:w="2830" w:type="dxa"/>
            <w:tcBorders>
              <w:top w:val="nil"/>
              <w:left w:val="single" w:sz="4" w:space="0" w:color="auto"/>
              <w:bottom w:val="nil"/>
              <w:right w:val="nil"/>
            </w:tcBorders>
          </w:tcPr>
          <w:p w14:paraId="535B8E8C" w14:textId="77777777" w:rsidR="00B801F4" w:rsidRPr="00B801F4" w:rsidRDefault="00B801F4" w:rsidP="00B801F4">
            <w:pPr>
              <w:autoSpaceDE/>
              <w:autoSpaceDN/>
              <w:adjustRightInd/>
              <w:spacing w:after="0"/>
              <w:jc w:val="left"/>
            </w:pPr>
            <w:r w:rsidRPr="00B801F4">
              <w:t>Investment accruals</w:t>
            </w:r>
          </w:p>
        </w:tc>
        <w:tc>
          <w:tcPr>
            <w:tcW w:w="2300" w:type="dxa"/>
            <w:tcBorders>
              <w:top w:val="nil"/>
              <w:left w:val="nil"/>
              <w:bottom w:val="nil"/>
              <w:right w:val="nil"/>
            </w:tcBorders>
          </w:tcPr>
          <w:p w14:paraId="7A787137" w14:textId="77777777" w:rsidR="00B801F4" w:rsidRPr="00B801F4" w:rsidRDefault="00B801F4" w:rsidP="00B801F4">
            <w:pPr>
              <w:autoSpaceDE/>
              <w:autoSpaceDN/>
              <w:adjustRightInd/>
              <w:spacing w:after="0"/>
              <w:jc w:val="right"/>
            </w:pPr>
            <w:r w:rsidRPr="00B801F4">
              <w:t>21.6</w:t>
            </w:r>
          </w:p>
        </w:tc>
        <w:tc>
          <w:tcPr>
            <w:tcW w:w="2565" w:type="dxa"/>
            <w:tcBorders>
              <w:top w:val="nil"/>
              <w:left w:val="nil"/>
              <w:bottom w:val="nil"/>
              <w:right w:val="nil"/>
            </w:tcBorders>
          </w:tcPr>
          <w:p w14:paraId="799C3B72"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79A176FA"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425E4AAF" w14:textId="77777777" w:rsidR="00B801F4" w:rsidRPr="00B801F4" w:rsidRDefault="00B801F4" w:rsidP="00B801F4">
            <w:pPr>
              <w:autoSpaceDE/>
              <w:autoSpaceDN/>
              <w:adjustRightInd/>
              <w:spacing w:after="0"/>
              <w:jc w:val="right"/>
            </w:pPr>
          </w:p>
        </w:tc>
        <w:tc>
          <w:tcPr>
            <w:tcW w:w="2565" w:type="dxa"/>
            <w:tcBorders>
              <w:top w:val="nil"/>
              <w:left w:val="nil"/>
              <w:bottom w:val="nil"/>
              <w:right w:val="single" w:sz="4" w:space="0" w:color="auto"/>
            </w:tcBorders>
          </w:tcPr>
          <w:p w14:paraId="3663EAC6" w14:textId="77777777" w:rsidR="00B801F4" w:rsidRPr="00B801F4" w:rsidRDefault="00B801F4" w:rsidP="00B801F4">
            <w:pPr>
              <w:autoSpaceDE/>
              <w:autoSpaceDN/>
              <w:adjustRightInd/>
              <w:spacing w:after="0"/>
              <w:jc w:val="right"/>
            </w:pPr>
            <w:r w:rsidRPr="00B801F4">
              <w:t>12.4</w:t>
            </w:r>
          </w:p>
        </w:tc>
      </w:tr>
      <w:tr w:rsidR="00B801F4" w:rsidRPr="00B801F4" w14:paraId="1E4C14CD" w14:textId="77777777" w:rsidTr="008D0533">
        <w:trPr>
          <w:trHeight w:val="496"/>
        </w:trPr>
        <w:tc>
          <w:tcPr>
            <w:tcW w:w="2830" w:type="dxa"/>
            <w:tcBorders>
              <w:top w:val="nil"/>
              <w:left w:val="single" w:sz="4" w:space="0" w:color="auto"/>
              <w:bottom w:val="nil"/>
              <w:right w:val="nil"/>
            </w:tcBorders>
            <w:shd w:val="clear" w:color="auto" w:fill="C5E0B3" w:themeFill="accent6" w:themeFillTint="66"/>
          </w:tcPr>
          <w:p w14:paraId="5786C2A0" w14:textId="77777777" w:rsidR="00B801F4" w:rsidRPr="00B801F4" w:rsidRDefault="00B801F4" w:rsidP="00B801F4">
            <w:pPr>
              <w:autoSpaceDE/>
              <w:autoSpaceDN/>
              <w:adjustRightInd/>
              <w:spacing w:after="0"/>
              <w:jc w:val="left"/>
            </w:pPr>
            <w:r w:rsidRPr="00B801F4">
              <w:t>Investment assets</w:t>
            </w:r>
          </w:p>
        </w:tc>
        <w:tc>
          <w:tcPr>
            <w:tcW w:w="2300" w:type="dxa"/>
            <w:tcBorders>
              <w:top w:val="nil"/>
              <w:left w:val="nil"/>
              <w:bottom w:val="nil"/>
              <w:right w:val="nil"/>
            </w:tcBorders>
            <w:shd w:val="clear" w:color="auto" w:fill="C5E0B3" w:themeFill="accent6" w:themeFillTint="66"/>
          </w:tcPr>
          <w:p w14:paraId="67E559E0" w14:textId="77777777" w:rsidR="00B801F4" w:rsidRPr="00B801F4" w:rsidRDefault="00B801F4" w:rsidP="00B801F4">
            <w:pPr>
              <w:autoSpaceDE/>
              <w:autoSpaceDN/>
              <w:adjustRightInd/>
              <w:spacing w:after="0"/>
              <w:jc w:val="right"/>
            </w:pPr>
            <w:r w:rsidRPr="00B801F4">
              <w:t>5,107.4</w:t>
            </w:r>
          </w:p>
        </w:tc>
        <w:tc>
          <w:tcPr>
            <w:tcW w:w="2565" w:type="dxa"/>
            <w:tcBorders>
              <w:top w:val="nil"/>
              <w:left w:val="nil"/>
              <w:bottom w:val="nil"/>
              <w:right w:val="nil"/>
            </w:tcBorders>
            <w:shd w:val="clear" w:color="auto" w:fill="C5E0B3" w:themeFill="accent6" w:themeFillTint="66"/>
          </w:tcPr>
          <w:p w14:paraId="64B5D9D6"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shd w:val="clear" w:color="auto" w:fill="C5E0B3" w:themeFill="accent6" w:themeFillTint="66"/>
          </w:tcPr>
          <w:p w14:paraId="2F72E36D"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shd w:val="clear" w:color="auto" w:fill="C5E0B3" w:themeFill="accent6" w:themeFillTint="66"/>
          </w:tcPr>
          <w:p w14:paraId="658B89AA" w14:textId="77777777" w:rsidR="00B801F4" w:rsidRPr="00B801F4" w:rsidRDefault="00B801F4" w:rsidP="00B801F4">
            <w:pPr>
              <w:autoSpaceDE/>
              <w:autoSpaceDN/>
              <w:adjustRightInd/>
              <w:spacing w:after="0"/>
              <w:jc w:val="right"/>
            </w:pPr>
          </w:p>
        </w:tc>
        <w:tc>
          <w:tcPr>
            <w:tcW w:w="2565" w:type="dxa"/>
            <w:tcBorders>
              <w:top w:val="nil"/>
              <w:left w:val="nil"/>
              <w:bottom w:val="nil"/>
              <w:right w:val="single" w:sz="4" w:space="0" w:color="auto"/>
            </w:tcBorders>
            <w:shd w:val="clear" w:color="auto" w:fill="C5E0B3" w:themeFill="accent6" w:themeFillTint="66"/>
          </w:tcPr>
          <w:p w14:paraId="352D1A05" w14:textId="77777777" w:rsidR="00B801F4" w:rsidRPr="00B801F4" w:rsidRDefault="00B801F4" w:rsidP="00B801F4">
            <w:pPr>
              <w:autoSpaceDE/>
              <w:autoSpaceDN/>
              <w:adjustRightInd/>
              <w:spacing w:after="0"/>
              <w:jc w:val="right"/>
            </w:pPr>
            <w:r w:rsidRPr="00B801F4">
              <w:t>5,192.8</w:t>
            </w:r>
          </w:p>
        </w:tc>
      </w:tr>
      <w:tr w:rsidR="00B801F4" w:rsidRPr="00B801F4" w14:paraId="4F3E62CE" w14:textId="77777777" w:rsidTr="008D0533">
        <w:trPr>
          <w:trHeight w:val="1061"/>
        </w:trPr>
        <w:tc>
          <w:tcPr>
            <w:tcW w:w="2830" w:type="dxa"/>
            <w:tcBorders>
              <w:top w:val="nil"/>
              <w:left w:val="single" w:sz="4" w:space="0" w:color="auto"/>
              <w:bottom w:val="nil"/>
              <w:right w:val="nil"/>
            </w:tcBorders>
          </w:tcPr>
          <w:p w14:paraId="67C6ADEC" w14:textId="77777777" w:rsidR="00B801F4" w:rsidRPr="00B801F4" w:rsidRDefault="00B801F4" w:rsidP="00B801F4">
            <w:pPr>
              <w:autoSpaceDE/>
              <w:autoSpaceDN/>
              <w:adjustRightInd/>
              <w:spacing w:after="0"/>
              <w:jc w:val="left"/>
            </w:pPr>
            <w:r w:rsidRPr="00B801F4">
              <w:t>Forward currency contracts liability value</w:t>
            </w:r>
          </w:p>
        </w:tc>
        <w:tc>
          <w:tcPr>
            <w:tcW w:w="2300" w:type="dxa"/>
            <w:tcBorders>
              <w:top w:val="nil"/>
              <w:left w:val="nil"/>
              <w:bottom w:val="nil"/>
              <w:right w:val="nil"/>
            </w:tcBorders>
          </w:tcPr>
          <w:p w14:paraId="4C0B3271" w14:textId="77777777" w:rsidR="00B801F4" w:rsidRPr="00B801F4" w:rsidRDefault="00B801F4" w:rsidP="00B801F4">
            <w:pPr>
              <w:autoSpaceDE/>
              <w:autoSpaceDN/>
              <w:adjustRightInd/>
              <w:spacing w:after="0"/>
              <w:jc w:val="right"/>
            </w:pPr>
            <w:r w:rsidRPr="00B801F4">
              <w:t>(118.4)</w:t>
            </w:r>
          </w:p>
        </w:tc>
        <w:tc>
          <w:tcPr>
            <w:tcW w:w="2565" w:type="dxa"/>
            <w:tcBorders>
              <w:top w:val="nil"/>
              <w:left w:val="nil"/>
              <w:bottom w:val="nil"/>
              <w:right w:val="nil"/>
            </w:tcBorders>
          </w:tcPr>
          <w:p w14:paraId="649AEE9E"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26C10DE0" w14:textId="77777777" w:rsidR="00B801F4" w:rsidRPr="00B801F4" w:rsidRDefault="00B801F4" w:rsidP="00B801F4">
            <w:pPr>
              <w:autoSpaceDE/>
              <w:autoSpaceDN/>
              <w:adjustRightInd/>
              <w:spacing w:after="0"/>
              <w:jc w:val="right"/>
            </w:pPr>
          </w:p>
        </w:tc>
        <w:tc>
          <w:tcPr>
            <w:tcW w:w="2565" w:type="dxa"/>
            <w:tcBorders>
              <w:top w:val="nil"/>
              <w:left w:val="nil"/>
              <w:bottom w:val="nil"/>
              <w:right w:val="nil"/>
            </w:tcBorders>
          </w:tcPr>
          <w:p w14:paraId="573E021F" w14:textId="77777777" w:rsidR="00B801F4" w:rsidRPr="00B801F4" w:rsidRDefault="00B801F4" w:rsidP="00B801F4">
            <w:pPr>
              <w:autoSpaceDE/>
              <w:autoSpaceDN/>
              <w:adjustRightInd/>
              <w:spacing w:after="0"/>
              <w:jc w:val="right"/>
            </w:pPr>
          </w:p>
        </w:tc>
        <w:tc>
          <w:tcPr>
            <w:tcW w:w="2565" w:type="dxa"/>
            <w:tcBorders>
              <w:top w:val="nil"/>
              <w:left w:val="nil"/>
              <w:bottom w:val="nil"/>
              <w:right w:val="single" w:sz="4" w:space="0" w:color="auto"/>
            </w:tcBorders>
          </w:tcPr>
          <w:p w14:paraId="00E43E80" w14:textId="77777777" w:rsidR="00B801F4" w:rsidRPr="00B801F4" w:rsidRDefault="00B801F4" w:rsidP="00B801F4">
            <w:pPr>
              <w:autoSpaceDE/>
              <w:autoSpaceDN/>
              <w:adjustRightInd/>
              <w:spacing w:after="0"/>
              <w:jc w:val="right"/>
            </w:pPr>
            <w:r w:rsidRPr="00B801F4">
              <w:t>(21.3)</w:t>
            </w:r>
          </w:p>
        </w:tc>
      </w:tr>
      <w:tr w:rsidR="00B801F4" w:rsidRPr="00B801F4" w14:paraId="2D0EFBA6" w14:textId="77777777" w:rsidTr="008D0533">
        <w:trPr>
          <w:trHeight w:val="556"/>
        </w:trPr>
        <w:tc>
          <w:tcPr>
            <w:tcW w:w="2830" w:type="dxa"/>
            <w:tcBorders>
              <w:top w:val="nil"/>
              <w:left w:val="single" w:sz="4" w:space="0" w:color="auto"/>
              <w:bottom w:val="single" w:sz="4" w:space="0" w:color="auto"/>
              <w:right w:val="nil"/>
            </w:tcBorders>
            <w:shd w:val="clear" w:color="auto" w:fill="A8D08D" w:themeFill="accent6" w:themeFillTint="99"/>
          </w:tcPr>
          <w:p w14:paraId="27615C6B" w14:textId="77777777" w:rsidR="00B801F4" w:rsidRPr="00B801F4" w:rsidRDefault="00B801F4" w:rsidP="00B801F4">
            <w:pPr>
              <w:autoSpaceDE/>
              <w:autoSpaceDN/>
              <w:adjustRightInd/>
              <w:spacing w:after="0"/>
              <w:jc w:val="left"/>
              <w:rPr>
                <w:b/>
              </w:rPr>
            </w:pPr>
            <w:r w:rsidRPr="00B801F4">
              <w:rPr>
                <w:b/>
              </w:rPr>
              <w:t>Portfolio value</w:t>
            </w:r>
          </w:p>
        </w:tc>
        <w:tc>
          <w:tcPr>
            <w:tcW w:w="2300" w:type="dxa"/>
            <w:tcBorders>
              <w:top w:val="nil"/>
              <w:left w:val="nil"/>
              <w:bottom w:val="single" w:sz="4" w:space="0" w:color="auto"/>
              <w:right w:val="nil"/>
            </w:tcBorders>
            <w:shd w:val="clear" w:color="auto" w:fill="A8D08D" w:themeFill="accent6" w:themeFillTint="99"/>
          </w:tcPr>
          <w:p w14:paraId="5D23432B" w14:textId="77777777" w:rsidR="00B801F4" w:rsidRPr="00B801F4" w:rsidRDefault="00B801F4" w:rsidP="00B801F4">
            <w:pPr>
              <w:autoSpaceDE/>
              <w:autoSpaceDN/>
              <w:adjustRightInd/>
              <w:spacing w:after="0"/>
              <w:jc w:val="right"/>
              <w:rPr>
                <w:b/>
              </w:rPr>
            </w:pPr>
            <w:r w:rsidRPr="00B801F4">
              <w:rPr>
                <w:b/>
              </w:rPr>
              <w:t>4,989.0</w:t>
            </w:r>
          </w:p>
        </w:tc>
        <w:tc>
          <w:tcPr>
            <w:tcW w:w="2565" w:type="dxa"/>
            <w:tcBorders>
              <w:top w:val="nil"/>
              <w:left w:val="nil"/>
              <w:bottom w:val="single" w:sz="4" w:space="0" w:color="auto"/>
              <w:right w:val="nil"/>
            </w:tcBorders>
            <w:shd w:val="clear" w:color="auto" w:fill="A8D08D" w:themeFill="accent6" w:themeFillTint="99"/>
          </w:tcPr>
          <w:p w14:paraId="2CD4C1B5" w14:textId="77777777" w:rsidR="00B801F4" w:rsidRPr="00B801F4" w:rsidRDefault="00B801F4" w:rsidP="00B801F4">
            <w:pPr>
              <w:autoSpaceDE/>
              <w:autoSpaceDN/>
              <w:adjustRightInd/>
              <w:spacing w:after="0"/>
              <w:jc w:val="right"/>
              <w:rPr>
                <w:b/>
              </w:rPr>
            </w:pPr>
          </w:p>
        </w:tc>
        <w:tc>
          <w:tcPr>
            <w:tcW w:w="2565" w:type="dxa"/>
            <w:tcBorders>
              <w:top w:val="nil"/>
              <w:left w:val="nil"/>
              <w:bottom w:val="single" w:sz="4" w:space="0" w:color="auto"/>
              <w:right w:val="nil"/>
            </w:tcBorders>
            <w:shd w:val="clear" w:color="auto" w:fill="A8D08D" w:themeFill="accent6" w:themeFillTint="99"/>
          </w:tcPr>
          <w:p w14:paraId="7918049B" w14:textId="77777777" w:rsidR="00B801F4" w:rsidRPr="00B801F4" w:rsidRDefault="00B801F4" w:rsidP="00B801F4">
            <w:pPr>
              <w:autoSpaceDE/>
              <w:autoSpaceDN/>
              <w:adjustRightInd/>
              <w:spacing w:after="0"/>
              <w:jc w:val="right"/>
              <w:rPr>
                <w:b/>
              </w:rPr>
            </w:pPr>
          </w:p>
        </w:tc>
        <w:tc>
          <w:tcPr>
            <w:tcW w:w="2565" w:type="dxa"/>
            <w:tcBorders>
              <w:top w:val="nil"/>
              <w:left w:val="nil"/>
              <w:bottom w:val="single" w:sz="4" w:space="0" w:color="auto"/>
              <w:right w:val="nil"/>
            </w:tcBorders>
            <w:shd w:val="clear" w:color="auto" w:fill="A8D08D" w:themeFill="accent6" w:themeFillTint="99"/>
          </w:tcPr>
          <w:p w14:paraId="2975B5EE" w14:textId="77777777" w:rsidR="00B801F4" w:rsidRPr="00B801F4" w:rsidRDefault="00B801F4" w:rsidP="00B801F4">
            <w:pPr>
              <w:autoSpaceDE/>
              <w:autoSpaceDN/>
              <w:adjustRightInd/>
              <w:spacing w:after="0"/>
              <w:jc w:val="right"/>
              <w:rPr>
                <w:b/>
              </w:rPr>
            </w:pPr>
          </w:p>
        </w:tc>
        <w:tc>
          <w:tcPr>
            <w:tcW w:w="2565" w:type="dxa"/>
            <w:tcBorders>
              <w:top w:val="nil"/>
              <w:left w:val="nil"/>
              <w:bottom w:val="single" w:sz="4" w:space="0" w:color="auto"/>
              <w:right w:val="single" w:sz="4" w:space="0" w:color="auto"/>
            </w:tcBorders>
            <w:shd w:val="clear" w:color="auto" w:fill="A8D08D" w:themeFill="accent6" w:themeFillTint="99"/>
          </w:tcPr>
          <w:p w14:paraId="23D13C9C" w14:textId="77777777" w:rsidR="00B801F4" w:rsidRPr="00B801F4" w:rsidRDefault="00B801F4" w:rsidP="00B801F4">
            <w:pPr>
              <w:autoSpaceDE/>
              <w:autoSpaceDN/>
              <w:adjustRightInd/>
              <w:spacing w:after="0"/>
              <w:jc w:val="right"/>
              <w:rPr>
                <w:b/>
              </w:rPr>
            </w:pPr>
            <w:r w:rsidRPr="00B801F4">
              <w:rPr>
                <w:b/>
              </w:rPr>
              <w:t>5,171.5</w:t>
            </w:r>
          </w:p>
        </w:tc>
      </w:tr>
    </w:tbl>
    <w:p w14:paraId="32D8D404" w14:textId="77777777" w:rsidR="00B801F4" w:rsidRPr="00B801F4" w:rsidRDefault="00B801F4" w:rsidP="00B801F4">
      <w:pPr>
        <w:spacing w:after="240"/>
        <w:ind w:left="567"/>
      </w:pPr>
    </w:p>
    <w:p w14:paraId="434A6695" w14:textId="77777777" w:rsidR="00B801F4" w:rsidRPr="00B801F4" w:rsidRDefault="00B801F4" w:rsidP="00B801F4">
      <w:pPr>
        <w:spacing w:after="240"/>
        <w:ind w:left="567"/>
        <w:sectPr w:rsidR="00B801F4" w:rsidRPr="00B801F4" w:rsidSect="00B801F4">
          <w:pgSz w:w="16840" w:h="11900" w:orient="landscape" w:code="9"/>
          <w:pgMar w:top="720" w:right="720" w:bottom="720" w:left="720" w:header="284" w:footer="284" w:gutter="0"/>
          <w:cols w:space="292"/>
          <w:docGrid w:linePitch="326"/>
        </w:sectPr>
      </w:pPr>
    </w:p>
    <w:tbl>
      <w:tblPr>
        <w:tblStyle w:val="TableGrid1"/>
        <w:tblW w:w="10602" w:type="dxa"/>
        <w:tblInd w:w="250" w:type="dxa"/>
        <w:tblBorders>
          <w:insideH w:val="none" w:sz="0" w:space="0" w:color="auto"/>
          <w:insideV w:val="none" w:sz="0" w:space="0" w:color="auto"/>
        </w:tblBorders>
        <w:tblLayout w:type="fixed"/>
        <w:tblLook w:val="04A0" w:firstRow="1" w:lastRow="0" w:firstColumn="1" w:lastColumn="0" w:noHBand="0" w:noVBand="1"/>
      </w:tblPr>
      <w:tblGrid>
        <w:gridCol w:w="34"/>
        <w:gridCol w:w="2659"/>
        <w:gridCol w:w="709"/>
        <w:gridCol w:w="2268"/>
        <w:gridCol w:w="142"/>
        <w:gridCol w:w="283"/>
        <w:gridCol w:w="426"/>
        <w:gridCol w:w="271"/>
        <w:gridCol w:w="154"/>
        <w:gridCol w:w="142"/>
        <w:gridCol w:w="703"/>
        <w:gridCol w:w="289"/>
        <w:gridCol w:w="142"/>
        <w:gridCol w:w="992"/>
        <w:gridCol w:w="142"/>
        <w:gridCol w:w="324"/>
        <w:gridCol w:w="692"/>
        <w:gridCol w:w="230"/>
      </w:tblGrid>
      <w:tr w:rsidR="00B801F4" w:rsidRPr="00B801F4" w14:paraId="7137E13A" w14:textId="77777777" w:rsidTr="00B801F4">
        <w:trPr>
          <w:gridBefore w:val="1"/>
          <w:wBefore w:w="34" w:type="dxa"/>
        </w:trPr>
        <w:tc>
          <w:tcPr>
            <w:tcW w:w="6487" w:type="dxa"/>
            <w:gridSpan w:val="6"/>
            <w:tcBorders>
              <w:top w:val="nil"/>
              <w:left w:val="nil"/>
              <w:bottom w:val="nil"/>
            </w:tcBorders>
            <w:shd w:val="clear" w:color="auto" w:fill="auto"/>
          </w:tcPr>
          <w:p w14:paraId="184E46C3" w14:textId="77777777" w:rsidR="00B801F4" w:rsidRPr="00B801F4" w:rsidRDefault="00B801F4" w:rsidP="00B801F4">
            <w:pPr>
              <w:tabs>
                <w:tab w:val="left" w:pos="1080"/>
              </w:tabs>
              <w:spacing w:after="80"/>
              <w:jc w:val="left"/>
              <w:rPr>
                <w:b/>
                <w:sz w:val="32"/>
                <w:szCs w:val="32"/>
              </w:rPr>
            </w:pPr>
          </w:p>
          <w:p w14:paraId="0DFD5825" w14:textId="77777777" w:rsidR="00B801F4" w:rsidRPr="00B801F4" w:rsidRDefault="00B801F4" w:rsidP="00B801F4">
            <w:pPr>
              <w:tabs>
                <w:tab w:val="left" w:pos="1080"/>
              </w:tabs>
              <w:spacing w:after="80"/>
              <w:jc w:val="left"/>
              <w:rPr>
                <w:b/>
                <w:sz w:val="32"/>
                <w:szCs w:val="32"/>
              </w:rPr>
            </w:pPr>
            <w:r w:rsidRPr="00B801F4">
              <w:rPr>
                <w:b/>
                <w:sz w:val="32"/>
                <w:szCs w:val="32"/>
              </w:rPr>
              <w:t>Investments analysed by fund manager</w:t>
            </w:r>
          </w:p>
          <w:p w14:paraId="4B2B4AD9" w14:textId="77777777" w:rsidR="00B801F4" w:rsidRPr="00B801F4" w:rsidRDefault="00B801F4" w:rsidP="00B801F4">
            <w:pPr>
              <w:tabs>
                <w:tab w:val="left" w:pos="1080"/>
              </w:tabs>
              <w:spacing w:after="80"/>
              <w:jc w:val="left"/>
              <w:rPr>
                <w:b/>
              </w:rPr>
            </w:pPr>
          </w:p>
          <w:p w14:paraId="67CD314D" w14:textId="77777777" w:rsidR="00B801F4" w:rsidRPr="00B801F4" w:rsidRDefault="00B801F4" w:rsidP="00B801F4">
            <w:pPr>
              <w:tabs>
                <w:tab w:val="left" w:pos="1080"/>
              </w:tabs>
              <w:spacing w:after="80"/>
              <w:jc w:val="left"/>
              <w:rPr>
                <w:b/>
              </w:rPr>
            </w:pPr>
          </w:p>
        </w:tc>
        <w:tc>
          <w:tcPr>
            <w:tcW w:w="271" w:type="dxa"/>
            <w:tcBorders>
              <w:top w:val="nil"/>
              <w:bottom w:val="nil"/>
            </w:tcBorders>
            <w:shd w:val="clear" w:color="auto" w:fill="auto"/>
          </w:tcPr>
          <w:p w14:paraId="45E93C20" w14:textId="77777777" w:rsidR="00B801F4" w:rsidRPr="00B801F4" w:rsidRDefault="00B801F4" w:rsidP="00B801F4">
            <w:pPr>
              <w:tabs>
                <w:tab w:val="left" w:pos="1080"/>
              </w:tabs>
              <w:spacing w:after="80"/>
              <w:jc w:val="left"/>
              <w:rPr>
                <w:b/>
              </w:rPr>
            </w:pPr>
          </w:p>
        </w:tc>
        <w:tc>
          <w:tcPr>
            <w:tcW w:w="999" w:type="dxa"/>
            <w:gridSpan w:val="3"/>
            <w:tcBorders>
              <w:top w:val="nil"/>
              <w:bottom w:val="nil"/>
            </w:tcBorders>
            <w:shd w:val="clear" w:color="auto" w:fill="auto"/>
          </w:tcPr>
          <w:p w14:paraId="1FB479B5" w14:textId="77777777" w:rsidR="00B801F4" w:rsidRPr="00B801F4" w:rsidRDefault="00B801F4" w:rsidP="00B801F4">
            <w:pPr>
              <w:tabs>
                <w:tab w:val="left" w:pos="1080"/>
              </w:tabs>
              <w:spacing w:after="80"/>
              <w:jc w:val="right"/>
              <w:rPr>
                <w:b/>
              </w:rPr>
            </w:pPr>
          </w:p>
        </w:tc>
        <w:tc>
          <w:tcPr>
            <w:tcW w:w="1889" w:type="dxa"/>
            <w:gridSpan w:val="5"/>
            <w:tcBorders>
              <w:top w:val="nil"/>
              <w:bottom w:val="nil"/>
            </w:tcBorders>
            <w:shd w:val="clear" w:color="auto" w:fill="auto"/>
          </w:tcPr>
          <w:p w14:paraId="69ADE5AD" w14:textId="77777777" w:rsidR="00B801F4" w:rsidRPr="00B801F4" w:rsidRDefault="00B801F4" w:rsidP="00B801F4">
            <w:pPr>
              <w:tabs>
                <w:tab w:val="left" w:pos="1080"/>
              </w:tabs>
              <w:spacing w:after="80"/>
              <w:jc w:val="right"/>
              <w:rPr>
                <w:b/>
              </w:rPr>
            </w:pPr>
          </w:p>
        </w:tc>
        <w:tc>
          <w:tcPr>
            <w:tcW w:w="922" w:type="dxa"/>
            <w:gridSpan w:val="2"/>
            <w:tcBorders>
              <w:top w:val="nil"/>
              <w:bottom w:val="nil"/>
              <w:right w:val="nil"/>
            </w:tcBorders>
            <w:shd w:val="clear" w:color="auto" w:fill="auto"/>
          </w:tcPr>
          <w:p w14:paraId="4F50FE48" w14:textId="77777777" w:rsidR="00B801F4" w:rsidRPr="00B801F4" w:rsidRDefault="00B801F4" w:rsidP="00B801F4">
            <w:pPr>
              <w:tabs>
                <w:tab w:val="left" w:pos="1080"/>
              </w:tabs>
              <w:spacing w:after="80"/>
              <w:rPr>
                <w:b/>
              </w:rPr>
            </w:pPr>
          </w:p>
        </w:tc>
      </w:tr>
      <w:tr w:rsidR="00B801F4" w:rsidRPr="00B801F4" w14:paraId="0AD4DBEF" w14:textId="77777777" w:rsidTr="00B801F4">
        <w:tblPrEx>
          <w:tblBorders>
            <w:insideH w:val="single" w:sz="4" w:space="0" w:color="auto"/>
            <w:insideV w:val="single" w:sz="4" w:space="0" w:color="auto"/>
          </w:tblBorders>
        </w:tblPrEx>
        <w:trPr>
          <w:gridAfter w:val="1"/>
          <w:wAfter w:w="230" w:type="dxa"/>
        </w:trPr>
        <w:tc>
          <w:tcPr>
            <w:tcW w:w="2693" w:type="dxa"/>
            <w:gridSpan w:val="2"/>
            <w:tcBorders>
              <w:top w:val="single" w:sz="4" w:space="0" w:color="auto"/>
              <w:left w:val="single" w:sz="4" w:space="0" w:color="auto"/>
              <w:bottom w:val="nil"/>
              <w:right w:val="nil"/>
            </w:tcBorders>
            <w:shd w:val="clear" w:color="auto" w:fill="70AD47" w:themeFill="accent6"/>
          </w:tcPr>
          <w:p w14:paraId="07C85C72" w14:textId="77777777" w:rsidR="00B801F4" w:rsidRPr="00B801F4" w:rsidRDefault="00B801F4" w:rsidP="00B801F4">
            <w:pPr>
              <w:rPr>
                <w:b/>
              </w:rPr>
            </w:pPr>
          </w:p>
        </w:tc>
        <w:tc>
          <w:tcPr>
            <w:tcW w:w="3119" w:type="dxa"/>
            <w:gridSpan w:val="3"/>
            <w:tcBorders>
              <w:top w:val="single" w:sz="4" w:space="0" w:color="auto"/>
              <w:left w:val="nil"/>
              <w:bottom w:val="nil"/>
              <w:right w:val="nil"/>
            </w:tcBorders>
            <w:shd w:val="clear" w:color="auto" w:fill="70AD47" w:themeFill="accent6"/>
          </w:tcPr>
          <w:p w14:paraId="2C8F23F5" w14:textId="77777777" w:rsidR="00B801F4" w:rsidRPr="00B801F4" w:rsidRDefault="00B801F4" w:rsidP="00B801F4">
            <w:pPr>
              <w:rPr>
                <w:b/>
              </w:rPr>
            </w:pPr>
          </w:p>
        </w:tc>
        <w:tc>
          <w:tcPr>
            <w:tcW w:w="1276" w:type="dxa"/>
            <w:gridSpan w:val="5"/>
            <w:tcBorders>
              <w:top w:val="single" w:sz="4" w:space="0" w:color="auto"/>
              <w:left w:val="nil"/>
              <w:bottom w:val="nil"/>
              <w:right w:val="nil"/>
            </w:tcBorders>
            <w:shd w:val="clear" w:color="auto" w:fill="70AD47" w:themeFill="accent6"/>
          </w:tcPr>
          <w:p w14:paraId="0A633DBB" w14:textId="77777777" w:rsidR="00B801F4" w:rsidRPr="00B801F4" w:rsidRDefault="00B801F4" w:rsidP="00B801F4">
            <w:pPr>
              <w:jc w:val="center"/>
              <w:rPr>
                <w:b/>
              </w:rPr>
            </w:pPr>
          </w:p>
          <w:p w14:paraId="1C43EC9A" w14:textId="77777777" w:rsidR="00B801F4" w:rsidRPr="00B801F4" w:rsidRDefault="00B801F4" w:rsidP="00B801F4">
            <w:pPr>
              <w:jc w:val="center"/>
              <w:rPr>
                <w:b/>
              </w:rPr>
            </w:pPr>
            <w:r w:rsidRPr="00B801F4">
              <w:rPr>
                <w:b/>
              </w:rPr>
              <w:t>31/3/15</w:t>
            </w:r>
          </w:p>
        </w:tc>
        <w:tc>
          <w:tcPr>
            <w:tcW w:w="1134" w:type="dxa"/>
            <w:gridSpan w:val="3"/>
            <w:tcBorders>
              <w:top w:val="single" w:sz="4" w:space="0" w:color="auto"/>
              <w:left w:val="nil"/>
              <w:bottom w:val="nil"/>
              <w:right w:val="nil"/>
            </w:tcBorders>
            <w:shd w:val="clear" w:color="auto" w:fill="70AD47" w:themeFill="accent6"/>
          </w:tcPr>
          <w:p w14:paraId="74D8963A" w14:textId="77777777" w:rsidR="00B801F4" w:rsidRPr="00B801F4" w:rsidRDefault="00B801F4" w:rsidP="00B801F4">
            <w:pPr>
              <w:jc w:val="center"/>
              <w:rPr>
                <w:b/>
              </w:rPr>
            </w:pPr>
          </w:p>
          <w:p w14:paraId="34081772" w14:textId="77777777" w:rsidR="00B801F4" w:rsidRPr="00B801F4" w:rsidRDefault="00B801F4" w:rsidP="00B801F4">
            <w:pPr>
              <w:jc w:val="center"/>
              <w:rPr>
                <w:b/>
              </w:rPr>
            </w:pPr>
            <w:r w:rsidRPr="00B801F4">
              <w:rPr>
                <w:b/>
              </w:rPr>
              <w:t>%</w:t>
            </w:r>
          </w:p>
        </w:tc>
        <w:tc>
          <w:tcPr>
            <w:tcW w:w="1134" w:type="dxa"/>
            <w:gridSpan w:val="2"/>
            <w:tcBorders>
              <w:top w:val="single" w:sz="4" w:space="0" w:color="auto"/>
              <w:left w:val="nil"/>
              <w:bottom w:val="nil"/>
              <w:right w:val="nil"/>
            </w:tcBorders>
            <w:shd w:val="clear" w:color="auto" w:fill="70AD47" w:themeFill="accent6"/>
          </w:tcPr>
          <w:p w14:paraId="35784B4E" w14:textId="77777777" w:rsidR="00B801F4" w:rsidRPr="00B801F4" w:rsidRDefault="00B801F4" w:rsidP="00B801F4">
            <w:pPr>
              <w:jc w:val="center"/>
              <w:rPr>
                <w:b/>
              </w:rPr>
            </w:pPr>
          </w:p>
          <w:p w14:paraId="62EDAF79" w14:textId="77777777" w:rsidR="00B801F4" w:rsidRPr="00B801F4" w:rsidRDefault="00B801F4" w:rsidP="00B801F4">
            <w:pPr>
              <w:jc w:val="center"/>
              <w:rPr>
                <w:b/>
              </w:rPr>
            </w:pPr>
            <w:r w:rsidRPr="00B801F4">
              <w:rPr>
                <w:b/>
              </w:rPr>
              <w:t>31/3/14</w:t>
            </w:r>
          </w:p>
        </w:tc>
        <w:tc>
          <w:tcPr>
            <w:tcW w:w="1016" w:type="dxa"/>
            <w:gridSpan w:val="2"/>
            <w:tcBorders>
              <w:top w:val="single" w:sz="4" w:space="0" w:color="auto"/>
              <w:left w:val="nil"/>
              <w:bottom w:val="nil"/>
              <w:right w:val="single" w:sz="4" w:space="0" w:color="auto"/>
            </w:tcBorders>
            <w:shd w:val="clear" w:color="auto" w:fill="70AD47" w:themeFill="accent6"/>
          </w:tcPr>
          <w:p w14:paraId="5371A161" w14:textId="77777777" w:rsidR="00B801F4" w:rsidRPr="00B801F4" w:rsidRDefault="00B801F4" w:rsidP="00B801F4">
            <w:pPr>
              <w:jc w:val="center"/>
              <w:rPr>
                <w:b/>
              </w:rPr>
            </w:pPr>
          </w:p>
          <w:p w14:paraId="4948D9B5" w14:textId="77777777" w:rsidR="00B801F4" w:rsidRPr="00B801F4" w:rsidRDefault="00B801F4" w:rsidP="00B801F4">
            <w:pPr>
              <w:jc w:val="center"/>
              <w:rPr>
                <w:b/>
              </w:rPr>
            </w:pPr>
            <w:r w:rsidRPr="00B801F4">
              <w:rPr>
                <w:b/>
              </w:rPr>
              <w:t>%</w:t>
            </w:r>
          </w:p>
        </w:tc>
      </w:tr>
      <w:tr w:rsidR="00B801F4" w:rsidRPr="00B801F4" w14:paraId="4018249E" w14:textId="77777777" w:rsidTr="00B801F4">
        <w:tblPrEx>
          <w:tblBorders>
            <w:insideH w:val="single" w:sz="4" w:space="0" w:color="auto"/>
            <w:insideV w:val="single" w:sz="4" w:space="0" w:color="auto"/>
          </w:tblBorders>
        </w:tblPrEx>
        <w:trPr>
          <w:gridAfter w:val="1"/>
          <w:wAfter w:w="230" w:type="dxa"/>
        </w:trPr>
        <w:tc>
          <w:tcPr>
            <w:tcW w:w="2693" w:type="dxa"/>
            <w:gridSpan w:val="2"/>
            <w:tcBorders>
              <w:top w:val="nil"/>
              <w:left w:val="single" w:sz="4" w:space="0" w:color="auto"/>
              <w:bottom w:val="nil"/>
              <w:right w:val="nil"/>
            </w:tcBorders>
            <w:shd w:val="clear" w:color="auto" w:fill="70AD47" w:themeFill="accent6"/>
          </w:tcPr>
          <w:p w14:paraId="230617DF" w14:textId="77777777" w:rsidR="00B801F4" w:rsidRPr="00B801F4" w:rsidRDefault="00B801F4" w:rsidP="00B801F4">
            <w:pPr>
              <w:rPr>
                <w:b/>
              </w:rPr>
            </w:pPr>
          </w:p>
        </w:tc>
        <w:tc>
          <w:tcPr>
            <w:tcW w:w="3119" w:type="dxa"/>
            <w:gridSpan w:val="3"/>
            <w:tcBorders>
              <w:top w:val="nil"/>
              <w:left w:val="nil"/>
              <w:bottom w:val="nil"/>
              <w:right w:val="nil"/>
            </w:tcBorders>
            <w:shd w:val="clear" w:color="auto" w:fill="70AD47" w:themeFill="accent6"/>
          </w:tcPr>
          <w:p w14:paraId="3BCE9AC2" w14:textId="77777777" w:rsidR="00B801F4" w:rsidRPr="00B801F4" w:rsidRDefault="00B801F4" w:rsidP="00B801F4">
            <w:pPr>
              <w:rPr>
                <w:b/>
              </w:rPr>
            </w:pPr>
          </w:p>
        </w:tc>
        <w:tc>
          <w:tcPr>
            <w:tcW w:w="1276" w:type="dxa"/>
            <w:gridSpan w:val="5"/>
            <w:tcBorders>
              <w:top w:val="nil"/>
              <w:left w:val="nil"/>
              <w:bottom w:val="nil"/>
              <w:right w:val="nil"/>
            </w:tcBorders>
            <w:shd w:val="clear" w:color="auto" w:fill="70AD47" w:themeFill="accent6"/>
          </w:tcPr>
          <w:p w14:paraId="0013C8AA" w14:textId="77777777" w:rsidR="00B801F4" w:rsidRPr="00B801F4" w:rsidRDefault="00B801F4" w:rsidP="00B801F4">
            <w:pPr>
              <w:jc w:val="center"/>
              <w:rPr>
                <w:b/>
              </w:rPr>
            </w:pPr>
            <w:r w:rsidRPr="00B801F4">
              <w:rPr>
                <w:b/>
              </w:rPr>
              <w:t>£m</w:t>
            </w:r>
          </w:p>
        </w:tc>
        <w:tc>
          <w:tcPr>
            <w:tcW w:w="1134" w:type="dxa"/>
            <w:gridSpan w:val="3"/>
            <w:tcBorders>
              <w:top w:val="nil"/>
              <w:left w:val="nil"/>
              <w:bottom w:val="nil"/>
              <w:right w:val="nil"/>
            </w:tcBorders>
            <w:shd w:val="clear" w:color="auto" w:fill="70AD47" w:themeFill="accent6"/>
          </w:tcPr>
          <w:p w14:paraId="1205E07A" w14:textId="77777777" w:rsidR="00B801F4" w:rsidRPr="00B801F4" w:rsidRDefault="00B801F4" w:rsidP="00B801F4">
            <w:pPr>
              <w:rPr>
                <w:b/>
              </w:rPr>
            </w:pPr>
          </w:p>
        </w:tc>
        <w:tc>
          <w:tcPr>
            <w:tcW w:w="1134" w:type="dxa"/>
            <w:gridSpan w:val="2"/>
            <w:tcBorders>
              <w:top w:val="nil"/>
              <w:left w:val="nil"/>
              <w:bottom w:val="nil"/>
              <w:right w:val="nil"/>
            </w:tcBorders>
            <w:shd w:val="clear" w:color="auto" w:fill="70AD47" w:themeFill="accent6"/>
          </w:tcPr>
          <w:p w14:paraId="06815D13" w14:textId="77777777" w:rsidR="00B801F4" w:rsidRPr="00B801F4" w:rsidRDefault="00B801F4" w:rsidP="00B801F4">
            <w:pPr>
              <w:jc w:val="center"/>
              <w:rPr>
                <w:b/>
              </w:rPr>
            </w:pPr>
            <w:r w:rsidRPr="00B801F4">
              <w:rPr>
                <w:b/>
              </w:rPr>
              <w:t>£m</w:t>
            </w:r>
          </w:p>
        </w:tc>
        <w:tc>
          <w:tcPr>
            <w:tcW w:w="1016" w:type="dxa"/>
            <w:gridSpan w:val="2"/>
            <w:tcBorders>
              <w:top w:val="nil"/>
              <w:left w:val="nil"/>
              <w:bottom w:val="nil"/>
              <w:right w:val="single" w:sz="4" w:space="0" w:color="auto"/>
            </w:tcBorders>
            <w:shd w:val="clear" w:color="auto" w:fill="70AD47" w:themeFill="accent6"/>
          </w:tcPr>
          <w:p w14:paraId="2BDC5E3D" w14:textId="77777777" w:rsidR="00B801F4" w:rsidRPr="00B801F4" w:rsidRDefault="00B801F4" w:rsidP="00B801F4">
            <w:pPr>
              <w:jc w:val="center"/>
              <w:rPr>
                <w:b/>
              </w:rPr>
            </w:pPr>
          </w:p>
        </w:tc>
      </w:tr>
      <w:tr w:rsidR="00B801F4" w:rsidRPr="00B801F4" w14:paraId="65210281" w14:textId="77777777" w:rsidTr="00B801F4">
        <w:tblPrEx>
          <w:tblBorders>
            <w:insideH w:val="single" w:sz="4" w:space="0" w:color="auto"/>
            <w:insideV w:val="single" w:sz="4" w:space="0" w:color="auto"/>
          </w:tblBorders>
        </w:tblPrEx>
        <w:trPr>
          <w:gridAfter w:val="1"/>
          <w:wAfter w:w="230" w:type="dxa"/>
        </w:trPr>
        <w:tc>
          <w:tcPr>
            <w:tcW w:w="10372" w:type="dxa"/>
            <w:gridSpan w:val="17"/>
            <w:tcBorders>
              <w:top w:val="single" w:sz="4" w:space="0" w:color="auto"/>
              <w:bottom w:val="single" w:sz="4" w:space="0" w:color="auto"/>
            </w:tcBorders>
            <w:shd w:val="clear" w:color="auto" w:fill="C5E0B3" w:themeFill="accent6" w:themeFillTint="66"/>
          </w:tcPr>
          <w:p w14:paraId="79419C95" w14:textId="77777777" w:rsidR="00B801F4" w:rsidRPr="00B801F4" w:rsidRDefault="00B801F4" w:rsidP="00B801F4">
            <w:pPr>
              <w:tabs>
                <w:tab w:val="left" w:pos="1080"/>
              </w:tabs>
              <w:spacing w:after="80"/>
              <w:jc w:val="left"/>
            </w:pPr>
            <w:r w:rsidRPr="00B801F4">
              <w:rPr>
                <w:b/>
              </w:rPr>
              <w:t>Public equity</w:t>
            </w:r>
          </w:p>
        </w:tc>
      </w:tr>
      <w:tr w:rsidR="00B801F4" w:rsidRPr="00B801F4" w14:paraId="51D57128"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single" w:sz="4" w:space="0" w:color="auto"/>
              <w:left w:val="single" w:sz="4" w:space="0" w:color="auto"/>
              <w:bottom w:val="nil"/>
              <w:right w:val="nil"/>
            </w:tcBorders>
          </w:tcPr>
          <w:p w14:paraId="3E69EACD" w14:textId="77777777" w:rsidR="00B801F4" w:rsidRPr="00B801F4" w:rsidRDefault="00B801F4" w:rsidP="00B801F4">
            <w:pPr>
              <w:tabs>
                <w:tab w:val="left" w:pos="1080"/>
              </w:tabs>
              <w:spacing w:after="80"/>
            </w:pPr>
            <w:r w:rsidRPr="00B801F4">
              <w:t>External managers</w:t>
            </w:r>
          </w:p>
        </w:tc>
        <w:tc>
          <w:tcPr>
            <w:tcW w:w="2410" w:type="dxa"/>
            <w:gridSpan w:val="2"/>
            <w:tcBorders>
              <w:top w:val="single" w:sz="4" w:space="0" w:color="auto"/>
              <w:left w:val="nil"/>
              <w:bottom w:val="nil"/>
              <w:right w:val="nil"/>
            </w:tcBorders>
          </w:tcPr>
          <w:p w14:paraId="00618F72" w14:textId="77777777" w:rsidR="00B801F4" w:rsidRPr="00B801F4" w:rsidRDefault="00B801F4" w:rsidP="00B801F4">
            <w:pPr>
              <w:tabs>
                <w:tab w:val="left" w:pos="1080"/>
              </w:tabs>
              <w:spacing w:after="80"/>
              <w:jc w:val="left"/>
            </w:pPr>
            <w:r w:rsidRPr="00B801F4">
              <w:t>Baillie Gifford</w:t>
            </w:r>
          </w:p>
        </w:tc>
        <w:tc>
          <w:tcPr>
            <w:tcW w:w="1276" w:type="dxa"/>
            <w:gridSpan w:val="5"/>
            <w:tcBorders>
              <w:top w:val="single" w:sz="4" w:space="0" w:color="auto"/>
              <w:left w:val="nil"/>
              <w:bottom w:val="nil"/>
              <w:right w:val="nil"/>
            </w:tcBorders>
          </w:tcPr>
          <w:p w14:paraId="39C8BB24" w14:textId="77777777" w:rsidR="00B801F4" w:rsidRPr="00B801F4" w:rsidRDefault="00B801F4" w:rsidP="00B801F4">
            <w:pPr>
              <w:tabs>
                <w:tab w:val="left" w:pos="1080"/>
              </w:tabs>
              <w:spacing w:after="80"/>
              <w:jc w:val="right"/>
            </w:pPr>
            <w:r w:rsidRPr="00B801F4">
              <w:t>734.1</w:t>
            </w:r>
          </w:p>
        </w:tc>
        <w:tc>
          <w:tcPr>
            <w:tcW w:w="1134" w:type="dxa"/>
            <w:gridSpan w:val="3"/>
            <w:tcBorders>
              <w:top w:val="single" w:sz="4" w:space="0" w:color="auto"/>
              <w:left w:val="nil"/>
              <w:bottom w:val="nil"/>
              <w:right w:val="nil"/>
            </w:tcBorders>
          </w:tcPr>
          <w:p w14:paraId="64C02CCB" w14:textId="77777777" w:rsidR="00B801F4" w:rsidRPr="00B801F4" w:rsidRDefault="00B801F4" w:rsidP="00B801F4">
            <w:pPr>
              <w:tabs>
                <w:tab w:val="left" w:pos="1080"/>
              </w:tabs>
              <w:spacing w:after="80"/>
              <w:jc w:val="right"/>
            </w:pPr>
            <w:r w:rsidRPr="00B801F4">
              <w:t>12.6%</w:t>
            </w:r>
          </w:p>
        </w:tc>
        <w:tc>
          <w:tcPr>
            <w:tcW w:w="1134" w:type="dxa"/>
            <w:gridSpan w:val="2"/>
            <w:tcBorders>
              <w:top w:val="single" w:sz="4" w:space="0" w:color="auto"/>
              <w:left w:val="nil"/>
              <w:bottom w:val="nil"/>
              <w:right w:val="nil"/>
            </w:tcBorders>
          </w:tcPr>
          <w:p w14:paraId="3B83525F" w14:textId="77777777" w:rsidR="00B801F4" w:rsidRPr="00B801F4" w:rsidRDefault="00B801F4" w:rsidP="00B801F4">
            <w:pPr>
              <w:tabs>
                <w:tab w:val="left" w:pos="1080"/>
              </w:tabs>
              <w:spacing w:after="80"/>
              <w:jc w:val="right"/>
            </w:pPr>
            <w:r w:rsidRPr="00B801F4">
              <w:t>793.0</w:t>
            </w:r>
          </w:p>
        </w:tc>
        <w:tc>
          <w:tcPr>
            <w:tcW w:w="1016" w:type="dxa"/>
            <w:gridSpan w:val="2"/>
            <w:tcBorders>
              <w:top w:val="single" w:sz="4" w:space="0" w:color="auto"/>
              <w:left w:val="nil"/>
              <w:bottom w:val="nil"/>
              <w:right w:val="single" w:sz="4" w:space="0" w:color="auto"/>
            </w:tcBorders>
          </w:tcPr>
          <w:p w14:paraId="37FBCC32" w14:textId="77777777" w:rsidR="00B801F4" w:rsidRPr="00B801F4" w:rsidRDefault="00B801F4" w:rsidP="00B801F4">
            <w:pPr>
              <w:tabs>
                <w:tab w:val="left" w:pos="1080"/>
              </w:tabs>
              <w:spacing w:after="80"/>
              <w:jc w:val="right"/>
            </w:pPr>
            <w:r w:rsidRPr="00B801F4">
              <w:t>15.3%</w:t>
            </w:r>
          </w:p>
        </w:tc>
      </w:tr>
      <w:tr w:rsidR="00B801F4" w:rsidRPr="00B801F4" w14:paraId="746B5568"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0462E0F4"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605CA6D0" w14:textId="77777777" w:rsidR="00B801F4" w:rsidRPr="00B801F4" w:rsidRDefault="00B801F4" w:rsidP="00B801F4">
            <w:pPr>
              <w:tabs>
                <w:tab w:val="left" w:pos="1080"/>
              </w:tabs>
              <w:spacing w:after="80"/>
              <w:jc w:val="left"/>
            </w:pPr>
            <w:r w:rsidRPr="00B801F4">
              <w:t>MFS</w:t>
            </w:r>
          </w:p>
        </w:tc>
        <w:tc>
          <w:tcPr>
            <w:tcW w:w="1276" w:type="dxa"/>
            <w:gridSpan w:val="5"/>
            <w:tcBorders>
              <w:top w:val="nil"/>
              <w:left w:val="nil"/>
              <w:bottom w:val="nil"/>
              <w:right w:val="nil"/>
            </w:tcBorders>
          </w:tcPr>
          <w:p w14:paraId="5D785FEA" w14:textId="77777777" w:rsidR="00B801F4" w:rsidRPr="00B801F4" w:rsidRDefault="00B801F4" w:rsidP="00B801F4">
            <w:pPr>
              <w:tabs>
                <w:tab w:val="left" w:pos="1080"/>
              </w:tabs>
              <w:spacing w:after="80"/>
              <w:jc w:val="right"/>
            </w:pPr>
            <w:r w:rsidRPr="00B801F4">
              <w:t>334.2</w:t>
            </w:r>
          </w:p>
        </w:tc>
        <w:tc>
          <w:tcPr>
            <w:tcW w:w="1134" w:type="dxa"/>
            <w:gridSpan w:val="3"/>
            <w:tcBorders>
              <w:top w:val="nil"/>
              <w:left w:val="nil"/>
              <w:bottom w:val="nil"/>
              <w:right w:val="nil"/>
            </w:tcBorders>
          </w:tcPr>
          <w:p w14:paraId="6E04727D" w14:textId="77777777" w:rsidR="00B801F4" w:rsidRPr="00B801F4" w:rsidRDefault="00B801F4" w:rsidP="00B801F4">
            <w:pPr>
              <w:tabs>
                <w:tab w:val="left" w:pos="1080"/>
              </w:tabs>
              <w:spacing w:after="80"/>
              <w:jc w:val="right"/>
            </w:pPr>
            <w:r w:rsidRPr="00B801F4">
              <w:t>5.7%</w:t>
            </w:r>
          </w:p>
        </w:tc>
        <w:tc>
          <w:tcPr>
            <w:tcW w:w="1134" w:type="dxa"/>
            <w:gridSpan w:val="2"/>
            <w:tcBorders>
              <w:top w:val="nil"/>
              <w:left w:val="nil"/>
              <w:bottom w:val="nil"/>
              <w:right w:val="nil"/>
            </w:tcBorders>
          </w:tcPr>
          <w:p w14:paraId="3BA9277C" w14:textId="77777777" w:rsidR="00B801F4" w:rsidRPr="00B801F4" w:rsidRDefault="00B801F4" w:rsidP="00B801F4">
            <w:pPr>
              <w:tabs>
                <w:tab w:val="left" w:pos="1080"/>
              </w:tabs>
              <w:spacing w:after="80"/>
              <w:jc w:val="right"/>
            </w:pPr>
            <w:r w:rsidRPr="00B801F4">
              <w:t>269.6</w:t>
            </w:r>
          </w:p>
        </w:tc>
        <w:tc>
          <w:tcPr>
            <w:tcW w:w="1016" w:type="dxa"/>
            <w:gridSpan w:val="2"/>
            <w:tcBorders>
              <w:top w:val="nil"/>
              <w:left w:val="nil"/>
              <w:bottom w:val="nil"/>
              <w:right w:val="single" w:sz="4" w:space="0" w:color="auto"/>
            </w:tcBorders>
          </w:tcPr>
          <w:p w14:paraId="635CA679" w14:textId="77777777" w:rsidR="00B801F4" w:rsidRPr="00B801F4" w:rsidRDefault="00B801F4" w:rsidP="00B801F4">
            <w:pPr>
              <w:tabs>
                <w:tab w:val="left" w:pos="1080"/>
              </w:tabs>
              <w:spacing w:after="80"/>
              <w:jc w:val="right"/>
            </w:pPr>
            <w:r w:rsidRPr="00B801F4">
              <w:t>5.2%</w:t>
            </w:r>
          </w:p>
        </w:tc>
      </w:tr>
      <w:tr w:rsidR="00B801F4" w:rsidRPr="00B801F4" w14:paraId="4F672521"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54B874BC"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4363372C" w14:textId="77777777" w:rsidR="00B801F4" w:rsidRPr="00B801F4" w:rsidRDefault="00B801F4" w:rsidP="00B801F4">
            <w:pPr>
              <w:tabs>
                <w:tab w:val="left" w:pos="1080"/>
              </w:tabs>
              <w:spacing w:after="80"/>
              <w:jc w:val="left"/>
            </w:pPr>
            <w:r w:rsidRPr="00B801F4">
              <w:t>Morgan Stanley</w:t>
            </w:r>
          </w:p>
        </w:tc>
        <w:tc>
          <w:tcPr>
            <w:tcW w:w="1276" w:type="dxa"/>
            <w:gridSpan w:val="5"/>
            <w:tcBorders>
              <w:top w:val="nil"/>
              <w:left w:val="nil"/>
              <w:bottom w:val="nil"/>
              <w:right w:val="nil"/>
            </w:tcBorders>
          </w:tcPr>
          <w:p w14:paraId="50487BE2" w14:textId="77777777" w:rsidR="00B801F4" w:rsidRPr="00B801F4" w:rsidRDefault="00B801F4" w:rsidP="00B801F4">
            <w:pPr>
              <w:tabs>
                <w:tab w:val="left" w:pos="1080"/>
              </w:tabs>
              <w:spacing w:after="80"/>
              <w:jc w:val="right"/>
            </w:pPr>
            <w:r w:rsidRPr="00B801F4">
              <w:t>283.5</w:t>
            </w:r>
          </w:p>
        </w:tc>
        <w:tc>
          <w:tcPr>
            <w:tcW w:w="1134" w:type="dxa"/>
            <w:gridSpan w:val="3"/>
            <w:tcBorders>
              <w:top w:val="nil"/>
              <w:left w:val="nil"/>
              <w:bottom w:val="nil"/>
              <w:right w:val="nil"/>
            </w:tcBorders>
          </w:tcPr>
          <w:p w14:paraId="07C57255" w14:textId="77777777" w:rsidR="00B801F4" w:rsidRPr="00B801F4" w:rsidRDefault="00B801F4" w:rsidP="00B801F4">
            <w:pPr>
              <w:tabs>
                <w:tab w:val="left" w:pos="1080"/>
              </w:tabs>
              <w:spacing w:after="80"/>
              <w:jc w:val="right"/>
            </w:pPr>
            <w:r w:rsidRPr="00B801F4">
              <w:t>4.9%</w:t>
            </w:r>
          </w:p>
        </w:tc>
        <w:tc>
          <w:tcPr>
            <w:tcW w:w="1134" w:type="dxa"/>
            <w:gridSpan w:val="2"/>
            <w:tcBorders>
              <w:top w:val="nil"/>
              <w:left w:val="nil"/>
              <w:bottom w:val="nil"/>
              <w:right w:val="nil"/>
            </w:tcBorders>
          </w:tcPr>
          <w:p w14:paraId="3CBFE991" w14:textId="77777777" w:rsidR="00B801F4" w:rsidRPr="00B801F4" w:rsidRDefault="00B801F4" w:rsidP="00B801F4">
            <w:pPr>
              <w:tabs>
                <w:tab w:val="left" w:pos="1080"/>
              </w:tabs>
              <w:spacing w:after="80"/>
              <w:jc w:val="right"/>
            </w:pPr>
            <w:r w:rsidRPr="00B801F4">
              <w:t>239.4</w:t>
            </w:r>
          </w:p>
        </w:tc>
        <w:tc>
          <w:tcPr>
            <w:tcW w:w="1016" w:type="dxa"/>
            <w:gridSpan w:val="2"/>
            <w:tcBorders>
              <w:top w:val="nil"/>
              <w:left w:val="nil"/>
              <w:bottom w:val="nil"/>
              <w:right w:val="single" w:sz="4" w:space="0" w:color="auto"/>
            </w:tcBorders>
          </w:tcPr>
          <w:p w14:paraId="29702C7B" w14:textId="77777777" w:rsidR="00B801F4" w:rsidRPr="00B801F4" w:rsidRDefault="00B801F4" w:rsidP="00B801F4">
            <w:pPr>
              <w:tabs>
                <w:tab w:val="left" w:pos="1080"/>
              </w:tabs>
              <w:spacing w:after="80"/>
              <w:jc w:val="right"/>
            </w:pPr>
            <w:r w:rsidRPr="00B801F4">
              <w:t>4.6%</w:t>
            </w:r>
          </w:p>
        </w:tc>
      </w:tr>
      <w:tr w:rsidR="00B801F4" w:rsidRPr="00B801F4" w14:paraId="19E61F9F"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4308308A"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2C3AF7E6" w14:textId="77777777" w:rsidR="00B801F4" w:rsidRPr="00B801F4" w:rsidRDefault="00B801F4" w:rsidP="00B801F4">
            <w:pPr>
              <w:tabs>
                <w:tab w:val="left" w:pos="1080"/>
              </w:tabs>
              <w:spacing w:after="80"/>
              <w:jc w:val="left"/>
            </w:pPr>
            <w:r w:rsidRPr="00B801F4">
              <w:t>NGAM</w:t>
            </w:r>
          </w:p>
        </w:tc>
        <w:tc>
          <w:tcPr>
            <w:tcW w:w="1276" w:type="dxa"/>
            <w:gridSpan w:val="5"/>
            <w:tcBorders>
              <w:top w:val="nil"/>
              <w:left w:val="nil"/>
              <w:bottom w:val="nil"/>
              <w:right w:val="nil"/>
            </w:tcBorders>
          </w:tcPr>
          <w:p w14:paraId="6D44FD41" w14:textId="77777777" w:rsidR="00B801F4" w:rsidRPr="00B801F4" w:rsidRDefault="00B801F4" w:rsidP="00B801F4">
            <w:pPr>
              <w:tabs>
                <w:tab w:val="left" w:pos="1080"/>
              </w:tabs>
              <w:spacing w:after="80"/>
              <w:jc w:val="right"/>
            </w:pPr>
            <w:r w:rsidRPr="00B801F4">
              <w:t>230.8</w:t>
            </w:r>
          </w:p>
        </w:tc>
        <w:tc>
          <w:tcPr>
            <w:tcW w:w="1134" w:type="dxa"/>
            <w:gridSpan w:val="3"/>
            <w:tcBorders>
              <w:top w:val="nil"/>
              <w:left w:val="nil"/>
              <w:bottom w:val="nil"/>
              <w:right w:val="nil"/>
            </w:tcBorders>
          </w:tcPr>
          <w:p w14:paraId="0AB4AA7E" w14:textId="77777777" w:rsidR="00B801F4" w:rsidRPr="00B801F4" w:rsidRDefault="00B801F4" w:rsidP="00B801F4">
            <w:pPr>
              <w:tabs>
                <w:tab w:val="left" w:pos="1080"/>
              </w:tabs>
              <w:spacing w:after="80"/>
              <w:jc w:val="right"/>
            </w:pPr>
            <w:r w:rsidRPr="00B801F4">
              <w:t>4.0%</w:t>
            </w:r>
          </w:p>
        </w:tc>
        <w:tc>
          <w:tcPr>
            <w:tcW w:w="1134" w:type="dxa"/>
            <w:gridSpan w:val="2"/>
            <w:tcBorders>
              <w:top w:val="nil"/>
              <w:left w:val="nil"/>
              <w:bottom w:val="nil"/>
              <w:right w:val="nil"/>
            </w:tcBorders>
          </w:tcPr>
          <w:p w14:paraId="4FFD4B43" w14:textId="77777777" w:rsidR="00B801F4" w:rsidRPr="00B801F4" w:rsidRDefault="00B801F4" w:rsidP="00B801F4">
            <w:pPr>
              <w:tabs>
                <w:tab w:val="left" w:pos="1080"/>
              </w:tabs>
              <w:spacing w:after="80"/>
              <w:jc w:val="right"/>
            </w:pPr>
            <w:r w:rsidRPr="00B801F4">
              <w:t>285.8</w:t>
            </w:r>
          </w:p>
        </w:tc>
        <w:tc>
          <w:tcPr>
            <w:tcW w:w="1016" w:type="dxa"/>
            <w:gridSpan w:val="2"/>
            <w:tcBorders>
              <w:top w:val="nil"/>
              <w:left w:val="nil"/>
              <w:bottom w:val="nil"/>
              <w:right w:val="single" w:sz="4" w:space="0" w:color="auto"/>
            </w:tcBorders>
          </w:tcPr>
          <w:p w14:paraId="433D189D" w14:textId="77777777" w:rsidR="00B801F4" w:rsidRPr="00B801F4" w:rsidRDefault="00B801F4" w:rsidP="00B801F4">
            <w:pPr>
              <w:tabs>
                <w:tab w:val="left" w:pos="1080"/>
              </w:tabs>
              <w:spacing w:after="80"/>
              <w:jc w:val="right"/>
            </w:pPr>
            <w:r w:rsidRPr="00B801F4">
              <w:t>5.5%</w:t>
            </w:r>
          </w:p>
        </w:tc>
      </w:tr>
      <w:tr w:rsidR="00B801F4" w:rsidRPr="00B801F4" w14:paraId="2F0022DD"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2C57CF69"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3FBCAEE9" w14:textId="77777777" w:rsidR="00B801F4" w:rsidRPr="00B801F4" w:rsidRDefault="00B801F4" w:rsidP="00B801F4">
            <w:pPr>
              <w:tabs>
                <w:tab w:val="left" w:pos="1080"/>
              </w:tabs>
              <w:spacing w:after="80"/>
              <w:jc w:val="left"/>
            </w:pPr>
            <w:r w:rsidRPr="00B801F4">
              <w:t>Robeco</w:t>
            </w:r>
          </w:p>
        </w:tc>
        <w:tc>
          <w:tcPr>
            <w:tcW w:w="1276" w:type="dxa"/>
            <w:gridSpan w:val="5"/>
            <w:tcBorders>
              <w:top w:val="nil"/>
              <w:left w:val="nil"/>
              <w:bottom w:val="nil"/>
              <w:right w:val="nil"/>
            </w:tcBorders>
          </w:tcPr>
          <w:p w14:paraId="448EEA39" w14:textId="77777777" w:rsidR="00B801F4" w:rsidRPr="00B801F4" w:rsidRDefault="00B801F4" w:rsidP="00B801F4">
            <w:pPr>
              <w:tabs>
                <w:tab w:val="left" w:pos="1080"/>
              </w:tabs>
              <w:spacing w:after="80"/>
              <w:jc w:val="right"/>
            </w:pPr>
            <w:r w:rsidRPr="00B801F4">
              <w:t>448.5</w:t>
            </w:r>
          </w:p>
        </w:tc>
        <w:tc>
          <w:tcPr>
            <w:tcW w:w="1134" w:type="dxa"/>
            <w:gridSpan w:val="3"/>
            <w:tcBorders>
              <w:top w:val="nil"/>
              <w:left w:val="nil"/>
              <w:bottom w:val="nil"/>
              <w:right w:val="nil"/>
            </w:tcBorders>
          </w:tcPr>
          <w:p w14:paraId="39BC74C8" w14:textId="77777777" w:rsidR="00B801F4" w:rsidRPr="00B801F4" w:rsidRDefault="00B801F4" w:rsidP="00B801F4">
            <w:pPr>
              <w:tabs>
                <w:tab w:val="left" w:pos="1080"/>
              </w:tabs>
              <w:spacing w:after="80"/>
              <w:jc w:val="right"/>
            </w:pPr>
            <w:r w:rsidRPr="00B801F4">
              <w:t>7.7%</w:t>
            </w:r>
          </w:p>
        </w:tc>
        <w:tc>
          <w:tcPr>
            <w:tcW w:w="1134" w:type="dxa"/>
            <w:gridSpan w:val="2"/>
            <w:tcBorders>
              <w:top w:val="nil"/>
              <w:left w:val="nil"/>
              <w:bottom w:val="nil"/>
              <w:right w:val="nil"/>
            </w:tcBorders>
          </w:tcPr>
          <w:p w14:paraId="0DD901F6" w14:textId="77777777" w:rsidR="00B801F4" w:rsidRPr="00B801F4" w:rsidRDefault="00B801F4" w:rsidP="00B801F4">
            <w:pPr>
              <w:tabs>
                <w:tab w:val="left" w:pos="1080"/>
              </w:tabs>
              <w:spacing w:after="80"/>
              <w:jc w:val="right"/>
            </w:pPr>
            <w:r w:rsidRPr="00B801F4">
              <w:t>366.7</w:t>
            </w:r>
          </w:p>
        </w:tc>
        <w:tc>
          <w:tcPr>
            <w:tcW w:w="1016" w:type="dxa"/>
            <w:gridSpan w:val="2"/>
            <w:tcBorders>
              <w:top w:val="nil"/>
              <w:left w:val="nil"/>
              <w:bottom w:val="nil"/>
              <w:right w:val="single" w:sz="4" w:space="0" w:color="auto"/>
            </w:tcBorders>
          </w:tcPr>
          <w:p w14:paraId="592D0405" w14:textId="77777777" w:rsidR="00B801F4" w:rsidRPr="00B801F4" w:rsidRDefault="00B801F4" w:rsidP="00B801F4">
            <w:pPr>
              <w:tabs>
                <w:tab w:val="left" w:pos="1080"/>
              </w:tabs>
              <w:spacing w:after="80"/>
              <w:jc w:val="right"/>
            </w:pPr>
            <w:r w:rsidRPr="00B801F4">
              <w:t>7.1%</w:t>
            </w:r>
          </w:p>
        </w:tc>
      </w:tr>
      <w:tr w:rsidR="00B801F4" w:rsidRPr="00B801F4" w14:paraId="6F7C4D6C"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3346331B" w14:textId="77777777" w:rsidR="00B801F4" w:rsidRPr="00B801F4" w:rsidRDefault="00B801F4" w:rsidP="00B801F4">
            <w:pPr>
              <w:tabs>
                <w:tab w:val="left" w:pos="1080"/>
              </w:tabs>
              <w:spacing w:after="80"/>
            </w:pPr>
            <w:r w:rsidRPr="00B801F4">
              <w:t>UCITS funds</w:t>
            </w:r>
          </w:p>
        </w:tc>
        <w:tc>
          <w:tcPr>
            <w:tcW w:w="2410" w:type="dxa"/>
            <w:gridSpan w:val="2"/>
            <w:tcBorders>
              <w:top w:val="nil"/>
              <w:left w:val="nil"/>
              <w:bottom w:val="nil"/>
              <w:right w:val="nil"/>
            </w:tcBorders>
          </w:tcPr>
          <w:p w14:paraId="27235CD7" w14:textId="77777777" w:rsidR="00B801F4" w:rsidRPr="00B801F4" w:rsidRDefault="00B801F4" w:rsidP="00B801F4">
            <w:pPr>
              <w:tabs>
                <w:tab w:val="left" w:pos="1080"/>
              </w:tabs>
              <w:spacing w:after="80"/>
              <w:jc w:val="left"/>
            </w:pPr>
            <w:r w:rsidRPr="00B801F4">
              <w:t>AGF</w:t>
            </w:r>
          </w:p>
        </w:tc>
        <w:tc>
          <w:tcPr>
            <w:tcW w:w="1276" w:type="dxa"/>
            <w:gridSpan w:val="5"/>
            <w:tcBorders>
              <w:top w:val="nil"/>
              <w:left w:val="nil"/>
              <w:bottom w:val="nil"/>
              <w:right w:val="nil"/>
            </w:tcBorders>
          </w:tcPr>
          <w:p w14:paraId="12AD6944" w14:textId="77777777" w:rsidR="00B801F4" w:rsidRPr="00B801F4" w:rsidRDefault="00B801F4" w:rsidP="00B801F4">
            <w:pPr>
              <w:tabs>
                <w:tab w:val="left" w:pos="1080"/>
              </w:tabs>
              <w:spacing w:after="80"/>
              <w:jc w:val="right"/>
            </w:pPr>
            <w:r w:rsidRPr="00B801F4">
              <w:t>266.9</w:t>
            </w:r>
          </w:p>
        </w:tc>
        <w:tc>
          <w:tcPr>
            <w:tcW w:w="1134" w:type="dxa"/>
            <w:gridSpan w:val="3"/>
            <w:tcBorders>
              <w:top w:val="nil"/>
              <w:left w:val="nil"/>
              <w:bottom w:val="nil"/>
              <w:right w:val="nil"/>
            </w:tcBorders>
          </w:tcPr>
          <w:p w14:paraId="21AC2248" w14:textId="77777777" w:rsidR="00B801F4" w:rsidRPr="00B801F4" w:rsidRDefault="00B801F4" w:rsidP="00B801F4">
            <w:pPr>
              <w:tabs>
                <w:tab w:val="left" w:pos="1080"/>
              </w:tabs>
              <w:spacing w:after="80"/>
              <w:jc w:val="right"/>
            </w:pPr>
            <w:r w:rsidRPr="00B801F4">
              <w:t>4.6%</w:t>
            </w:r>
          </w:p>
        </w:tc>
        <w:tc>
          <w:tcPr>
            <w:tcW w:w="1134" w:type="dxa"/>
            <w:gridSpan w:val="2"/>
            <w:tcBorders>
              <w:top w:val="nil"/>
              <w:left w:val="nil"/>
              <w:bottom w:val="nil"/>
              <w:right w:val="nil"/>
            </w:tcBorders>
          </w:tcPr>
          <w:p w14:paraId="63ABF00F" w14:textId="77777777" w:rsidR="00B801F4" w:rsidRPr="00B801F4" w:rsidRDefault="00B801F4" w:rsidP="00B801F4">
            <w:pPr>
              <w:tabs>
                <w:tab w:val="left" w:pos="1080"/>
              </w:tabs>
              <w:spacing w:after="80"/>
              <w:jc w:val="right"/>
            </w:pPr>
            <w:r w:rsidRPr="00B801F4">
              <w:t>239.9</w:t>
            </w:r>
          </w:p>
        </w:tc>
        <w:tc>
          <w:tcPr>
            <w:tcW w:w="1016" w:type="dxa"/>
            <w:gridSpan w:val="2"/>
            <w:tcBorders>
              <w:top w:val="nil"/>
              <w:left w:val="nil"/>
              <w:bottom w:val="nil"/>
              <w:right w:val="single" w:sz="4" w:space="0" w:color="auto"/>
            </w:tcBorders>
          </w:tcPr>
          <w:p w14:paraId="5625495D" w14:textId="77777777" w:rsidR="00B801F4" w:rsidRPr="00B801F4" w:rsidRDefault="00B801F4" w:rsidP="00B801F4">
            <w:pPr>
              <w:tabs>
                <w:tab w:val="left" w:pos="1080"/>
              </w:tabs>
              <w:spacing w:after="80"/>
              <w:jc w:val="right"/>
            </w:pPr>
            <w:r w:rsidRPr="00B801F4">
              <w:t>4.6%</w:t>
            </w:r>
          </w:p>
        </w:tc>
      </w:tr>
      <w:tr w:rsidR="00B801F4" w:rsidRPr="00B801F4" w14:paraId="2B37B7A7"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0EB323DF"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0973CA67" w14:textId="77777777" w:rsidR="00B801F4" w:rsidRPr="00B801F4" w:rsidRDefault="00B801F4" w:rsidP="00B801F4">
            <w:pPr>
              <w:tabs>
                <w:tab w:val="left" w:pos="1080"/>
              </w:tabs>
              <w:spacing w:after="80"/>
              <w:jc w:val="left"/>
            </w:pPr>
            <w:r w:rsidRPr="00B801F4">
              <w:t>MFG (Magellan)</w:t>
            </w:r>
          </w:p>
        </w:tc>
        <w:tc>
          <w:tcPr>
            <w:tcW w:w="1276" w:type="dxa"/>
            <w:gridSpan w:val="5"/>
            <w:tcBorders>
              <w:top w:val="nil"/>
              <w:left w:val="nil"/>
              <w:bottom w:val="nil"/>
              <w:right w:val="nil"/>
            </w:tcBorders>
          </w:tcPr>
          <w:p w14:paraId="3A288139" w14:textId="77777777" w:rsidR="00B801F4" w:rsidRPr="00B801F4" w:rsidRDefault="00B801F4" w:rsidP="00B801F4">
            <w:pPr>
              <w:tabs>
                <w:tab w:val="left" w:pos="1080"/>
              </w:tabs>
              <w:spacing w:after="80"/>
              <w:jc w:val="right"/>
            </w:pPr>
            <w:r w:rsidRPr="00B801F4">
              <w:t>238.1</w:t>
            </w:r>
          </w:p>
        </w:tc>
        <w:tc>
          <w:tcPr>
            <w:tcW w:w="1134" w:type="dxa"/>
            <w:gridSpan w:val="3"/>
            <w:tcBorders>
              <w:top w:val="nil"/>
              <w:left w:val="nil"/>
              <w:bottom w:val="nil"/>
              <w:right w:val="nil"/>
            </w:tcBorders>
          </w:tcPr>
          <w:p w14:paraId="3EF23D33" w14:textId="77777777" w:rsidR="00B801F4" w:rsidRPr="00B801F4" w:rsidRDefault="00B801F4" w:rsidP="00B801F4">
            <w:pPr>
              <w:tabs>
                <w:tab w:val="left" w:pos="1080"/>
              </w:tabs>
              <w:spacing w:after="80"/>
              <w:jc w:val="right"/>
            </w:pPr>
            <w:r w:rsidRPr="00B801F4">
              <w:t>4.1%</w:t>
            </w:r>
          </w:p>
        </w:tc>
        <w:tc>
          <w:tcPr>
            <w:tcW w:w="1134" w:type="dxa"/>
            <w:gridSpan w:val="2"/>
            <w:tcBorders>
              <w:top w:val="nil"/>
              <w:left w:val="nil"/>
              <w:bottom w:val="nil"/>
              <w:right w:val="nil"/>
            </w:tcBorders>
          </w:tcPr>
          <w:p w14:paraId="6E22B108" w14:textId="77777777" w:rsidR="00B801F4" w:rsidRPr="00B801F4" w:rsidRDefault="00B801F4" w:rsidP="00B801F4">
            <w:pPr>
              <w:tabs>
                <w:tab w:val="left" w:pos="1080"/>
              </w:tabs>
              <w:spacing w:after="80"/>
              <w:jc w:val="right"/>
            </w:pPr>
            <w:r w:rsidRPr="00B801F4">
              <w:t>197.5</w:t>
            </w:r>
          </w:p>
        </w:tc>
        <w:tc>
          <w:tcPr>
            <w:tcW w:w="1016" w:type="dxa"/>
            <w:gridSpan w:val="2"/>
            <w:tcBorders>
              <w:top w:val="nil"/>
              <w:left w:val="nil"/>
              <w:bottom w:val="nil"/>
              <w:right w:val="single" w:sz="4" w:space="0" w:color="auto"/>
            </w:tcBorders>
          </w:tcPr>
          <w:p w14:paraId="43EE6223" w14:textId="77777777" w:rsidR="00B801F4" w:rsidRPr="00B801F4" w:rsidRDefault="00B801F4" w:rsidP="00B801F4">
            <w:pPr>
              <w:tabs>
                <w:tab w:val="left" w:pos="1080"/>
              </w:tabs>
              <w:spacing w:after="80"/>
              <w:jc w:val="right"/>
            </w:pPr>
            <w:r w:rsidRPr="00B801F4">
              <w:t>3.8%</w:t>
            </w:r>
          </w:p>
        </w:tc>
      </w:tr>
      <w:tr w:rsidR="00B801F4" w:rsidRPr="00B801F4" w14:paraId="0ACB53A5"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shd w:val="clear" w:color="auto" w:fill="E2EFD9" w:themeFill="accent6" w:themeFillTint="33"/>
          </w:tcPr>
          <w:p w14:paraId="138D3A77"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shd w:val="clear" w:color="auto" w:fill="E2EFD9" w:themeFill="accent6" w:themeFillTint="33"/>
          </w:tcPr>
          <w:p w14:paraId="2C08B4EF" w14:textId="77777777" w:rsidR="00B801F4" w:rsidRPr="00B801F4" w:rsidRDefault="00B801F4" w:rsidP="00B801F4">
            <w:pPr>
              <w:tabs>
                <w:tab w:val="left" w:pos="1080"/>
              </w:tabs>
              <w:spacing w:after="80"/>
              <w:jc w:val="left"/>
            </w:pPr>
          </w:p>
        </w:tc>
        <w:tc>
          <w:tcPr>
            <w:tcW w:w="1276" w:type="dxa"/>
            <w:gridSpan w:val="5"/>
            <w:tcBorders>
              <w:top w:val="nil"/>
              <w:left w:val="nil"/>
              <w:bottom w:val="nil"/>
              <w:right w:val="nil"/>
            </w:tcBorders>
            <w:shd w:val="clear" w:color="auto" w:fill="E2EFD9" w:themeFill="accent6" w:themeFillTint="33"/>
          </w:tcPr>
          <w:p w14:paraId="6511F629" w14:textId="77777777" w:rsidR="00B801F4" w:rsidRPr="00B801F4" w:rsidRDefault="00B801F4" w:rsidP="00B801F4">
            <w:pPr>
              <w:tabs>
                <w:tab w:val="left" w:pos="1080"/>
              </w:tabs>
              <w:spacing w:after="80"/>
              <w:jc w:val="right"/>
              <w:rPr>
                <w:b/>
              </w:rPr>
            </w:pPr>
            <w:r w:rsidRPr="00B801F4">
              <w:rPr>
                <w:b/>
              </w:rPr>
              <w:t>2,536.1</w:t>
            </w:r>
          </w:p>
        </w:tc>
        <w:tc>
          <w:tcPr>
            <w:tcW w:w="1134" w:type="dxa"/>
            <w:gridSpan w:val="3"/>
            <w:tcBorders>
              <w:top w:val="nil"/>
              <w:left w:val="nil"/>
              <w:bottom w:val="nil"/>
              <w:right w:val="nil"/>
            </w:tcBorders>
            <w:shd w:val="clear" w:color="auto" w:fill="E2EFD9" w:themeFill="accent6" w:themeFillTint="33"/>
          </w:tcPr>
          <w:p w14:paraId="7D1D6BB7" w14:textId="77777777" w:rsidR="00B801F4" w:rsidRPr="00B801F4" w:rsidRDefault="00B801F4" w:rsidP="00B801F4">
            <w:pPr>
              <w:tabs>
                <w:tab w:val="left" w:pos="1080"/>
              </w:tabs>
              <w:spacing w:after="80"/>
              <w:jc w:val="right"/>
              <w:rPr>
                <w:b/>
              </w:rPr>
            </w:pPr>
            <w:r w:rsidRPr="00B801F4">
              <w:rPr>
                <w:b/>
              </w:rPr>
              <w:t>43.6%</w:t>
            </w:r>
          </w:p>
        </w:tc>
        <w:tc>
          <w:tcPr>
            <w:tcW w:w="1134" w:type="dxa"/>
            <w:gridSpan w:val="2"/>
            <w:tcBorders>
              <w:top w:val="nil"/>
              <w:left w:val="nil"/>
              <w:bottom w:val="nil"/>
              <w:right w:val="nil"/>
            </w:tcBorders>
            <w:shd w:val="clear" w:color="auto" w:fill="E2EFD9" w:themeFill="accent6" w:themeFillTint="33"/>
          </w:tcPr>
          <w:p w14:paraId="6CBA501A" w14:textId="77777777" w:rsidR="00B801F4" w:rsidRPr="00B801F4" w:rsidRDefault="00B801F4" w:rsidP="00B801F4">
            <w:pPr>
              <w:tabs>
                <w:tab w:val="left" w:pos="1080"/>
              </w:tabs>
              <w:spacing w:after="80"/>
              <w:jc w:val="right"/>
              <w:rPr>
                <w:b/>
              </w:rPr>
            </w:pPr>
            <w:r w:rsidRPr="00B801F4">
              <w:rPr>
                <w:b/>
              </w:rPr>
              <w:t>2,391.9</w:t>
            </w:r>
          </w:p>
        </w:tc>
        <w:tc>
          <w:tcPr>
            <w:tcW w:w="1016" w:type="dxa"/>
            <w:gridSpan w:val="2"/>
            <w:tcBorders>
              <w:top w:val="nil"/>
              <w:left w:val="nil"/>
              <w:bottom w:val="nil"/>
              <w:right w:val="single" w:sz="4" w:space="0" w:color="auto"/>
            </w:tcBorders>
            <w:shd w:val="clear" w:color="auto" w:fill="E2EFD9" w:themeFill="accent6" w:themeFillTint="33"/>
          </w:tcPr>
          <w:p w14:paraId="429FE2C4" w14:textId="77777777" w:rsidR="00B801F4" w:rsidRPr="00B801F4" w:rsidRDefault="00B801F4" w:rsidP="00B801F4">
            <w:pPr>
              <w:tabs>
                <w:tab w:val="left" w:pos="1080"/>
              </w:tabs>
              <w:spacing w:after="80"/>
              <w:jc w:val="right"/>
              <w:rPr>
                <w:b/>
              </w:rPr>
            </w:pPr>
            <w:r w:rsidRPr="00B801F4">
              <w:rPr>
                <w:b/>
              </w:rPr>
              <w:t>46.1%</w:t>
            </w:r>
          </w:p>
        </w:tc>
      </w:tr>
      <w:tr w:rsidR="00B801F4" w:rsidRPr="00B801F4" w14:paraId="0A302EA4" w14:textId="77777777" w:rsidTr="00B801F4">
        <w:tblPrEx>
          <w:tblBorders>
            <w:insideH w:val="single" w:sz="4" w:space="0" w:color="auto"/>
            <w:insideV w:val="single" w:sz="4" w:space="0" w:color="auto"/>
          </w:tblBorders>
        </w:tblPrEx>
        <w:trPr>
          <w:gridAfter w:val="1"/>
          <w:wAfter w:w="230" w:type="dxa"/>
        </w:trPr>
        <w:tc>
          <w:tcPr>
            <w:tcW w:w="10372" w:type="dxa"/>
            <w:gridSpan w:val="17"/>
            <w:tcBorders>
              <w:top w:val="single" w:sz="4" w:space="0" w:color="auto"/>
              <w:bottom w:val="single" w:sz="4" w:space="0" w:color="auto"/>
            </w:tcBorders>
            <w:shd w:val="clear" w:color="auto" w:fill="C5E0B3" w:themeFill="accent6" w:themeFillTint="66"/>
          </w:tcPr>
          <w:p w14:paraId="35549DA2" w14:textId="77777777" w:rsidR="00B801F4" w:rsidRPr="00B801F4" w:rsidRDefault="00B801F4" w:rsidP="00B801F4">
            <w:pPr>
              <w:tabs>
                <w:tab w:val="left" w:pos="1080"/>
              </w:tabs>
              <w:spacing w:after="80"/>
              <w:jc w:val="left"/>
              <w:rPr>
                <w:b/>
              </w:rPr>
            </w:pPr>
            <w:r w:rsidRPr="00B801F4">
              <w:rPr>
                <w:b/>
              </w:rPr>
              <w:t>Private equity</w:t>
            </w:r>
          </w:p>
        </w:tc>
      </w:tr>
      <w:tr w:rsidR="00B801F4" w:rsidRPr="00B801F4" w14:paraId="1EECA439"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single" w:sz="4" w:space="0" w:color="auto"/>
              <w:left w:val="single" w:sz="4" w:space="0" w:color="auto"/>
              <w:bottom w:val="nil"/>
              <w:right w:val="nil"/>
            </w:tcBorders>
            <w:shd w:val="clear" w:color="auto" w:fill="auto"/>
          </w:tcPr>
          <w:p w14:paraId="7579F46F" w14:textId="77777777" w:rsidR="00B801F4" w:rsidRPr="00B801F4" w:rsidRDefault="00B801F4" w:rsidP="00B801F4">
            <w:pPr>
              <w:tabs>
                <w:tab w:val="left" w:pos="1080"/>
              </w:tabs>
              <w:spacing w:after="80"/>
            </w:pPr>
            <w:r w:rsidRPr="00B801F4">
              <w:t>External managers</w:t>
            </w:r>
          </w:p>
        </w:tc>
        <w:tc>
          <w:tcPr>
            <w:tcW w:w="2410" w:type="dxa"/>
            <w:gridSpan w:val="2"/>
            <w:tcBorders>
              <w:top w:val="single" w:sz="4" w:space="0" w:color="auto"/>
              <w:left w:val="nil"/>
              <w:bottom w:val="nil"/>
              <w:right w:val="nil"/>
            </w:tcBorders>
            <w:shd w:val="clear" w:color="auto" w:fill="auto"/>
          </w:tcPr>
          <w:p w14:paraId="62A342A1" w14:textId="77777777" w:rsidR="00B801F4" w:rsidRPr="00B801F4" w:rsidRDefault="00B801F4" w:rsidP="00B801F4">
            <w:pPr>
              <w:tabs>
                <w:tab w:val="left" w:pos="1080"/>
              </w:tabs>
              <w:spacing w:after="80"/>
              <w:jc w:val="left"/>
            </w:pPr>
            <w:r w:rsidRPr="00B801F4">
              <w:t>Capital Dynamics</w:t>
            </w:r>
          </w:p>
        </w:tc>
        <w:tc>
          <w:tcPr>
            <w:tcW w:w="1276" w:type="dxa"/>
            <w:gridSpan w:val="5"/>
            <w:tcBorders>
              <w:top w:val="single" w:sz="4" w:space="0" w:color="auto"/>
              <w:left w:val="nil"/>
              <w:bottom w:val="nil"/>
              <w:right w:val="nil"/>
            </w:tcBorders>
            <w:shd w:val="clear" w:color="auto" w:fill="auto"/>
          </w:tcPr>
          <w:p w14:paraId="2C400184" w14:textId="77777777" w:rsidR="00B801F4" w:rsidRPr="00B801F4" w:rsidRDefault="00B801F4" w:rsidP="00B801F4">
            <w:pPr>
              <w:tabs>
                <w:tab w:val="left" w:pos="1080"/>
              </w:tabs>
              <w:spacing w:after="80"/>
              <w:jc w:val="right"/>
            </w:pPr>
            <w:r w:rsidRPr="00B801F4">
              <w:t>269.9</w:t>
            </w:r>
          </w:p>
        </w:tc>
        <w:tc>
          <w:tcPr>
            <w:tcW w:w="1134" w:type="dxa"/>
            <w:gridSpan w:val="3"/>
            <w:tcBorders>
              <w:top w:val="single" w:sz="4" w:space="0" w:color="auto"/>
              <w:left w:val="nil"/>
              <w:bottom w:val="nil"/>
              <w:right w:val="nil"/>
            </w:tcBorders>
            <w:shd w:val="clear" w:color="auto" w:fill="auto"/>
          </w:tcPr>
          <w:p w14:paraId="2E86F56D" w14:textId="77777777" w:rsidR="00B801F4" w:rsidRPr="00B801F4" w:rsidRDefault="00B801F4" w:rsidP="00B801F4">
            <w:pPr>
              <w:tabs>
                <w:tab w:val="left" w:pos="1080"/>
              </w:tabs>
              <w:spacing w:after="80"/>
              <w:jc w:val="right"/>
            </w:pPr>
            <w:r w:rsidRPr="00B801F4">
              <w:t>4.7%</w:t>
            </w:r>
          </w:p>
        </w:tc>
        <w:tc>
          <w:tcPr>
            <w:tcW w:w="1134" w:type="dxa"/>
            <w:gridSpan w:val="2"/>
            <w:tcBorders>
              <w:top w:val="single" w:sz="4" w:space="0" w:color="auto"/>
              <w:left w:val="nil"/>
              <w:bottom w:val="nil"/>
              <w:right w:val="nil"/>
            </w:tcBorders>
            <w:shd w:val="clear" w:color="auto" w:fill="auto"/>
          </w:tcPr>
          <w:p w14:paraId="0A823396" w14:textId="77777777" w:rsidR="00B801F4" w:rsidRPr="00B801F4" w:rsidRDefault="00B801F4" w:rsidP="00B801F4">
            <w:pPr>
              <w:tabs>
                <w:tab w:val="left" w:pos="1080"/>
              </w:tabs>
              <w:spacing w:after="80"/>
              <w:jc w:val="right"/>
            </w:pPr>
            <w:r w:rsidRPr="00B801F4">
              <w:t>221.5</w:t>
            </w:r>
          </w:p>
        </w:tc>
        <w:tc>
          <w:tcPr>
            <w:tcW w:w="1016" w:type="dxa"/>
            <w:gridSpan w:val="2"/>
            <w:tcBorders>
              <w:top w:val="single" w:sz="4" w:space="0" w:color="auto"/>
              <w:left w:val="nil"/>
              <w:bottom w:val="nil"/>
              <w:right w:val="single" w:sz="4" w:space="0" w:color="auto"/>
            </w:tcBorders>
            <w:shd w:val="clear" w:color="auto" w:fill="auto"/>
          </w:tcPr>
          <w:p w14:paraId="4001C4EE" w14:textId="77777777" w:rsidR="00B801F4" w:rsidRPr="00B801F4" w:rsidRDefault="00B801F4" w:rsidP="00B801F4">
            <w:pPr>
              <w:tabs>
                <w:tab w:val="left" w:pos="1080"/>
              </w:tabs>
              <w:spacing w:after="80"/>
              <w:jc w:val="right"/>
            </w:pPr>
            <w:r w:rsidRPr="00B801F4">
              <w:t>4.3%</w:t>
            </w:r>
          </w:p>
        </w:tc>
      </w:tr>
      <w:tr w:rsidR="00B801F4" w:rsidRPr="00B801F4" w14:paraId="4F8598CB"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7764D64D" w14:textId="77777777" w:rsidR="00B801F4" w:rsidRPr="00B801F4" w:rsidRDefault="00B801F4" w:rsidP="00B801F4">
            <w:pPr>
              <w:tabs>
                <w:tab w:val="left" w:pos="1080"/>
              </w:tabs>
              <w:spacing w:after="80"/>
            </w:pPr>
            <w:r w:rsidRPr="00B801F4">
              <w:t>Direct</w:t>
            </w:r>
          </w:p>
        </w:tc>
        <w:tc>
          <w:tcPr>
            <w:tcW w:w="2410" w:type="dxa"/>
            <w:gridSpan w:val="2"/>
            <w:tcBorders>
              <w:top w:val="nil"/>
              <w:left w:val="nil"/>
              <w:bottom w:val="nil"/>
              <w:right w:val="nil"/>
            </w:tcBorders>
            <w:shd w:val="clear" w:color="auto" w:fill="auto"/>
          </w:tcPr>
          <w:p w14:paraId="727E3FA1" w14:textId="77777777" w:rsidR="00B801F4" w:rsidRPr="00B801F4" w:rsidRDefault="00B801F4" w:rsidP="00B801F4">
            <w:pPr>
              <w:tabs>
                <w:tab w:val="left" w:pos="1080"/>
              </w:tabs>
              <w:spacing w:after="80"/>
              <w:jc w:val="left"/>
              <w:rPr>
                <w:highlight w:val="yellow"/>
              </w:rPr>
            </w:pPr>
            <w:r w:rsidRPr="00B801F4">
              <w:t>Standard Life</w:t>
            </w:r>
          </w:p>
        </w:tc>
        <w:tc>
          <w:tcPr>
            <w:tcW w:w="1276" w:type="dxa"/>
            <w:gridSpan w:val="5"/>
            <w:tcBorders>
              <w:top w:val="nil"/>
              <w:left w:val="nil"/>
              <w:bottom w:val="nil"/>
              <w:right w:val="nil"/>
            </w:tcBorders>
          </w:tcPr>
          <w:p w14:paraId="705C06D6" w14:textId="77777777" w:rsidR="00B801F4" w:rsidRPr="00B801F4" w:rsidRDefault="00B801F4" w:rsidP="00B801F4">
            <w:pPr>
              <w:tabs>
                <w:tab w:val="left" w:pos="1080"/>
              </w:tabs>
              <w:spacing w:after="80"/>
              <w:jc w:val="right"/>
            </w:pPr>
            <w:r w:rsidRPr="00B801F4">
              <w:t>7.6</w:t>
            </w:r>
          </w:p>
        </w:tc>
        <w:tc>
          <w:tcPr>
            <w:tcW w:w="1134" w:type="dxa"/>
            <w:gridSpan w:val="3"/>
            <w:tcBorders>
              <w:top w:val="nil"/>
              <w:left w:val="nil"/>
              <w:bottom w:val="nil"/>
              <w:right w:val="nil"/>
            </w:tcBorders>
          </w:tcPr>
          <w:p w14:paraId="157F299E" w14:textId="77777777" w:rsidR="00B801F4" w:rsidRPr="00B801F4" w:rsidRDefault="00B801F4" w:rsidP="00B801F4">
            <w:pPr>
              <w:tabs>
                <w:tab w:val="left" w:pos="1080"/>
              </w:tabs>
              <w:spacing w:after="80"/>
              <w:jc w:val="right"/>
            </w:pPr>
            <w:r w:rsidRPr="00B801F4">
              <w:t>0.1%</w:t>
            </w:r>
          </w:p>
        </w:tc>
        <w:tc>
          <w:tcPr>
            <w:tcW w:w="1134" w:type="dxa"/>
            <w:gridSpan w:val="2"/>
            <w:tcBorders>
              <w:top w:val="nil"/>
              <w:left w:val="nil"/>
              <w:bottom w:val="nil"/>
              <w:right w:val="nil"/>
            </w:tcBorders>
          </w:tcPr>
          <w:p w14:paraId="4A6C5F33" w14:textId="77777777" w:rsidR="00B801F4" w:rsidRPr="00B801F4" w:rsidRDefault="00B801F4" w:rsidP="00B801F4">
            <w:pPr>
              <w:tabs>
                <w:tab w:val="left" w:pos="1080"/>
              </w:tabs>
              <w:spacing w:after="80"/>
              <w:jc w:val="right"/>
            </w:pPr>
            <w:r w:rsidRPr="00B801F4">
              <w:t>0.0</w:t>
            </w:r>
          </w:p>
        </w:tc>
        <w:tc>
          <w:tcPr>
            <w:tcW w:w="1016" w:type="dxa"/>
            <w:gridSpan w:val="2"/>
            <w:tcBorders>
              <w:top w:val="nil"/>
              <w:left w:val="nil"/>
              <w:bottom w:val="nil"/>
              <w:right w:val="single" w:sz="4" w:space="0" w:color="auto"/>
            </w:tcBorders>
          </w:tcPr>
          <w:p w14:paraId="3A8D0856" w14:textId="0C8D60E3" w:rsidR="00B801F4" w:rsidRPr="00B801F4" w:rsidRDefault="00F56451" w:rsidP="00B801F4">
            <w:pPr>
              <w:tabs>
                <w:tab w:val="left" w:pos="1080"/>
              </w:tabs>
              <w:spacing w:after="80"/>
              <w:jc w:val="right"/>
            </w:pPr>
            <w:r>
              <w:t>0.</w:t>
            </w:r>
            <w:r w:rsidR="00B801F4" w:rsidRPr="00B801F4">
              <w:t>0%</w:t>
            </w:r>
          </w:p>
        </w:tc>
      </w:tr>
      <w:tr w:rsidR="00B801F4" w:rsidRPr="00B801F4" w14:paraId="6F4D6BBD"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single" w:sz="4" w:space="0" w:color="auto"/>
              <w:right w:val="nil"/>
            </w:tcBorders>
            <w:shd w:val="clear" w:color="auto" w:fill="E2EFD9" w:themeFill="accent6" w:themeFillTint="33"/>
          </w:tcPr>
          <w:p w14:paraId="53437D82" w14:textId="77777777" w:rsidR="00B801F4" w:rsidRPr="00B801F4" w:rsidRDefault="00B801F4" w:rsidP="00B801F4">
            <w:pPr>
              <w:tabs>
                <w:tab w:val="left" w:pos="1080"/>
              </w:tabs>
              <w:spacing w:after="80"/>
            </w:pPr>
          </w:p>
        </w:tc>
        <w:tc>
          <w:tcPr>
            <w:tcW w:w="2410" w:type="dxa"/>
            <w:gridSpan w:val="2"/>
            <w:tcBorders>
              <w:top w:val="nil"/>
              <w:left w:val="nil"/>
              <w:bottom w:val="single" w:sz="4" w:space="0" w:color="auto"/>
              <w:right w:val="nil"/>
            </w:tcBorders>
            <w:shd w:val="clear" w:color="auto" w:fill="E2EFD9" w:themeFill="accent6" w:themeFillTint="33"/>
          </w:tcPr>
          <w:p w14:paraId="5F32D54B" w14:textId="77777777" w:rsidR="00B801F4" w:rsidRPr="00B801F4" w:rsidRDefault="00B801F4" w:rsidP="00B801F4">
            <w:pPr>
              <w:tabs>
                <w:tab w:val="left" w:pos="1080"/>
              </w:tabs>
              <w:spacing w:after="80"/>
              <w:jc w:val="left"/>
            </w:pPr>
          </w:p>
        </w:tc>
        <w:tc>
          <w:tcPr>
            <w:tcW w:w="1276" w:type="dxa"/>
            <w:gridSpan w:val="5"/>
            <w:tcBorders>
              <w:top w:val="nil"/>
              <w:left w:val="nil"/>
              <w:bottom w:val="single" w:sz="4" w:space="0" w:color="auto"/>
              <w:right w:val="nil"/>
            </w:tcBorders>
            <w:shd w:val="clear" w:color="auto" w:fill="E2EFD9" w:themeFill="accent6" w:themeFillTint="33"/>
          </w:tcPr>
          <w:p w14:paraId="3C2D7BC2" w14:textId="77777777" w:rsidR="00B801F4" w:rsidRPr="00B801F4" w:rsidRDefault="00B801F4" w:rsidP="00B801F4">
            <w:pPr>
              <w:tabs>
                <w:tab w:val="left" w:pos="1080"/>
              </w:tabs>
              <w:spacing w:after="80"/>
              <w:jc w:val="right"/>
              <w:rPr>
                <w:b/>
              </w:rPr>
            </w:pPr>
            <w:r w:rsidRPr="00B801F4">
              <w:rPr>
                <w:b/>
              </w:rPr>
              <w:t>277.5</w:t>
            </w:r>
          </w:p>
        </w:tc>
        <w:tc>
          <w:tcPr>
            <w:tcW w:w="1134" w:type="dxa"/>
            <w:gridSpan w:val="3"/>
            <w:tcBorders>
              <w:top w:val="nil"/>
              <w:left w:val="nil"/>
              <w:bottom w:val="single" w:sz="4" w:space="0" w:color="auto"/>
              <w:right w:val="nil"/>
            </w:tcBorders>
            <w:shd w:val="clear" w:color="auto" w:fill="E2EFD9" w:themeFill="accent6" w:themeFillTint="33"/>
          </w:tcPr>
          <w:p w14:paraId="37F18F54" w14:textId="77777777" w:rsidR="00B801F4" w:rsidRPr="00B801F4" w:rsidRDefault="00B801F4" w:rsidP="00B801F4">
            <w:pPr>
              <w:tabs>
                <w:tab w:val="left" w:pos="1080"/>
              </w:tabs>
              <w:spacing w:after="80"/>
              <w:jc w:val="right"/>
              <w:rPr>
                <w:b/>
              </w:rPr>
            </w:pPr>
            <w:r w:rsidRPr="00B801F4">
              <w:rPr>
                <w:b/>
              </w:rPr>
              <w:t>4.8%</w:t>
            </w:r>
          </w:p>
        </w:tc>
        <w:tc>
          <w:tcPr>
            <w:tcW w:w="1134" w:type="dxa"/>
            <w:gridSpan w:val="2"/>
            <w:tcBorders>
              <w:top w:val="nil"/>
              <w:left w:val="nil"/>
              <w:bottom w:val="single" w:sz="4" w:space="0" w:color="auto"/>
              <w:right w:val="nil"/>
            </w:tcBorders>
            <w:shd w:val="clear" w:color="auto" w:fill="E2EFD9" w:themeFill="accent6" w:themeFillTint="33"/>
          </w:tcPr>
          <w:p w14:paraId="491458CA" w14:textId="77777777" w:rsidR="00B801F4" w:rsidRPr="00B801F4" w:rsidRDefault="00B801F4" w:rsidP="00B801F4">
            <w:pPr>
              <w:tabs>
                <w:tab w:val="left" w:pos="1080"/>
              </w:tabs>
              <w:spacing w:after="80"/>
              <w:jc w:val="right"/>
              <w:rPr>
                <w:b/>
              </w:rPr>
            </w:pPr>
            <w:r w:rsidRPr="00B801F4">
              <w:rPr>
                <w:b/>
              </w:rPr>
              <w:t>221.5</w:t>
            </w:r>
          </w:p>
        </w:tc>
        <w:tc>
          <w:tcPr>
            <w:tcW w:w="1016" w:type="dxa"/>
            <w:gridSpan w:val="2"/>
            <w:tcBorders>
              <w:top w:val="nil"/>
              <w:left w:val="nil"/>
              <w:bottom w:val="single" w:sz="4" w:space="0" w:color="auto"/>
              <w:right w:val="single" w:sz="4" w:space="0" w:color="auto"/>
            </w:tcBorders>
            <w:shd w:val="clear" w:color="auto" w:fill="E2EFD9" w:themeFill="accent6" w:themeFillTint="33"/>
          </w:tcPr>
          <w:p w14:paraId="2C9F1DF8" w14:textId="77777777" w:rsidR="00B801F4" w:rsidRPr="00B801F4" w:rsidRDefault="00B801F4" w:rsidP="00B801F4">
            <w:pPr>
              <w:tabs>
                <w:tab w:val="left" w:pos="1080"/>
              </w:tabs>
              <w:spacing w:after="80"/>
              <w:jc w:val="right"/>
              <w:rPr>
                <w:b/>
              </w:rPr>
            </w:pPr>
            <w:r w:rsidRPr="00B801F4">
              <w:rPr>
                <w:b/>
              </w:rPr>
              <w:t>4.3%</w:t>
            </w:r>
          </w:p>
        </w:tc>
      </w:tr>
      <w:tr w:rsidR="00B801F4" w:rsidRPr="00B801F4" w14:paraId="783C6A09" w14:textId="77777777" w:rsidTr="00B801F4">
        <w:tblPrEx>
          <w:tblBorders>
            <w:insideH w:val="single" w:sz="4" w:space="0" w:color="auto"/>
            <w:insideV w:val="single" w:sz="4" w:space="0" w:color="auto"/>
          </w:tblBorders>
        </w:tblPrEx>
        <w:trPr>
          <w:gridAfter w:val="1"/>
          <w:wAfter w:w="230" w:type="dxa"/>
        </w:trPr>
        <w:tc>
          <w:tcPr>
            <w:tcW w:w="10372" w:type="dxa"/>
            <w:gridSpan w:val="17"/>
            <w:tcBorders>
              <w:top w:val="single" w:sz="4" w:space="0" w:color="auto"/>
              <w:bottom w:val="single" w:sz="4" w:space="0" w:color="auto"/>
            </w:tcBorders>
            <w:shd w:val="clear" w:color="auto" w:fill="C5E0B3" w:themeFill="accent6" w:themeFillTint="66"/>
          </w:tcPr>
          <w:p w14:paraId="082B17CB" w14:textId="77777777" w:rsidR="00B801F4" w:rsidRPr="00B801F4" w:rsidRDefault="00B801F4" w:rsidP="00B801F4">
            <w:pPr>
              <w:tabs>
                <w:tab w:val="left" w:pos="1080"/>
              </w:tabs>
              <w:spacing w:after="80"/>
              <w:jc w:val="left"/>
              <w:rPr>
                <w:b/>
              </w:rPr>
            </w:pPr>
            <w:r w:rsidRPr="00B801F4">
              <w:rPr>
                <w:b/>
              </w:rPr>
              <w:t>Long-term credit investments</w:t>
            </w:r>
          </w:p>
        </w:tc>
      </w:tr>
      <w:tr w:rsidR="00B801F4" w:rsidRPr="00B801F4" w14:paraId="59B06981" w14:textId="77777777" w:rsidTr="00B801F4">
        <w:tblPrEx>
          <w:tblBorders>
            <w:insideH w:val="single" w:sz="4" w:space="0" w:color="auto"/>
            <w:insideV w:val="single" w:sz="4" w:space="0" w:color="auto"/>
          </w:tblBorders>
        </w:tblPrEx>
        <w:trPr>
          <w:gridAfter w:val="1"/>
          <w:wAfter w:w="230" w:type="dxa"/>
          <w:trHeight w:val="450"/>
        </w:trPr>
        <w:tc>
          <w:tcPr>
            <w:tcW w:w="3402" w:type="dxa"/>
            <w:gridSpan w:val="3"/>
            <w:tcBorders>
              <w:top w:val="single" w:sz="4" w:space="0" w:color="auto"/>
              <w:left w:val="single" w:sz="4" w:space="0" w:color="auto"/>
              <w:bottom w:val="nil"/>
              <w:right w:val="nil"/>
            </w:tcBorders>
          </w:tcPr>
          <w:p w14:paraId="40BCCA50" w14:textId="77777777" w:rsidR="00B801F4" w:rsidRPr="00B801F4" w:rsidRDefault="00B801F4" w:rsidP="00B801F4">
            <w:pPr>
              <w:tabs>
                <w:tab w:val="left" w:pos="1080"/>
              </w:tabs>
              <w:spacing w:after="80"/>
            </w:pPr>
            <w:r w:rsidRPr="00B801F4">
              <w:t>Senior secured loans</w:t>
            </w:r>
          </w:p>
        </w:tc>
        <w:tc>
          <w:tcPr>
            <w:tcW w:w="2410" w:type="dxa"/>
            <w:gridSpan w:val="2"/>
            <w:tcBorders>
              <w:top w:val="single" w:sz="4" w:space="0" w:color="auto"/>
              <w:left w:val="nil"/>
              <w:bottom w:val="nil"/>
              <w:right w:val="nil"/>
            </w:tcBorders>
          </w:tcPr>
          <w:p w14:paraId="25AA4065" w14:textId="77777777" w:rsidR="00B801F4" w:rsidRPr="00B801F4" w:rsidRDefault="00B801F4" w:rsidP="00B801F4">
            <w:pPr>
              <w:tabs>
                <w:tab w:val="left" w:pos="1080"/>
              </w:tabs>
              <w:spacing w:after="80"/>
              <w:jc w:val="left"/>
            </w:pPr>
            <w:r w:rsidRPr="00B801F4">
              <w:t>Ares Institutional</w:t>
            </w:r>
          </w:p>
        </w:tc>
        <w:tc>
          <w:tcPr>
            <w:tcW w:w="1276" w:type="dxa"/>
            <w:gridSpan w:val="5"/>
            <w:tcBorders>
              <w:top w:val="single" w:sz="4" w:space="0" w:color="auto"/>
              <w:left w:val="nil"/>
              <w:bottom w:val="nil"/>
              <w:right w:val="nil"/>
            </w:tcBorders>
          </w:tcPr>
          <w:p w14:paraId="0F753AA9" w14:textId="77777777" w:rsidR="00B801F4" w:rsidRPr="00B801F4" w:rsidRDefault="00B801F4" w:rsidP="00B801F4">
            <w:pPr>
              <w:tabs>
                <w:tab w:val="left" w:pos="1080"/>
              </w:tabs>
              <w:spacing w:after="80"/>
              <w:jc w:val="right"/>
            </w:pPr>
            <w:r w:rsidRPr="00B801F4">
              <w:t>123.2</w:t>
            </w:r>
          </w:p>
        </w:tc>
        <w:tc>
          <w:tcPr>
            <w:tcW w:w="1134" w:type="dxa"/>
            <w:gridSpan w:val="3"/>
            <w:tcBorders>
              <w:top w:val="single" w:sz="4" w:space="0" w:color="auto"/>
              <w:left w:val="nil"/>
              <w:bottom w:val="nil"/>
              <w:right w:val="nil"/>
            </w:tcBorders>
          </w:tcPr>
          <w:p w14:paraId="1F582250" w14:textId="77777777" w:rsidR="00B801F4" w:rsidRPr="00B801F4" w:rsidRDefault="00B801F4" w:rsidP="00B801F4">
            <w:pPr>
              <w:tabs>
                <w:tab w:val="left" w:pos="1080"/>
              </w:tabs>
              <w:spacing w:after="80"/>
              <w:jc w:val="right"/>
            </w:pPr>
            <w:r w:rsidRPr="00B801F4">
              <w:t>2.1%</w:t>
            </w:r>
          </w:p>
        </w:tc>
        <w:tc>
          <w:tcPr>
            <w:tcW w:w="1134" w:type="dxa"/>
            <w:gridSpan w:val="2"/>
            <w:tcBorders>
              <w:top w:val="single" w:sz="4" w:space="0" w:color="auto"/>
              <w:left w:val="nil"/>
              <w:bottom w:val="nil"/>
              <w:right w:val="nil"/>
            </w:tcBorders>
          </w:tcPr>
          <w:p w14:paraId="13292464" w14:textId="77777777" w:rsidR="00B801F4" w:rsidRPr="00B801F4" w:rsidRDefault="00B801F4" w:rsidP="00B801F4">
            <w:pPr>
              <w:tabs>
                <w:tab w:val="left" w:pos="1080"/>
              </w:tabs>
              <w:spacing w:after="80"/>
              <w:jc w:val="right"/>
            </w:pPr>
            <w:r w:rsidRPr="00B801F4">
              <w:t>106.5</w:t>
            </w:r>
          </w:p>
        </w:tc>
        <w:tc>
          <w:tcPr>
            <w:tcW w:w="1016" w:type="dxa"/>
            <w:gridSpan w:val="2"/>
            <w:tcBorders>
              <w:top w:val="single" w:sz="4" w:space="0" w:color="auto"/>
              <w:left w:val="nil"/>
              <w:bottom w:val="nil"/>
              <w:right w:val="single" w:sz="4" w:space="0" w:color="auto"/>
            </w:tcBorders>
          </w:tcPr>
          <w:p w14:paraId="2C65D530" w14:textId="77777777" w:rsidR="00B801F4" w:rsidRPr="00B801F4" w:rsidRDefault="00B801F4" w:rsidP="00B801F4">
            <w:pPr>
              <w:tabs>
                <w:tab w:val="left" w:pos="1080"/>
              </w:tabs>
              <w:spacing w:after="80"/>
              <w:jc w:val="right"/>
            </w:pPr>
            <w:r w:rsidRPr="00B801F4">
              <w:t>2.1%</w:t>
            </w:r>
          </w:p>
        </w:tc>
      </w:tr>
      <w:tr w:rsidR="00B801F4" w:rsidRPr="00B801F4" w14:paraId="500EFA13"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5FCC5640"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3D15ADAA" w14:textId="77777777" w:rsidR="00B801F4" w:rsidRPr="00B801F4" w:rsidRDefault="00B801F4" w:rsidP="00B801F4">
            <w:pPr>
              <w:tabs>
                <w:tab w:val="left" w:pos="1080"/>
              </w:tabs>
              <w:spacing w:after="80"/>
              <w:jc w:val="left"/>
            </w:pPr>
            <w:r w:rsidRPr="00B801F4">
              <w:t>Babson</w:t>
            </w:r>
          </w:p>
        </w:tc>
        <w:tc>
          <w:tcPr>
            <w:tcW w:w="1276" w:type="dxa"/>
            <w:gridSpan w:val="5"/>
            <w:tcBorders>
              <w:top w:val="nil"/>
              <w:left w:val="nil"/>
              <w:bottom w:val="nil"/>
              <w:right w:val="nil"/>
            </w:tcBorders>
          </w:tcPr>
          <w:p w14:paraId="03B4397D" w14:textId="77777777" w:rsidR="00B801F4" w:rsidRPr="00B801F4" w:rsidRDefault="00B801F4" w:rsidP="00B801F4">
            <w:pPr>
              <w:tabs>
                <w:tab w:val="left" w:pos="1080"/>
              </w:tabs>
              <w:spacing w:after="80"/>
              <w:jc w:val="right"/>
            </w:pPr>
            <w:r w:rsidRPr="00B801F4">
              <w:t>72.8</w:t>
            </w:r>
          </w:p>
        </w:tc>
        <w:tc>
          <w:tcPr>
            <w:tcW w:w="1134" w:type="dxa"/>
            <w:gridSpan w:val="3"/>
            <w:tcBorders>
              <w:top w:val="nil"/>
              <w:left w:val="nil"/>
              <w:bottom w:val="nil"/>
              <w:right w:val="nil"/>
            </w:tcBorders>
          </w:tcPr>
          <w:p w14:paraId="340E2503" w14:textId="77777777" w:rsidR="00B801F4" w:rsidRPr="00B801F4" w:rsidRDefault="00B801F4" w:rsidP="00B801F4">
            <w:pPr>
              <w:tabs>
                <w:tab w:val="left" w:pos="1080"/>
              </w:tabs>
              <w:spacing w:after="80"/>
              <w:jc w:val="right"/>
            </w:pPr>
            <w:r w:rsidRPr="00B801F4">
              <w:t>1.3%</w:t>
            </w:r>
          </w:p>
        </w:tc>
        <w:tc>
          <w:tcPr>
            <w:tcW w:w="1134" w:type="dxa"/>
            <w:gridSpan w:val="2"/>
            <w:tcBorders>
              <w:top w:val="nil"/>
              <w:left w:val="nil"/>
              <w:bottom w:val="nil"/>
              <w:right w:val="nil"/>
            </w:tcBorders>
          </w:tcPr>
          <w:p w14:paraId="1DAEAB33" w14:textId="77777777" w:rsidR="00B801F4" w:rsidRPr="00B801F4" w:rsidRDefault="00B801F4" w:rsidP="00B801F4">
            <w:pPr>
              <w:tabs>
                <w:tab w:val="left" w:pos="1080"/>
              </w:tabs>
              <w:spacing w:after="80"/>
              <w:jc w:val="right"/>
            </w:pPr>
            <w:r w:rsidRPr="00B801F4">
              <w:t>62.9</w:t>
            </w:r>
          </w:p>
        </w:tc>
        <w:tc>
          <w:tcPr>
            <w:tcW w:w="1016" w:type="dxa"/>
            <w:gridSpan w:val="2"/>
            <w:tcBorders>
              <w:top w:val="nil"/>
              <w:left w:val="nil"/>
              <w:bottom w:val="nil"/>
              <w:right w:val="single" w:sz="4" w:space="0" w:color="auto"/>
            </w:tcBorders>
          </w:tcPr>
          <w:p w14:paraId="50EA8577" w14:textId="77777777" w:rsidR="00B801F4" w:rsidRPr="00B801F4" w:rsidRDefault="00B801F4" w:rsidP="00B801F4">
            <w:pPr>
              <w:tabs>
                <w:tab w:val="left" w:pos="1080"/>
              </w:tabs>
              <w:spacing w:after="80"/>
              <w:jc w:val="right"/>
            </w:pPr>
            <w:r w:rsidRPr="00B801F4">
              <w:t>1.2%</w:t>
            </w:r>
          </w:p>
        </w:tc>
      </w:tr>
      <w:tr w:rsidR="00B801F4" w:rsidRPr="00B801F4" w14:paraId="70911D12"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699C8E8E"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3615CDC1" w14:textId="77777777" w:rsidR="00B801F4" w:rsidRPr="00B801F4" w:rsidRDefault="00B801F4" w:rsidP="00B801F4">
            <w:pPr>
              <w:tabs>
                <w:tab w:val="left" w:pos="1080"/>
              </w:tabs>
              <w:spacing w:after="80"/>
              <w:jc w:val="left"/>
            </w:pPr>
            <w:r w:rsidRPr="00B801F4">
              <w:t>Hayfin</w:t>
            </w:r>
          </w:p>
        </w:tc>
        <w:tc>
          <w:tcPr>
            <w:tcW w:w="1276" w:type="dxa"/>
            <w:gridSpan w:val="5"/>
            <w:tcBorders>
              <w:top w:val="nil"/>
              <w:left w:val="nil"/>
              <w:bottom w:val="nil"/>
              <w:right w:val="nil"/>
            </w:tcBorders>
          </w:tcPr>
          <w:p w14:paraId="7D833BBA" w14:textId="77777777" w:rsidR="00B801F4" w:rsidRPr="00B801F4" w:rsidRDefault="00B801F4" w:rsidP="00B801F4">
            <w:pPr>
              <w:tabs>
                <w:tab w:val="left" w:pos="1080"/>
              </w:tabs>
              <w:spacing w:after="80"/>
              <w:jc w:val="right"/>
            </w:pPr>
            <w:r w:rsidRPr="00B801F4">
              <w:t>44.2</w:t>
            </w:r>
          </w:p>
        </w:tc>
        <w:tc>
          <w:tcPr>
            <w:tcW w:w="1134" w:type="dxa"/>
            <w:gridSpan w:val="3"/>
            <w:tcBorders>
              <w:top w:val="nil"/>
              <w:left w:val="nil"/>
              <w:bottom w:val="nil"/>
              <w:right w:val="nil"/>
            </w:tcBorders>
          </w:tcPr>
          <w:p w14:paraId="2E974DE0" w14:textId="77777777" w:rsidR="00B801F4" w:rsidRPr="00B801F4" w:rsidRDefault="00B801F4" w:rsidP="00B801F4">
            <w:pPr>
              <w:tabs>
                <w:tab w:val="left" w:pos="1080"/>
              </w:tabs>
              <w:spacing w:after="80"/>
              <w:jc w:val="right"/>
            </w:pPr>
            <w:r w:rsidRPr="00B801F4">
              <w:t>0.8%</w:t>
            </w:r>
          </w:p>
        </w:tc>
        <w:tc>
          <w:tcPr>
            <w:tcW w:w="1134" w:type="dxa"/>
            <w:gridSpan w:val="2"/>
            <w:tcBorders>
              <w:top w:val="nil"/>
              <w:left w:val="nil"/>
              <w:bottom w:val="nil"/>
              <w:right w:val="nil"/>
            </w:tcBorders>
          </w:tcPr>
          <w:p w14:paraId="7D93553A" w14:textId="77777777" w:rsidR="00B801F4" w:rsidRPr="00B801F4" w:rsidRDefault="00B801F4" w:rsidP="00B801F4">
            <w:pPr>
              <w:tabs>
                <w:tab w:val="left" w:pos="1080"/>
              </w:tabs>
              <w:spacing w:after="80"/>
              <w:jc w:val="right"/>
            </w:pPr>
            <w:r w:rsidRPr="00B801F4">
              <w:t>20.4</w:t>
            </w:r>
          </w:p>
        </w:tc>
        <w:tc>
          <w:tcPr>
            <w:tcW w:w="1016" w:type="dxa"/>
            <w:gridSpan w:val="2"/>
            <w:tcBorders>
              <w:top w:val="nil"/>
              <w:left w:val="nil"/>
              <w:bottom w:val="nil"/>
              <w:right w:val="single" w:sz="4" w:space="0" w:color="auto"/>
            </w:tcBorders>
          </w:tcPr>
          <w:p w14:paraId="18397D85" w14:textId="77777777" w:rsidR="00B801F4" w:rsidRPr="00B801F4" w:rsidRDefault="00B801F4" w:rsidP="00B801F4">
            <w:pPr>
              <w:tabs>
                <w:tab w:val="left" w:pos="1080"/>
              </w:tabs>
              <w:spacing w:after="80"/>
              <w:jc w:val="right"/>
            </w:pPr>
            <w:r w:rsidRPr="00B801F4">
              <w:t>0.4%</w:t>
            </w:r>
          </w:p>
        </w:tc>
      </w:tr>
      <w:tr w:rsidR="00B801F4" w:rsidRPr="00B801F4" w14:paraId="6300AC83"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0A153FDE"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6C3FD2BB" w14:textId="77777777" w:rsidR="00B801F4" w:rsidRPr="00B801F4" w:rsidRDefault="00B801F4" w:rsidP="00B801F4">
            <w:pPr>
              <w:tabs>
                <w:tab w:val="left" w:pos="1080"/>
              </w:tabs>
              <w:spacing w:after="80"/>
              <w:jc w:val="left"/>
            </w:pPr>
            <w:r w:rsidRPr="00B801F4">
              <w:t>Highbridge</w:t>
            </w:r>
          </w:p>
        </w:tc>
        <w:tc>
          <w:tcPr>
            <w:tcW w:w="1276" w:type="dxa"/>
            <w:gridSpan w:val="5"/>
            <w:tcBorders>
              <w:top w:val="nil"/>
              <w:left w:val="nil"/>
              <w:bottom w:val="nil"/>
              <w:right w:val="nil"/>
            </w:tcBorders>
          </w:tcPr>
          <w:p w14:paraId="67843AC7" w14:textId="77777777" w:rsidR="00B801F4" w:rsidRPr="00B801F4" w:rsidRDefault="00B801F4" w:rsidP="00B801F4">
            <w:pPr>
              <w:tabs>
                <w:tab w:val="left" w:pos="1080"/>
              </w:tabs>
              <w:spacing w:after="80"/>
              <w:jc w:val="right"/>
            </w:pPr>
            <w:r w:rsidRPr="00B801F4">
              <w:t>57.1</w:t>
            </w:r>
          </w:p>
        </w:tc>
        <w:tc>
          <w:tcPr>
            <w:tcW w:w="1134" w:type="dxa"/>
            <w:gridSpan w:val="3"/>
            <w:tcBorders>
              <w:top w:val="nil"/>
              <w:left w:val="nil"/>
              <w:bottom w:val="nil"/>
              <w:right w:val="nil"/>
            </w:tcBorders>
          </w:tcPr>
          <w:p w14:paraId="56CFE565" w14:textId="77777777" w:rsidR="00B801F4" w:rsidRPr="00B801F4" w:rsidRDefault="00B801F4" w:rsidP="00B801F4">
            <w:pPr>
              <w:tabs>
                <w:tab w:val="left" w:pos="1080"/>
              </w:tabs>
              <w:spacing w:after="80"/>
              <w:jc w:val="right"/>
            </w:pPr>
            <w:r w:rsidRPr="00B801F4">
              <w:t>1.0%</w:t>
            </w:r>
          </w:p>
        </w:tc>
        <w:tc>
          <w:tcPr>
            <w:tcW w:w="1134" w:type="dxa"/>
            <w:gridSpan w:val="2"/>
            <w:tcBorders>
              <w:top w:val="nil"/>
              <w:left w:val="nil"/>
              <w:bottom w:val="nil"/>
              <w:right w:val="nil"/>
            </w:tcBorders>
          </w:tcPr>
          <w:p w14:paraId="00A02C43" w14:textId="77777777" w:rsidR="00B801F4" w:rsidRPr="00B801F4" w:rsidRDefault="00B801F4" w:rsidP="00B801F4">
            <w:pPr>
              <w:tabs>
                <w:tab w:val="left" w:pos="1080"/>
              </w:tabs>
              <w:spacing w:after="80"/>
              <w:jc w:val="right"/>
            </w:pPr>
            <w:r w:rsidRPr="00B801F4">
              <w:t>49.6</w:t>
            </w:r>
          </w:p>
        </w:tc>
        <w:tc>
          <w:tcPr>
            <w:tcW w:w="1016" w:type="dxa"/>
            <w:gridSpan w:val="2"/>
            <w:tcBorders>
              <w:top w:val="nil"/>
              <w:left w:val="nil"/>
              <w:bottom w:val="nil"/>
              <w:right w:val="single" w:sz="4" w:space="0" w:color="auto"/>
            </w:tcBorders>
          </w:tcPr>
          <w:p w14:paraId="1BCEAE47" w14:textId="77777777" w:rsidR="00B801F4" w:rsidRPr="00B801F4" w:rsidRDefault="00B801F4" w:rsidP="00B801F4">
            <w:pPr>
              <w:tabs>
                <w:tab w:val="left" w:pos="1080"/>
              </w:tabs>
              <w:spacing w:after="80"/>
              <w:jc w:val="right"/>
            </w:pPr>
            <w:r w:rsidRPr="00B801F4">
              <w:t>1.0%</w:t>
            </w:r>
          </w:p>
        </w:tc>
      </w:tr>
      <w:tr w:rsidR="00B801F4" w:rsidRPr="00B801F4" w14:paraId="09C1152B"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2BE71750"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5B7621A4" w14:textId="77777777" w:rsidR="00B801F4" w:rsidRPr="00B801F4" w:rsidRDefault="00B801F4" w:rsidP="00B801F4">
            <w:pPr>
              <w:tabs>
                <w:tab w:val="left" w:pos="1080"/>
              </w:tabs>
              <w:spacing w:after="80"/>
              <w:jc w:val="left"/>
            </w:pPr>
            <w:r w:rsidRPr="00B801F4">
              <w:t>THL</w:t>
            </w:r>
          </w:p>
        </w:tc>
        <w:tc>
          <w:tcPr>
            <w:tcW w:w="1276" w:type="dxa"/>
            <w:gridSpan w:val="5"/>
            <w:tcBorders>
              <w:top w:val="nil"/>
              <w:left w:val="nil"/>
              <w:bottom w:val="nil"/>
              <w:right w:val="nil"/>
            </w:tcBorders>
          </w:tcPr>
          <w:p w14:paraId="5DF578A7" w14:textId="77777777" w:rsidR="00B801F4" w:rsidRPr="00B801F4" w:rsidRDefault="00B801F4" w:rsidP="00B801F4">
            <w:pPr>
              <w:tabs>
                <w:tab w:val="left" w:pos="1080"/>
              </w:tabs>
              <w:spacing w:after="80"/>
              <w:jc w:val="right"/>
            </w:pPr>
            <w:r w:rsidRPr="00B801F4">
              <w:t>55.8</w:t>
            </w:r>
          </w:p>
        </w:tc>
        <w:tc>
          <w:tcPr>
            <w:tcW w:w="1134" w:type="dxa"/>
            <w:gridSpan w:val="3"/>
            <w:tcBorders>
              <w:top w:val="nil"/>
              <w:left w:val="nil"/>
              <w:bottom w:val="nil"/>
              <w:right w:val="nil"/>
            </w:tcBorders>
          </w:tcPr>
          <w:p w14:paraId="2D2283F9" w14:textId="77777777" w:rsidR="00B801F4" w:rsidRPr="00B801F4" w:rsidRDefault="00B801F4" w:rsidP="00B801F4">
            <w:pPr>
              <w:tabs>
                <w:tab w:val="left" w:pos="1080"/>
              </w:tabs>
              <w:spacing w:after="80"/>
              <w:jc w:val="right"/>
            </w:pPr>
            <w:r w:rsidRPr="00B801F4">
              <w:t>1.0%</w:t>
            </w:r>
          </w:p>
        </w:tc>
        <w:tc>
          <w:tcPr>
            <w:tcW w:w="1134" w:type="dxa"/>
            <w:gridSpan w:val="2"/>
            <w:tcBorders>
              <w:top w:val="nil"/>
              <w:left w:val="nil"/>
              <w:bottom w:val="nil"/>
              <w:right w:val="nil"/>
            </w:tcBorders>
          </w:tcPr>
          <w:p w14:paraId="202DB11D" w14:textId="77777777" w:rsidR="00B801F4" w:rsidRPr="00B801F4" w:rsidRDefault="00B801F4" w:rsidP="00B801F4">
            <w:pPr>
              <w:tabs>
                <w:tab w:val="left" w:pos="1080"/>
              </w:tabs>
              <w:spacing w:after="80"/>
              <w:jc w:val="right"/>
            </w:pPr>
            <w:r w:rsidRPr="00B801F4">
              <w:t>48.1</w:t>
            </w:r>
          </w:p>
        </w:tc>
        <w:tc>
          <w:tcPr>
            <w:tcW w:w="1016" w:type="dxa"/>
            <w:gridSpan w:val="2"/>
            <w:tcBorders>
              <w:top w:val="nil"/>
              <w:left w:val="nil"/>
              <w:bottom w:val="nil"/>
              <w:right w:val="single" w:sz="4" w:space="0" w:color="auto"/>
            </w:tcBorders>
          </w:tcPr>
          <w:p w14:paraId="13F06E38" w14:textId="77777777" w:rsidR="00B801F4" w:rsidRPr="00B801F4" w:rsidRDefault="00B801F4" w:rsidP="00B801F4">
            <w:pPr>
              <w:tabs>
                <w:tab w:val="left" w:pos="1080"/>
              </w:tabs>
              <w:spacing w:after="80"/>
              <w:jc w:val="right"/>
            </w:pPr>
            <w:r w:rsidRPr="00B801F4">
              <w:t>0.9%</w:t>
            </w:r>
          </w:p>
        </w:tc>
      </w:tr>
      <w:tr w:rsidR="00B801F4" w:rsidRPr="00B801F4" w14:paraId="010A501A"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4F55B649" w14:textId="77777777" w:rsidR="00B801F4" w:rsidRPr="00B801F4" w:rsidRDefault="00B801F4" w:rsidP="00B801F4">
            <w:pPr>
              <w:tabs>
                <w:tab w:val="left" w:pos="1080"/>
              </w:tabs>
              <w:spacing w:after="80"/>
            </w:pPr>
            <w:r w:rsidRPr="00B801F4">
              <w:t>Loans secured on real assets</w:t>
            </w:r>
          </w:p>
        </w:tc>
        <w:tc>
          <w:tcPr>
            <w:tcW w:w="2410" w:type="dxa"/>
            <w:gridSpan w:val="2"/>
            <w:tcBorders>
              <w:top w:val="nil"/>
              <w:left w:val="nil"/>
              <w:bottom w:val="nil"/>
              <w:right w:val="nil"/>
            </w:tcBorders>
          </w:tcPr>
          <w:p w14:paraId="263EFA0B" w14:textId="77777777" w:rsidR="00B801F4" w:rsidRPr="00B801F4" w:rsidRDefault="00B801F4" w:rsidP="00B801F4">
            <w:pPr>
              <w:tabs>
                <w:tab w:val="left" w:pos="1080"/>
              </w:tabs>
              <w:spacing w:after="80"/>
              <w:jc w:val="left"/>
            </w:pPr>
            <w:r w:rsidRPr="00B801F4">
              <w:t>Heylo Housing</w:t>
            </w:r>
          </w:p>
        </w:tc>
        <w:tc>
          <w:tcPr>
            <w:tcW w:w="1276" w:type="dxa"/>
            <w:gridSpan w:val="5"/>
            <w:tcBorders>
              <w:top w:val="nil"/>
              <w:left w:val="nil"/>
              <w:bottom w:val="nil"/>
              <w:right w:val="nil"/>
            </w:tcBorders>
          </w:tcPr>
          <w:p w14:paraId="590B4492" w14:textId="77777777" w:rsidR="00B801F4" w:rsidRPr="00B801F4" w:rsidRDefault="00B801F4" w:rsidP="00B801F4">
            <w:pPr>
              <w:tabs>
                <w:tab w:val="left" w:pos="1080"/>
              </w:tabs>
              <w:spacing w:after="80"/>
              <w:jc w:val="right"/>
            </w:pPr>
            <w:r w:rsidRPr="00B801F4">
              <w:t>42.6</w:t>
            </w:r>
          </w:p>
        </w:tc>
        <w:tc>
          <w:tcPr>
            <w:tcW w:w="1134" w:type="dxa"/>
            <w:gridSpan w:val="3"/>
            <w:tcBorders>
              <w:top w:val="nil"/>
              <w:left w:val="nil"/>
              <w:bottom w:val="nil"/>
              <w:right w:val="nil"/>
            </w:tcBorders>
          </w:tcPr>
          <w:p w14:paraId="2052874F" w14:textId="77777777" w:rsidR="00B801F4" w:rsidRPr="00B801F4" w:rsidRDefault="00B801F4" w:rsidP="00B801F4">
            <w:pPr>
              <w:tabs>
                <w:tab w:val="left" w:pos="1080"/>
              </w:tabs>
              <w:spacing w:after="80"/>
              <w:jc w:val="right"/>
            </w:pPr>
            <w:r w:rsidRPr="00B801F4">
              <w:t>0.7%</w:t>
            </w:r>
          </w:p>
        </w:tc>
        <w:tc>
          <w:tcPr>
            <w:tcW w:w="1134" w:type="dxa"/>
            <w:gridSpan w:val="2"/>
            <w:tcBorders>
              <w:top w:val="nil"/>
              <w:left w:val="nil"/>
              <w:bottom w:val="nil"/>
              <w:right w:val="nil"/>
            </w:tcBorders>
          </w:tcPr>
          <w:p w14:paraId="191D9541" w14:textId="77777777" w:rsidR="00B801F4" w:rsidRPr="00B801F4" w:rsidRDefault="00B801F4" w:rsidP="00B801F4">
            <w:pPr>
              <w:tabs>
                <w:tab w:val="left" w:pos="1080"/>
              </w:tabs>
              <w:spacing w:after="80"/>
              <w:jc w:val="right"/>
            </w:pPr>
            <w:r w:rsidRPr="00B801F4">
              <w:t>0.0</w:t>
            </w:r>
          </w:p>
        </w:tc>
        <w:tc>
          <w:tcPr>
            <w:tcW w:w="1016" w:type="dxa"/>
            <w:gridSpan w:val="2"/>
            <w:tcBorders>
              <w:top w:val="nil"/>
              <w:left w:val="nil"/>
              <w:bottom w:val="nil"/>
              <w:right w:val="single" w:sz="4" w:space="0" w:color="auto"/>
            </w:tcBorders>
          </w:tcPr>
          <w:p w14:paraId="1EF390E4" w14:textId="77777777" w:rsidR="00B801F4" w:rsidRPr="00B801F4" w:rsidRDefault="00B801F4" w:rsidP="00B801F4">
            <w:pPr>
              <w:tabs>
                <w:tab w:val="left" w:pos="1080"/>
              </w:tabs>
              <w:spacing w:after="80"/>
              <w:jc w:val="right"/>
            </w:pPr>
            <w:r w:rsidRPr="00B801F4">
              <w:t>0.0%</w:t>
            </w:r>
          </w:p>
        </w:tc>
      </w:tr>
      <w:tr w:rsidR="00B801F4" w:rsidRPr="00B801F4" w14:paraId="040A3FDD"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03AF9DB0"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03410ACF" w14:textId="77777777" w:rsidR="00B801F4" w:rsidRPr="00B801F4" w:rsidRDefault="00B801F4" w:rsidP="00B801F4">
            <w:pPr>
              <w:tabs>
                <w:tab w:val="left" w:pos="1080"/>
              </w:tabs>
              <w:spacing w:after="80"/>
              <w:jc w:val="left"/>
            </w:pPr>
            <w:r w:rsidRPr="00B801F4">
              <w:t>Prima</w:t>
            </w:r>
          </w:p>
        </w:tc>
        <w:tc>
          <w:tcPr>
            <w:tcW w:w="1276" w:type="dxa"/>
            <w:gridSpan w:val="5"/>
            <w:tcBorders>
              <w:top w:val="nil"/>
              <w:left w:val="nil"/>
              <w:bottom w:val="nil"/>
              <w:right w:val="nil"/>
            </w:tcBorders>
          </w:tcPr>
          <w:p w14:paraId="71486A11" w14:textId="77777777" w:rsidR="00B801F4" w:rsidRPr="00B801F4" w:rsidRDefault="00B801F4" w:rsidP="00B801F4">
            <w:pPr>
              <w:tabs>
                <w:tab w:val="left" w:pos="1080"/>
              </w:tabs>
              <w:spacing w:after="80"/>
              <w:jc w:val="right"/>
            </w:pPr>
            <w:r w:rsidRPr="00B801F4">
              <w:t>153.5</w:t>
            </w:r>
          </w:p>
        </w:tc>
        <w:tc>
          <w:tcPr>
            <w:tcW w:w="1134" w:type="dxa"/>
            <w:gridSpan w:val="3"/>
            <w:tcBorders>
              <w:top w:val="nil"/>
              <w:left w:val="nil"/>
              <w:bottom w:val="nil"/>
              <w:right w:val="nil"/>
            </w:tcBorders>
          </w:tcPr>
          <w:p w14:paraId="0219F7F5" w14:textId="77777777" w:rsidR="00B801F4" w:rsidRPr="00B801F4" w:rsidRDefault="00B801F4" w:rsidP="00B801F4">
            <w:pPr>
              <w:tabs>
                <w:tab w:val="left" w:pos="1080"/>
              </w:tabs>
              <w:spacing w:after="80"/>
              <w:jc w:val="right"/>
            </w:pPr>
            <w:r w:rsidRPr="00B801F4">
              <w:t>2.6%</w:t>
            </w:r>
          </w:p>
        </w:tc>
        <w:tc>
          <w:tcPr>
            <w:tcW w:w="1134" w:type="dxa"/>
            <w:gridSpan w:val="2"/>
            <w:tcBorders>
              <w:top w:val="nil"/>
              <w:left w:val="nil"/>
              <w:bottom w:val="nil"/>
              <w:right w:val="nil"/>
            </w:tcBorders>
          </w:tcPr>
          <w:p w14:paraId="394A28A1" w14:textId="77777777" w:rsidR="00B801F4" w:rsidRPr="00B801F4" w:rsidRDefault="00B801F4" w:rsidP="00B801F4">
            <w:pPr>
              <w:tabs>
                <w:tab w:val="left" w:pos="1080"/>
              </w:tabs>
              <w:spacing w:after="80"/>
              <w:jc w:val="right"/>
            </w:pPr>
            <w:r w:rsidRPr="00B801F4">
              <w:t>0.0</w:t>
            </w:r>
          </w:p>
        </w:tc>
        <w:tc>
          <w:tcPr>
            <w:tcW w:w="1016" w:type="dxa"/>
            <w:gridSpan w:val="2"/>
            <w:tcBorders>
              <w:top w:val="nil"/>
              <w:left w:val="nil"/>
              <w:bottom w:val="nil"/>
              <w:right w:val="single" w:sz="4" w:space="0" w:color="auto"/>
            </w:tcBorders>
          </w:tcPr>
          <w:p w14:paraId="6D056BEC" w14:textId="77777777" w:rsidR="00B801F4" w:rsidRPr="00B801F4" w:rsidRDefault="00B801F4" w:rsidP="00B801F4">
            <w:pPr>
              <w:tabs>
                <w:tab w:val="left" w:pos="1080"/>
              </w:tabs>
              <w:spacing w:after="80"/>
              <w:jc w:val="right"/>
            </w:pPr>
            <w:r w:rsidRPr="00B801F4">
              <w:t>0.0%</w:t>
            </w:r>
          </w:p>
        </w:tc>
      </w:tr>
      <w:tr w:rsidR="00B801F4" w:rsidRPr="00B801F4" w14:paraId="25221568"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1840AFF8"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04AB76CB" w14:textId="77777777" w:rsidR="00B801F4" w:rsidRPr="00B801F4" w:rsidRDefault="00B801F4" w:rsidP="00B801F4">
            <w:pPr>
              <w:tabs>
                <w:tab w:val="left" w:pos="1080"/>
              </w:tabs>
              <w:spacing w:after="80"/>
              <w:jc w:val="left"/>
            </w:pPr>
            <w:r w:rsidRPr="00B801F4">
              <w:t>Westmill</w:t>
            </w:r>
          </w:p>
        </w:tc>
        <w:tc>
          <w:tcPr>
            <w:tcW w:w="1276" w:type="dxa"/>
            <w:gridSpan w:val="5"/>
            <w:tcBorders>
              <w:top w:val="nil"/>
              <w:left w:val="nil"/>
              <w:bottom w:val="nil"/>
              <w:right w:val="nil"/>
            </w:tcBorders>
          </w:tcPr>
          <w:p w14:paraId="40F8F7FA" w14:textId="77777777" w:rsidR="00B801F4" w:rsidRPr="00B801F4" w:rsidRDefault="00B801F4" w:rsidP="00B801F4">
            <w:pPr>
              <w:tabs>
                <w:tab w:val="left" w:pos="1080"/>
              </w:tabs>
              <w:spacing w:after="80"/>
              <w:jc w:val="right"/>
            </w:pPr>
            <w:r w:rsidRPr="00B801F4">
              <w:t>11.7</w:t>
            </w:r>
          </w:p>
        </w:tc>
        <w:tc>
          <w:tcPr>
            <w:tcW w:w="1134" w:type="dxa"/>
            <w:gridSpan w:val="3"/>
            <w:tcBorders>
              <w:top w:val="nil"/>
              <w:left w:val="nil"/>
              <w:bottom w:val="nil"/>
              <w:right w:val="nil"/>
            </w:tcBorders>
          </w:tcPr>
          <w:p w14:paraId="2A4E0E6F" w14:textId="77777777" w:rsidR="00B801F4" w:rsidRPr="00B801F4" w:rsidRDefault="00B801F4" w:rsidP="00B801F4">
            <w:pPr>
              <w:tabs>
                <w:tab w:val="left" w:pos="1080"/>
              </w:tabs>
              <w:spacing w:after="80"/>
              <w:jc w:val="right"/>
            </w:pPr>
            <w:r w:rsidRPr="00B801F4">
              <w:t>0.2%</w:t>
            </w:r>
          </w:p>
        </w:tc>
        <w:tc>
          <w:tcPr>
            <w:tcW w:w="1134" w:type="dxa"/>
            <w:gridSpan w:val="2"/>
            <w:tcBorders>
              <w:top w:val="nil"/>
              <w:left w:val="nil"/>
              <w:bottom w:val="nil"/>
              <w:right w:val="nil"/>
            </w:tcBorders>
          </w:tcPr>
          <w:p w14:paraId="0F8C7F49" w14:textId="77777777" w:rsidR="00B801F4" w:rsidRPr="00B801F4" w:rsidRDefault="00B801F4" w:rsidP="00B801F4">
            <w:pPr>
              <w:tabs>
                <w:tab w:val="left" w:pos="1080"/>
              </w:tabs>
              <w:spacing w:after="80"/>
              <w:jc w:val="right"/>
            </w:pPr>
            <w:r w:rsidRPr="00B801F4">
              <w:t>11.9</w:t>
            </w:r>
          </w:p>
        </w:tc>
        <w:tc>
          <w:tcPr>
            <w:tcW w:w="1016" w:type="dxa"/>
            <w:gridSpan w:val="2"/>
            <w:tcBorders>
              <w:top w:val="nil"/>
              <w:left w:val="nil"/>
              <w:bottom w:val="nil"/>
              <w:right w:val="single" w:sz="4" w:space="0" w:color="auto"/>
            </w:tcBorders>
          </w:tcPr>
          <w:p w14:paraId="1BFBC786" w14:textId="77777777" w:rsidR="00B801F4" w:rsidRPr="00B801F4" w:rsidRDefault="00B801F4" w:rsidP="00B801F4">
            <w:pPr>
              <w:tabs>
                <w:tab w:val="left" w:pos="1080"/>
              </w:tabs>
              <w:spacing w:after="80"/>
              <w:jc w:val="right"/>
            </w:pPr>
            <w:r w:rsidRPr="00B801F4">
              <w:t>0.2%</w:t>
            </w:r>
          </w:p>
        </w:tc>
      </w:tr>
      <w:tr w:rsidR="00B801F4" w:rsidRPr="00B801F4" w14:paraId="317B5B75"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279BF353" w14:textId="77777777" w:rsidR="00B801F4" w:rsidRPr="00B801F4" w:rsidRDefault="00B801F4" w:rsidP="00B801F4">
            <w:pPr>
              <w:tabs>
                <w:tab w:val="left" w:pos="1080"/>
              </w:tabs>
              <w:spacing w:after="80"/>
            </w:pPr>
            <w:r w:rsidRPr="00B801F4">
              <w:t>Emerging market debt</w:t>
            </w:r>
          </w:p>
        </w:tc>
        <w:tc>
          <w:tcPr>
            <w:tcW w:w="2410" w:type="dxa"/>
            <w:gridSpan w:val="2"/>
            <w:tcBorders>
              <w:top w:val="nil"/>
              <w:left w:val="nil"/>
              <w:bottom w:val="nil"/>
              <w:right w:val="nil"/>
            </w:tcBorders>
          </w:tcPr>
          <w:p w14:paraId="24D28801" w14:textId="77777777" w:rsidR="00B801F4" w:rsidRPr="00B801F4" w:rsidRDefault="00B801F4" w:rsidP="00B801F4">
            <w:pPr>
              <w:tabs>
                <w:tab w:val="left" w:pos="1080"/>
              </w:tabs>
              <w:spacing w:after="80"/>
              <w:jc w:val="left"/>
            </w:pPr>
            <w:r w:rsidRPr="00B801F4">
              <w:t>Bluebay</w:t>
            </w:r>
          </w:p>
        </w:tc>
        <w:tc>
          <w:tcPr>
            <w:tcW w:w="1276" w:type="dxa"/>
            <w:gridSpan w:val="5"/>
            <w:tcBorders>
              <w:top w:val="nil"/>
              <w:left w:val="nil"/>
              <w:bottom w:val="nil"/>
              <w:right w:val="nil"/>
            </w:tcBorders>
          </w:tcPr>
          <w:p w14:paraId="3BB84177" w14:textId="77777777" w:rsidR="00B801F4" w:rsidRPr="00B801F4" w:rsidRDefault="00B801F4" w:rsidP="00B801F4">
            <w:pPr>
              <w:tabs>
                <w:tab w:val="left" w:pos="1080"/>
              </w:tabs>
              <w:spacing w:after="80"/>
              <w:jc w:val="right"/>
            </w:pPr>
            <w:r w:rsidRPr="00B801F4">
              <w:t>128.8</w:t>
            </w:r>
          </w:p>
        </w:tc>
        <w:tc>
          <w:tcPr>
            <w:tcW w:w="1134" w:type="dxa"/>
            <w:gridSpan w:val="3"/>
            <w:tcBorders>
              <w:top w:val="nil"/>
              <w:left w:val="nil"/>
              <w:bottom w:val="nil"/>
              <w:right w:val="nil"/>
            </w:tcBorders>
          </w:tcPr>
          <w:p w14:paraId="26B4476D" w14:textId="77777777" w:rsidR="00B801F4" w:rsidRPr="00B801F4" w:rsidRDefault="00B801F4" w:rsidP="00B801F4">
            <w:pPr>
              <w:tabs>
                <w:tab w:val="left" w:pos="1080"/>
              </w:tabs>
              <w:spacing w:after="80"/>
              <w:jc w:val="right"/>
            </w:pPr>
            <w:r w:rsidRPr="00B801F4">
              <w:t>2.2%</w:t>
            </w:r>
          </w:p>
        </w:tc>
        <w:tc>
          <w:tcPr>
            <w:tcW w:w="1134" w:type="dxa"/>
            <w:gridSpan w:val="2"/>
            <w:tcBorders>
              <w:top w:val="nil"/>
              <w:left w:val="nil"/>
              <w:bottom w:val="nil"/>
              <w:right w:val="nil"/>
            </w:tcBorders>
          </w:tcPr>
          <w:p w14:paraId="6D24E83A" w14:textId="77777777" w:rsidR="00B801F4" w:rsidRPr="00B801F4" w:rsidRDefault="00B801F4" w:rsidP="00B801F4">
            <w:pPr>
              <w:tabs>
                <w:tab w:val="left" w:pos="1080"/>
              </w:tabs>
              <w:spacing w:after="80"/>
              <w:jc w:val="right"/>
            </w:pPr>
            <w:r w:rsidRPr="00B801F4">
              <w:t>81.7</w:t>
            </w:r>
          </w:p>
        </w:tc>
        <w:tc>
          <w:tcPr>
            <w:tcW w:w="1016" w:type="dxa"/>
            <w:gridSpan w:val="2"/>
            <w:tcBorders>
              <w:top w:val="nil"/>
              <w:left w:val="nil"/>
              <w:bottom w:val="nil"/>
              <w:right w:val="single" w:sz="4" w:space="0" w:color="auto"/>
            </w:tcBorders>
          </w:tcPr>
          <w:p w14:paraId="3BEDEBC9" w14:textId="77777777" w:rsidR="00B801F4" w:rsidRPr="00B801F4" w:rsidRDefault="00B801F4" w:rsidP="00B801F4">
            <w:pPr>
              <w:tabs>
                <w:tab w:val="left" w:pos="1080"/>
              </w:tabs>
              <w:spacing w:after="80"/>
              <w:jc w:val="right"/>
            </w:pPr>
            <w:r w:rsidRPr="00B801F4">
              <w:t>1.6%</w:t>
            </w:r>
          </w:p>
        </w:tc>
      </w:tr>
      <w:tr w:rsidR="00B801F4" w:rsidRPr="00B801F4" w14:paraId="39910AEE"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64705E62"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45E1CF5C" w14:textId="77777777" w:rsidR="00B801F4" w:rsidRPr="00B801F4" w:rsidRDefault="00B801F4" w:rsidP="00B801F4">
            <w:pPr>
              <w:tabs>
                <w:tab w:val="left" w:pos="1080"/>
              </w:tabs>
              <w:spacing w:after="80"/>
              <w:jc w:val="left"/>
            </w:pPr>
            <w:r w:rsidRPr="00B801F4">
              <w:t>HSBC</w:t>
            </w:r>
          </w:p>
        </w:tc>
        <w:tc>
          <w:tcPr>
            <w:tcW w:w="1276" w:type="dxa"/>
            <w:gridSpan w:val="5"/>
            <w:tcBorders>
              <w:top w:val="nil"/>
              <w:left w:val="nil"/>
              <w:bottom w:val="nil"/>
              <w:right w:val="nil"/>
            </w:tcBorders>
          </w:tcPr>
          <w:p w14:paraId="02DCDCA2" w14:textId="77777777" w:rsidR="00B801F4" w:rsidRPr="00B801F4" w:rsidRDefault="00B801F4" w:rsidP="00B801F4">
            <w:pPr>
              <w:tabs>
                <w:tab w:val="left" w:pos="1080"/>
              </w:tabs>
              <w:spacing w:after="80"/>
              <w:jc w:val="right"/>
            </w:pPr>
            <w:r w:rsidRPr="00B801F4">
              <w:t>58.2</w:t>
            </w:r>
          </w:p>
        </w:tc>
        <w:tc>
          <w:tcPr>
            <w:tcW w:w="1134" w:type="dxa"/>
            <w:gridSpan w:val="3"/>
            <w:tcBorders>
              <w:top w:val="nil"/>
              <w:left w:val="nil"/>
              <w:bottom w:val="nil"/>
              <w:right w:val="nil"/>
            </w:tcBorders>
          </w:tcPr>
          <w:p w14:paraId="6E08EF04" w14:textId="77777777" w:rsidR="00B801F4" w:rsidRPr="00B801F4" w:rsidRDefault="00B801F4" w:rsidP="00B801F4">
            <w:pPr>
              <w:tabs>
                <w:tab w:val="left" w:pos="1080"/>
              </w:tabs>
              <w:spacing w:after="80"/>
              <w:jc w:val="right"/>
            </w:pPr>
            <w:r w:rsidRPr="00B801F4">
              <w:t>1.0%</w:t>
            </w:r>
          </w:p>
        </w:tc>
        <w:tc>
          <w:tcPr>
            <w:tcW w:w="1134" w:type="dxa"/>
            <w:gridSpan w:val="2"/>
            <w:tcBorders>
              <w:top w:val="nil"/>
              <w:left w:val="nil"/>
              <w:bottom w:val="nil"/>
              <w:right w:val="nil"/>
            </w:tcBorders>
          </w:tcPr>
          <w:p w14:paraId="67C66730" w14:textId="77777777" w:rsidR="00B801F4" w:rsidRPr="00B801F4" w:rsidRDefault="00B801F4" w:rsidP="00B801F4">
            <w:pPr>
              <w:tabs>
                <w:tab w:val="left" w:pos="1080"/>
              </w:tabs>
              <w:spacing w:after="80"/>
              <w:jc w:val="right"/>
            </w:pPr>
            <w:r w:rsidRPr="00B801F4">
              <w:t>47.0</w:t>
            </w:r>
          </w:p>
        </w:tc>
        <w:tc>
          <w:tcPr>
            <w:tcW w:w="1016" w:type="dxa"/>
            <w:gridSpan w:val="2"/>
            <w:tcBorders>
              <w:top w:val="nil"/>
              <w:left w:val="nil"/>
              <w:bottom w:val="nil"/>
              <w:right w:val="single" w:sz="4" w:space="0" w:color="auto"/>
            </w:tcBorders>
          </w:tcPr>
          <w:p w14:paraId="41717B39" w14:textId="77777777" w:rsidR="00B801F4" w:rsidRPr="00B801F4" w:rsidRDefault="00B801F4" w:rsidP="00B801F4">
            <w:pPr>
              <w:tabs>
                <w:tab w:val="left" w:pos="1080"/>
              </w:tabs>
              <w:spacing w:after="80"/>
              <w:jc w:val="right"/>
            </w:pPr>
            <w:r w:rsidRPr="00B801F4">
              <w:t>0.9%</w:t>
            </w:r>
          </w:p>
        </w:tc>
      </w:tr>
      <w:tr w:rsidR="00B801F4" w:rsidRPr="00B801F4" w14:paraId="436707D4"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0C5D2268"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6BFDB05E" w14:textId="77777777" w:rsidR="00B801F4" w:rsidRPr="00B801F4" w:rsidRDefault="00B801F4" w:rsidP="00B801F4">
            <w:pPr>
              <w:tabs>
                <w:tab w:val="left" w:pos="1080"/>
              </w:tabs>
              <w:spacing w:after="80"/>
              <w:jc w:val="left"/>
            </w:pPr>
            <w:r w:rsidRPr="00B801F4">
              <w:t>Investec</w:t>
            </w:r>
          </w:p>
        </w:tc>
        <w:tc>
          <w:tcPr>
            <w:tcW w:w="1276" w:type="dxa"/>
            <w:gridSpan w:val="5"/>
            <w:tcBorders>
              <w:top w:val="nil"/>
              <w:left w:val="nil"/>
              <w:bottom w:val="nil"/>
              <w:right w:val="nil"/>
            </w:tcBorders>
          </w:tcPr>
          <w:p w14:paraId="7E63F603" w14:textId="77777777" w:rsidR="00B801F4" w:rsidRPr="00B801F4" w:rsidRDefault="00B801F4" w:rsidP="00B801F4">
            <w:pPr>
              <w:tabs>
                <w:tab w:val="left" w:pos="1080"/>
              </w:tabs>
              <w:spacing w:after="80"/>
              <w:jc w:val="right"/>
            </w:pPr>
            <w:r w:rsidRPr="00B801F4">
              <w:t>83.5</w:t>
            </w:r>
          </w:p>
        </w:tc>
        <w:tc>
          <w:tcPr>
            <w:tcW w:w="1134" w:type="dxa"/>
            <w:gridSpan w:val="3"/>
            <w:tcBorders>
              <w:top w:val="nil"/>
              <w:left w:val="nil"/>
              <w:bottom w:val="nil"/>
              <w:right w:val="nil"/>
            </w:tcBorders>
          </w:tcPr>
          <w:p w14:paraId="5BE1D8A2" w14:textId="77777777" w:rsidR="00B801F4" w:rsidRPr="00B801F4" w:rsidRDefault="00B801F4" w:rsidP="00B801F4">
            <w:pPr>
              <w:tabs>
                <w:tab w:val="left" w:pos="1080"/>
              </w:tabs>
              <w:spacing w:after="80"/>
              <w:jc w:val="right"/>
            </w:pPr>
            <w:r w:rsidRPr="00B801F4">
              <w:t>1.4%</w:t>
            </w:r>
          </w:p>
        </w:tc>
        <w:tc>
          <w:tcPr>
            <w:tcW w:w="1134" w:type="dxa"/>
            <w:gridSpan w:val="2"/>
            <w:tcBorders>
              <w:top w:val="nil"/>
              <w:left w:val="nil"/>
              <w:bottom w:val="nil"/>
              <w:right w:val="nil"/>
            </w:tcBorders>
          </w:tcPr>
          <w:p w14:paraId="0240AF53" w14:textId="77777777" w:rsidR="00B801F4" w:rsidRPr="00B801F4" w:rsidRDefault="00B801F4" w:rsidP="00B801F4">
            <w:pPr>
              <w:tabs>
                <w:tab w:val="left" w:pos="1080"/>
              </w:tabs>
              <w:spacing w:after="80"/>
              <w:jc w:val="right"/>
            </w:pPr>
            <w:r w:rsidRPr="00B801F4">
              <w:t>71.0</w:t>
            </w:r>
          </w:p>
        </w:tc>
        <w:tc>
          <w:tcPr>
            <w:tcW w:w="1016" w:type="dxa"/>
            <w:gridSpan w:val="2"/>
            <w:tcBorders>
              <w:top w:val="nil"/>
              <w:left w:val="nil"/>
              <w:bottom w:val="nil"/>
              <w:right w:val="single" w:sz="4" w:space="0" w:color="auto"/>
            </w:tcBorders>
          </w:tcPr>
          <w:p w14:paraId="0692A8EC" w14:textId="77777777" w:rsidR="00B801F4" w:rsidRPr="00B801F4" w:rsidRDefault="00B801F4" w:rsidP="00B801F4">
            <w:pPr>
              <w:tabs>
                <w:tab w:val="left" w:pos="1080"/>
              </w:tabs>
              <w:spacing w:after="80"/>
              <w:jc w:val="right"/>
            </w:pPr>
            <w:r w:rsidRPr="00B801F4">
              <w:t>1.4%</w:t>
            </w:r>
          </w:p>
        </w:tc>
      </w:tr>
      <w:tr w:rsidR="00B801F4" w:rsidRPr="00B801F4" w14:paraId="3C5490DB"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62A43349"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50505BEC" w14:textId="77777777" w:rsidR="00B801F4" w:rsidRPr="00B801F4" w:rsidRDefault="00B801F4" w:rsidP="00B801F4">
            <w:pPr>
              <w:tabs>
                <w:tab w:val="left" w:pos="1080"/>
              </w:tabs>
              <w:spacing w:after="80"/>
              <w:jc w:val="left"/>
            </w:pPr>
            <w:r w:rsidRPr="00B801F4">
              <w:t>Pictet</w:t>
            </w:r>
          </w:p>
        </w:tc>
        <w:tc>
          <w:tcPr>
            <w:tcW w:w="1276" w:type="dxa"/>
            <w:gridSpan w:val="5"/>
            <w:tcBorders>
              <w:top w:val="nil"/>
              <w:left w:val="nil"/>
              <w:bottom w:val="nil"/>
              <w:right w:val="nil"/>
            </w:tcBorders>
          </w:tcPr>
          <w:p w14:paraId="35E355DC" w14:textId="77777777" w:rsidR="00B801F4" w:rsidRPr="00B801F4" w:rsidRDefault="00B801F4" w:rsidP="00B801F4">
            <w:pPr>
              <w:tabs>
                <w:tab w:val="left" w:pos="1080"/>
              </w:tabs>
              <w:spacing w:after="80"/>
              <w:jc w:val="right"/>
            </w:pPr>
            <w:r w:rsidRPr="00B801F4">
              <w:t>129.6</w:t>
            </w:r>
          </w:p>
        </w:tc>
        <w:tc>
          <w:tcPr>
            <w:tcW w:w="1134" w:type="dxa"/>
            <w:gridSpan w:val="3"/>
            <w:tcBorders>
              <w:top w:val="nil"/>
              <w:left w:val="nil"/>
              <w:bottom w:val="nil"/>
              <w:right w:val="nil"/>
            </w:tcBorders>
          </w:tcPr>
          <w:p w14:paraId="6D61ACB0" w14:textId="77777777" w:rsidR="00B801F4" w:rsidRPr="00B801F4" w:rsidRDefault="00B801F4" w:rsidP="00B801F4">
            <w:pPr>
              <w:tabs>
                <w:tab w:val="left" w:pos="1080"/>
              </w:tabs>
              <w:spacing w:after="80"/>
              <w:jc w:val="right"/>
            </w:pPr>
            <w:r w:rsidRPr="00B801F4">
              <w:t>2.2%</w:t>
            </w:r>
          </w:p>
        </w:tc>
        <w:tc>
          <w:tcPr>
            <w:tcW w:w="1134" w:type="dxa"/>
            <w:gridSpan w:val="2"/>
            <w:tcBorders>
              <w:top w:val="nil"/>
              <w:left w:val="nil"/>
              <w:bottom w:val="nil"/>
              <w:right w:val="nil"/>
            </w:tcBorders>
          </w:tcPr>
          <w:p w14:paraId="572ADEFC" w14:textId="77777777" w:rsidR="00B801F4" w:rsidRPr="00B801F4" w:rsidRDefault="00B801F4" w:rsidP="00B801F4">
            <w:pPr>
              <w:tabs>
                <w:tab w:val="left" w:pos="1080"/>
              </w:tabs>
              <w:spacing w:after="80"/>
              <w:jc w:val="right"/>
            </w:pPr>
            <w:r w:rsidRPr="00B801F4">
              <w:t>108.8</w:t>
            </w:r>
          </w:p>
        </w:tc>
        <w:tc>
          <w:tcPr>
            <w:tcW w:w="1016" w:type="dxa"/>
            <w:gridSpan w:val="2"/>
            <w:tcBorders>
              <w:top w:val="nil"/>
              <w:left w:val="nil"/>
              <w:bottom w:val="nil"/>
              <w:right w:val="single" w:sz="4" w:space="0" w:color="auto"/>
            </w:tcBorders>
          </w:tcPr>
          <w:p w14:paraId="22B95DEA" w14:textId="77777777" w:rsidR="00B801F4" w:rsidRPr="00B801F4" w:rsidRDefault="00B801F4" w:rsidP="00B801F4">
            <w:pPr>
              <w:tabs>
                <w:tab w:val="left" w:pos="1080"/>
              </w:tabs>
              <w:spacing w:after="80"/>
              <w:jc w:val="right"/>
            </w:pPr>
            <w:r w:rsidRPr="00B801F4">
              <w:t>2.1%</w:t>
            </w:r>
          </w:p>
        </w:tc>
      </w:tr>
      <w:tr w:rsidR="00B801F4" w:rsidRPr="00B801F4" w14:paraId="3396C252"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1345F9E7" w14:textId="77777777" w:rsidR="00B801F4" w:rsidRPr="00B801F4" w:rsidRDefault="00B801F4" w:rsidP="00B801F4">
            <w:pPr>
              <w:tabs>
                <w:tab w:val="left" w:pos="1080"/>
              </w:tabs>
              <w:spacing w:after="80"/>
            </w:pPr>
            <w:r w:rsidRPr="00B801F4">
              <w:t>Credit opportunities</w:t>
            </w:r>
          </w:p>
        </w:tc>
        <w:tc>
          <w:tcPr>
            <w:tcW w:w="2410" w:type="dxa"/>
            <w:gridSpan w:val="2"/>
            <w:tcBorders>
              <w:top w:val="nil"/>
              <w:left w:val="nil"/>
              <w:bottom w:val="nil"/>
              <w:right w:val="nil"/>
            </w:tcBorders>
          </w:tcPr>
          <w:p w14:paraId="7E90CC4F" w14:textId="77777777" w:rsidR="00B801F4" w:rsidRPr="00B801F4" w:rsidRDefault="00B801F4" w:rsidP="00B801F4">
            <w:pPr>
              <w:tabs>
                <w:tab w:val="left" w:pos="1080"/>
              </w:tabs>
              <w:spacing w:after="80"/>
              <w:jc w:val="left"/>
            </w:pPr>
            <w:r w:rsidRPr="00B801F4">
              <w:t>CRC- Christofferson Robb &amp; Co</w:t>
            </w:r>
          </w:p>
        </w:tc>
        <w:tc>
          <w:tcPr>
            <w:tcW w:w="1276" w:type="dxa"/>
            <w:gridSpan w:val="5"/>
            <w:tcBorders>
              <w:top w:val="nil"/>
              <w:left w:val="nil"/>
              <w:bottom w:val="nil"/>
              <w:right w:val="nil"/>
            </w:tcBorders>
          </w:tcPr>
          <w:p w14:paraId="13FAF826" w14:textId="77777777" w:rsidR="00B801F4" w:rsidRPr="00B801F4" w:rsidRDefault="00B801F4" w:rsidP="00B801F4">
            <w:pPr>
              <w:tabs>
                <w:tab w:val="left" w:pos="1080"/>
              </w:tabs>
              <w:spacing w:after="80"/>
              <w:jc w:val="right"/>
            </w:pPr>
            <w:r w:rsidRPr="00B801F4">
              <w:t>34.4</w:t>
            </w:r>
          </w:p>
        </w:tc>
        <w:tc>
          <w:tcPr>
            <w:tcW w:w="1134" w:type="dxa"/>
            <w:gridSpan w:val="3"/>
            <w:tcBorders>
              <w:top w:val="nil"/>
              <w:left w:val="nil"/>
              <w:bottom w:val="nil"/>
              <w:right w:val="nil"/>
            </w:tcBorders>
          </w:tcPr>
          <w:p w14:paraId="1E0E909D" w14:textId="77777777" w:rsidR="00B801F4" w:rsidRPr="00B801F4" w:rsidRDefault="00B801F4" w:rsidP="00B801F4">
            <w:pPr>
              <w:tabs>
                <w:tab w:val="left" w:pos="1080"/>
              </w:tabs>
              <w:spacing w:after="80"/>
              <w:jc w:val="right"/>
            </w:pPr>
            <w:r w:rsidRPr="00B801F4">
              <w:t>0.6%</w:t>
            </w:r>
          </w:p>
        </w:tc>
        <w:tc>
          <w:tcPr>
            <w:tcW w:w="1134" w:type="dxa"/>
            <w:gridSpan w:val="2"/>
            <w:tcBorders>
              <w:top w:val="nil"/>
              <w:left w:val="nil"/>
              <w:bottom w:val="nil"/>
              <w:right w:val="nil"/>
            </w:tcBorders>
          </w:tcPr>
          <w:p w14:paraId="2FCEA377" w14:textId="77777777" w:rsidR="00B801F4" w:rsidRPr="00B801F4" w:rsidRDefault="00B801F4" w:rsidP="00B801F4">
            <w:pPr>
              <w:tabs>
                <w:tab w:val="left" w:pos="1080"/>
              </w:tabs>
              <w:spacing w:after="80"/>
              <w:jc w:val="right"/>
            </w:pPr>
            <w:r w:rsidRPr="00B801F4">
              <w:t>2.2</w:t>
            </w:r>
          </w:p>
        </w:tc>
        <w:tc>
          <w:tcPr>
            <w:tcW w:w="1016" w:type="dxa"/>
            <w:gridSpan w:val="2"/>
            <w:tcBorders>
              <w:top w:val="nil"/>
              <w:left w:val="nil"/>
              <w:bottom w:val="nil"/>
              <w:right w:val="single" w:sz="4" w:space="0" w:color="auto"/>
            </w:tcBorders>
          </w:tcPr>
          <w:p w14:paraId="2561CA33" w14:textId="77777777" w:rsidR="00B801F4" w:rsidRPr="00B801F4" w:rsidRDefault="00B801F4" w:rsidP="00B801F4">
            <w:pPr>
              <w:tabs>
                <w:tab w:val="left" w:pos="1080"/>
              </w:tabs>
              <w:spacing w:after="80"/>
              <w:jc w:val="right"/>
            </w:pPr>
            <w:r w:rsidRPr="00B801F4">
              <w:t>0.0%</w:t>
            </w:r>
          </w:p>
        </w:tc>
      </w:tr>
      <w:tr w:rsidR="00B801F4" w:rsidRPr="00B801F4" w14:paraId="4DFFB8F4"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39A99BAE"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3AC63E86" w14:textId="77777777" w:rsidR="00B801F4" w:rsidRPr="00B801F4" w:rsidRDefault="00B801F4" w:rsidP="00B801F4">
            <w:pPr>
              <w:tabs>
                <w:tab w:val="left" w:pos="1080"/>
              </w:tabs>
              <w:spacing w:after="80"/>
              <w:jc w:val="left"/>
            </w:pPr>
            <w:r w:rsidRPr="00B801F4">
              <w:t>EQT</w:t>
            </w:r>
          </w:p>
        </w:tc>
        <w:tc>
          <w:tcPr>
            <w:tcW w:w="1276" w:type="dxa"/>
            <w:gridSpan w:val="5"/>
            <w:tcBorders>
              <w:top w:val="nil"/>
              <w:left w:val="nil"/>
              <w:bottom w:val="nil"/>
              <w:right w:val="nil"/>
            </w:tcBorders>
          </w:tcPr>
          <w:p w14:paraId="62596C20" w14:textId="77777777" w:rsidR="00B801F4" w:rsidRPr="00B801F4" w:rsidRDefault="00B801F4" w:rsidP="00B801F4">
            <w:pPr>
              <w:tabs>
                <w:tab w:val="left" w:pos="1080"/>
              </w:tabs>
              <w:spacing w:after="80"/>
              <w:jc w:val="right"/>
            </w:pPr>
            <w:r w:rsidRPr="00B801F4">
              <w:t>44.3</w:t>
            </w:r>
          </w:p>
        </w:tc>
        <w:tc>
          <w:tcPr>
            <w:tcW w:w="1134" w:type="dxa"/>
            <w:gridSpan w:val="3"/>
            <w:tcBorders>
              <w:top w:val="nil"/>
              <w:left w:val="nil"/>
              <w:bottom w:val="nil"/>
              <w:right w:val="nil"/>
            </w:tcBorders>
          </w:tcPr>
          <w:p w14:paraId="1B95F27A" w14:textId="77777777" w:rsidR="00B801F4" w:rsidRPr="00B801F4" w:rsidRDefault="00B801F4" w:rsidP="00B801F4">
            <w:pPr>
              <w:tabs>
                <w:tab w:val="left" w:pos="1080"/>
              </w:tabs>
              <w:spacing w:after="80"/>
              <w:jc w:val="right"/>
            </w:pPr>
            <w:r w:rsidRPr="00B801F4">
              <w:t>0.8%</w:t>
            </w:r>
          </w:p>
        </w:tc>
        <w:tc>
          <w:tcPr>
            <w:tcW w:w="1134" w:type="dxa"/>
            <w:gridSpan w:val="2"/>
            <w:tcBorders>
              <w:top w:val="nil"/>
              <w:left w:val="nil"/>
              <w:bottom w:val="nil"/>
              <w:right w:val="nil"/>
            </w:tcBorders>
          </w:tcPr>
          <w:p w14:paraId="6283E68B" w14:textId="77777777" w:rsidR="00B801F4" w:rsidRPr="00B801F4" w:rsidRDefault="00B801F4" w:rsidP="00B801F4">
            <w:pPr>
              <w:tabs>
                <w:tab w:val="left" w:pos="1080"/>
              </w:tabs>
              <w:spacing w:after="80"/>
              <w:jc w:val="right"/>
            </w:pPr>
            <w:r w:rsidRPr="00B801F4">
              <w:t>20.0</w:t>
            </w:r>
          </w:p>
        </w:tc>
        <w:tc>
          <w:tcPr>
            <w:tcW w:w="1016" w:type="dxa"/>
            <w:gridSpan w:val="2"/>
            <w:tcBorders>
              <w:top w:val="nil"/>
              <w:left w:val="nil"/>
              <w:bottom w:val="nil"/>
              <w:right w:val="single" w:sz="4" w:space="0" w:color="auto"/>
            </w:tcBorders>
          </w:tcPr>
          <w:p w14:paraId="7930537C" w14:textId="77777777" w:rsidR="00B801F4" w:rsidRPr="00B801F4" w:rsidRDefault="00B801F4" w:rsidP="00B801F4">
            <w:pPr>
              <w:tabs>
                <w:tab w:val="left" w:pos="1080"/>
              </w:tabs>
              <w:spacing w:after="80"/>
              <w:jc w:val="right"/>
            </w:pPr>
            <w:r w:rsidRPr="00B801F4">
              <w:t>0.4%</w:t>
            </w:r>
          </w:p>
        </w:tc>
      </w:tr>
      <w:tr w:rsidR="00B801F4" w:rsidRPr="00B801F4" w14:paraId="1F656632"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66673AAF"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214347CF" w14:textId="77777777" w:rsidR="00B801F4" w:rsidRPr="00B801F4" w:rsidRDefault="00B801F4" w:rsidP="00B801F4">
            <w:pPr>
              <w:tabs>
                <w:tab w:val="left" w:pos="1080"/>
              </w:tabs>
              <w:spacing w:after="80"/>
              <w:jc w:val="left"/>
            </w:pPr>
            <w:r w:rsidRPr="00B801F4">
              <w:t>MFO King Street</w:t>
            </w:r>
          </w:p>
        </w:tc>
        <w:tc>
          <w:tcPr>
            <w:tcW w:w="1276" w:type="dxa"/>
            <w:gridSpan w:val="5"/>
            <w:tcBorders>
              <w:top w:val="nil"/>
              <w:left w:val="nil"/>
              <w:bottom w:val="nil"/>
              <w:right w:val="nil"/>
            </w:tcBorders>
          </w:tcPr>
          <w:p w14:paraId="2D2689D2" w14:textId="77777777" w:rsidR="00B801F4" w:rsidRPr="00B801F4" w:rsidRDefault="00B801F4" w:rsidP="00B801F4">
            <w:pPr>
              <w:tabs>
                <w:tab w:val="left" w:pos="1080"/>
              </w:tabs>
              <w:spacing w:after="80"/>
              <w:jc w:val="right"/>
            </w:pPr>
            <w:r w:rsidRPr="00B801F4">
              <w:t>54.8</w:t>
            </w:r>
          </w:p>
        </w:tc>
        <w:tc>
          <w:tcPr>
            <w:tcW w:w="1134" w:type="dxa"/>
            <w:gridSpan w:val="3"/>
            <w:tcBorders>
              <w:top w:val="nil"/>
              <w:left w:val="nil"/>
              <w:bottom w:val="nil"/>
              <w:right w:val="nil"/>
            </w:tcBorders>
          </w:tcPr>
          <w:p w14:paraId="3A820AEA" w14:textId="77777777" w:rsidR="00B801F4" w:rsidRPr="00B801F4" w:rsidRDefault="00B801F4" w:rsidP="00B801F4">
            <w:pPr>
              <w:tabs>
                <w:tab w:val="left" w:pos="1080"/>
              </w:tabs>
              <w:spacing w:after="80"/>
              <w:jc w:val="right"/>
            </w:pPr>
            <w:r w:rsidRPr="00B801F4">
              <w:t>1.0%</w:t>
            </w:r>
          </w:p>
        </w:tc>
        <w:tc>
          <w:tcPr>
            <w:tcW w:w="1134" w:type="dxa"/>
            <w:gridSpan w:val="2"/>
            <w:tcBorders>
              <w:top w:val="nil"/>
              <w:left w:val="nil"/>
              <w:bottom w:val="nil"/>
              <w:right w:val="nil"/>
            </w:tcBorders>
          </w:tcPr>
          <w:p w14:paraId="29E993BE" w14:textId="77777777" w:rsidR="00B801F4" w:rsidRPr="00B801F4" w:rsidRDefault="00B801F4" w:rsidP="00B801F4">
            <w:pPr>
              <w:tabs>
                <w:tab w:val="left" w:pos="1080"/>
              </w:tabs>
              <w:spacing w:after="80"/>
              <w:jc w:val="right"/>
            </w:pPr>
            <w:r w:rsidRPr="00B801F4">
              <w:t>47.0</w:t>
            </w:r>
          </w:p>
        </w:tc>
        <w:tc>
          <w:tcPr>
            <w:tcW w:w="1016" w:type="dxa"/>
            <w:gridSpan w:val="2"/>
            <w:tcBorders>
              <w:top w:val="nil"/>
              <w:left w:val="nil"/>
              <w:bottom w:val="nil"/>
              <w:right w:val="single" w:sz="4" w:space="0" w:color="auto"/>
            </w:tcBorders>
          </w:tcPr>
          <w:p w14:paraId="00D5A69C" w14:textId="77777777" w:rsidR="00B801F4" w:rsidRPr="00B801F4" w:rsidRDefault="00B801F4" w:rsidP="00B801F4">
            <w:pPr>
              <w:tabs>
                <w:tab w:val="left" w:pos="1080"/>
              </w:tabs>
              <w:spacing w:after="80"/>
              <w:jc w:val="right"/>
            </w:pPr>
            <w:r w:rsidRPr="00B801F4">
              <w:t>0.9%</w:t>
            </w:r>
          </w:p>
        </w:tc>
      </w:tr>
      <w:tr w:rsidR="00B801F4" w:rsidRPr="00B801F4" w14:paraId="1E2BFC72"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100E567F"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11190C4F" w14:textId="77777777" w:rsidR="00B801F4" w:rsidRPr="00B801F4" w:rsidRDefault="00B801F4" w:rsidP="00B801F4">
            <w:pPr>
              <w:tabs>
                <w:tab w:val="left" w:pos="1080"/>
              </w:tabs>
              <w:spacing w:after="80"/>
              <w:jc w:val="left"/>
            </w:pPr>
            <w:r w:rsidRPr="00B801F4">
              <w:t>Monarch</w:t>
            </w:r>
          </w:p>
        </w:tc>
        <w:tc>
          <w:tcPr>
            <w:tcW w:w="1276" w:type="dxa"/>
            <w:gridSpan w:val="5"/>
            <w:tcBorders>
              <w:top w:val="nil"/>
              <w:left w:val="nil"/>
              <w:bottom w:val="nil"/>
              <w:right w:val="nil"/>
            </w:tcBorders>
          </w:tcPr>
          <w:p w14:paraId="08F9FD72" w14:textId="77777777" w:rsidR="00B801F4" w:rsidRPr="00B801F4" w:rsidRDefault="00B801F4" w:rsidP="00B801F4">
            <w:pPr>
              <w:tabs>
                <w:tab w:val="left" w:pos="1080"/>
              </w:tabs>
              <w:spacing w:after="80"/>
              <w:jc w:val="right"/>
            </w:pPr>
            <w:r w:rsidRPr="00B801F4">
              <w:t>53.8</w:t>
            </w:r>
          </w:p>
        </w:tc>
        <w:tc>
          <w:tcPr>
            <w:tcW w:w="1134" w:type="dxa"/>
            <w:gridSpan w:val="3"/>
            <w:tcBorders>
              <w:top w:val="nil"/>
              <w:left w:val="nil"/>
              <w:bottom w:val="nil"/>
              <w:right w:val="nil"/>
            </w:tcBorders>
          </w:tcPr>
          <w:p w14:paraId="797CA5DC" w14:textId="77777777" w:rsidR="00B801F4" w:rsidRPr="00B801F4" w:rsidRDefault="00B801F4" w:rsidP="00B801F4">
            <w:pPr>
              <w:tabs>
                <w:tab w:val="left" w:pos="1080"/>
              </w:tabs>
              <w:spacing w:after="80"/>
              <w:jc w:val="right"/>
            </w:pPr>
            <w:r w:rsidRPr="00B801F4">
              <w:t>0.9%</w:t>
            </w:r>
          </w:p>
        </w:tc>
        <w:tc>
          <w:tcPr>
            <w:tcW w:w="1134" w:type="dxa"/>
            <w:gridSpan w:val="2"/>
            <w:tcBorders>
              <w:top w:val="nil"/>
              <w:left w:val="nil"/>
              <w:bottom w:val="nil"/>
              <w:right w:val="nil"/>
            </w:tcBorders>
          </w:tcPr>
          <w:p w14:paraId="3DF3EE42" w14:textId="77777777" w:rsidR="00B801F4" w:rsidRPr="00B801F4" w:rsidRDefault="00B801F4" w:rsidP="00B801F4">
            <w:pPr>
              <w:tabs>
                <w:tab w:val="left" w:pos="1080"/>
              </w:tabs>
              <w:spacing w:after="80"/>
              <w:jc w:val="right"/>
            </w:pPr>
            <w:r w:rsidRPr="00B801F4">
              <w:t>48.5</w:t>
            </w:r>
          </w:p>
        </w:tc>
        <w:tc>
          <w:tcPr>
            <w:tcW w:w="1016" w:type="dxa"/>
            <w:gridSpan w:val="2"/>
            <w:tcBorders>
              <w:top w:val="nil"/>
              <w:left w:val="nil"/>
              <w:bottom w:val="nil"/>
              <w:right w:val="single" w:sz="4" w:space="0" w:color="auto"/>
            </w:tcBorders>
          </w:tcPr>
          <w:p w14:paraId="5208297A" w14:textId="77777777" w:rsidR="00B801F4" w:rsidRPr="00B801F4" w:rsidRDefault="00B801F4" w:rsidP="00B801F4">
            <w:pPr>
              <w:tabs>
                <w:tab w:val="left" w:pos="1080"/>
              </w:tabs>
              <w:spacing w:after="80"/>
              <w:jc w:val="right"/>
            </w:pPr>
            <w:r w:rsidRPr="00B801F4">
              <w:t>0.9%</w:t>
            </w:r>
          </w:p>
        </w:tc>
      </w:tr>
      <w:tr w:rsidR="00B801F4" w:rsidRPr="00B801F4" w14:paraId="2180D2EB"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18807410"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12F14AB4" w14:textId="77777777" w:rsidR="00B801F4" w:rsidRPr="00B801F4" w:rsidRDefault="00B801F4" w:rsidP="00B801F4">
            <w:pPr>
              <w:tabs>
                <w:tab w:val="left" w:pos="1080"/>
              </w:tabs>
              <w:spacing w:after="80"/>
              <w:jc w:val="left"/>
            </w:pPr>
            <w:r w:rsidRPr="00B801F4">
              <w:t>Neuberger Berman</w:t>
            </w:r>
          </w:p>
        </w:tc>
        <w:tc>
          <w:tcPr>
            <w:tcW w:w="1276" w:type="dxa"/>
            <w:gridSpan w:val="5"/>
            <w:tcBorders>
              <w:top w:val="nil"/>
              <w:left w:val="nil"/>
              <w:bottom w:val="nil"/>
              <w:right w:val="nil"/>
            </w:tcBorders>
          </w:tcPr>
          <w:p w14:paraId="4DCB9A68" w14:textId="77777777" w:rsidR="00B801F4" w:rsidRPr="00B801F4" w:rsidRDefault="00B801F4" w:rsidP="00B801F4">
            <w:pPr>
              <w:tabs>
                <w:tab w:val="left" w:pos="1080"/>
              </w:tabs>
              <w:spacing w:after="80"/>
              <w:jc w:val="right"/>
            </w:pPr>
            <w:r w:rsidRPr="00B801F4">
              <w:t>58.8</w:t>
            </w:r>
          </w:p>
        </w:tc>
        <w:tc>
          <w:tcPr>
            <w:tcW w:w="1134" w:type="dxa"/>
            <w:gridSpan w:val="3"/>
            <w:tcBorders>
              <w:top w:val="nil"/>
              <w:left w:val="nil"/>
              <w:bottom w:val="nil"/>
              <w:right w:val="nil"/>
            </w:tcBorders>
          </w:tcPr>
          <w:p w14:paraId="16EF5868" w14:textId="77777777" w:rsidR="00B801F4" w:rsidRPr="00B801F4" w:rsidRDefault="00B801F4" w:rsidP="00B801F4">
            <w:pPr>
              <w:tabs>
                <w:tab w:val="left" w:pos="1080"/>
              </w:tabs>
              <w:spacing w:after="80"/>
              <w:jc w:val="right"/>
            </w:pPr>
            <w:r w:rsidRPr="00B801F4">
              <w:t>1.0%</w:t>
            </w:r>
          </w:p>
        </w:tc>
        <w:tc>
          <w:tcPr>
            <w:tcW w:w="1134" w:type="dxa"/>
            <w:gridSpan w:val="2"/>
            <w:tcBorders>
              <w:top w:val="nil"/>
              <w:left w:val="nil"/>
              <w:bottom w:val="nil"/>
              <w:right w:val="nil"/>
            </w:tcBorders>
          </w:tcPr>
          <w:p w14:paraId="771F5256" w14:textId="77777777" w:rsidR="00B801F4" w:rsidRPr="00B801F4" w:rsidRDefault="00B801F4" w:rsidP="00B801F4">
            <w:pPr>
              <w:tabs>
                <w:tab w:val="left" w:pos="1080"/>
              </w:tabs>
              <w:spacing w:after="80"/>
              <w:jc w:val="right"/>
            </w:pPr>
            <w:r w:rsidRPr="00B801F4">
              <w:t>35.5</w:t>
            </w:r>
          </w:p>
        </w:tc>
        <w:tc>
          <w:tcPr>
            <w:tcW w:w="1016" w:type="dxa"/>
            <w:gridSpan w:val="2"/>
            <w:tcBorders>
              <w:top w:val="nil"/>
              <w:left w:val="nil"/>
              <w:bottom w:val="nil"/>
              <w:right w:val="single" w:sz="4" w:space="0" w:color="auto"/>
            </w:tcBorders>
          </w:tcPr>
          <w:p w14:paraId="07A6B52A" w14:textId="77777777" w:rsidR="00B801F4" w:rsidRPr="00B801F4" w:rsidRDefault="00B801F4" w:rsidP="00B801F4">
            <w:pPr>
              <w:tabs>
                <w:tab w:val="left" w:pos="1080"/>
              </w:tabs>
              <w:spacing w:after="80"/>
              <w:jc w:val="right"/>
            </w:pPr>
            <w:r w:rsidRPr="00B801F4">
              <w:t>0.7%</w:t>
            </w:r>
          </w:p>
        </w:tc>
      </w:tr>
      <w:tr w:rsidR="00B801F4" w:rsidRPr="00B801F4" w14:paraId="5E57D824"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66283FDC" w14:textId="77777777" w:rsidR="00B801F4" w:rsidRPr="00B801F4" w:rsidRDefault="00B801F4" w:rsidP="00B801F4">
            <w:pPr>
              <w:tabs>
                <w:tab w:val="left" w:pos="1080"/>
              </w:tabs>
              <w:spacing w:after="80"/>
            </w:pPr>
          </w:p>
        </w:tc>
        <w:tc>
          <w:tcPr>
            <w:tcW w:w="2410" w:type="dxa"/>
            <w:gridSpan w:val="2"/>
            <w:tcBorders>
              <w:top w:val="nil"/>
              <w:left w:val="nil"/>
              <w:bottom w:val="nil"/>
              <w:right w:val="nil"/>
            </w:tcBorders>
          </w:tcPr>
          <w:p w14:paraId="3126C77F" w14:textId="77777777" w:rsidR="00B801F4" w:rsidRPr="00B801F4" w:rsidRDefault="00B801F4" w:rsidP="00B801F4">
            <w:pPr>
              <w:tabs>
                <w:tab w:val="left" w:pos="1080"/>
              </w:tabs>
              <w:spacing w:after="80"/>
              <w:jc w:val="left"/>
            </w:pPr>
            <w:r w:rsidRPr="00B801F4">
              <w:t>Pimco Bravo</w:t>
            </w:r>
          </w:p>
        </w:tc>
        <w:tc>
          <w:tcPr>
            <w:tcW w:w="1276" w:type="dxa"/>
            <w:gridSpan w:val="5"/>
            <w:tcBorders>
              <w:top w:val="nil"/>
              <w:left w:val="nil"/>
              <w:bottom w:val="nil"/>
              <w:right w:val="nil"/>
            </w:tcBorders>
          </w:tcPr>
          <w:p w14:paraId="37C00E2E" w14:textId="77777777" w:rsidR="00B801F4" w:rsidRPr="00B801F4" w:rsidRDefault="00B801F4" w:rsidP="00B801F4">
            <w:pPr>
              <w:tabs>
                <w:tab w:val="left" w:pos="1080"/>
              </w:tabs>
              <w:spacing w:after="80"/>
              <w:jc w:val="right"/>
            </w:pPr>
            <w:r w:rsidRPr="00B801F4">
              <w:t>28.9</w:t>
            </w:r>
          </w:p>
        </w:tc>
        <w:tc>
          <w:tcPr>
            <w:tcW w:w="1134" w:type="dxa"/>
            <w:gridSpan w:val="3"/>
            <w:tcBorders>
              <w:top w:val="nil"/>
              <w:left w:val="nil"/>
              <w:bottom w:val="nil"/>
              <w:right w:val="nil"/>
            </w:tcBorders>
          </w:tcPr>
          <w:p w14:paraId="5DECD9A5" w14:textId="77777777" w:rsidR="00B801F4" w:rsidRPr="00B801F4" w:rsidRDefault="00B801F4" w:rsidP="00B801F4">
            <w:pPr>
              <w:tabs>
                <w:tab w:val="left" w:pos="1080"/>
              </w:tabs>
              <w:spacing w:after="80"/>
              <w:jc w:val="right"/>
            </w:pPr>
            <w:r w:rsidRPr="00B801F4">
              <w:t>0.5%</w:t>
            </w:r>
          </w:p>
        </w:tc>
        <w:tc>
          <w:tcPr>
            <w:tcW w:w="1134" w:type="dxa"/>
            <w:gridSpan w:val="2"/>
            <w:tcBorders>
              <w:top w:val="nil"/>
              <w:left w:val="nil"/>
              <w:bottom w:val="nil"/>
              <w:right w:val="nil"/>
            </w:tcBorders>
          </w:tcPr>
          <w:p w14:paraId="62666E19" w14:textId="77777777" w:rsidR="00B801F4" w:rsidRPr="00B801F4" w:rsidRDefault="00B801F4" w:rsidP="00B801F4">
            <w:pPr>
              <w:tabs>
                <w:tab w:val="left" w:pos="1080"/>
              </w:tabs>
              <w:spacing w:after="80"/>
              <w:jc w:val="right"/>
            </w:pPr>
            <w:r w:rsidRPr="00B801F4">
              <w:t>8.5</w:t>
            </w:r>
          </w:p>
        </w:tc>
        <w:tc>
          <w:tcPr>
            <w:tcW w:w="1016" w:type="dxa"/>
            <w:gridSpan w:val="2"/>
            <w:tcBorders>
              <w:top w:val="nil"/>
              <w:left w:val="nil"/>
              <w:bottom w:val="nil"/>
              <w:right w:val="single" w:sz="4" w:space="0" w:color="auto"/>
            </w:tcBorders>
          </w:tcPr>
          <w:p w14:paraId="0E9AA926" w14:textId="77777777" w:rsidR="00B801F4" w:rsidRPr="00B801F4" w:rsidRDefault="00B801F4" w:rsidP="00B801F4">
            <w:pPr>
              <w:tabs>
                <w:tab w:val="left" w:pos="1080"/>
              </w:tabs>
              <w:spacing w:after="80"/>
              <w:jc w:val="right"/>
            </w:pPr>
            <w:r w:rsidRPr="00B801F4">
              <w:t>0.2%</w:t>
            </w:r>
          </w:p>
        </w:tc>
      </w:tr>
      <w:tr w:rsidR="00B801F4" w:rsidRPr="00B801F4" w14:paraId="262882B2"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single" w:sz="4" w:space="0" w:color="auto"/>
              <w:right w:val="nil"/>
            </w:tcBorders>
            <w:shd w:val="clear" w:color="auto" w:fill="E2EFD9" w:themeFill="accent6" w:themeFillTint="33"/>
          </w:tcPr>
          <w:p w14:paraId="6B0BC5E7" w14:textId="77777777" w:rsidR="00B801F4" w:rsidRPr="00B801F4" w:rsidRDefault="00B801F4" w:rsidP="00B801F4">
            <w:pPr>
              <w:tabs>
                <w:tab w:val="left" w:pos="1080"/>
              </w:tabs>
              <w:spacing w:after="80"/>
            </w:pPr>
          </w:p>
        </w:tc>
        <w:tc>
          <w:tcPr>
            <w:tcW w:w="2410" w:type="dxa"/>
            <w:gridSpan w:val="2"/>
            <w:tcBorders>
              <w:top w:val="nil"/>
              <w:left w:val="nil"/>
              <w:bottom w:val="single" w:sz="4" w:space="0" w:color="auto"/>
              <w:right w:val="nil"/>
            </w:tcBorders>
            <w:shd w:val="clear" w:color="auto" w:fill="E2EFD9" w:themeFill="accent6" w:themeFillTint="33"/>
          </w:tcPr>
          <w:p w14:paraId="3DB40D2E" w14:textId="77777777" w:rsidR="00B801F4" w:rsidRPr="00B801F4" w:rsidRDefault="00B801F4" w:rsidP="00B801F4">
            <w:pPr>
              <w:tabs>
                <w:tab w:val="left" w:pos="1080"/>
              </w:tabs>
              <w:spacing w:after="80"/>
            </w:pPr>
          </w:p>
        </w:tc>
        <w:tc>
          <w:tcPr>
            <w:tcW w:w="1276" w:type="dxa"/>
            <w:gridSpan w:val="5"/>
            <w:tcBorders>
              <w:top w:val="nil"/>
              <w:left w:val="nil"/>
              <w:bottom w:val="single" w:sz="4" w:space="0" w:color="auto"/>
              <w:right w:val="nil"/>
            </w:tcBorders>
            <w:shd w:val="clear" w:color="auto" w:fill="E2EFD9" w:themeFill="accent6" w:themeFillTint="33"/>
          </w:tcPr>
          <w:p w14:paraId="3F6A64AB" w14:textId="77777777" w:rsidR="00B801F4" w:rsidRPr="00B801F4" w:rsidRDefault="00B801F4" w:rsidP="00B801F4">
            <w:pPr>
              <w:tabs>
                <w:tab w:val="left" w:pos="1080"/>
              </w:tabs>
              <w:spacing w:after="80"/>
              <w:jc w:val="right"/>
              <w:rPr>
                <w:b/>
              </w:rPr>
            </w:pPr>
            <w:r w:rsidRPr="00B801F4">
              <w:rPr>
                <w:b/>
              </w:rPr>
              <w:t>1,236.0</w:t>
            </w:r>
          </w:p>
        </w:tc>
        <w:tc>
          <w:tcPr>
            <w:tcW w:w="1134" w:type="dxa"/>
            <w:gridSpan w:val="3"/>
            <w:tcBorders>
              <w:top w:val="nil"/>
              <w:left w:val="nil"/>
              <w:bottom w:val="single" w:sz="4" w:space="0" w:color="auto"/>
              <w:right w:val="nil"/>
            </w:tcBorders>
            <w:shd w:val="clear" w:color="auto" w:fill="E2EFD9" w:themeFill="accent6" w:themeFillTint="33"/>
          </w:tcPr>
          <w:p w14:paraId="6FA4CE7B" w14:textId="77777777" w:rsidR="00B801F4" w:rsidRPr="00B801F4" w:rsidRDefault="00B801F4" w:rsidP="00B801F4">
            <w:pPr>
              <w:tabs>
                <w:tab w:val="left" w:pos="1080"/>
              </w:tabs>
              <w:spacing w:after="80"/>
              <w:jc w:val="right"/>
              <w:rPr>
                <w:b/>
              </w:rPr>
            </w:pPr>
            <w:r w:rsidRPr="00B801F4">
              <w:rPr>
                <w:b/>
              </w:rPr>
              <w:t>21.3%</w:t>
            </w:r>
          </w:p>
        </w:tc>
        <w:tc>
          <w:tcPr>
            <w:tcW w:w="1134" w:type="dxa"/>
            <w:gridSpan w:val="2"/>
            <w:tcBorders>
              <w:top w:val="nil"/>
              <w:left w:val="nil"/>
              <w:bottom w:val="single" w:sz="4" w:space="0" w:color="auto"/>
              <w:right w:val="nil"/>
            </w:tcBorders>
            <w:shd w:val="clear" w:color="auto" w:fill="E2EFD9" w:themeFill="accent6" w:themeFillTint="33"/>
          </w:tcPr>
          <w:p w14:paraId="20924723" w14:textId="77777777" w:rsidR="00B801F4" w:rsidRPr="00B801F4" w:rsidRDefault="00B801F4" w:rsidP="00B801F4">
            <w:pPr>
              <w:tabs>
                <w:tab w:val="left" w:pos="1080"/>
              </w:tabs>
              <w:spacing w:after="80"/>
              <w:jc w:val="right"/>
              <w:rPr>
                <w:b/>
              </w:rPr>
            </w:pPr>
            <w:r w:rsidRPr="00B801F4">
              <w:rPr>
                <w:b/>
              </w:rPr>
              <w:t>769.6</w:t>
            </w:r>
          </w:p>
        </w:tc>
        <w:tc>
          <w:tcPr>
            <w:tcW w:w="1016" w:type="dxa"/>
            <w:gridSpan w:val="2"/>
            <w:tcBorders>
              <w:top w:val="nil"/>
              <w:left w:val="nil"/>
              <w:bottom w:val="single" w:sz="4" w:space="0" w:color="auto"/>
              <w:right w:val="single" w:sz="4" w:space="0" w:color="auto"/>
            </w:tcBorders>
            <w:shd w:val="clear" w:color="auto" w:fill="E2EFD9" w:themeFill="accent6" w:themeFillTint="33"/>
          </w:tcPr>
          <w:p w14:paraId="26BFC655" w14:textId="77777777" w:rsidR="00B801F4" w:rsidRPr="00B801F4" w:rsidRDefault="00B801F4" w:rsidP="00B801F4">
            <w:pPr>
              <w:tabs>
                <w:tab w:val="left" w:pos="1080"/>
              </w:tabs>
              <w:spacing w:after="80"/>
              <w:jc w:val="right"/>
              <w:rPr>
                <w:b/>
              </w:rPr>
            </w:pPr>
            <w:r w:rsidRPr="00B801F4">
              <w:rPr>
                <w:b/>
              </w:rPr>
              <w:t>14.9%</w:t>
            </w:r>
          </w:p>
        </w:tc>
      </w:tr>
      <w:tr w:rsidR="00B801F4" w:rsidRPr="00B801F4" w14:paraId="6BC25C11" w14:textId="77777777" w:rsidTr="00B801F4">
        <w:tblPrEx>
          <w:tblBorders>
            <w:insideH w:val="single" w:sz="4" w:space="0" w:color="auto"/>
            <w:insideV w:val="single" w:sz="4" w:space="0" w:color="auto"/>
          </w:tblBorders>
        </w:tblPrEx>
        <w:trPr>
          <w:gridAfter w:val="1"/>
          <w:wAfter w:w="230" w:type="dxa"/>
        </w:trPr>
        <w:tc>
          <w:tcPr>
            <w:tcW w:w="2693" w:type="dxa"/>
            <w:gridSpan w:val="2"/>
            <w:tcBorders>
              <w:top w:val="single" w:sz="4" w:space="0" w:color="auto"/>
              <w:left w:val="single" w:sz="4" w:space="0" w:color="auto"/>
              <w:bottom w:val="nil"/>
              <w:right w:val="nil"/>
            </w:tcBorders>
            <w:shd w:val="clear" w:color="auto" w:fill="70AD47" w:themeFill="accent6"/>
          </w:tcPr>
          <w:p w14:paraId="7B2ABC01" w14:textId="77777777" w:rsidR="00B801F4" w:rsidRPr="00B801F4" w:rsidRDefault="00B801F4" w:rsidP="00B801F4">
            <w:pPr>
              <w:rPr>
                <w:b/>
              </w:rPr>
            </w:pPr>
          </w:p>
        </w:tc>
        <w:tc>
          <w:tcPr>
            <w:tcW w:w="3119" w:type="dxa"/>
            <w:gridSpan w:val="3"/>
            <w:tcBorders>
              <w:top w:val="single" w:sz="4" w:space="0" w:color="auto"/>
              <w:left w:val="nil"/>
              <w:bottom w:val="nil"/>
              <w:right w:val="nil"/>
            </w:tcBorders>
            <w:shd w:val="clear" w:color="auto" w:fill="70AD47" w:themeFill="accent6"/>
          </w:tcPr>
          <w:p w14:paraId="317B6E4C" w14:textId="77777777" w:rsidR="00B801F4" w:rsidRPr="00B801F4" w:rsidRDefault="00B801F4" w:rsidP="00B801F4">
            <w:pPr>
              <w:rPr>
                <w:b/>
              </w:rPr>
            </w:pPr>
          </w:p>
        </w:tc>
        <w:tc>
          <w:tcPr>
            <w:tcW w:w="1276" w:type="dxa"/>
            <w:gridSpan w:val="5"/>
            <w:tcBorders>
              <w:top w:val="single" w:sz="4" w:space="0" w:color="auto"/>
              <w:left w:val="nil"/>
              <w:bottom w:val="nil"/>
              <w:right w:val="nil"/>
            </w:tcBorders>
            <w:shd w:val="clear" w:color="auto" w:fill="70AD47" w:themeFill="accent6"/>
          </w:tcPr>
          <w:p w14:paraId="67431DDE" w14:textId="77777777" w:rsidR="00B801F4" w:rsidRPr="00B801F4" w:rsidRDefault="00B801F4" w:rsidP="00B801F4">
            <w:pPr>
              <w:jc w:val="center"/>
              <w:rPr>
                <w:b/>
              </w:rPr>
            </w:pPr>
          </w:p>
          <w:p w14:paraId="14DDB9B3" w14:textId="77777777" w:rsidR="00B801F4" w:rsidRPr="00B801F4" w:rsidRDefault="00B801F4" w:rsidP="00B801F4">
            <w:pPr>
              <w:jc w:val="center"/>
              <w:rPr>
                <w:b/>
              </w:rPr>
            </w:pPr>
            <w:r w:rsidRPr="00B801F4">
              <w:rPr>
                <w:b/>
              </w:rPr>
              <w:t>31/3/15</w:t>
            </w:r>
          </w:p>
        </w:tc>
        <w:tc>
          <w:tcPr>
            <w:tcW w:w="1134" w:type="dxa"/>
            <w:gridSpan w:val="3"/>
            <w:tcBorders>
              <w:top w:val="single" w:sz="4" w:space="0" w:color="auto"/>
              <w:left w:val="nil"/>
              <w:bottom w:val="nil"/>
              <w:right w:val="nil"/>
            </w:tcBorders>
            <w:shd w:val="clear" w:color="auto" w:fill="70AD47" w:themeFill="accent6"/>
          </w:tcPr>
          <w:p w14:paraId="1929B8A9" w14:textId="77777777" w:rsidR="00B801F4" w:rsidRPr="00B801F4" w:rsidRDefault="00B801F4" w:rsidP="00B801F4">
            <w:pPr>
              <w:jc w:val="center"/>
              <w:rPr>
                <w:b/>
              </w:rPr>
            </w:pPr>
          </w:p>
          <w:p w14:paraId="709DDA72" w14:textId="77777777" w:rsidR="00B801F4" w:rsidRPr="00B801F4" w:rsidRDefault="00B801F4" w:rsidP="00B801F4">
            <w:pPr>
              <w:jc w:val="center"/>
              <w:rPr>
                <w:b/>
              </w:rPr>
            </w:pPr>
            <w:r w:rsidRPr="00B801F4">
              <w:rPr>
                <w:b/>
              </w:rPr>
              <w:t>%</w:t>
            </w:r>
          </w:p>
        </w:tc>
        <w:tc>
          <w:tcPr>
            <w:tcW w:w="1134" w:type="dxa"/>
            <w:gridSpan w:val="2"/>
            <w:tcBorders>
              <w:top w:val="single" w:sz="4" w:space="0" w:color="auto"/>
              <w:left w:val="nil"/>
              <w:bottom w:val="nil"/>
              <w:right w:val="nil"/>
            </w:tcBorders>
            <w:shd w:val="clear" w:color="auto" w:fill="70AD47" w:themeFill="accent6"/>
          </w:tcPr>
          <w:p w14:paraId="72D24A50" w14:textId="77777777" w:rsidR="00B801F4" w:rsidRPr="00B801F4" w:rsidRDefault="00B801F4" w:rsidP="00B801F4">
            <w:pPr>
              <w:jc w:val="center"/>
              <w:rPr>
                <w:b/>
              </w:rPr>
            </w:pPr>
          </w:p>
          <w:p w14:paraId="0879C57E" w14:textId="77777777" w:rsidR="00B801F4" w:rsidRPr="00B801F4" w:rsidRDefault="00B801F4" w:rsidP="00B801F4">
            <w:pPr>
              <w:jc w:val="center"/>
              <w:rPr>
                <w:b/>
              </w:rPr>
            </w:pPr>
            <w:r w:rsidRPr="00B801F4">
              <w:rPr>
                <w:b/>
              </w:rPr>
              <w:t>31/3/14</w:t>
            </w:r>
          </w:p>
        </w:tc>
        <w:tc>
          <w:tcPr>
            <w:tcW w:w="1016" w:type="dxa"/>
            <w:gridSpan w:val="2"/>
            <w:tcBorders>
              <w:top w:val="single" w:sz="4" w:space="0" w:color="auto"/>
              <w:left w:val="nil"/>
              <w:bottom w:val="nil"/>
              <w:right w:val="single" w:sz="4" w:space="0" w:color="auto"/>
            </w:tcBorders>
            <w:shd w:val="clear" w:color="auto" w:fill="70AD47" w:themeFill="accent6"/>
          </w:tcPr>
          <w:p w14:paraId="429A31F0" w14:textId="77777777" w:rsidR="00B801F4" w:rsidRPr="00B801F4" w:rsidRDefault="00B801F4" w:rsidP="00B801F4">
            <w:pPr>
              <w:jc w:val="center"/>
              <w:rPr>
                <w:b/>
              </w:rPr>
            </w:pPr>
          </w:p>
          <w:p w14:paraId="307AA2C0" w14:textId="77777777" w:rsidR="00B801F4" w:rsidRPr="00B801F4" w:rsidRDefault="00B801F4" w:rsidP="00B801F4">
            <w:pPr>
              <w:jc w:val="center"/>
              <w:rPr>
                <w:b/>
              </w:rPr>
            </w:pPr>
            <w:r w:rsidRPr="00B801F4">
              <w:rPr>
                <w:b/>
              </w:rPr>
              <w:t>%</w:t>
            </w:r>
          </w:p>
        </w:tc>
      </w:tr>
      <w:tr w:rsidR="00B801F4" w:rsidRPr="00B801F4" w14:paraId="2F623C92" w14:textId="77777777" w:rsidTr="00B801F4">
        <w:tblPrEx>
          <w:tblBorders>
            <w:insideH w:val="single" w:sz="4" w:space="0" w:color="auto"/>
            <w:insideV w:val="single" w:sz="4" w:space="0" w:color="auto"/>
          </w:tblBorders>
        </w:tblPrEx>
        <w:trPr>
          <w:gridAfter w:val="1"/>
          <w:wAfter w:w="230" w:type="dxa"/>
        </w:trPr>
        <w:tc>
          <w:tcPr>
            <w:tcW w:w="2693" w:type="dxa"/>
            <w:gridSpan w:val="2"/>
            <w:tcBorders>
              <w:top w:val="nil"/>
              <w:left w:val="single" w:sz="4" w:space="0" w:color="auto"/>
              <w:bottom w:val="nil"/>
              <w:right w:val="nil"/>
            </w:tcBorders>
            <w:shd w:val="clear" w:color="auto" w:fill="70AD47" w:themeFill="accent6"/>
          </w:tcPr>
          <w:p w14:paraId="1A52DA7C" w14:textId="77777777" w:rsidR="00B801F4" w:rsidRPr="00B801F4" w:rsidRDefault="00B801F4" w:rsidP="00B801F4">
            <w:pPr>
              <w:rPr>
                <w:b/>
              </w:rPr>
            </w:pPr>
          </w:p>
        </w:tc>
        <w:tc>
          <w:tcPr>
            <w:tcW w:w="3119" w:type="dxa"/>
            <w:gridSpan w:val="3"/>
            <w:tcBorders>
              <w:top w:val="nil"/>
              <w:left w:val="nil"/>
              <w:bottom w:val="nil"/>
              <w:right w:val="nil"/>
            </w:tcBorders>
            <w:shd w:val="clear" w:color="auto" w:fill="70AD47" w:themeFill="accent6"/>
          </w:tcPr>
          <w:p w14:paraId="77948682" w14:textId="77777777" w:rsidR="00B801F4" w:rsidRPr="00B801F4" w:rsidRDefault="00B801F4" w:rsidP="00B801F4">
            <w:pPr>
              <w:rPr>
                <w:b/>
              </w:rPr>
            </w:pPr>
          </w:p>
        </w:tc>
        <w:tc>
          <w:tcPr>
            <w:tcW w:w="1276" w:type="dxa"/>
            <w:gridSpan w:val="5"/>
            <w:tcBorders>
              <w:top w:val="nil"/>
              <w:left w:val="nil"/>
              <w:bottom w:val="nil"/>
              <w:right w:val="nil"/>
            </w:tcBorders>
            <w:shd w:val="clear" w:color="auto" w:fill="70AD47" w:themeFill="accent6"/>
          </w:tcPr>
          <w:p w14:paraId="17F923AA" w14:textId="77777777" w:rsidR="00B801F4" w:rsidRPr="00B801F4" w:rsidRDefault="00B801F4" w:rsidP="00B801F4">
            <w:pPr>
              <w:jc w:val="center"/>
              <w:rPr>
                <w:b/>
              </w:rPr>
            </w:pPr>
            <w:r w:rsidRPr="00B801F4">
              <w:rPr>
                <w:b/>
              </w:rPr>
              <w:t>£m</w:t>
            </w:r>
          </w:p>
        </w:tc>
        <w:tc>
          <w:tcPr>
            <w:tcW w:w="1134" w:type="dxa"/>
            <w:gridSpan w:val="3"/>
            <w:tcBorders>
              <w:top w:val="nil"/>
              <w:left w:val="nil"/>
              <w:bottom w:val="nil"/>
              <w:right w:val="nil"/>
            </w:tcBorders>
            <w:shd w:val="clear" w:color="auto" w:fill="70AD47" w:themeFill="accent6"/>
          </w:tcPr>
          <w:p w14:paraId="4BD9DCBE" w14:textId="77777777" w:rsidR="00B801F4" w:rsidRPr="00B801F4" w:rsidRDefault="00B801F4" w:rsidP="00B801F4">
            <w:pPr>
              <w:rPr>
                <w:b/>
              </w:rPr>
            </w:pPr>
          </w:p>
        </w:tc>
        <w:tc>
          <w:tcPr>
            <w:tcW w:w="1134" w:type="dxa"/>
            <w:gridSpan w:val="2"/>
            <w:tcBorders>
              <w:top w:val="nil"/>
              <w:left w:val="nil"/>
              <w:bottom w:val="nil"/>
              <w:right w:val="nil"/>
            </w:tcBorders>
            <w:shd w:val="clear" w:color="auto" w:fill="70AD47" w:themeFill="accent6"/>
          </w:tcPr>
          <w:p w14:paraId="7FF63066" w14:textId="77777777" w:rsidR="00B801F4" w:rsidRPr="00B801F4" w:rsidRDefault="00B801F4" w:rsidP="00B801F4">
            <w:pPr>
              <w:jc w:val="center"/>
              <w:rPr>
                <w:b/>
              </w:rPr>
            </w:pPr>
            <w:r w:rsidRPr="00B801F4">
              <w:rPr>
                <w:b/>
              </w:rPr>
              <w:t>£m</w:t>
            </w:r>
          </w:p>
        </w:tc>
        <w:tc>
          <w:tcPr>
            <w:tcW w:w="1016" w:type="dxa"/>
            <w:gridSpan w:val="2"/>
            <w:tcBorders>
              <w:top w:val="nil"/>
              <w:left w:val="nil"/>
              <w:bottom w:val="nil"/>
              <w:right w:val="single" w:sz="4" w:space="0" w:color="auto"/>
            </w:tcBorders>
            <w:shd w:val="clear" w:color="auto" w:fill="70AD47" w:themeFill="accent6"/>
          </w:tcPr>
          <w:p w14:paraId="22ABAEEB" w14:textId="77777777" w:rsidR="00B801F4" w:rsidRPr="00B801F4" w:rsidRDefault="00B801F4" w:rsidP="00B801F4">
            <w:pPr>
              <w:jc w:val="center"/>
              <w:rPr>
                <w:b/>
              </w:rPr>
            </w:pPr>
          </w:p>
        </w:tc>
      </w:tr>
      <w:tr w:rsidR="00B801F4" w:rsidRPr="00B801F4" w14:paraId="1CCC97CD" w14:textId="77777777" w:rsidTr="00B801F4">
        <w:tblPrEx>
          <w:tblBorders>
            <w:insideH w:val="single" w:sz="4" w:space="0" w:color="auto"/>
            <w:insideV w:val="single" w:sz="4" w:space="0" w:color="auto"/>
          </w:tblBorders>
        </w:tblPrEx>
        <w:trPr>
          <w:gridAfter w:val="1"/>
          <w:wAfter w:w="230" w:type="dxa"/>
        </w:trPr>
        <w:tc>
          <w:tcPr>
            <w:tcW w:w="10372" w:type="dxa"/>
            <w:gridSpan w:val="17"/>
            <w:tcBorders>
              <w:top w:val="single" w:sz="4" w:space="0" w:color="auto"/>
              <w:bottom w:val="single" w:sz="4" w:space="0" w:color="auto"/>
            </w:tcBorders>
            <w:shd w:val="clear" w:color="auto" w:fill="C5E0B3" w:themeFill="accent6" w:themeFillTint="66"/>
          </w:tcPr>
          <w:p w14:paraId="66BA86A7" w14:textId="77777777" w:rsidR="00B801F4" w:rsidRPr="00B801F4" w:rsidRDefault="00B801F4" w:rsidP="00B801F4">
            <w:pPr>
              <w:tabs>
                <w:tab w:val="left" w:pos="1080"/>
              </w:tabs>
              <w:spacing w:after="80"/>
              <w:jc w:val="left"/>
              <w:rPr>
                <w:b/>
              </w:rPr>
            </w:pPr>
            <w:r w:rsidRPr="00B801F4">
              <w:rPr>
                <w:b/>
              </w:rPr>
              <w:t>Liquid credit (cash and bonds)</w:t>
            </w:r>
          </w:p>
        </w:tc>
      </w:tr>
      <w:tr w:rsidR="00B801F4" w:rsidRPr="00B801F4" w14:paraId="4BEA95E7"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single" w:sz="4" w:space="0" w:color="auto"/>
              <w:left w:val="single" w:sz="4" w:space="0" w:color="auto"/>
              <w:bottom w:val="nil"/>
              <w:right w:val="nil"/>
            </w:tcBorders>
          </w:tcPr>
          <w:p w14:paraId="6FE852DC" w14:textId="77777777" w:rsidR="00B801F4" w:rsidRPr="00B801F4" w:rsidRDefault="00B801F4" w:rsidP="00B801F4">
            <w:pPr>
              <w:tabs>
                <w:tab w:val="left" w:pos="1080"/>
              </w:tabs>
              <w:spacing w:after="80"/>
            </w:pPr>
            <w:r w:rsidRPr="00B801F4">
              <w:t>External managers</w:t>
            </w:r>
          </w:p>
        </w:tc>
        <w:tc>
          <w:tcPr>
            <w:tcW w:w="2410" w:type="dxa"/>
            <w:gridSpan w:val="2"/>
            <w:tcBorders>
              <w:top w:val="single" w:sz="4" w:space="0" w:color="auto"/>
              <w:left w:val="nil"/>
              <w:bottom w:val="nil"/>
              <w:right w:val="nil"/>
            </w:tcBorders>
          </w:tcPr>
          <w:p w14:paraId="3EBFB563" w14:textId="77777777" w:rsidR="00B801F4" w:rsidRPr="00B801F4" w:rsidRDefault="00B801F4" w:rsidP="00B801F4">
            <w:pPr>
              <w:tabs>
                <w:tab w:val="left" w:pos="1080"/>
              </w:tabs>
              <w:spacing w:after="80"/>
              <w:jc w:val="left"/>
            </w:pPr>
            <w:r w:rsidRPr="00B801F4">
              <w:t>Babson</w:t>
            </w:r>
          </w:p>
        </w:tc>
        <w:tc>
          <w:tcPr>
            <w:tcW w:w="1276" w:type="dxa"/>
            <w:gridSpan w:val="5"/>
            <w:tcBorders>
              <w:top w:val="single" w:sz="4" w:space="0" w:color="auto"/>
              <w:left w:val="nil"/>
              <w:bottom w:val="nil"/>
              <w:right w:val="nil"/>
            </w:tcBorders>
          </w:tcPr>
          <w:p w14:paraId="5B9E6D5B" w14:textId="77777777" w:rsidR="00B801F4" w:rsidRPr="00B801F4" w:rsidRDefault="00B801F4" w:rsidP="00B801F4">
            <w:pPr>
              <w:tabs>
                <w:tab w:val="left" w:pos="1080"/>
              </w:tabs>
              <w:spacing w:after="80"/>
              <w:jc w:val="right"/>
            </w:pPr>
            <w:r w:rsidRPr="00B801F4">
              <w:t>226.9</w:t>
            </w:r>
          </w:p>
        </w:tc>
        <w:tc>
          <w:tcPr>
            <w:tcW w:w="1134" w:type="dxa"/>
            <w:gridSpan w:val="3"/>
            <w:tcBorders>
              <w:top w:val="single" w:sz="4" w:space="0" w:color="auto"/>
              <w:left w:val="nil"/>
              <w:bottom w:val="nil"/>
              <w:right w:val="nil"/>
            </w:tcBorders>
          </w:tcPr>
          <w:p w14:paraId="67D62674" w14:textId="77777777" w:rsidR="00B801F4" w:rsidRPr="00B801F4" w:rsidRDefault="00B801F4" w:rsidP="00B801F4">
            <w:pPr>
              <w:tabs>
                <w:tab w:val="left" w:pos="1080"/>
              </w:tabs>
              <w:spacing w:after="80"/>
              <w:jc w:val="right"/>
            </w:pPr>
            <w:r w:rsidRPr="00B801F4">
              <w:t>3.9%</w:t>
            </w:r>
          </w:p>
        </w:tc>
        <w:tc>
          <w:tcPr>
            <w:tcW w:w="1134" w:type="dxa"/>
            <w:gridSpan w:val="2"/>
            <w:tcBorders>
              <w:top w:val="single" w:sz="4" w:space="0" w:color="auto"/>
              <w:left w:val="nil"/>
              <w:bottom w:val="nil"/>
              <w:right w:val="nil"/>
            </w:tcBorders>
          </w:tcPr>
          <w:p w14:paraId="1D8E2DA6" w14:textId="77777777" w:rsidR="00B801F4" w:rsidRPr="00B801F4" w:rsidRDefault="00B801F4" w:rsidP="00B801F4">
            <w:pPr>
              <w:tabs>
                <w:tab w:val="left" w:pos="1080"/>
              </w:tabs>
              <w:spacing w:after="80"/>
              <w:jc w:val="right"/>
            </w:pPr>
            <w:r w:rsidRPr="00B801F4">
              <w:t>60.0</w:t>
            </w:r>
          </w:p>
        </w:tc>
        <w:tc>
          <w:tcPr>
            <w:tcW w:w="1016" w:type="dxa"/>
            <w:gridSpan w:val="2"/>
            <w:tcBorders>
              <w:top w:val="single" w:sz="4" w:space="0" w:color="auto"/>
              <w:left w:val="nil"/>
              <w:bottom w:val="nil"/>
              <w:right w:val="single" w:sz="4" w:space="0" w:color="auto"/>
            </w:tcBorders>
          </w:tcPr>
          <w:p w14:paraId="7279F64B" w14:textId="77777777" w:rsidR="00B801F4" w:rsidRPr="00B801F4" w:rsidRDefault="00B801F4" w:rsidP="00B801F4">
            <w:pPr>
              <w:tabs>
                <w:tab w:val="left" w:pos="1080"/>
              </w:tabs>
              <w:spacing w:after="80"/>
              <w:jc w:val="right"/>
            </w:pPr>
            <w:r w:rsidRPr="00B801F4">
              <w:t>1.2%</w:t>
            </w:r>
          </w:p>
        </w:tc>
      </w:tr>
      <w:tr w:rsidR="00B801F4" w:rsidRPr="00B801F4" w14:paraId="6668BE1C"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0185A619" w14:textId="77777777" w:rsidR="00B801F4" w:rsidRPr="00B801F4" w:rsidRDefault="00B801F4" w:rsidP="00B801F4">
            <w:pPr>
              <w:tabs>
                <w:tab w:val="left" w:pos="1080"/>
              </w:tabs>
              <w:spacing w:after="80"/>
            </w:pPr>
          </w:p>
        </w:tc>
        <w:tc>
          <w:tcPr>
            <w:tcW w:w="2268" w:type="dxa"/>
            <w:tcBorders>
              <w:top w:val="nil"/>
              <w:left w:val="nil"/>
              <w:bottom w:val="nil"/>
              <w:right w:val="nil"/>
            </w:tcBorders>
          </w:tcPr>
          <w:p w14:paraId="7F41C520" w14:textId="77777777" w:rsidR="00B801F4" w:rsidRPr="00B801F4" w:rsidRDefault="00B801F4" w:rsidP="00B801F4">
            <w:pPr>
              <w:tabs>
                <w:tab w:val="left" w:pos="1080"/>
              </w:tabs>
              <w:spacing w:after="80"/>
              <w:jc w:val="left"/>
            </w:pPr>
            <w:r w:rsidRPr="00B801F4">
              <w:t>ING</w:t>
            </w:r>
          </w:p>
        </w:tc>
        <w:tc>
          <w:tcPr>
            <w:tcW w:w="1418" w:type="dxa"/>
            <w:gridSpan w:val="6"/>
            <w:tcBorders>
              <w:top w:val="nil"/>
              <w:left w:val="nil"/>
              <w:bottom w:val="nil"/>
              <w:right w:val="nil"/>
            </w:tcBorders>
          </w:tcPr>
          <w:p w14:paraId="193457BC" w14:textId="77777777" w:rsidR="00B801F4" w:rsidRPr="00B801F4" w:rsidRDefault="00B801F4" w:rsidP="00B801F4">
            <w:pPr>
              <w:tabs>
                <w:tab w:val="left" w:pos="1080"/>
              </w:tabs>
              <w:spacing w:after="80"/>
              <w:jc w:val="right"/>
            </w:pPr>
            <w:r w:rsidRPr="00B801F4">
              <w:t>181.9</w:t>
            </w:r>
          </w:p>
        </w:tc>
        <w:tc>
          <w:tcPr>
            <w:tcW w:w="1134" w:type="dxa"/>
            <w:gridSpan w:val="3"/>
            <w:tcBorders>
              <w:top w:val="nil"/>
              <w:left w:val="nil"/>
              <w:bottom w:val="nil"/>
              <w:right w:val="nil"/>
            </w:tcBorders>
          </w:tcPr>
          <w:p w14:paraId="08169719" w14:textId="77777777" w:rsidR="00B801F4" w:rsidRPr="00B801F4" w:rsidRDefault="00B801F4" w:rsidP="00B801F4">
            <w:pPr>
              <w:tabs>
                <w:tab w:val="left" w:pos="1080"/>
              </w:tabs>
              <w:spacing w:after="80"/>
              <w:jc w:val="right"/>
            </w:pPr>
            <w:r w:rsidRPr="00B801F4">
              <w:t>3.1%</w:t>
            </w:r>
          </w:p>
        </w:tc>
        <w:tc>
          <w:tcPr>
            <w:tcW w:w="1134" w:type="dxa"/>
            <w:gridSpan w:val="2"/>
            <w:tcBorders>
              <w:top w:val="nil"/>
              <w:left w:val="nil"/>
              <w:bottom w:val="nil"/>
              <w:right w:val="nil"/>
            </w:tcBorders>
          </w:tcPr>
          <w:p w14:paraId="65AF5EB7" w14:textId="77777777" w:rsidR="00B801F4" w:rsidRPr="00B801F4" w:rsidRDefault="00B801F4" w:rsidP="00B801F4">
            <w:pPr>
              <w:tabs>
                <w:tab w:val="left" w:pos="1080"/>
              </w:tabs>
              <w:spacing w:after="80"/>
              <w:jc w:val="right"/>
            </w:pPr>
            <w:r w:rsidRPr="00B801F4">
              <w:t>206.6</w:t>
            </w:r>
          </w:p>
        </w:tc>
        <w:tc>
          <w:tcPr>
            <w:tcW w:w="1016" w:type="dxa"/>
            <w:gridSpan w:val="2"/>
            <w:tcBorders>
              <w:top w:val="nil"/>
              <w:left w:val="nil"/>
              <w:bottom w:val="nil"/>
              <w:right w:val="single" w:sz="4" w:space="0" w:color="auto"/>
            </w:tcBorders>
          </w:tcPr>
          <w:p w14:paraId="13D17B02" w14:textId="77777777" w:rsidR="00B801F4" w:rsidRPr="00B801F4" w:rsidRDefault="00B801F4" w:rsidP="00B801F4">
            <w:pPr>
              <w:tabs>
                <w:tab w:val="left" w:pos="1080"/>
              </w:tabs>
              <w:spacing w:after="80"/>
              <w:jc w:val="right"/>
            </w:pPr>
            <w:r w:rsidRPr="00B801F4">
              <w:t>4.0%</w:t>
            </w:r>
          </w:p>
        </w:tc>
      </w:tr>
      <w:tr w:rsidR="00B801F4" w:rsidRPr="00B801F4" w14:paraId="59135492"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5B5235D3" w14:textId="77777777" w:rsidR="00B801F4" w:rsidRPr="00B801F4" w:rsidRDefault="00B801F4" w:rsidP="00B801F4">
            <w:pPr>
              <w:tabs>
                <w:tab w:val="left" w:pos="1080"/>
              </w:tabs>
              <w:spacing w:after="80"/>
            </w:pPr>
          </w:p>
        </w:tc>
        <w:tc>
          <w:tcPr>
            <w:tcW w:w="2268" w:type="dxa"/>
            <w:tcBorders>
              <w:top w:val="nil"/>
              <w:left w:val="nil"/>
              <w:bottom w:val="nil"/>
              <w:right w:val="nil"/>
            </w:tcBorders>
          </w:tcPr>
          <w:p w14:paraId="7BE7D0F1" w14:textId="77777777" w:rsidR="00B801F4" w:rsidRPr="00B801F4" w:rsidRDefault="00B801F4" w:rsidP="00B801F4">
            <w:pPr>
              <w:tabs>
                <w:tab w:val="left" w:pos="1080"/>
              </w:tabs>
              <w:spacing w:after="80"/>
              <w:jc w:val="left"/>
            </w:pPr>
            <w:r w:rsidRPr="00B801F4">
              <w:t>Janus</w:t>
            </w:r>
          </w:p>
        </w:tc>
        <w:tc>
          <w:tcPr>
            <w:tcW w:w="1418" w:type="dxa"/>
            <w:gridSpan w:val="6"/>
            <w:tcBorders>
              <w:top w:val="nil"/>
              <w:left w:val="nil"/>
              <w:bottom w:val="nil"/>
              <w:right w:val="nil"/>
            </w:tcBorders>
          </w:tcPr>
          <w:p w14:paraId="07479FF8" w14:textId="77777777" w:rsidR="00B801F4" w:rsidRPr="00B801F4" w:rsidRDefault="00B801F4" w:rsidP="00B801F4">
            <w:pPr>
              <w:tabs>
                <w:tab w:val="left" w:pos="1080"/>
              </w:tabs>
              <w:spacing w:after="80"/>
              <w:jc w:val="right"/>
            </w:pPr>
            <w:r w:rsidRPr="00B801F4">
              <w:t>0.0</w:t>
            </w:r>
          </w:p>
        </w:tc>
        <w:tc>
          <w:tcPr>
            <w:tcW w:w="1134" w:type="dxa"/>
            <w:gridSpan w:val="3"/>
            <w:tcBorders>
              <w:top w:val="nil"/>
              <w:left w:val="nil"/>
              <w:bottom w:val="nil"/>
              <w:right w:val="nil"/>
            </w:tcBorders>
          </w:tcPr>
          <w:p w14:paraId="61D0AEA7" w14:textId="77777777" w:rsidR="00B801F4" w:rsidRPr="00B801F4" w:rsidRDefault="00B801F4" w:rsidP="00B801F4">
            <w:pPr>
              <w:tabs>
                <w:tab w:val="left" w:pos="1080"/>
              </w:tabs>
              <w:spacing w:after="80"/>
              <w:jc w:val="right"/>
            </w:pPr>
            <w:r w:rsidRPr="00B801F4">
              <w:t>0.0%</w:t>
            </w:r>
          </w:p>
        </w:tc>
        <w:tc>
          <w:tcPr>
            <w:tcW w:w="1134" w:type="dxa"/>
            <w:gridSpan w:val="2"/>
            <w:tcBorders>
              <w:top w:val="nil"/>
              <w:left w:val="nil"/>
              <w:bottom w:val="nil"/>
              <w:right w:val="nil"/>
            </w:tcBorders>
          </w:tcPr>
          <w:p w14:paraId="1DC93A66" w14:textId="77777777" w:rsidR="00B801F4" w:rsidRPr="00B801F4" w:rsidRDefault="00B801F4" w:rsidP="00B801F4">
            <w:pPr>
              <w:tabs>
                <w:tab w:val="left" w:pos="1080"/>
              </w:tabs>
              <w:spacing w:after="80"/>
              <w:jc w:val="right"/>
            </w:pPr>
            <w:r w:rsidRPr="00B801F4">
              <w:t>120.1</w:t>
            </w:r>
          </w:p>
        </w:tc>
        <w:tc>
          <w:tcPr>
            <w:tcW w:w="1016" w:type="dxa"/>
            <w:gridSpan w:val="2"/>
            <w:tcBorders>
              <w:top w:val="nil"/>
              <w:left w:val="nil"/>
              <w:bottom w:val="nil"/>
              <w:right w:val="single" w:sz="4" w:space="0" w:color="auto"/>
            </w:tcBorders>
          </w:tcPr>
          <w:p w14:paraId="4BD22CF3" w14:textId="77777777" w:rsidR="00B801F4" w:rsidRPr="00B801F4" w:rsidRDefault="00B801F4" w:rsidP="00B801F4">
            <w:pPr>
              <w:tabs>
                <w:tab w:val="left" w:pos="1080"/>
              </w:tabs>
              <w:spacing w:after="80"/>
              <w:jc w:val="right"/>
            </w:pPr>
            <w:r w:rsidRPr="00B801F4">
              <w:t>2.3%</w:t>
            </w:r>
          </w:p>
        </w:tc>
      </w:tr>
      <w:tr w:rsidR="00B801F4" w:rsidRPr="00B801F4" w14:paraId="4076164F"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55A04D43" w14:textId="77777777" w:rsidR="00B801F4" w:rsidRPr="00B801F4" w:rsidRDefault="00B801F4" w:rsidP="00B801F4">
            <w:pPr>
              <w:tabs>
                <w:tab w:val="left" w:pos="1080"/>
              </w:tabs>
              <w:spacing w:after="80"/>
            </w:pPr>
          </w:p>
        </w:tc>
        <w:tc>
          <w:tcPr>
            <w:tcW w:w="2268" w:type="dxa"/>
            <w:tcBorders>
              <w:top w:val="nil"/>
              <w:left w:val="nil"/>
              <w:bottom w:val="nil"/>
              <w:right w:val="nil"/>
            </w:tcBorders>
          </w:tcPr>
          <w:p w14:paraId="01C0F695" w14:textId="77777777" w:rsidR="00B801F4" w:rsidRPr="00B801F4" w:rsidRDefault="00B801F4" w:rsidP="00B801F4">
            <w:pPr>
              <w:tabs>
                <w:tab w:val="left" w:pos="1080"/>
              </w:tabs>
              <w:spacing w:after="80"/>
              <w:jc w:val="left"/>
            </w:pPr>
            <w:r w:rsidRPr="00B801F4">
              <w:t>JP Morgan</w:t>
            </w:r>
          </w:p>
        </w:tc>
        <w:tc>
          <w:tcPr>
            <w:tcW w:w="1418" w:type="dxa"/>
            <w:gridSpan w:val="6"/>
            <w:tcBorders>
              <w:top w:val="nil"/>
              <w:left w:val="nil"/>
              <w:bottom w:val="nil"/>
              <w:right w:val="nil"/>
            </w:tcBorders>
          </w:tcPr>
          <w:p w14:paraId="62C0738A" w14:textId="77777777" w:rsidR="00B801F4" w:rsidRPr="00B801F4" w:rsidRDefault="00B801F4" w:rsidP="00B801F4">
            <w:pPr>
              <w:tabs>
                <w:tab w:val="left" w:pos="1080"/>
              </w:tabs>
              <w:spacing w:after="80"/>
              <w:jc w:val="right"/>
            </w:pPr>
            <w:r w:rsidRPr="00B801F4">
              <w:t>0.0</w:t>
            </w:r>
          </w:p>
        </w:tc>
        <w:tc>
          <w:tcPr>
            <w:tcW w:w="1134" w:type="dxa"/>
            <w:gridSpan w:val="3"/>
            <w:tcBorders>
              <w:top w:val="nil"/>
              <w:left w:val="nil"/>
              <w:bottom w:val="nil"/>
              <w:right w:val="nil"/>
            </w:tcBorders>
          </w:tcPr>
          <w:p w14:paraId="0C1D64EF" w14:textId="77777777" w:rsidR="00B801F4" w:rsidRPr="00B801F4" w:rsidRDefault="00B801F4" w:rsidP="00B801F4">
            <w:pPr>
              <w:tabs>
                <w:tab w:val="left" w:pos="1080"/>
              </w:tabs>
              <w:spacing w:after="80"/>
              <w:jc w:val="right"/>
            </w:pPr>
            <w:r w:rsidRPr="00B801F4">
              <w:t>0.0%</w:t>
            </w:r>
          </w:p>
        </w:tc>
        <w:tc>
          <w:tcPr>
            <w:tcW w:w="1134" w:type="dxa"/>
            <w:gridSpan w:val="2"/>
            <w:tcBorders>
              <w:top w:val="nil"/>
              <w:left w:val="nil"/>
              <w:bottom w:val="nil"/>
              <w:right w:val="nil"/>
            </w:tcBorders>
          </w:tcPr>
          <w:p w14:paraId="5EB5C93D" w14:textId="77777777" w:rsidR="00B801F4" w:rsidRPr="00B801F4" w:rsidRDefault="00B801F4" w:rsidP="00B801F4">
            <w:pPr>
              <w:tabs>
                <w:tab w:val="left" w:pos="1080"/>
              </w:tabs>
              <w:spacing w:after="80"/>
              <w:jc w:val="right"/>
            </w:pPr>
            <w:r w:rsidRPr="00B801F4">
              <w:t>120.0</w:t>
            </w:r>
          </w:p>
        </w:tc>
        <w:tc>
          <w:tcPr>
            <w:tcW w:w="1016" w:type="dxa"/>
            <w:gridSpan w:val="2"/>
            <w:tcBorders>
              <w:top w:val="nil"/>
              <w:left w:val="nil"/>
              <w:bottom w:val="nil"/>
              <w:right w:val="single" w:sz="4" w:space="0" w:color="auto"/>
            </w:tcBorders>
          </w:tcPr>
          <w:p w14:paraId="7EF60DA3" w14:textId="77777777" w:rsidR="00B801F4" w:rsidRPr="00B801F4" w:rsidRDefault="00B801F4" w:rsidP="00B801F4">
            <w:pPr>
              <w:tabs>
                <w:tab w:val="left" w:pos="1080"/>
              </w:tabs>
              <w:spacing w:after="80"/>
              <w:jc w:val="right"/>
            </w:pPr>
            <w:r w:rsidRPr="00B801F4">
              <w:t>2.3%</w:t>
            </w:r>
          </w:p>
        </w:tc>
      </w:tr>
      <w:tr w:rsidR="00B801F4" w:rsidRPr="00B801F4" w14:paraId="67D21EB7"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0D42A45A" w14:textId="77777777" w:rsidR="00B801F4" w:rsidRPr="00B801F4" w:rsidRDefault="00B801F4" w:rsidP="00B801F4">
            <w:pPr>
              <w:tabs>
                <w:tab w:val="left" w:pos="1080"/>
              </w:tabs>
              <w:spacing w:after="80"/>
            </w:pPr>
          </w:p>
        </w:tc>
        <w:tc>
          <w:tcPr>
            <w:tcW w:w="2268" w:type="dxa"/>
            <w:tcBorders>
              <w:top w:val="nil"/>
              <w:left w:val="nil"/>
              <w:bottom w:val="nil"/>
              <w:right w:val="nil"/>
            </w:tcBorders>
          </w:tcPr>
          <w:p w14:paraId="50A7C764" w14:textId="77777777" w:rsidR="00B801F4" w:rsidRPr="00B801F4" w:rsidRDefault="00B801F4" w:rsidP="00B801F4">
            <w:pPr>
              <w:tabs>
                <w:tab w:val="left" w:pos="1080"/>
              </w:tabs>
              <w:spacing w:after="80"/>
              <w:jc w:val="left"/>
              <w:rPr>
                <w:highlight w:val="yellow"/>
              </w:rPr>
            </w:pPr>
            <w:r w:rsidRPr="00B801F4">
              <w:t>In-house</w:t>
            </w:r>
          </w:p>
        </w:tc>
        <w:tc>
          <w:tcPr>
            <w:tcW w:w="1418" w:type="dxa"/>
            <w:gridSpan w:val="6"/>
            <w:tcBorders>
              <w:top w:val="nil"/>
              <w:left w:val="nil"/>
              <w:bottom w:val="nil"/>
              <w:right w:val="nil"/>
            </w:tcBorders>
          </w:tcPr>
          <w:p w14:paraId="4F993818" w14:textId="77777777" w:rsidR="00B801F4" w:rsidRPr="00B801F4" w:rsidRDefault="00B801F4" w:rsidP="00B801F4">
            <w:pPr>
              <w:tabs>
                <w:tab w:val="left" w:pos="1080"/>
              </w:tabs>
              <w:spacing w:after="80"/>
              <w:jc w:val="right"/>
            </w:pPr>
            <w:r w:rsidRPr="00B801F4">
              <w:t>457.0</w:t>
            </w:r>
          </w:p>
        </w:tc>
        <w:tc>
          <w:tcPr>
            <w:tcW w:w="1134" w:type="dxa"/>
            <w:gridSpan w:val="3"/>
            <w:tcBorders>
              <w:top w:val="nil"/>
              <w:left w:val="nil"/>
              <w:bottom w:val="nil"/>
              <w:right w:val="nil"/>
            </w:tcBorders>
          </w:tcPr>
          <w:p w14:paraId="4409D8B8" w14:textId="77777777" w:rsidR="00B801F4" w:rsidRPr="00B801F4" w:rsidRDefault="00B801F4" w:rsidP="00B801F4">
            <w:pPr>
              <w:tabs>
                <w:tab w:val="left" w:pos="1080"/>
              </w:tabs>
              <w:spacing w:after="80"/>
              <w:jc w:val="right"/>
            </w:pPr>
            <w:r w:rsidRPr="00B801F4">
              <w:t>7.9%</w:t>
            </w:r>
          </w:p>
        </w:tc>
        <w:tc>
          <w:tcPr>
            <w:tcW w:w="1134" w:type="dxa"/>
            <w:gridSpan w:val="2"/>
            <w:tcBorders>
              <w:top w:val="nil"/>
              <w:left w:val="nil"/>
              <w:bottom w:val="nil"/>
              <w:right w:val="nil"/>
            </w:tcBorders>
          </w:tcPr>
          <w:p w14:paraId="48CBE92E" w14:textId="77777777" w:rsidR="00B801F4" w:rsidRPr="00B801F4" w:rsidRDefault="00B801F4" w:rsidP="00B801F4">
            <w:pPr>
              <w:tabs>
                <w:tab w:val="left" w:pos="1080"/>
              </w:tabs>
              <w:spacing w:after="80"/>
              <w:jc w:val="right"/>
            </w:pPr>
            <w:r w:rsidRPr="00B801F4">
              <w:t>514.6</w:t>
            </w:r>
          </w:p>
        </w:tc>
        <w:tc>
          <w:tcPr>
            <w:tcW w:w="1016" w:type="dxa"/>
            <w:gridSpan w:val="2"/>
            <w:tcBorders>
              <w:top w:val="nil"/>
              <w:left w:val="nil"/>
              <w:bottom w:val="nil"/>
              <w:right w:val="single" w:sz="4" w:space="0" w:color="auto"/>
            </w:tcBorders>
          </w:tcPr>
          <w:p w14:paraId="51BD577C" w14:textId="77777777" w:rsidR="00B801F4" w:rsidRPr="00B801F4" w:rsidRDefault="00B801F4" w:rsidP="00B801F4">
            <w:pPr>
              <w:tabs>
                <w:tab w:val="left" w:pos="1080"/>
              </w:tabs>
              <w:spacing w:after="80"/>
              <w:jc w:val="right"/>
            </w:pPr>
            <w:r w:rsidRPr="00B801F4">
              <w:t>10.0%</w:t>
            </w:r>
          </w:p>
        </w:tc>
      </w:tr>
      <w:tr w:rsidR="00B801F4" w:rsidRPr="00B801F4" w14:paraId="768E5119"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single" w:sz="4" w:space="0" w:color="auto"/>
              <w:right w:val="nil"/>
            </w:tcBorders>
            <w:shd w:val="clear" w:color="auto" w:fill="E2EFD9" w:themeFill="accent6" w:themeFillTint="33"/>
          </w:tcPr>
          <w:p w14:paraId="02F13730" w14:textId="77777777" w:rsidR="00B801F4" w:rsidRPr="00B801F4" w:rsidRDefault="00B801F4" w:rsidP="00B801F4">
            <w:pPr>
              <w:tabs>
                <w:tab w:val="left" w:pos="1080"/>
              </w:tabs>
              <w:spacing w:after="80"/>
            </w:pPr>
          </w:p>
        </w:tc>
        <w:tc>
          <w:tcPr>
            <w:tcW w:w="2410" w:type="dxa"/>
            <w:gridSpan w:val="2"/>
            <w:tcBorders>
              <w:top w:val="nil"/>
              <w:left w:val="nil"/>
              <w:bottom w:val="single" w:sz="4" w:space="0" w:color="auto"/>
              <w:right w:val="nil"/>
            </w:tcBorders>
            <w:shd w:val="clear" w:color="auto" w:fill="E2EFD9" w:themeFill="accent6" w:themeFillTint="33"/>
          </w:tcPr>
          <w:p w14:paraId="7ADEE4B5" w14:textId="77777777" w:rsidR="00B801F4" w:rsidRPr="00B801F4" w:rsidRDefault="00B801F4" w:rsidP="00B801F4">
            <w:pPr>
              <w:tabs>
                <w:tab w:val="left" w:pos="1080"/>
              </w:tabs>
              <w:spacing w:after="80"/>
            </w:pPr>
          </w:p>
        </w:tc>
        <w:tc>
          <w:tcPr>
            <w:tcW w:w="1276" w:type="dxa"/>
            <w:gridSpan w:val="5"/>
            <w:tcBorders>
              <w:top w:val="nil"/>
              <w:left w:val="nil"/>
              <w:bottom w:val="single" w:sz="4" w:space="0" w:color="auto"/>
              <w:right w:val="nil"/>
            </w:tcBorders>
            <w:shd w:val="clear" w:color="auto" w:fill="E2EFD9" w:themeFill="accent6" w:themeFillTint="33"/>
          </w:tcPr>
          <w:p w14:paraId="53F8DD67" w14:textId="77777777" w:rsidR="00B801F4" w:rsidRPr="00B801F4" w:rsidRDefault="00B801F4" w:rsidP="00B801F4">
            <w:pPr>
              <w:tabs>
                <w:tab w:val="left" w:pos="1080"/>
              </w:tabs>
              <w:spacing w:after="80"/>
              <w:jc w:val="right"/>
              <w:rPr>
                <w:b/>
              </w:rPr>
            </w:pPr>
            <w:r w:rsidRPr="00B801F4">
              <w:rPr>
                <w:b/>
              </w:rPr>
              <w:t>865.8</w:t>
            </w:r>
          </w:p>
        </w:tc>
        <w:tc>
          <w:tcPr>
            <w:tcW w:w="1134" w:type="dxa"/>
            <w:gridSpan w:val="3"/>
            <w:tcBorders>
              <w:top w:val="nil"/>
              <w:left w:val="nil"/>
              <w:bottom w:val="single" w:sz="4" w:space="0" w:color="auto"/>
              <w:right w:val="nil"/>
            </w:tcBorders>
            <w:shd w:val="clear" w:color="auto" w:fill="E2EFD9" w:themeFill="accent6" w:themeFillTint="33"/>
          </w:tcPr>
          <w:p w14:paraId="0D52ADAF" w14:textId="77777777" w:rsidR="00B801F4" w:rsidRPr="00B801F4" w:rsidRDefault="00B801F4" w:rsidP="00B801F4">
            <w:pPr>
              <w:tabs>
                <w:tab w:val="left" w:pos="1080"/>
              </w:tabs>
              <w:spacing w:after="80"/>
              <w:jc w:val="right"/>
              <w:rPr>
                <w:b/>
              </w:rPr>
            </w:pPr>
            <w:r w:rsidRPr="00B801F4">
              <w:rPr>
                <w:b/>
              </w:rPr>
              <w:t>14.9%</w:t>
            </w:r>
          </w:p>
        </w:tc>
        <w:tc>
          <w:tcPr>
            <w:tcW w:w="1134" w:type="dxa"/>
            <w:gridSpan w:val="2"/>
            <w:tcBorders>
              <w:top w:val="nil"/>
              <w:left w:val="nil"/>
              <w:bottom w:val="single" w:sz="4" w:space="0" w:color="auto"/>
              <w:right w:val="nil"/>
            </w:tcBorders>
            <w:shd w:val="clear" w:color="auto" w:fill="E2EFD9" w:themeFill="accent6" w:themeFillTint="33"/>
          </w:tcPr>
          <w:p w14:paraId="37DDD051" w14:textId="77777777" w:rsidR="00B801F4" w:rsidRPr="00B801F4" w:rsidRDefault="00B801F4" w:rsidP="00B801F4">
            <w:pPr>
              <w:tabs>
                <w:tab w:val="left" w:pos="1080"/>
              </w:tabs>
              <w:spacing w:after="80"/>
              <w:jc w:val="right"/>
              <w:rPr>
                <w:b/>
              </w:rPr>
            </w:pPr>
            <w:r w:rsidRPr="00B801F4">
              <w:rPr>
                <w:b/>
              </w:rPr>
              <w:t>1,021.3</w:t>
            </w:r>
          </w:p>
        </w:tc>
        <w:tc>
          <w:tcPr>
            <w:tcW w:w="1016" w:type="dxa"/>
            <w:gridSpan w:val="2"/>
            <w:tcBorders>
              <w:top w:val="nil"/>
              <w:left w:val="nil"/>
              <w:bottom w:val="single" w:sz="4" w:space="0" w:color="auto"/>
              <w:right w:val="single" w:sz="4" w:space="0" w:color="auto"/>
            </w:tcBorders>
            <w:shd w:val="clear" w:color="auto" w:fill="E2EFD9" w:themeFill="accent6" w:themeFillTint="33"/>
          </w:tcPr>
          <w:p w14:paraId="538D80AD" w14:textId="77777777" w:rsidR="00B801F4" w:rsidRPr="00B801F4" w:rsidRDefault="00B801F4" w:rsidP="00B801F4">
            <w:pPr>
              <w:tabs>
                <w:tab w:val="left" w:pos="1080"/>
              </w:tabs>
              <w:spacing w:after="80"/>
              <w:jc w:val="right"/>
              <w:rPr>
                <w:b/>
              </w:rPr>
            </w:pPr>
            <w:r w:rsidRPr="00B801F4">
              <w:rPr>
                <w:b/>
              </w:rPr>
              <w:t>19.8%</w:t>
            </w:r>
          </w:p>
        </w:tc>
      </w:tr>
      <w:tr w:rsidR="00B801F4" w:rsidRPr="00B801F4" w14:paraId="03457BF1" w14:textId="77777777" w:rsidTr="00B801F4">
        <w:tblPrEx>
          <w:tblBorders>
            <w:insideH w:val="single" w:sz="4" w:space="0" w:color="auto"/>
            <w:insideV w:val="single" w:sz="4" w:space="0" w:color="auto"/>
          </w:tblBorders>
        </w:tblPrEx>
        <w:trPr>
          <w:gridAfter w:val="1"/>
          <w:wAfter w:w="230" w:type="dxa"/>
        </w:trPr>
        <w:tc>
          <w:tcPr>
            <w:tcW w:w="10372" w:type="dxa"/>
            <w:gridSpan w:val="17"/>
            <w:tcBorders>
              <w:bottom w:val="nil"/>
            </w:tcBorders>
            <w:shd w:val="clear" w:color="auto" w:fill="C5E0B3" w:themeFill="accent6" w:themeFillTint="66"/>
          </w:tcPr>
          <w:p w14:paraId="4CCA2DA2" w14:textId="77777777" w:rsidR="00B801F4" w:rsidRPr="00B801F4" w:rsidRDefault="00B801F4" w:rsidP="00B801F4">
            <w:pPr>
              <w:tabs>
                <w:tab w:val="left" w:pos="1080"/>
              </w:tabs>
              <w:spacing w:after="80"/>
              <w:jc w:val="left"/>
              <w:rPr>
                <w:b/>
              </w:rPr>
            </w:pPr>
            <w:r w:rsidRPr="00B801F4">
              <w:rPr>
                <w:b/>
              </w:rPr>
              <w:t>Infrastructure</w:t>
            </w:r>
          </w:p>
        </w:tc>
      </w:tr>
      <w:tr w:rsidR="00B801F4" w:rsidRPr="00B801F4" w14:paraId="7F6951E6"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1BB08918" w14:textId="77777777" w:rsidR="00B801F4" w:rsidRPr="00B801F4" w:rsidRDefault="00B801F4" w:rsidP="00B801F4">
            <w:pPr>
              <w:tabs>
                <w:tab w:val="left" w:pos="1080"/>
              </w:tabs>
              <w:spacing w:after="80"/>
            </w:pPr>
            <w:r w:rsidRPr="00B801F4">
              <w:t>Direct</w:t>
            </w:r>
          </w:p>
        </w:tc>
        <w:tc>
          <w:tcPr>
            <w:tcW w:w="2693" w:type="dxa"/>
            <w:gridSpan w:val="3"/>
            <w:tcBorders>
              <w:top w:val="nil"/>
              <w:left w:val="nil"/>
              <w:bottom w:val="nil"/>
              <w:right w:val="nil"/>
            </w:tcBorders>
          </w:tcPr>
          <w:p w14:paraId="5E882E91" w14:textId="77777777" w:rsidR="00B801F4" w:rsidRPr="00B801F4" w:rsidRDefault="00B801F4" w:rsidP="00B801F4">
            <w:pPr>
              <w:tabs>
                <w:tab w:val="left" w:pos="1080"/>
              </w:tabs>
              <w:spacing w:after="80"/>
              <w:jc w:val="left"/>
            </w:pPr>
            <w:r w:rsidRPr="00B801F4">
              <w:t>Arclight Energy</w:t>
            </w:r>
          </w:p>
        </w:tc>
        <w:tc>
          <w:tcPr>
            <w:tcW w:w="993" w:type="dxa"/>
            <w:gridSpan w:val="4"/>
            <w:tcBorders>
              <w:top w:val="nil"/>
              <w:left w:val="nil"/>
              <w:bottom w:val="nil"/>
              <w:right w:val="nil"/>
            </w:tcBorders>
          </w:tcPr>
          <w:p w14:paraId="296F6125" w14:textId="77777777" w:rsidR="00B801F4" w:rsidRPr="00B801F4" w:rsidRDefault="00B801F4" w:rsidP="00B801F4">
            <w:pPr>
              <w:tabs>
                <w:tab w:val="left" w:pos="1080"/>
              </w:tabs>
              <w:spacing w:after="80"/>
              <w:jc w:val="right"/>
            </w:pPr>
            <w:r w:rsidRPr="00B801F4">
              <w:t>35.9</w:t>
            </w:r>
          </w:p>
        </w:tc>
        <w:tc>
          <w:tcPr>
            <w:tcW w:w="1134" w:type="dxa"/>
            <w:gridSpan w:val="3"/>
            <w:tcBorders>
              <w:top w:val="nil"/>
              <w:left w:val="nil"/>
              <w:bottom w:val="nil"/>
              <w:right w:val="nil"/>
            </w:tcBorders>
          </w:tcPr>
          <w:p w14:paraId="30EE9492" w14:textId="77777777" w:rsidR="00B801F4" w:rsidRPr="00B801F4" w:rsidRDefault="00B801F4" w:rsidP="00B801F4">
            <w:pPr>
              <w:tabs>
                <w:tab w:val="left" w:pos="1080"/>
              </w:tabs>
              <w:spacing w:after="80"/>
              <w:jc w:val="right"/>
            </w:pPr>
            <w:r w:rsidRPr="00B801F4">
              <w:t>0.6%</w:t>
            </w:r>
          </w:p>
        </w:tc>
        <w:tc>
          <w:tcPr>
            <w:tcW w:w="1134" w:type="dxa"/>
            <w:gridSpan w:val="2"/>
            <w:tcBorders>
              <w:top w:val="nil"/>
              <w:left w:val="nil"/>
              <w:bottom w:val="nil"/>
              <w:right w:val="nil"/>
            </w:tcBorders>
          </w:tcPr>
          <w:p w14:paraId="4BC66D7F" w14:textId="77777777" w:rsidR="00B801F4" w:rsidRPr="00B801F4" w:rsidRDefault="00B801F4" w:rsidP="00B801F4">
            <w:pPr>
              <w:tabs>
                <w:tab w:val="left" w:pos="1080"/>
              </w:tabs>
              <w:spacing w:after="80"/>
              <w:jc w:val="right"/>
            </w:pPr>
            <w:r w:rsidRPr="00B801F4">
              <w:t>30.1</w:t>
            </w:r>
          </w:p>
        </w:tc>
        <w:tc>
          <w:tcPr>
            <w:tcW w:w="1016" w:type="dxa"/>
            <w:gridSpan w:val="2"/>
            <w:tcBorders>
              <w:top w:val="nil"/>
              <w:left w:val="nil"/>
              <w:bottom w:val="nil"/>
              <w:right w:val="single" w:sz="4" w:space="0" w:color="auto"/>
            </w:tcBorders>
          </w:tcPr>
          <w:p w14:paraId="16636D6B" w14:textId="77777777" w:rsidR="00B801F4" w:rsidRPr="00B801F4" w:rsidRDefault="00B801F4" w:rsidP="00B801F4">
            <w:pPr>
              <w:tabs>
                <w:tab w:val="left" w:pos="1080"/>
              </w:tabs>
              <w:spacing w:after="80"/>
              <w:jc w:val="right"/>
            </w:pPr>
            <w:r w:rsidRPr="00B801F4">
              <w:t>0.6%</w:t>
            </w:r>
          </w:p>
        </w:tc>
      </w:tr>
      <w:tr w:rsidR="00B801F4" w:rsidRPr="00B801F4" w14:paraId="3F99923F"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0677CEF5" w14:textId="77777777" w:rsidR="00B801F4" w:rsidRPr="00B801F4" w:rsidRDefault="00B801F4" w:rsidP="00B801F4">
            <w:pPr>
              <w:tabs>
                <w:tab w:val="left" w:pos="1080"/>
              </w:tabs>
              <w:spacing w:after="80"/>
              <w:rPr>
                <w:highlight w:val="yellow"/>
              </w:rPr>
            </w:pPr>
          </w:p>
        </w:tc>
        <w:tc>
          <w:tcPr>
            <w:tcW w:w="2693" w:type="dxa"/>
            <w:gridSpan w:val="3"/>
            <w:tcBorders>
              <w:top w:val="nil"/>
              <w:left w:val="nil"/>
              <w:bottom w:val="nil"/>
              <w:right w:val="nil"/>
            </w:tcBorders>
          </w:tcPr>
          <w:p w14:paraId="3D4B3DC8" w14:textId="77777777" w:rsidR="00B801F4" w:rsidRPr="00B801F4" w:rsidRDefault="00B801F4" w:rsidP="00B801F4">
            <w:pPr>
              <w:tabs>
                <w:tab w:val="left" w:pos="1080"/>
              </w:tabs>
              <w:spacing w:after="80"/>
              <w:jc w:val="left"/>
            </w:pPr>
            <w:r w:rsidRPr="00B801F4">
              <w:t>Capital Dynamics Cape Byron</w:t>
            </w:r>
          </w:p>
        </w:tc>
        <w:tc>
          <w:tcPr>
            <w:tcW w:w="993" w:type="dxa"/>
            <w:gridSpan w:val="4"/>
            <w:tcBorders>
              <w:top w:val="nil"/>
              <w:left w:val="nil"/>
              <w:bottom w:val="nil"/>
              <w:right w:val="nil"/>
            </w:tcBorders>
          </w:tcPr>
          <w:p w14:paraId="0A8E0504" w14:textId="77777777" w:rsidR="00B801F4" w:rsidRPr="00B801F4" w:rsidRDefault="00B801F4" w:rsidP="00B801F4">
            <w:pPr>
              <w:tabs>
                <w:tab w:val="left" w:pos="1080"/>
              </w:tabs>
              <w:spacing w:after="80"/>
              <w:jc w:val="right"/>
            </w:pPr>
            <w:r w:rsidRPr="00B801F4">
              <w:t>65.6</w:t>
            </w:r>
          </w:p>
        </w:tc>
        <w:tc>
          <w:tcPr>
            <w:tcW w:w="1134" w:type="dxa"/>
            <w:gridSpan w:val="3"/>
            <w:tcBorders>
              <w:top w:val="nil"/>
              <w:left w:val="nil"/>
              <w:bottom w:val="nil"/>
              <w:right w:val="nil"/>
            </w:tcBorders>
          </w:tcPr>
          <w:p w14:paraId="05631863" w14:textId="77777777" w:rsidR="00B801F4" w:rsidRPr="00B801F4" w:rsidRDefault="00B801F4" w:rsidP="00B801F4">
            <w:pPr>
              <w:tabs>
                <w:tab w:val="left" w:pos="1080"/>
              </w:tabs>
              <w:spacing w:after="80"/>
              <w:jc w:val="right"/>
            </w:pPr>
            <w:r w:rsidRPr="00B801F4">
              <w:t>1.1%</w:t>
            </w:r>
          </w:p>
        </w:tc>
        <w:tc>
          <w:tcPr>
            <w:tcW w:w="1134" w:type="dxa"/>
            <w:gridSpan w:val="2"/>
            <w:tcBorders>
              <w:top w:val="nil"/>
              <w:left w:val="nil"/>
              <w:bottom w:val="nil"/>
              <w:right w:val="nil"/>
            </w:tcBorders>
          </w:tcPr>
          <w:p w14:paraId="45AB4EB4" w14:textId="77777777" w:rsidR="00B801F4" w:rsidRPr="00B801F4" w:rsidRDefault="00B801F4" w:rsidP="00B801F4">
            <w:pPr>
              <w:tabs>
                <w:tab w:val="left" w:pos="1080"/>
              </w:tabs>
              <w:spacing w:after="80"/>
              <w:jc w:val="right"/>
            </w:pPr>
            <w:r w:rsidRPr="00B801F4">
              <w:t>54.1</w:t>
            </w:r>
          </w:p>
        </w:tc>
        <w:tc>
          <w:tcPr>
            <w:tcW w:w="1016" w:type="dxa"/>
            <w:gridSpan w:val="2"/>
            <w:tcBorders>
              <w:top w:val="nil"/>
              <w:left w:val="nil"/>
              <w:bottom w:val="nil"/>
              <w:right w:val="single" w:sz="4" w:space="0" w:color="auto"/>
            </w:tcBorders>
          </w:tcPr>
          <w:p w14:paraId="57F726D5" w14:textId="77777777" w:rsidR="00B801F4" w:rsidRPr="00B801F4" w:rsidRDefault="00B801F4" w:rsidP="00B801F4">
            <w:pPr>
              <w:tabs>
                <w:tab w:val="left" w:pos="1080"/>
              </w:tabs>
              <w:spacing w:after="80"/>
              <w:jc w:val="right"/>
            </w:pPr>
            <w:r w:rsidRPr="00B801F4">
              <w:t>1.0%</w:t>
            </w:r>
          </w:p>
        </w:tc>
      </w:tr>
      <w:tr w:rsidR="00B801F4" w:rsidRPr="00B801F4" w14:paraId="3960506E"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018C3EB3" w14:textId="77777777" w:rsidR="00B801F4" w:rsidRPr="00B801F4" w:rsidRDefault="00B801F4" w:rsidP="00B801F4">
            <w:pPr>
              <w:tabs>
                <w:tab w:val="left" w:pos="1080"/>
              </w:tabs>
              <w:spacing w:after="80"/>
              <w:rPr>
                <w:highlight w:val="yellow"/>
              </w:rPr>
            </w:pPr>
          </w:p>
        </w:tc>
        <w:tc>
          <w:tcPr>
            <w:tcW w:w="2693" w:type="dxa"/>
            <w:gridSpan w:val="3"/>
            <w:tcBorders>
              <w:top w:val="nil"/>
              <w:left w:val="nil"/>
              <w:bottom w:val="nil"/>
              <w:right w:val="nil"/>
            </w:tcBorders>
          </w:tcPr>
          <w:p w14:paraId="7C4E1B43" w14:textId="77777777" w:rsidR="00B801F4" w:rsidRPr="00B801F4" w:rsidRDefault="00B801F4" w:rsidP="00B801F4">
            <w:pPr>
              <w:tabs>
                <w:tab w:val="left" w:pos="1080"/>
              </w:tabs>
              <w:spacing w:after="80"/>
              <w:jc w:val="left"/>
            </w:pPr>
            <w:r w:rsidRPr="00B801F4">
              <w:t>Capital Dynamics Clean Energy</w:t>
            </w:r>
          </w:p>
        </w:tc>
        <w:tc>
          <w:tcPr>
            <w:tcW w:w="993" w:type="dxa"/>
            <w:gridSpan w:val="4"/>
            <w:tcBorders>
              <w:top w:val="nil"/>
              <w:left w:val="nil"/>
              <w:bottom w:val="nil"/>
              <w:right w:val="nil"/>
            </w:tcBorders>
          </w:tcPr>
          <w:p w14:paraId="5B78C90F" w14:textId="77777777" w:rsidR="00B801F4" w:rsidRPr="00B801F4" w:rsidRDefault="00B801F4" w:rsidP="00B801F4">
            <w:pPr>
              <w:tabs>
                <w:tab w:val="left" w:pos="1080"/>
              </w:tabs>
              <w:spacing w:after="80"/>
              <w:jc w:val="right"/>
            </w:pPr>
            <w:r w:rsidRPr="00B801F4">
              <w:t>32.9</w:t>
            </w:r>
          </w:p>
        </w:tc>
        <w:tc>
          <w:tcPr>
            <w:tcW w:w="1134" w:type="dxa"/>
            <w:gridSpan w:val="3"/>
            <w:tcBorders>
              <w:top w:val="nil"/>
              <w:left w:val="nil"/>
              <w:bottom w:val="nil"/>
              <w:right w:val="nil"/>
            </w:tcBorders>
          </w:tcPr>
          <w:p w14:paraId="43C6233C" w14:textId="77777777" w:rsidR="00B801F4" w:rsidRPr="00B801F4" w:rsidRDefault="00B801F4" w:rsidP="00B801F4">
            <w:pPr>
              <w:tabs>
                <w:tab w:val="left" w:pos="1080"/>
              </w:tabs>
              <w:spacing w:after="80"/>
              <w:jc w:val="right"/>
            </w:pPr>
            <w:r w:rsidRPr="00B801F4">
              <w:t>0.6%</w:t>
            </w:r>
          </w:p>
        </w:tc>
        <w:tc>
          <w:tcPr>
            <w:tcW w:w="1134" w:type="dxa"/>
            <w:gridSpan w:val="2"/>
            <w:tcBorders>
              <w:top w:val="nil"/>
              <w:left w:val="nil"/>
              <w:bottom w:val="nil"/>
              <w:right w:val="nil"/>
            </w:tcBorders>
          </w:tcPr>
          <w:p w14:paraId="23428605" w14:textId="77777777" w:rsidR="00B801F4" w:rsidRPr="00B801F4" w:rsidRDefault="00B801F4" w:rsidP="00B801F4">
            <w:pPr>
              <w:tabs>
                <w:tab w:val="left" w:pos="1080"/>
              </w:tabs>
              <w:spacing w:after="80"/>
              <w:jc w:val="right"/>
            </w:pPr>
            <w:r w:rsidRPr="00B801F4">
              <w:t>25.5</w:t>
            </w:r>
          </w:p>
        </w:tc>
        <w:tc>
          <w:tcPr>
            <w:tcW w:w="1016" w:type="dxa"/>
            <w:gridSpan w:val="2"/>
            <w:tcBorders>
              <w:top w:val="nil"/>
              <w:left w:val="nil"/>
              <w:bottom w:val="nil"/>
              <w:right w:val="single" w:sz="4" w:space="0" w:color="auto"/>
            </w:tcBorders>
          </w:tcPr>
          <w:p w14:paraId="4A1C43C2" w14:textId="77777777" w:rsidR="00B801F4" w:rsidRPr="00B801F4" w:rsidRDefault="00B801F4" w:rsidP="00B801F4">
            <w:pPr>
              <w:tabs>
                <w:tab w:val="left" w:pos="1080"/>
              </w:tabs>
              <w:spacing w:after="80"/>
              <w:jc w:val="right"/>
            </w:pPr>
            <w:r w:rsidRPr="00B801F4">
              <w:t>0.5%</w:t>
            </w:r>
          </w:p>
        </w:tc>
      </w:tr>
      <w:tr w:rsidR="00B801F4" w:rsidRPr="00B801F4" w14:paraId="34D2E798"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3EFA5577" w14:textId="77777777" w:rsidR="00B801F4" w:rsidRPr="00B801F4" w:rsidRDefault="00B801F4" w:rsidP="00B801F4">
            <w:pPr>
              <w:tabs>
                <w:tab w:val="left" w:pos="1080"/>
              </w:tabs>
              <w:spacing w:after="80"/>
              <w:rPr>
                <w:highlight w:val="yellow"/>
              </w:rPr>
            </w:pPr>
          </w:p>
        </w:tc>
        <w:tc>
          <w:tcPr>
            <w:tcW w:w="2693" w:type="dxa"/>
            <w:gridSpan w:val="3"/>
            <w:tcBorders>
              <w:top w:val="nil"/>
              <w:left w:val="nil"/>
              <w:bottom w:val="nil"/>
              <w:right w:val="nil"/>
            </w:tcBorders>
          </w:tcPr>
          <w:p w14:paraId="24AD9757" w14:textId="77777777" w:rsidR="00B801F4" w:rsidRPr="00B801F4" w:rsidRDefault="00B801F4" w:rsidP="00B801F4">
            <w:pPr>
              <w:tabs>
                <w:tab w:val="left" w:pos="1080"/>
              </w:tabs>
              <w:spacing w:after="80"/>
              <w:jc w:val="left"/>
            </w:pPr>
            <w:r w:rsidRPr="00B801F4">
              <w:t>Capital Dynamics Red Rose</w:t>
            </w:r>
          </w:p>
        </w:tc>
        <w:tc>
          <w:tcPr>
            <w:tcW w:w="993" w:type="dxa"/>
            <w:gridSpan w:val="4"/>
            <w:tcBorders>
              <w:top w:val="nil"/>
              <w:left w:val="nil"/>
              <w:bottom w:val="nil"/>
              <w:right w:val="nil"/>
            </w:tcBorders>
          </w:tcPr>
          <w:p w14:paraId="3293A7AB" w14:textId="77777777" w:rsidR="00B801F4" w:rsidRPr="00B801F4" w:rsidRDefault="00B801F4" w:rsidP="00B801F4">
            <w:pPr>
              <w:tabs>
                <w:tab w:val="left" w:pos="1080"/>
              </w:tabs>
              <w:spacing w:after="80"/>
              <w:jc w:val="right"/>
            </w:pPr>
            <w:r w:rsidRPr="00B801F4">
              <w:t>92.8</w:t>
            </w:r>
          </w:p>
        </w:tc>
        <w:tc>
          <w:tcPr>
            <w:tcW w:w="1134" w:type="dxa"/>
            <w:gridSpan w:val="3"/>
            <w:tcBorders>
              <w:top w:val="nil"/>
              <w:left w:val="nil"/>
              <w:bottom w:val="nil"/>
              <w:right w:val="nil"/>
            </w:tcBorders>
          </w:tcPr>
          <w:p w14:paraId="65941466" w14:textId="77777777" w:rsidR="00B801F4" w:rsidRPr="00B801F4" w:rsidRDefault="00B801F4" w:rsidP="00B801F4">
            <w:pPr>
              <w:tabs>
                <w:tab w:val="left" w:pos="1080"/>
              </w:tabs>
              <w:spacing w:after="80"/>
              <w:jc w:val="right"/>
            </w:pPr>
            <w:r w:rsidRPr="00B801F4">
              <w:t>1.6%</w:t>
            </w:r>
          </w:p>
        </w:tc>
        <w:tc>
          <w:tcPr>
            <w:tcW w:w="1134" w:type="dxa"/>
            <w:gridSpan w:val="2"/>
            <w:tcBorders>
              <w:top w:val="nil"/>
              <w:left w:val="nil"/>
              <w:bottom w:val="nil"/>
              <w:right w:val="nil"/>
            </w:tcBorders>
          </w:tcPr>
          <w:p w14:paraId="7CDF7F9E" w14:textId="77777777" w:rsidR="00B801F4" w:rsidRPr="00B801F4" w:rsidRDefault="00B801F4" w:rsidP="00B801F4">
            <w:pPr>
              <w:tabs>
                <w:tab w:val="left" w:pos="1080"/>
              </w:tabs>
              <w:spacing w:after="80"/>
              <w:jc w:val="right"/>
            </w:pPr>
            <w:r w:rsidRPr="00B801F4">
              <w:t>93.2</w:t>
            </w:r>
          </w:p>
        </w:tc>
        <w:tc>
          <w:tcPr>
            <w:tcW w:w="1016" w:type="dxa"/>
            <w:gridSpan w:val="2"/>
            <w:tcBorders>
              <w:top w:val="nil"/>
              <w:left w:val="nil"/>
              <w:bottom w:val="nil"/>
              <w:right w:val="single" w:sz="4" w:space="0" w:color="auto"/>
            </w:tcBorders>
          </w:tcPr>
          <w:p w14:paraId="252FC630" w14:textId="77777777" w:rsidR="00B801F4" w:rsidRPr="00B801F4" w:rsidRDefault="00B801F4" w:rsidP="00B801F4">
            <w:pPr>
              <w:tabs>
                <w:tab w:val="left" w:pos="1080"/>
              </w:tabs>
              <w:spacing w:after="80"/>
              <w:jc w:val="right"/>
            </w:pPr>
            <w:r w:rsidRPr="00B801F4">
              <w:t>1.8%</w:t>
            </w:r>
          </w:p>
        </w:tc>
      </w:tr>
      <w:tr w:rsidR="00B801F4" w:rsidRPr="00B801F4" w14:paraId="67AB53E1"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1A0B88FD" w14:textId="77777777" w:rsidR="00B801F4" w:rsidRPr="00B801F4" w:rsidRDefault="00B801F4" w:rsidP="00B801F4">
            <w:pPr>
              <w:tabs>
                <w:tab w:val="left" w:pos="1080"/>
              </w:tabs>
              <w:spacing w:after="80"/>
              <w:rPr>
                <w:highlight w:val="yellow"/>
              </w:rPr>
            </w:pPr>
          </w:p>
        </w:tc>
        <w:tc>
          <w:tcPr>
            <w:tcW w:w="2693" w:type="dxa"/>
            <w:gridSpan w:val="3"/>
            <w:tcBorders>
              <w:top w:val="nil"/>
              <w:left w:val="nil"/>
              <w:bottom w:val="nil"/>
              <w:right w:val="nil"/>
            </w:tcBorders>
          </w:tcPr>
          <w:p w14:paraId="4793126C" w14:textId="77777777" w:rsidR="00B801F4" w:rsidRPr="00B801F4" w:rsidRDefault="00B801F4" w:rsidP="00B801F4">
            <w:pPr>
              <w:tabs>
                <w:tab w:val="left" w:pos="1080"/>
              </w:tabs>
              <w:spacing w:after="80"/>
              <w:jc w:val="left"/>
            </w:pPr>
            <w:r w:rsidRPr="00B801F4">
              <w:t>Capital Dynamics US Solar</w:t>
            </w:r>
          </w:p>
        </w:tc>
        <w:tc>
          <w:tcPr>
            <w:tcW w:w="993" w:type="dxa"/>
            <w:gridSpan w:val="4"/>
            <w:tcBorders>
              <w:top w:val="nil"/>
              <w:left w:val="nil"/>
              <w:bottom w:val="nil"/>
              <w:right w:val="nil"/>
            </w:tcBorders>
          </w:tcPr>
          <w:p w14:paraId="7036A222" w14:textId="77777777" w:rsidR="00B801F4" w:rsidRPr="00B801F4" w:rsidRDefault="00B801F4" w:rsidP="00B801F4">
            <w:pPr>
              <w:tabs>
                <w:tab w:val="left" w:pos="1080"/>
              </w:tabs>
              <w:spacing w:after="80"/>
              <w:jc w:val="right"/>
            </w:pPr>
            <w:r w:rsidRPr="00B801F4">
              <w:t>0.0</w:t>
            </w:r>
          </w:p>
        </w:tc>
        <w:tc>
          <w:tcPr>
            <w:tcW w:w="1134" w:type="dxa"/>
            <w:gridSpan w:val="3"/>
            <w:tcBorders>
              <w:top w:val="nil"/>
              <w:left w:val="nil"/>
              <w:bottom w:val="nil"/>
              <w:right w:val="nil"/>
            </w:tcBorders>
          </w:tcPr>
          <w:p w14:paraId="7AF6D794" w14:textId="77777777" w:rsidR="00B801F4" w:rsidRPr="00B801F4" w:rsidRDefault="00B801F4" w:rsidP="00B801F4">
            <w:pPr>
              <w:tabs>
                <w:tab w:val="left" w:pos="1080"/>
              </w:tabs>
              <w:spacing w:after="80"/>
              <w:jc w:val="right"/>
            </w:pPr>
            <w:r w:rsidRPr="00B801F4">
              <w:t>0.0%</w:t>
            </w:r>
          </w:p>
          <w:p w14:paraId="6AB931E3" w14:textId="77777777" w:rsidR="00B801F4" w:rsidRPr="00B801F4" w:rsidRDefault="00B801F4" w:rsidP="00B801F4">
            <w:pPr>
              <w:tabs>
                <w:tab w:val="left" w:pos="1080"/>
              </w:tabs>
              <w:spacing w:after="80"/>
              <w:jc w:val="right"/>
            </w:pPr>
          </w:p>
        </w:tc>
        <w:tc>
          <w:tcPr>
            <w:tcW w:w="1134" w:type="dxa"/>
            <w:gridSpan w:val="2"/>
            <w:tcBorders>
              <w:top w:val="nil"/>
              <w:left w:val="nil"/>
              <w:bottom w:val="nil"/>
              <w:right w:val="nil"/>
            </w:tcBorders>
          </w:tcPr>
          <w:p w14:paraId="5DBBCBAC" w14:textId="77777777" w:rsidR="00B801F4" w:rsidRPr="00B801F4" w:rsidRDefault="00B801F4" w:rsidP="00B801F4">
            <w:pPr>
              <w:tabs>
                <w:tab w:val="left" w:pos="1080"/>
              </w:tabs>
              <w:spacing w:after="80"/>
              <w:jc w:val="right"/>
            </w:pPr>
            <w:r w:rsidRPr="00B801F4">
              <w:t>14.3</w:t>
            </w:r>
          </w:p>
        </w:tc>
        <w:tc>
          <w:tcPr>
            <w:tcW w:w="1016" w:type="dxa"/>
            <w:gridSpan w:val="2"/>
            <w:tcBorders>
              <w:top w:val="nil"/>
              <w:left w:val="nil"/>
              <w:bottom w:val="nil"/>
              <w:right w:val="single" w:sz="4" w:space="0" w:color="auto"/>
            </w:tcBorders>
          </w:tcPr>
          <w:p w14:paraId="08816925" w14:textId="77777777" w:rsidR="00B801F4" w:rsidRPr="00B801F4" w:rsidRDefault="00B801F4" w:rsidP="00B801F4">
            <w:pPr>
              <w:tabs>
                <w:tab w:val="left" w:pos="1080"/>
              </w:tabs>
              <w:spacing w:after="80"/>
              <w:jc w:val="right"/>
            </w:pPr>
            <w:r w:rsidRPr="00B801F4">
              <w:t>0.3%</w:t>
            </w:r>
          </w:p>
        </w:tc>
      </w:tr>
      <w:tr w:rsidR="00B801F4" w:rsidRPr="00B801F4" w14:paraId="183A5724"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32BDDBB8" w14:textId="77777777" w:rsidR="00B801F4" w:rsidRPr="00B801F4" w:rsidRDefault="00B801F4" w:rsidP="00B801F4">
            <w:pPr>
              <w:tabs>
                <w:tab w:val="left" w:pos="1080"/>
              </w:tabs>
              <w:spacing w:after="80"/>
              <w:rPr>
                <w:highlight w:val="yellow"/>
              </w:rPr>
            </w:pPr>
          </w:p>
        </w:tc>
        <w:tc>
          <w:tcPr>
            <w:tcW w:w="2693" w:type="dxa"/>
            <w:gridSpan w:val="3"/>
            <w:tcBorders>
              <w:top w:val="nil"/>
              <w:left w:val="nil"/>
              <w:bottom w:val="nil"/>
              <w:right w:val="nil"/>
            </w:tcBorders>
          </w:tcPr>
          <w:p w14:paraId="38A2FAC9" w14:textId="77777777" w:rsidR="00B801F4" w:rsidRPr="00B801F4" w:rsidRDefault="00B801F4" w:rsidP="00B801F4">
            <w:pPr>
              <w:tabs>
                <w:tab w:val="left" w:pos="1080"/>
              </w:tabs>
              <w:spacing w:after="80"/>
              <w:jc w:val="left"/>
            </w:pPr>
            <w:r w:rsidRPr="00B801F4">
              <w:t>EQT Infrastructure</w:t>
            </w:r>
          </w:p>
        </w:tc>
        <w:tc>
          <w:tcPr>
            <w:tcW w:w="993" w:type="dxa"/>
            <w:gridSpan w:val="4"/>
            <w:tcBorders>
              <w:top w:val="nil"/>
              <w:left w:val="nil"/>
              <w:bottom w:val="nil"/>
              <w:right w:val="nil"/>
            </w:tcBorders>
          </w:tcPr>
          <w:p w14:paraId="5F7BBBCC" w14:textId="77777777" w:rsidR="00B801F4" w:rsidRPr="00B801F4" w:rsidRDefault="00B801F4" w:rsidP="00B801F4">
            <w:pPr>
              <w:tabs>
                <w:tab w:val="left" w:pos="1080"/>
              </w:tabs>
              <w:spacing w:after="80"/>
              <w:jc w:val="right"/>
            </w:pPr>
            <w:r w:rsidRPr="00B801F4">
              <w:t>13.1</w:t>
            </w:r>
          </w:p>
        </w:tc>
        <w:tc>
          <w:tcPr>
            <w:tcW w:w="1134" w:type="dxa"/>
            <w:gridSpan w:val="3"/>
            <w:tcBorders>
              <w:top w:val="nil"/>
              <w:left w:val="nil"/>
              <w:bottom w:val="nil"/>
              <w:right w:val="nil"/>
            </w:tcBorders>
          </w:tcPr>
          <w:p w14:paraId="28E06597" w14:textId="77777777" w:rsidR="00B801F4" w:rsidRPr="00B801F4" w:rsidRDefault="00B801F4" w:rsidP="00B801F4">
            <w:pPr>
              <w:tabs>
                <w:tab w:val="left" w:pos="1080"/>
              </w:tabs>
              <w:spacing w:after="80"/>
              <w:jc w:val="right"/>
            </w:pPr>
            <w:r w:rsidRPr="00B801F4">
              <w:t>0.2%</w:t>
            </w:r>
          </w:p>
        </w:tc>
        <w:tc>
          <w:tcPr>
            <w:tcW w:w="1134" w:type="dxa"/>
            <w:gridSpan w:val="2"/>
            <w:tcBorders>
              <w:top w:val="nil"/>
              <w:left w:val="nil"/>
              <w:bottom w:val="nil"/>
              <w:right w:val="nil"/>
            </w:tcBorders>
          </w:tcPr>
          <w:p w14:paraId="43A61B96" w14:textId="77777777" w:rsidR="00B801F4" w:rsidRPr="00B801F4" w:rsidRDefault="00B801F4" w:rsidP="00B801F4">
            <w:pPr>
              <w:tabs>
                <w:tab w:val="left" w:pos="1080"/>
              </w:tabs>
              <w:spacing w:after="80"/>
              <w:jc w:val="right"/>
            </w:pPr>
            <w:r w:rsidRPr="00B801F4">
              <w:t>12.3</w:t>
            </w:r>
          </w:p>
        </w:tc>
        <w:tc>
          <w:tcPr>
            <w:tcW w:w="1016" w:type="dxa"/>
            <w:gridSpan w:val="2"/>
            <w:tcBorders>
              <w:top w:val="nil"/>
              <w:left w:val="nil"/>
              <w:bottom w:val="nil"/>
              <w:right w:val="single" w:sz="4" w:space="0" w:color="auto"/>
            </w:tcBorders>
          </w:tcPr>
          <w:p w14:paraId="567D1924" w14:textId="77777777" w:rsidR="00B801F4" w:rsidRPr="00B801F4" w:rsidRDefault="00B801F4" w:rsidP="00B801F4">
            <w:pPr>
              <w:tabs>
                <w:tab w:val="left" w:pos="1080"/>
              </w:tabs>
              <w:spacing w:after="80"/>
              <w:jc w:val="right"/>
            </w:pPr>
            <w:r w:rsidRPr="00B801F4">
              <w:t>0.2%</w:t>
            </w:r>
          </w:p>
        </w:tc>
      </w:tr>
      <w:tr w:rsidR="00B801F4" w:rsidRPr="00B801F4" w14:paraId="0AC38053"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112DCA7C" w14:textId="77777777" w:rsidR="00B801F4" w:rsidRPr="00B801F4" w:rsidRDefault="00B801F4" w:rsidP="00B801F4">
            <w:pPr>
              <w:tabs>
                <w:tab w:val="left" w:pos="1080"/>
              </w:tabs>
              <w:spacing w:after="80"/>
              <w:rPr>
                <w:highlight w:val="yellow"/>
              </w:rPr>
            </w:pPr>
          </w:p>
        </w:tc>
        <w:tc>
          <w:tcPr>
            <w:tcW w:w="2693" w:type="dxa"/>
            <w:gridSpan w:val="3"/>
            <w:tcBorders>
              <w:top w:val="nil"/>
              <w:left w:val="nil"/>
              <w:bottom w:val="nil"/>
              <w:right w:val="nil"/>
            </w:tcBorders>
          </w:tcPr>
          <w:p w14:paraId="24BDB8B0" w14:textId="77777777" w:rsidR="00B801F4" w:rsidRPr="00B801F4" w:rsidRDefault="00B801F4" w:rsidP="00B801F4">
            <w:pPr>
              <w:tabs>
                <w:tab w:val="left" w:pos="1080"/>
              </w:tabs>
              <w:spacing w:after="80"/>
              <w:jc w:val="left"/>
            </w:pPr>
            <w:r w:rsidRPr="00B801F4">
              <w:t>Global Infrastructure Partners</w:t>
            </w:r>
          </w:p>
        </w:tc>
        <w:tc>
          <w:tcPr>
            <w:tcW w:w="993" w:type="dxa"/>
            <w:gridSpan w:val="4"/>
            <w:tcBorders>
              <w:top w:val="nil"/>
              <w:left w:val="nil"/>
              <w:bottom w:val="nil"/>
              <w:right w:val="nil"/>
            </w:tcBorders>
          </w:tcPr>
          <w:p w14:paraId="1D62EFE9" w14:textId="77777777" w:rsidR="00B801F4" w:rsidRPr="00B801F4" w:rsidRDefault="00B801F4" w:rsidP="00B801F4">
            <w:pPr>
              <w:tabs>
                <w:tab w:val="left" w:pos="1080"/>
              </w:tabs>
              <w:spacing w:after="80"/>
              <w:jc w:val="right"/>
            </w:pPr>
            <w:r w:rsidRPr="00B801F4">
              <w:t>15.9</w:t>
            </w:r>
          </w:p>
        </w:tc>
        <w:tc>
          <w:tcPr>
            <w:tcW w:w="1134" w:type="dxa"/>
            <w:gridSpan w:val="3"/>
            <w:tcBorders>
              <w:top w:val="nil"/>
              <w:left w:val="nil"/>
              <w:bottom w:val="nil"/>
              <w:right w:val="nil"/>
            </w:tcBorders>
          </w:tcPr>
          <w:p w14:paraId="779A8B6B" w14:textId="77777777" w:rsidR="00B801F4" w:rsidRPr="00B801F4" w:rsidRDefault="00B801F4" w:rsidP="00B801F4">
            <w:pPr>
              <w:tabs>
                <w:tab w:val="left" w:pos="1080"/>
              </w:tabs>
              <w:spacing w:after="80"/>
              <w:jc w:val="right"/>
            </w:pPr>
            <w:r w:rsidRPr="00B801F4">
              <w:t>0.3%</w:t>
            </w:r>
          </w:p>
        </w:tc>
        <w:tc>
          <w:tcPr>
            <w:tcW w:w="1134" w:type="dxa"/>
            <w:gridSpan w:val="2"/>
            <w:tcBorders>
              <w:top w:val="nil"/>
              <w:left w:val="nil"/>
              <w:bottom w:val="nil"/>
              <w:right w:val="nil"/>
            </w:tcBorders>
          </w:tcPr>
          <w:p w14:paraId="7EE37689" w14:textId="77777777" w:rsidR="00B801F4" w:rsidRPr="00B801F4" w:rsidRDefault="00B801F4" w:rsidP="00B801F4">
            <w:pPr>
              <w:tabs>
                <w:tab w:val="left" w:pos="1080"/>
              </w:tabs>
              <w:spacing w:after="80"/>
              <w:jc w:val="right"/>
            </w:pPr>
            <w:r w:rsidRPr="00B801F4">
              <w:t>17.2</w:t>
            </w:r>
          </w:p>
        </w:tc>
        <w:tc>
          <w:tcPr>
            <w:tcW w:w="1016" w:type="dxa"/>
            <w:gridSpan w:val="2"/>
            <w:tcBorders>
              <w:top w:val="nil"/>
              <w:left w:val="nil"/>
              <w:bottom w:val="nil"/>
              <w:right w:val="single" w:sz="4" w:space="0" w:color="auto"/>
            </w:tcBorders>
          </w:tcPr>
          <w:p w14:paraId="774770E9" w14:textId="77777777" w:rsidR="00B801F4" w:rsidRPr="00B801F4" w:rsidRDefault="00B801F4" w:rsidP="00B801F4">
            <w:pPr>
              <w:tabs>
                <w:tab w:val="left" w:pos="1080"/>
              </w:tabs>
              <w:spacing w:after="80"/>
              <w:jc w:val="right"/>
            </w:pPr>
            <w:r w:rsidRPr="00B801F4">
              <w:t>0.3%</w:t>
            </w:r>
          </w:p>
        </w:tc>
      </w:tr>
      <w:tr w:rsidR="00B801F4" w:rsidRPr="00B801F4" w14:paraId="78F8C9C8"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091EB65D" w14:textId="77777777" w:rsidR="00B801F4" w:rsidRPr="00B801F4" w:rsidRDefault="00B801F4" w:rsidP="00B801F4">
            <w:pPr>
              <w:tabs>
                <w:tab w:val="left" w:pos="1080"/>
              </w:tabs>
              <w:spacing w:after="80"/>
              <w:rPr>
                <w:highlight w:val="yellow"/>
              </w:rPr>
            </w:pPr>
          </w:p>
        </w:tc>
        <w:tc>
          <w:tcPr>
            <w:tcW w:w="2693" w:type="dxa"/>
            <w:gridSpan w:val="3"/>
            <w:tcBorders>
              <w:top w:val="nil"/>
              <w:left w:val="nil"/>
              <w:bottom w:val="nil"/>
              <w:right w:val="nil"/>
            </w:tcBorders>
          </w:tcPr>
          <w:p w14:paraId="7A46C8D3" w14:textId="77777777" w:rsidR="00B801F4" w:rsidRPr="00B801F4" w:rsidRDefault="00B801F4" w:rsidP="00B801F4">
            <w:pPr>
              <w:tabs>
                <w:tab w:val="left" w:pos="1080"/>
              </w:tabs>
              <w:spacing w:after="80"/>
              <w:jc w:val="left"/>
            </w:pPr>
            <w:r w:rsidRPr="00B801F4">
              <w:t>Highstar Capital</w:t>
            </w:r>
          </w:p>
        </w:tc>
        <w:tc>
          <w:tcPr>
            <w:tcW w:w="993" w:type="dxa"/>
            <w:gridSpan w:val="4"/>
            <w:tcBorders>
              <w:top w:val="nil"/>
              <w:left w:val="nil"/>
              <w:bottom w:val="nil"/>
              <w:right w:val="nil"/>
            </w:tcBorders>
          </w:tcPr>
          <w:p w14:paraId="08934BF4" w14:textId="77777777" w:rsidR="00B801F4" w:rsidRPr="00B801F4" w:rsidRDefault="00B801F4" w:rsidP="00B801F4">
            <w:pPr>
              <w:tabs>
                <w:tab w:val="left" w:pos="1080"/>
              </w:tabs>
              <w:spacing w:after="80"/>
              <w:jc w:val="right"/>
            </w:pPr>
            <w:r w:rsidRPr="00B801F4">
              <w:t>33.4</w:t>
            </w:r>
          </w:p>
        </w:tc>
        <w:tc>
          <w:tcPr>
            <w:tcW w:w="1134" w:type="dxa"/>
            <w:gridSpan w:val="3"/>
            <w:tcBorders>
              <w:top w:val="nil"/>
              <w:left w:val="nil"/>
              <w:bottom w:val="nil"/>
              <w:right w:val="nil"/>
            </w:tcBorders>
          </w:tcPr>
          <w:p w14:paraId="15D58884" w14:textId="77777777" w:rsidR="00B801F4" w:rsidRPr="00B801F4" w:rsidRDefault="00B801F4" w:rsidP="00B801F4">
            <w:pPr>
              <w:tabs>
                <w:tab w:val="left" w:pos="1080"/>
              </w:tabs>
              <w:spacing w:after="80"/>
              <w:jc w:val="right"/>
            </w:pPr>
            <w:r w:rsidRPr="00B801F4">
              <w:t>0.6%</w:t>
            </w:r>
          </w:p>
        </w:tc>
        <w:tc>
          <w:tcPr>
            <w:tcW w:w="1134" w:type="dxa"/>
            <w:gridSpan w:val="2"/>
            <w:tcBorders>
              <w:top w:val="nil"/>
              <w:left w:val="nil"/>
              <w:bottom w:val="nil"/>
              <w:right w:val="nil"/>
            </w:tcBorders>
          </w:tcPr>
          <w:p w14:paraId="3BE2DE42" w14:textId="77777777" w:rsidR="00B801F4" w:rsidRPr="00B801F4" w:rsidRDefault="00B801F4" w:rsidP="00B801F4">
            <w:pPr>
              <w:tabs>
                <w:tab w:val="left" w:pos="1080"/>
              </w:tabs>
              <w:spacing w:after="80"/>
              <w:jc w:val="right"/>
            </w:pPr>
            <w:r w:rsidRPr="00B801F4">
              <w:t>19.3</w:t>
            </w:r>
          </w:p>
        </w:tc>
        <w:tc>
          <w:tcPr>
            <w:tcW w:w="1016" w:type="dxa"/>
            <w:gridSpan w:val="2"/>
            <w:tcBorders>
              <w:top w:val="nil"/>
              <w:left w:val="nil"/>
              <w:bottom w:val="nil"/>
              <w:right w:val="single" w:sz="4" w:space="0" w:color="auto"/>
            </w:tcBorders>
          </w:tcPr>
          <w:p w14:paraId="09756D8F" w14:textId="77777777" w:rsidR="00B801F4" w:rsidRPr="00B801F4" w:rsidRDefault="00B801F4" w:rsidP="00B801F4">
            <w:pPr>
              <w:tabs>
                <w:tab w:val="left" w:pos="1080"/>
              </w:tabs>
              <w:spacing w:after="80"/>
              <w:jc w:val="right"/>
            </w:pPr>
            <w:r w:rsidRPr="00B801F4">
              <w:t>0.4%</w:t>
            </w:r>
          </w:p>
        </w:tc>
      </w:tr>
      <w:tr w:rsidR="00B801F4" w:rsidRPr="00B801F4" w14:paraId="0F8948D4"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7B61FEC1" w14:textId="77777777" w:rsidR="00B801F4" w:rsidRPr="00B801F4" w:rsidRDefault="00B801F4" w:rsidP="00B801F4">
            <w:pPr>
              <w:tabs>
                <w:tab w:val="left" w:pos="1080"/>
              </w:tabs>
              <w:spacing w:after="80"/>
              <w:rPr>
                <w:highlight w:val="yellow"/>
              </w:rPr>
            </w:pPr>
          </w:p>
        </w:tc>
        <w:tc>
          <w:tcPr>
            <w:tcW w:w="2693" w:type="dxa"/>
            <w:gridSpan w:val="3"/>
            <w:tcBorders>
              <w:top w:val="nil"/>
              <w:left w:val="nil"/>
              <w:bottom w:val="nil"/>
              <w:right w:val="nil"/>
            </w:tcBorders>
          </w:tcPr>
          <w:p w14:paraId="7977311D" w14:textId="77777777" w:rsidR="00B801F4" w:rsidRPr="00B801F4" w:rsidRDefault="00B801F4" w:rsidP="00B801F4">
            <w:pPr>
              <w:tabs>
                <w:tab w:val="left" w:pos="1080"/>
              </w:tabs>
              <w:spacing w:after="80"/>
              <w:jc w:val="left"/>
            </w:pPr>
            <w:r w:rsidRPr="00B801F4">
              <w:t>Icon Infrastructure</w:t>
            </w:r>
          </w:p>
        </w:tc>
        <w:tc>
          <w:tcPr>
            <w:tcW w:w="993" w:type="dxa"/>
            <w:gridSpan w:val="4"/>
            <w:tcBorders>
              <w:top w:val="nil"/>
              <w:left w:val="nil"/>
              <w:bottom w:val="nil"/>
              <w:right w:val="nil"/>
            </w:tcBorders>
          </w:tcPr>
          <w:p w14:paraId="6CA4213D" w14:textId="77777777" w:rsidR="00B801F4" w:rsidRPr="00B801F4" w:rsidRDefault="00B801F4" w:rsidP="00B801F4">
            <w:pPr>
              <w:tabs>
                <w:tab w:val="left" w:pos="1080"/>
              </w:tabs>
              <w:spacing w:after="80"/>
              <w:jc w:val="right"/>
            </w:pPr>
            <w:r w:rsidRPr="00B801F4">
              <w:t>29.8</w:t>
            </w:r>
          </w:p>
        </w:tc>
        <w:tc>
          <w:tcPr>
            <w:tcW w:w="1134" w:type="dxa"/>
            <w:gridSpan w:val="3"/>
            <w:tcBorders>
              <w:top w:val="nil"/>
              <w:left w:val="nil"/>
              <w:bottom w:val="nil"/>
              <w:right w:val="nil"/>
            </w:tcBorders>
          </w:tcPr>
          <w:p w14:paraId="6F9C1D2A" w14:textId="77777777" w:rsidR="00B801F4" w:rsidRPr="00B801F4" w:rsidRDefault="00B801F4" w:rsidP="00B801F4">
            <w:pPr>
              <w:tabs>
                <w:tab w:val="left" w:pos="1080"/>
              </w:tabs>
              <w:spacing w:after="80"/>
              <w:jc w:val="right"/>
            </w:pPr>
            <w:r w:rsidRPr="00B801F4">
              <w:t>0.5%</w:t>
            </w:r>
          </w:p>
        </w:tc>
        <w:tc>
          <w:tcPr>
            <w:tcW w:w="1134" w:type="dxa"/>
            <w:gridSpan w:val="2"/>
            <w:tcBorders>
              <w:top w:val="nil"/>
              <w:left w:val="nil"/>
              <w:bottom w:val="nil"/>
              <w:right w:val="nil"/>
            </w:tcBorders>
          </w:tcPr>
          <w:p w14:paraId="5317C5C6" w14:textId="77777777" w:rsidR="00B801F4" w:rsidRPr="00B801F4" w:rsidRDefault="00B801F4" w:rsidP="00B801F4">
            <w:pPr>
              <w:tabs>
                <w:tab w:val="left" w:pos="1080"/>
              </w:tabs>
              <w:spacing w:after="80"/>
              <w:jc w:val="right"/>
            </w:pPr>
            <w:r w:rsidRPr="00B801F4">
              <w:t>25.4</w:t>
            </w:r>
          </w:p>
        </w:tc>
        <w:tc>
          <w:tcPr>
            <w:tcW w:w="1016" w:type="dxa"/>
            <w:gridSpan w:val="2"/>
            <w:tcBorders>
              <w:top w:val="nil"/>
              <w:left w:val="nil"/>
              <w:bottom w:val="nil"/>
              <w:right w:val="single" w:sz="4" w:space="0" w:color="auto"/>
            </w:tcBorders>
          </w:tcPr>
          <w:p w14:paraId="520B1DF6" w14:textId="77777777" w:rsidR="00B801F4" w:rsidRPr="00B801F4" w:rsidRDefault="00B801F4" w:rsidP="00B801F4">
            <w:pPr>
              <w:tabs>
                <w:tab w:val="left" w:pos="1080"/>
              </w:tabs>
              <w:spacing w:after="80"/>
              <w:jc w:val="right"/>
            </w:pPr>
            <w:r w:rsidRPr="00B801F4">
              <w:t>0.5%</w:t>
            </w:r>
          </w:p>
        </w:tc>
      </w:tr>
      <w:tr w:rsidR="00B801F4" w:rsidRPr="00B801F4" w14:paraId="4A8D7AE9"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20BB940E" w14:textId="77777777" w:rsidR="00B801F4" w:rsidRPr="00B801F4" w:rsidRDefault="00B801F4" w:rsidP="00B801F4">
            <w:pPr>
              <w:tabs>
                <w:tab w:val="left" w:pos="1080"/>
              </w:tabs>
              <w:spacing w:after="80"/>
              <w:rPr>
                <w:highlight w:val="yellow"/>
              </w:rPr>
            </w:pPr>
          </w:p>
        </w:tc>
        <w:tc>
          <w:tcPr>
            <w:tcW w:w="2693" w:type="dxa"/>
            <w:gridSpan w:val="3"/>
            <w:tcBorders>
              <w:top w:val="nil"/>
              <w:left w:val="nil"/>
              <w:bottom w:val="nil"/>
              <w:right w:val="nil"/>
            </w:tcBorders>
          </w:tcPr>
          <w:p w14:paraId="572BA8EA" w14:textId="77777777" w:rsidR="00B801F4" w:rsidRPr="00B801F4" w:rsidRDefault="00B801F4" w:rsidP="00B801F4">
            <w:pPr>
              <w:tabs>
                <w:tab w:val="left" w:pos="1080"/>
              </w:tabs>
              <w:spacing w:after="80"/>
              <w:jc w:val="left"/>
            </w:pPr>
            <w:r w:rsidRPr="00B801F4">
              <w:t>ISQ Global Infrastructure</w:t>
            </w:r>
          </w:p>
        </w:tc>
        <w:tc>
          <w:tcPr>
            <w:tcW w:w="993" w:type="dxa"/>
            <w:gridSpan w:val="4"/>
            <w:tcBorders>
              <w:top w:val="nil"/>
              <w:left w:val="nil"/>
              <w:bottom w:val="nil"/>
              <w:right w:val="nil"/>
            </w:tcBorders>
          </w:tcPr>
          <w:p w14:paraId="40FBEBF4" w14:textId="77777777" w:rsidR="00B801F4" w:rsidRPr="00B801F4" w:rsidRDefault="00B801F4" w:rsidP="00B801F4">
            <w:pPr>
              <w:tabs>
                <w:tab w:val="left" w:pos="1080"/>
              </w:tabs>
              <w:spacing w:after="80"/>
              <w:jc w:val="right"/>
            </w:pPr>
            <w:r w:rsidRPr="00B801F4">
              <w:t>4.3</w:t>
            </w:r>
          </w:p>
        </w:tc>
        <w:tc>
          <w:tcPr>
            <w:tcW w:w="1134" w:type="dxa"/>
            <w:gridSpan w:val="3"/>
            <w:tcBorders>
              <w:top w:val="nil"/>
              <w:left w:val="nil"/>
              <w:bottom w:val="nil"/>
              <w:right w:val="nil"/>
            </w:tcBorders>
          </w:tcPr>
          <w:p w14:paraId="1B97CC68" w14:textId="77777777" w:rsidR="00B801F4" w:rsidRPr="00B801F4" w:rsidRDefault="00B801F4" w:rsidP="00B801F4">
            <w:pPr>
              <w:tabs>
                <w:tab w:val="left" w:pos="1080"/>
              </w:tabs>
              <w:spacing w:after="80"/>
              <w:jc w:val="right"/>
            </w:pPr>
            <w:r w:rsidRPr="00B801F4">
              <w:t>0.1%</w:t>
            </w:r>
          </w:p>
        </w:tc>
        <w:tc>
          <w:tcPr>
            <w:tcW w:w="1134" w:type="dxa"/>
            <w:gridSpan w:val="2"/>
            <w:tcBorders>
              <w:top w:val="nil"/>
              <w:left w:val="nil"/>
              <w:bottom w:val="nil"/>
              <w:right w:val="nil"/>
            </w:tcBorders>
          </w:tcPr>
          <w:p w14:paraId="29896050" w14:textId="77777777" w:rsidR="00B801F4" w:rsidRPr="00B801F4" w:rsidRDefault="00B801F4" w:rsidP="00B801F4">
            <w:pPr>
              <w:tabs>
                <w:tab w:val="left" w:pos="1080"/>
              </w:tabs>
              <w:spacing w:after="80"/>
              <w:jc w:val="right"/>
            </w:pPr>
            <w:r w:rsidRPr="00B801F4">
              <w:t>0.0</w:t>
            </w:r>
          </w:p>
        </w:tc>
        <w:tc>
          <w:tcPr>
            <w:tcW w:w="1016" w:type="dxa"/>
            <w:gridSpan w:val="2"/>
            <w:tcBorders>
              <w:top w:val="nil"/>
              <w:left w:val="nil"/>
              <w:bottom w:val="nil"/>
              <w:right w:val="single" w:sz="4" w:space="0" w:color="auto"/>
            </w:tcBorders>
          </w:tcPr>
          <w:p w14:paraId="1640AF30" w14:textId="77777777" w:rsidR="00B801F4" w:rsidRPr="00B801F4" w:rsidRDefault="00B801F4" w:rsidP="00B801F4">
            <w:pPr>
              <w:tabs>
                <w:tab w:val="left" w:pos="1080"/>
              </w:tabs>
              <w:spacing w:after="80"/>
              <w:jc w:val="right"/>
            </w:pPr>
            <w:r w:rsidRPr="00B801F4">
              <w:t>0.0%</w:t>
            </w:r>
          </w:p>
        </w:tc>
      </w:tr>
      <w:tr w:rsidR="00B801F4" w:rsidRPr="00B801F4" w14:paraId="48FF3E87"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single" w:sz="4" w:space="0" w:color="auto"/>
              <w:right w:val="nil"/>
            </w:tcBorders>
            <w:shd w:val="clear" w:color="auto" w:fill="E2EFD9" w:themeFill="accent6" w:themeFillTint="33"/>
          </w:tcPr>
          <w:p w14:paraId="30B11882" w14:textId="77777777" w:rsidR="00B801F4" w:rsidRPr="00B801F4" w:rsidRDefault="00B801F4" w:rsidP="00B801F4">
            <w:pPr>
              <w:tabs>
                <w:tab w:val="left" w:pos="1080"/>
              </w:tabs>
              <w:spacing w:after="80"/>
            </w:pPr>
          </w:p>
        </w:tc>
        <w:tc>
          <w:tcPr>
            <w:tcW w:w="2410" w:type="dxa"/>
            <w:gridSpan w:val="2"/>
            <w:tcBorders>
              <w:top w:val="nil"/>
              <w:left w:val="nil"/>
              <w:bottom w:val="single" w:sz="4" w:space="0" w:color="auto"/>
              <w:right w:val="nil"/>
            </w:tcBorders>
            <w:shd w:val="clear" w:color="auto" w:fill="E2EFD9" w:themeFill="accent6" w:themeFillTint="33"/>
          </w:tcPr>
          <w:p w14:paraId="1506013B" w14:textId="77777777" w:rsidR="00B801F4" w:rsidRPr="00B801F4" w:rsidRDefault="00B801F4" w:rsidP="00B801F4">
            <w:pPr>
              <w:tabs>
                <w:tab w:val="left" w:pos="1080"/>
              </w:tabs>
              <w:spacing w:after="80"/>
            </w:pPr>
          </w:p>
        </w:tc>
        <w:tc>
          <w:tcPr>
            <w:tcW w:w="1276" w:type="dxa"/>
            <w:gridSpan w:val="5"/>
            <w:tcBorders>
              <w:top w:val="nil"/>
              <w:left w:val="nil"/>
              <w:bottom w:val="single" w:sz="4" w:space="0" w:color="auto"/>
              <w:right w:val="nil"/>
            </w:tcBorders>
            <w:shd w:val="clear" w:color="auto" w:fill="E2EFD9" w:themeFill="accent6" w:themeFillTint="33"/>
          </w:tcPr>
          <w:p w14:paraId="2269EB49" w14:textId="77777777" w:rsidR="00B801F4" w:rsidRPr="00B801F4" w:rsidRDefault="00B801F4" w:rsidP="00B801F4">
            <w:pPr>
              <w:tabs>
                <w:tab w:val="left" w:pos="1080"/>
              </w:tabs>
              <w:spacing w:after="80"/>
              <w:jc w:val="right"/>
              <w:rPr>
                <w:b/>
              </w:rPr>
            </w:pPr>
            <w:r w:rsidRPr="00B801F4">
              <w:rPr>
                <w:b/>
              </w:rPr>
              <w:t>323.7</w:t>
            </w:r>
          </w:p>
        </w:tc>
        <w:tc>
          <w:tcPr>
            <w:tcW w:w="1134" w:type="dxa"/>
            <w:gridSpan w:val="3"/>
            <w:tcBorders>
              <w:top w:val="nil"/>
              <w:left w:val="nil"/>
              <w:bottom w:val="single" w:sz="4" w:space="0" w:color="auto"/>
              <w:right w:val="nil"/>
            </w:tcBorders>
            <w:shd w:val="clear" w:color="auto" w:fill="E2EFD9" w:themeFill="accent6" w:themeFillTint="33"/>
          </w:tcPr>
          <w:p w14:paraId="5474017F" w14:textId="77777777" w:rsidR="00B801F4" w:rsidRPr="00B801F4" w:rsidRDefault="00B801F4" w:rsidP="00B801F4">
            <w:pPr>
              <w:tabs>
                <w:tab w:val="left" w:pos="1080"/>
              </w:tabs>
              <w:spacing w:after="80"/>
              <w:jc w:val="right"/>
              <w:rPr>
                <w:b/>
              </w:rPr>
            </w:pPr>
            <w:r w:rsidRPr="00B801F4">
              <w:rPr>
                <w:b/>
              </w:rPr>
              <w:t>5.6%</w:t>
            </w:r>
          </w:p>
        </w:tc>
        <w:tc>
          <w:tcPr>
            <w:tcW w:w="1134" w:type="dxa"/>
            <w:gridSpan w:val="2"/>
            <w:tcBorders>
              <w:top w:val="nil"/>
              <w:left w:val="nil"/>
              <w:bottom w:val="single" w:sz="4" w:space="0" w:color="auto"/>
              <w:right w:val="nil"/>
            </w:tcBorders>
            <w:shd w:val="clear" w:color="auto" w:fill="E2EFD9" w:themeFill="accent6" w:themeFillTint="33"/>
          </w:tcPr>
          <w:p w14:paraId="016A44E6" w14:textId="77777777" w:rsidR="00B801F4" w:rsidRPr="00B801F4" w:rsidRDefault="00B801F4" w:rsidP="00B801F4">
            <w:pPr>
              <w:tabs>
                <w:tab w:val="left" w:pos="1080"/>
              </w:tabs>
              <w:spacing w:after="80"/>
              <w:jc w:val="right"/>
              <w:rPr>
                <w:b/>
              </w:rPr>
            </w:pPr>
            <w:r w:rsidRPr="00B801F4">
              <w:rPr>
                <w:b/>
              </w:rPr>
              <w:t>291.4</w:t>
            </w:r>
          </w:p>
        </w:tc>
        <w:tc>
          <w:tcPr>
            <w:tcW w:w="1016" w:type="dxa"/>
            <w:gridSpan w:val="2"/>
            <w:tcBorders>
              <w:top w:val="nil"/>
              <w:left w:val="nil"/>
              <w:bottom w:val="single" w:sz="4" w:space="0" w:color="auto"/>
              <w:right w:val="single" w:sz="4" w:space="0" w:color="auto"/>
            </w:tcBorders>
            <w:shd w:val="clear" w:color="auto" w:fill="E2EFD9" w:themeFill="accent6" w:themeFillTint="33"/>
          </w:tcPr>
          <w:p w14:paraId="64E1E446" w14:textId="77777777" w:rsidR="00B801F4" w:rsidRPr="00B801F4" w:rsidRDefault="00B801F4" w:rsidP="00B801F4">
            <w:pPr>
              <w:tabs>
                <w:tab w:val="left" w:pos="1080"/>
              </w:tabs>
              <w:spacing w:after="80"/>
              <w:jc w:val="right"/>
              <w:rPr>
                <w:b/>
              </w:rPr>
            </w:pPr>
            <w:r w:rsidRPr="00B801F4">
              <w:rPr>
                <w:b/>
              </w:rPr>
              <w:t>5.7%</w:t>
            </w:r>
          </w:p>
        </w:tc>
      </w:tr>
      <w:tr w:rsidR="00B801F4" w:rsidRPr="00B801F4" w14:paraId="61029129" w14:textId="77777777" w:rsidTr="00B801F4">
        <w:tblPrEx>
          <w:tblBorders>
            <w:insideH w:val="single" w:sz="4" w:space="0" w:color="auto"/>
            <w:insideV w:val="single" w:sz="4" w:space="0" w:color="auto"/>
          </w:tblBorders>
        </w:tblPrEx>
        <w:trPr>
          <w:gridAfter w:val="1"/>
          <w:wAfter w:w="230" w:type="dxa"/>
        </w:trPr>
        <w:tc>
          <w:tcPr>
            <w:tcW w:w="10372" w:type="dxa"/>
            <w:gridSpan w:val="17"/>
            <w:tcBorders>
              <w:top w:val="single" w:sz="4" w:space="0" w:color="auto"/>
              <w:bottom w:val="single" w:sz="4" w:space="0" w:color="auto"/>
            </w:tcBorders>
            <w:shd w:val="clear" w:color="auto" w:fill="C5E0B3" w:themeFill="accent6" w:themeFillTint="66"/>
          </w:tcPr>
          <w:p w14:paraId="030E91F8" w14:textId="77777777" w:rsidR="00B801F4" w:rsidRPr="00B801F4" w:rsidRDefault="00B801F4" w:rsidP="00B801F4">
            <w:pPr>
              <w:tabs>
                <w:tab w:val="left" w:pos="1080"/>
              </w:tabs>
              <w:spacing w:after="80"/>
              <w:jc w:val="left"/>
            </w:pPr>
            <w:r w:rsidRPr="00B801F4">
              <w:rPr>
                <w:b/>
              </w:rPr>
              <w:t>Property</w:t>
            </w:r>
          </w:p>
        </w:tc>
      </w:tr>
      <w:tr w:rsidR="00B801F4" w:rsidRPr="00B801F4" w14:paraId="3F7B1AAD"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single" w:sz="4" w:space="0" w:color="auto"/>
              <w:left w:val="single" w:sz="4" w:space="0" w:color="auto"/>
              <w:bottom w:val="nil"/>
              <w:right w:val="nil"/>
            </w:tcBorders>
          </w:tcPr>
          <w:p w14:paraId="3A87C955" w14:textId="77777777" w:rsidR="00B801F4" w:rsidRPr="00B801F4" w:rsidRDefault="00B801F4" w:rsidP="00B801F4">
            <w:pPr>
              <w:tabs>
                <w:tab w:val="left" w:pos="1080"/>
              </w:tabs>
              <w:spacing w:after="80"/>
            </w:pPr>
            <w:r w:rsidRPr="00B801F4">
              <w:t>Direct</w:t>
            </w:r>
          </w:p>
        </w:tc>
        <w:tc>
          <w:tcPr>
            <w:tcW w:w="2268" w:type="dxa"/>
            <w:tcBorders>
              <w:top w:val="single" w:sz="4" w:space="0" w:color="auto"/>
              <w:left w:val="nil"/>
              <w:bottom w:val="nil"/>
              <w:right w:val="nil"/>
            </w:tcBorders>
          </w:tcPr>
          <w:p w14:paraId="0643A0E4" w14:textId="77777777" w:rsidR="00B801F4" w:rsidRPr="00B801F4" w:rsidRDefault="00B801F4" w:rsidP="00B801F4">
            <w:pPr>
              <w:tabs>
                <w:tab w:val="left" w:pos="1080"/>
              </w:tabs>
              <w:spacing w:after="80"/>
              <w:jc w:val="left"/>
            </w:pPr>
            <w:r w:rsidRPr="00B801F4">
              <w:t>Knight Frank</w:t>
            </w:r>
          </w:p>
        </w:tc>
        <w:tc>
          <w:tcPr>
            <w:tcW w:w="1276" w:type="dxa"/>
            <w:gridSpan w:val="5"/>
            <w:tcBorders>
              <w:top w:val="single" w:sz="4" w:space="0" w:color="auto"/>
              <w:left w:val="nil"/>
              <w:bottom w:val="nil"/>
              <w:right w:val="nil"/>
            </w:tcBorders>
          </w:tcPr>
          <w:p w14:paraId="6B800A97" w14:textId="77777777" w:rsidR="00B801F4" w:rsidRPr="00B801F4" w:rsidRDefault="00B801F4" w:rsidP="00B801F4">
            <w:pPr>
              <w:tabs>
                <w:tab w:val="left" w:pos="1080"/>
              </w:tabs>
              <w:spacing w:after="80"/>
              <w:jc w:val="right"/>
            </w:pPr>
            <w:r w:rsidRPr="00B801F4">
              <w:t>531.4</w:t>
            </w:r>
          </w:p>
        </w:tc>
        <w:tc>
          <w:tcPr>
            <w:tcW w:w="1134" w:type="dxa"/>
            <w:gridSpan w:val="3"/>
            <w:tcBorders>
              <w:top w:val="single" w:sz="4" w:space="0" w:color="auto"/>
              <w:left w:val="nil"/>
              <w:bottom w:val="nil"/>
              <w:right w:val="nil"/>
            </w:tcBorders>
          </w:tcPr>
          <w:p w14:paraId="2A2332CD" w14:textId="77777777" w:rsidR="00B801F4" w:rsidRPr="00B801F4" w:rsidRDefault="00B801F4" w:rsidP="00B801F4">
            <w:pPr>
              <w:tabs>
                <w:tab w:val="left" w:pos="1080"/>
              </w:tabs>
              <w:spacing w:after="80"/>
              <w:jc w:val="right"/>
            </w:pPr>
            <w:r w:rsidRPr="00B801F4">
              <w:t>9.1%</w:t>
            </w:r>
          </w:p>
        </w:tc>
        <w:tc>
          <w:tcPr>
            <w:tcW w:w="1276" w:type="dxa"/>
            <w:gridSpan w:val="3"/>
            <w:tcBorders>
              <w:top w:val="single" w:sz="4" w:space="0" w:color="auto"/>
              <w:left w:val="nil"/>
              <w:bottom w:val="nil"/>
              <w:right w:val="nil"/>
            </w:tcBorders>
          </w:tcPr>
          <w:p w14:paraId="2360A456" w14:textId="77777777" w:rsidR="00B801F4" w:rsidRPr="00B801F4" w:rsidRDefault="00B801F4" w:rsidP="00B801F4">
            <w:pPr>
              <w:tabs>
                <w:tab w:val="left" w:pos="1080"/>
              </w:tabs>
              <w:spacing w:after="80"/>
              <w:jc w:val="right"/>
            </w:pPr>
            <w:r w:rsidRPr="00B801F4">
              <w:t>450.5</w:t>
            </w:r>
          </w:p>
        </w:tc>
        <w:tc>
          <w:tcPr>
            <w:tcW w:w="1016" w:type="dxa"/>
            <w:gridSpan w:val="2"/>
            <w:tcBorders>
              <w:top w:val="single" w:sz="4" w:space="0" w:color="auto"/>
              <w:left w:val="nil"/>
              <w:bottom w:val="nil"/>
              <w:right w:val="single" w:sz="4" w:space="0" w:color="auto"/>
            </w:tcBorders>
          </w:tcPr>
          <w:p w14:paraId="4D8D441E" w14:textId="77777777" w:rsidR="00B801F4" w:rsidRPr="00B801F4" w:rsidRDefault="00B801F4" w:rsidP="00B801F4">
            <w:pPr>
              <w:tabs>
                <w:tab w:val="left" w:pos="1080"/>
              </w:tabs>
              <w:spacing w:after="80"/>
              <w:jc w:val="right"/>
            </w:pPr>
            <w:r w:rsidRPr="00B801F4">
              <w:t>8.7%</w:t>
            </w:r>
          </w:p>
        </w:tc>
      </w:tr>
      <w:tr w:rsidR="00B801F4" w:rsidRPr="00B801F4" w14:paraId="180ABAA1"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70BB2846" w14:textId="77777777" w:rsidR="00B801F4" w:rsidRPr="00B801F4" w:rsidRDefault="00B801F4" w:rsidP="00B801F4">
            <w:pPr>
              <w:tabs>
                <w:tab w:val="left" w:pos="1080"/>
              </w:tabs>
              <w:spacing w:after="80"/>
            </w:pPr>
            <w:r w:rsidRPr="00B801F4">
              <w:t>Indirect</w:t>
            </w:r>
          </w:p>
        </w:tc>
        <w:tc>
          <w:tcPr>
            <w:tcW w:w="2268" w:type="dxa"/>
            <w:tcBorders>
              <w:top w:val="nil"/>
              <w:left w:val="nil"/>
              <w:bottom w:val="nil"/>
              <w:right w:val="nil"/>
            </w:tcBorders>
          </w:tcPr>
          <w:p w14:paraId="570505EE" w14:textId="77777777" w:rsidR="00B801F4" w:rsidRPr="00B801F4" w:rsidRDefault="00B801F4" w:rsidP="00B801F4">
            <w:pPr>
              <w:tabs>
                <w:tab w:val="left" w:pos="1080"/>
              </w:tabs>
              <w:spacing w:after="80"/>
              <w:jc w:val="left"/>
            </w:pPr>
            <w:r w:rsidRPr="00B801F4">
              <w:t>Gatefold Hayes</w:t>
            </w:r>
          </w:p>
        </w:tc>
        <w:tc>
          <w:tcPr>
            <w:tcW w:w="1276" w:type="dxa"/>
            <w:gridSpan w:val="5"/>
            <w:tcBorders>
              <w:top w:val="nil"/>
              <w:left w:val="nil"/>
              <w:bottom w:val="nil"/>
              <w:right w:val="nil"/>
            </w:tcBorders>
          </w:tcPr>
          <w:p w14:paraId="76C16914" w14:textId="77777777" w:rsidR="00B801F4" w:rsidRPr="00B801F4" w:rsidRDefault="00B801F4" w:rsidP="00B801F4">
            <w:pPr>
              <w:tabs>
                <w:tab w:val="left" w:pos="1080"/>
              </w:tabs>
              <w:spacing w:after="80"/>
              <w:jc w:val="right"/>
            </w:pPr>
            <w:r w:rsidRPr="00B801F4">
              <w:t>12.9</w:t>
            </w:r>
          </w:p>
        </w:tc>
        <w:tc>
          <w:tcPr>
            <w:tcW w:w="1134" w:type="dxa"/>
            <w:gridSpan w:val="3"/>
            <w:tcBorders>
              <w:top w:val="nil"/>
              <w:left w:val="nil"/>
              <w:bottom w:val="nil"/>
              <w:right w:val="nil"/>
            </w:tcBorders>
          </w:tcPr>
          <w:p w14:paraId="74E91A80" w14:textId="77777777" w:rsidR="00B801F4" w:rsidRPr="00B801F4" w:rsidRDefault="00B801F4" w:rsidP="00B801F4">
            <w:pPr>
              <w:tabs>
                <w:tab w:val="left" w:pos="1080"/>
              </w:tabs>
              <w:spacing w:after="80"/>
              <w:jc w:val="right"/>
            </w:pPr>
            <w:r w:rsidRPr="00B801F4">
              <w:t>0.2%</w:t>
            </w:r>
          </w:p>
        </w:tc>
        <w:tc>
          <w:tcPr>
            <w:tcW w:w="1276" w:type="dxa"/>
            <w:gridSpan w:val="3"/>
            <w:tcBorders>
              <w:top w:val="nil"/>
              <w:left w:val="nil"/>
              <w:bottom w:val="nil"/>
              <w:right w:val="nil"/>
            </w:tcBorders>
          </w:tcPr>
          <w:p w14:paraId="2DAA929E" w14:textId="77777777" w:rsidR="00B801F4" w:rsidRPr="00B801F4" w:rsidRDefault="00B801F4" w:rsidP="00B801F4">
            <w:pPr>
              <w:tabs>
                <w:tab w:val="left" w:pos="1080"/>
              </w:tabs>
              <w:spacing w:after="80"/>
              <w:jc w:val="right"/>
            </w:pPr>
            <w:r w:rsidRPr="00B801F4">
              <w:t>0.0</w:t>
            </w:r>
          </w:p>
        </w:tc>
        <w:tc>
          <w:tcPr>
            <w:tcW w:w="1016" w:type="dxa"/>
            <w:gridSpan w:val="2"/>
            <w:tcBorders>
              <w:top w:val="nil"/>
              <w:left w:val="nil"/>
              <w:bottom w:val="nil"/>
              <w:right w:val="single" w:sz="4" w:space="0" w:color="auto"/>
            </w:tcBorders>
          </w:tcPr>
          <w:p w14:paraId="03C78374" w14:textId="26CA9745" w:rsidR="00B801F4" w:rsidRPr="00B801F4" w:rsidRDefault="00F56451" w:rsidP="00B801F4">
            <w:pPr>
              <w:tabs>
                <w:tab w:val="left" w:pos="1080"/>
              </w:tabs>
              <w:spacing w:after="80"/>
              <w:jc w:val="right"/>
            </w:pPr>
            <w:r>
              <w:t>0.</w:t>
            </w:r>
            <w:r w:rsidR="00B801F4" w:rsidRPr="00B801F4">
              <w:t>0%</w:t>
            </w:r>
          </w:p>
        </w:tc>
      </w:tr>
      <w:tr w:rsidR="00B801F4" w:rsidRPr="00B801F4" w14:paraId="0F8868FE"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nil"/>
              <w:right w:val="nil"/>
            </w:tcBorders>
          </w:tcPr>
          <w:p w14:paraId="6EA682E2" w14:textId="77777777" w:rsidR="00B801F4" w:rsidRPr="00B801F4" w:rsidRDefault="00B801F4" w:rsidP="00B801F4">
            <w:pPr>
              <w:tabs>
                <w:tab w:val="left" w:pos="1080"/>
              </w:tabs>
              <w:spacing w:after="80"/>
            </w:pPr>
          </w:p>
        </w:tc>
        <w:tc>
          <w:tcPr>
            <w:tcW w:w="2268" w:type="dxa"/>
            <w:tcBorders>
              <w:top w:val="nil"/>
              <w:left w:val="nil"/>
              <w:bottom w:val="nil"/>
              <w:right w:val="nil"/>
            </w:tcBorders>
          </w:tcPr>
          <w:p w14:paraId="04F8147D" w14:textId="77777777" w:rsidR="00B801F4" w:rsidRPr="00B801F4" w:rsidRDefault="00B801F4" w:rsidP="00B801F4">
            <w:pPr>
              <w:tabs>
                <w:tab w:val="left" w:pos="1080"/>
              </w:tabs>
              <w:spacing w:after="80"/>
              <w:jc w:val="left"/>
            </w:pPr>
            <w:r w:rsidRPr="00B801F4">
              <w:t>M&amp;G Europe fund</w:t>
            </w:r>
          </w:p>
        </w:tc>
        <w:tc>
          <w:tcPr>
            <w:tcW w:w="1276" w:type="dxa"/>
            <w:gridSpan w:val="5"/>
            <w:tcBorders>
              <w:top w:val="nil"/>
              <w:left w:val="nil"/>
              <w:bottom w:val="nil"/>
              <w:right w:val="nil"/>
            </w:tcBorders>
          </w:tcPr>
          <w:p w14:paraId="3C36A09B" w14:textId="77777777" w:rsidR="00B801F4" w:rsidRPr="00B801F4" w:rsidRDefault="00B801F4" w:rsidP="00B801F4">
            <w:pPr>
              <w:tabs>
                <w:tab w:val="left" w:pos="1080"/>
              </w:tabs>
              <w:spacing w:after="80"/>
              <w:jc w:val="right"/>
            </w:pPr>
            <w:r w:rsidRPr="00B801F4">
              <w:t>30.1</w:t>
            </w:r>
          </w:p>
        </w:tc>
        <w:tc>
          <w:tcPr>
            <w:tcW w:w="1134" w:type="dxa"/>
            <w:gridSpan w:val="3"/>
            <w:tcBorders>
              <w:top w:val="nil"/>
              <w:left w:val="nil"/>
              <w:bottom w:val="nil"/>
              <w:right w:val="nil"/>
            </w:tcBorders>
          </w:tcPr>
          <w:p w14:paraId="16BC1FB2" w14:textId="77777777" w:rsidR="00B801F4" w:rsidRPr="00B801F4" w:rsidRDefault="00B801F4" w:rsidP="00B801F4">
            <w:pPr>
              <w:tabs>
                <w:tab w:val="left" w:pos="1080"/>
              </w:tabs>
              <w:spacing w:after="80"/>
              <w:jc w:val="right"/>
            </w:pPr>
            <w:r w:rsidRPr="00B801F4">
              <w:t>0.5%</w:t>
            </w:r>
          </w:p>
        </w:tc>
        <w:tc>
          <w:tcPr>
            <w:tcW w:w="1276" w:type="dxa"/>
            <w:gridSpan w:val="3"/>
            <w:tcBorders>
              <w:top w:val="nil"/>
              <w:left w:val="nil"/>
              <w:bottom w:val="nil"/>
              <w:right w:val="nil"/>
            </w:tcBorders>
          </w:tcPr>
          <w:p w14:paraId="4A18AAC8" w14:textId="77777777" w:rsidR="00B801F4" w:rsidRPr="00B801F4" w:rsidRDefault="00B801F4" w:rsidP="00B801F4">
            <w:pPr>
              <w:tabs>
                <w:tab w:val="left" w:pos="1080"/>
              </w:tabs>
              <w:spacing w:after="80"/>
              <w:jc w:val="right"/>
            </w:pPr>
            <w:r w:rsidRPr="00B801F4">
              <w:t>25.3</w:t>
            </w:r>
          </w:p>
        </w:tc>
        <w:tc>
          <w:tcPr>
            <w:tcW w:w="1016" w:type="dxa"/>
            <w:gridSpan w:val="2"/>
            <w:tcBorders>
              <w:top w:val="nil"/>
              <w:left w:val="nil"/>
              <w:bottom w:val="nil"/>
              <w:right w:val="single" w:sz="4" w:space="0" w:color="auto"/>
            </w:tcBorders>
          </w:tcPr>
          <w:p w14:paraId="2F5CA08F" w14:textId="77777777" w:rsidR="00B801F4" w:rsidRPr="00B801F4" w:rsidRDefault="00B801F4" w:rsidP="00B801F4">
            <w:pPr>
              <w:tabs>
                <w:tab w:val="left" w:pos="1080"/>
              </w:tabs>
              <w:spacing w:after="80"/>
              <w:jc w:val="right"/>
            </w:pPr>
            <w:r w:rsidRPr="00B801F4">
              <w:t>0.5%</w:t>
            </w:r>
          </w:p>
        </w:tc>
      </w:tr>
      <w:tr w:rsidR="00B801F4" w:rsidRPr="00B801F4" w14:paraId="5B7B1370" w14:textId="77777777" w:rsidTr="00B801F4">
        <w:tblPrEx>
          <w:tblBorders>
            <w:insideH w:val="single" w:sz="4" w:space="0" w:color="auto"/>
            <w:insideV w:val="single" w:sz="4" w:space="0" w:color="auto"/>
          </w:tblBorders>
        </w:tblPrEx>
        <w:trPr>
          <w:gridAfter w:val="1"/>
          <w:wAfter w:w="230" w:type="dxa"/>
        </w:trPr>
        <w:tc>
          <w:tcPr>
            <w:tcW w:w="3402" w:type="dxa"/>
            <w:gridSpan w:val="3"/>
            <w:tcBorders>
              <w:top w:val="nil"/>
              <w:left w:val="single" w:sz="4" w:space="0" w:color="auto"/>
              <w:bottom w:val="single" w:sz="4" w:space="0" w:color="auto"/>
              <w:right w:val="nil"/>
            </w:tcBorders>
            <w:shd w:val="clear" w:color="auto" w:fill="E2EFD9" w:themeFill="accent6" w:themeFillTint="33"/>
          </w:tcPr>
          <w:p w14:paraId="7F307FFB" w14:textId="77777777" w:rsidR="00B801F4" w:rsidRPr="00B801F4" w:rsidRDefault="00B801F4" w:rsidP="00B801F4">
            <w:pPr>
              <w:tabs>
                <w:tab w:val="left" w:pos="1080"/>
              </w:tabs>
              <w:spacing w:after="80"/>
            </w:pPr>
          </w:p>
        </w:tc>
        <w:tc>
          <w:tcPr>
            <w:tcW w:w="2268" w:type="dxa"/>
            <w:tcBorders>
              <w:top w:val="nil"/>
              <w:left w:val="nil"/>
              <w:bottom w:val="single" w:sz="4" w:space="0" w:color="auto"/>
              <w:right w:val="nil"/>
            </w:tcBorders>
            <w:shd w:val="clear" w:color="auto" w:fill="E2EFD9" w:themeFill="accent6" w:themeFillTint="33"/>
          </w:tcPr>
          <w:p w14:paraId="02AACABB" w14:textId="77777777" w:rsidR="00B801F4" w:rsidRPr="00B801F4" w:rsidRDefault="00B801F4" w:rsidP="00B801F4">
            <w:pPr>
              <w:tabs>
                <w:tab w:val="left" w:pos="1080"/>
              </w:tabs>
              <w:spacing w:after="80"/>
            </w:pPr>
          </w:p>
        </w:tc>
        <w:tc>
          <w:tcPr>
            <w:tcW w:w="1276" w:type="dxa"/>
            <w:gridSpan w:val="5"/>
            <w:tcBorders>
              <w:top w:val="nil"/>
              <w:left w:val="nil"/>
              <w:bottom w:val="single" w:sz="4" w:space="0" w:color="auto"/>
              <w:right w:val="nil"/>
            </w:tcBorders>
            <w:shd w:val="clear" w:color="auto" w:fill="E2EFD9" w:themeFill="accent6" w:themeFillTint="33"/>
          </w:tcPr>
          <w:p w14:paraId="6D3015DD" w14:textId="77777777" w:rsidR="00B801F4" w:rsidRPr="00B801F4" w:rsidRDefault="00B801F4" w:rsidP="00B801F4">
            <w:pPr>
              <w:tabs>
                <w:tab w:val="left" w:pos="1080"/>
              </w:tabs>
              <w:spacing w:after="80"/>
              <w:jc w:val="right"/>
              <w:rPr>
                <w:b/>
              </w:rPr>
            </w:pPr>
            <w:r w:rsidRPr="00B801F4">
              <w:rPr>
                <w:b/>
              </w:rPr>
              <w:t>574.4</w:t>
            </w:r>
          </w:p>
        </w:tc>
        <w:tc>
          <w:tcPr>
            <w:tcW w:w="1134" w:type="dxa"/>
            <w:gridSpan w:val="3"/>
            <w:tcBorders>
              <w:top w:val="nil"/>
              <w:left w:val="nil"/>
              <w:bottom w:val="single" w:sz="4" w:space="0" w:color="auto"/>
              <w:right w:val="nil"/>
            </w:tcBorders>
            <w:shd w:val="clear" w:color="auto" w:fill="E2EFD9" w:themeFill="accent6" w:themeFillTint="33"/>
          </w:tcPr>
          <w:p w14:paraId="68C3A663" w14:textId="77777777" w:rsidR="00B801F4" w:rsidRPr="00B801F4" w:rsidRDefault="00B801F4" w:rsidP="00B801F4">
            <w:pPr>
              <w:tabs>
                <w:tab w:val="left" w:pos="1080"/>
              </w:tabs>
              <w:spacing w:after="80"/>
              <w:jc w:val="right"/>
              <w:rPr>
                <w:b/>
              </w:rPr>
            </w:pPr>
            <w:r w:rsidRPr="00B801F4">
              <w:rPr>
                <w:b/>
              </w:rPr>
              <w:t>9.8%</w:t>
            </w:r>
          </w:p>
        </w:tc>
        <w:tc>
          <w:tcPr>
            <w:tcW w:w="1276" w:type="dxa"/>
            <w:gridSpan w:val="3"/>
            <w:tcBorders>
              <w:top w:val="nil"/>
              <w:left w:val="nil"/>
              <w:bottom w:val="single" w:sz="4" w:space="0" w:color="auto"/>
              <w:right w:val="nil"/>
            </w:tcBorders>
            <w:shd w:val="clear" w:color="auto" w:fill="E2EFD9" w:themeFill="accent6" w:themeFillTint="33"/>
          </w:tcPr>
          <w:p w14:paraId="34D3127C" w14:textId="77777777" w:rsidR="00B801F4" w:rsidRPr="00B801F4" w:rsidRDefault="00B801F4" w:rsidP="00B801F4">
            <w:pPr>
              <w:tabs>
                <w:tab w:val="left" w:pos="1080"/>
              </w:tabs>
              <w:spacing w:after="80"/>
              <w:jc w:val="right"/>
              <w:rPr>
                <w:b/>
              </w:rPr>
            </w:pPr>
            <w:r w:rsidRPr="00B801F4">
              <w:rPr>
                <w:b/>
              </w:rPr>
              <w:t>475.8</w:t>
            </w:r>
          </w:p>
        </w:tc>
        <w:tc>
          <w:tcPr>
            <w:tcW w:w="1016" w:type="dxa"/>
            <w:gridSpan w:val="2"/>
            <w:tcBorders>
              <w:top w:val="nil"/>
              <w:left w:val="nil"/>
              <w:bottom w:val="single" w:sz="4" w:space="0" w:color="auto"/>
              <w:right w:val="single" w:sz="4" w:space="0" w:color="auto"/>
            </w:tcBorders>
            <w:shd w:val="clear" w:color="auto" w:fill="E2EFD9" w:themeFill="accent6" w:themeFillTint="33"/>
          </w:tcPr>
          <w:p w14:paraId="2078F5D1" w14:textId="77777777" w:rsidR="00B801F4" w:rsidRPr="00B801F4" w:rsidRDefault="00B801F4" w:rsidP="00B801F4">
            <w:pPr>
              <w:tabs>
                <w:tab w:val="left" w:pos="1080"/>
              </w:tabs>
              <w:spacing w:after="80"/>
              <w:jc w:val="right"/>
              <w:rPr>
                <w:b/>
              </w:rPr>
            </w:pPr>
            <w:r w:rsidRPr="00B801F4">
              <w:rPr>
                <w:b/>
              </w:rPr>
              <w:t>9.2%</w:t>
            </w:r>
          </w:p>
        </w:tc>
      </w:tr>
      <w:tr w:rsidR="00B801F4" w:rsidRPr="00B801F4" w14:paraId="0929057B" w14:textId="77777777" w:rsidTr="00B801F4">
        <w:tblPrEx>
          <w:tblBorders>
            <w:insideH w:val="single" w:sz="4" w:space="0" w:color="auto"/>
            <w:insideV w:val="single" w:sz="4" w:space="0" w:color="auto"/>
          </w:tblBorders>
        </w:tblPrEx>
        <w:trPr>
          <w:gridAfter w:val="1"/>
          <w:wAfter w:w="230" w:type="dxa"/>
          <w:trHeight w:val="554"/>
        </w:trPr>
        <w:tc>
          <w:tcPr>
            <w:tcW w:w="3402" w:type="dxa"/>
            <w:gridSpan w:val="3"/>
            <w:tcBorders>
              <w:top w:val="single" w:sz="4" w:space="0" w:color="auto"/>
              <w:left w:val="single" w:sz="4" w:space="0" w:color="auto"/>
              <w:bottom w:val="single" w:sz="4" w:space="0" w:color="auto"/>
              <w:right w:val="nil"/>
            </w:tcBorders>
            <w:shd w:val="clear" w:color="auto" w:fill="70AD47" w:themeFill="accent6"/>
          </w:tcPr>
          <w:p w14:paraId="1BA59897" w14:textId="77777777" w:rsidR="00B801F4" w:rsidRPr="00B801F4" w:rsidRDefault="00B801F4" w:rsidP="00B801F4">
            <w:pPr>
              <w:tabs>
                <w:tab w:val="left" w:pos="1080"/>
              </w:tabs>
              <w:spacing w:after="80"/>
              <w:rPr>
                <w:b/>
              </w:rPr>
            </w:pPr>
            <w:r w:rsidRPr="00B801F4">
              <w:rPr>
                <w:b/>
              </w:rPr>
              <w:t>Portfolio Value</w:t>
            </w:r>
          </w:p>
        </w:tc>
        <w:tc>
          <w:tcPr>
            <w:tcW w:w="2268" w:type="dxa"/>
            <w:tcBorders>
              <w:top w:val="single" w:sz="4" w:space="0" w:color="auto"/>
              <w:left w:val="nil"/>
              <w:bottom w:val="single" w:sz="4" w:space="0" w:color="auto"/>
              <w:right w:val="nil"/>
            </w:tcBorders>
            <w:shd w:val="clear" w:color="auto" w:fill="70AD47" w:themeFill="accent6"/>
          </w:tcPr>
          <w:p w14:paraId="3ADB97B9" w14:textId="77777777" w:rsidR="00B801F4" w:rsidRPr="00B801F4" w:rsidRDefault="00B801F4" w:rsidP="00B801F4">
            <w:pPr>
              <w:tabs>
                <w:tab w:val="left" w:pos="1080"/>
              </w:tabs>
              <w:spacing w:after="80"/>
              <w:rPr>
                <w:b/>
              </w:rPr>
            </w:pPr>
          </w:p>
        </w:tc>
        <w:tc>
          <w:tcPr>
            <w:tcW w:w="1276" w:type="dxa"/>
            <w:gridSpan w:val="5"/>
            <w:tcBorders>
              <w:top w:val="single" w:sz="4" w:space="0" w:color="auto"/>
              <w:left w:val="nil"/>
              <w:bottom w:val="single" w:sz="4" w:space="0" w:color="auto"/>
              <w:right w:val="nil"/>
            </w:tcBorders>
            <w:shd w:val="clear" w:color="auto" w:fill="70AD47" w:themeFill="accent6"/>
          </w:tcPr>
          <w:p w14:paraId="155856E5" w14:textId="77777777" w:rsidR="00B801F4" w:rsidRPr="00B801F4" w:rsidRDefault="00B801F4" w:rsidP="00B801F4">
            <w:pPr>
              <w:tabs>
                <w:tab w:val="left" w:pos="1080"/>
              </w:tabs>
              <w:spacing w:after="80"/>
              <w:jc w:val="right"/>
              <w:rPr>
                <w:b/>
              </w:rPr>
            </w:pPr>
            <w:r w:rsidRPr="00B801F4">
              <w:rPr>
                <w:b/>
              </w:rPr>
              <w:t>5,813.5</w:t>
            </w:r>
          </w:p>
        </w:tc>
        <w:tc>
          <w:tcPr>
            <w:tcW w:w="1134" w:type="dxa"/>
            <w:gridSpan w:val="3"/>
            <w:tcBorders>
              <w:top w:val="single" w:sz="4" w:space="0" w:color="auto"/>
              <w:left w:val="nil"/>
              <w:bottom w:val="single" w:sz="4" w:space="0" w:color="auto"/>
              <w:right w:val="nil"/>
            </w:tcBorders>
            <w:shd w:val="clear" w:color="auto" w:fill="70AD47" w:themeFill="accent6"/>
          </w:tcPr>
          <w:p w14:paraId="790A5BFD" w14:textId="77777777" w:rsidR="00B801F4" w:rsidRPr="00B801F4" w:rsidRDefault="00B801F4" w:rsidP="00B801F4">
            <w:pPr>
              <w:tabs>
                <w:tab w:val="left" w:pos="1080"/>
              </w:tabs>
              <w:spacing w:after="80"/>
              <w:jc w:val="right"/>
              <w:rPr>
                <w:b/>
              </w:rPr>
            </w:pPr>
            <w:r w:rsidRPr="00B801F4">
              <w:rPr>
                <w:b/>
              </w:rPr>
              <w:t>100.0%</w:t>
            </w:r>
          </w:p>
        </w:tc>
        <w:tc>
          <w:tcPr>
            <w:tcW w:w="1134" w:type="dxa"/>
            <w:gridSpan w:val="2"/>
            <w:tcBorders>
              <w:top w:val="single" w:sz="4" w:space="0" w:color="auto"/>
              <w:left w:val="nil"/>
              <w:bottom w:val="single" w:sz="4" w:space="0" w:color="auto"/>
              <w:right w:val="nil"/>
            </w:tcBorders>
            <w:shd w:val="clear" w:color="auto" w:fill="70AD47" w:themeFill="accent6"/>
          </w:tcPr>
          <w:p w14:paraId="1D780015" w14:textId="77777777" w:rsidR="00B801F4" w:rsidRPr="00B801F4" w:rsidRDefault="00B801F4" w:rsidP="00B801F4">
            <w:pPr>
              <w:tabs>
                <w:tab w:val="left" w:pos="1080"/>
              </w:tabs>
              <w:spacing w:after="80"/>
              <w:jc w:val="right"/>
              <w:rPr>
                <w:b/>
              </w:rPr>
            </w:pPr>
            <w:r w:rsidRPr="00B801F4">
              <w:rPr>
                <w:b/>
              </w:rPr>
              <w:t>5,171.5</w:t>
            </w:r>
          </w:p>
        </w:tc>
        <w:tc>
          <w:tcPr>
            <w:tcW w:w="1158" w:type="dxa"/>
            <w:gridSpan w:val="3"/>
            <w:tcBorders>
              <w:top w:val="single" w:sz="4" w:space="0" w:color="auto"/>
              <w:left w:val="nil"/>
              <w:bottom w:val="single" w:sz="4" w:space="0" w:color="auto"/>
              <w:right w:val="single" w:sz="4" w:space="0" w:color="auto"/>
            </w:tcBorders>
            <w:shd w:val="clear" w:color="auto" w:fill="70AD47" w:themeFill="accent6"/>
          </w:tcPr>
          <w:p w14:paraId="1FA7F32F" w14:textId="77777777" w:rsidR="00B801F4" w:rsidRPr="00B801F4" w:rsidRDefault="00B801F4" w:rsidP="00B801F4">
            <w:pPr>
              <w:tabs>
                <w:tab w:val="left" w:pos="1080"/>
              </w:tabs>
              <w:spacing w:after="80"/>
              <w:jc w:val="right"/>
              <w:rPr>
                <w:b/>
              </w:rPr>
            </w:pPr>
            <w:r w:rsidRPr="00B801F4">
              <w:rPr>
                <w:b/>
              </w:rPr>
              <w:t>100.0%</w:t>
            </w:r>
          </w:p>
        </w:tc>
      </w:tr>
    </w:tbl>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801F4" w:rsidRPr="00B801F4" w14:paraId="46100300" w14:textId="77777777" w:rsidTr="00B801F4">
        <w:tc>
          <w:tcPr>
            <w:tcW w:w="5058" w:type="dxa"/>
          </w:tcPr>
          <w:p w14:paraId="05C3E407" w14:textId="77777777" w:rsidR="00B801F4" w:rsidRPr="00B801F4" w:rsidRDefault="00B801F4" w:rsidP="00B801F4">
            <w:pPr>
              <w:spacing w:after="0"/>
              <w:rPr>
                <w:rFonts w:ascii="Arial" w:hAnsi="Arial" w:cs="Arial"/>
                <w:b/>
              </w:rPr>
            </w:pPr>
          </w:p>
          <w:p w14:paraId="470F97B1" w14:textId="77777777" w:rsidR="00B801F4" w:rsidRPr="00B801F4" w:rsidRDefault="00B801F4" w:rsidP="00B801F4">
            <w:pPr>
              <w:spacing w:after="0"/>
              <w:rPr>
                <w:rFonts w:ascii="Arial" w:hAnsi="Arial" w:cs="Arial"/>
                <w:b/>
              </w:rPr>
            </w:pPr>
          </w:p>
          <w:p w14:paraId="3C3B2F27" w14:textId="77777777" w:rsidR="00B801F4" w:rsidRPr="00B801F4" w:rsidRDefault="00B801F4" w:rsidP="00B801F4">
            <w:pPr>
              <w:spacing w:after="0"/>
              <w:rPr>
                <w:rFonts w:ascii="Arial" w:hAnsi="Arial" w:cs="Arial"/>
                <w:b/>
              </w:rPr>
            </w:pPr>
          </w:p>
          <w:p w14:paraId="458CBA71" w14:textId="77777777" w:rsidR="00B801F4" w:rsidRPr="00B801F4" w:rsidRDefault="00B801F4" w:rsidP="00B801F4">
            <w:pPr>
              <w:spacing w:after="0"/>
              <w:rPr>
                <w:rFonts w:ascii="Arial" w:hAnsi="Arial" w:cs="Arial"/>
                <w:b/>
              </w:rPr>
            </w:pPr>
          </w:p>
        </w:tc>
        <w:tc>
          <w:tcPr>
            <w:tcW w:w="1559" w:type="dxa"/>
          </w:tcPr>
          <w:p w14:paraId="42D961A2" w14:textId="77777777" w:rsidR="00B801F4" w:rsidRPr="00B801F4" w:rsidRDefault="00B801F4" w:rsidP="00B801F4">
            <w:pPr>
              <w:spacing w:after="0"/>
              <w:jc w:val="right"/>
              <w:rPr>
                <w:rFonts w:ascii="Arial" w:hAnsi="Arial" w:cs="Arial"/>
                <w:b/>
              </w:rPr>
            </w:pPr>
          </w:p>
          <w:p w14:paraId="288362DD" w14:textId="77777777" w:rsidR="00B801F4" w:rsidRPr="00B801F4" w:rsidRDefault="00B801F4" w:rsidP="00B801F4">
            <w:pPr>
              <w:spacing w:after="0"/>
              <w:jc w:val="right"/>
              <w:rPr>
                <w:rFonts w:ascii="Arial" w:hAnsi="Arial" w:cs="Arial"/>
                <w:b/>
              </w:rPr>
            </w:pPr>
          </w:p>
          <w:p w14:paraId="5374780C" w14:textId="77777777" w:rsidR="00B801F4" w:rsidRPr="00B801F4" w:rsidRDefault="00B801F4" w:rsidP="00B801F4">
            <w:pPr>
              <w:spacing w:after="0"/>
              <w:jc w:val="right"/>
              <w:rPr>
                <w:rFonts w:ascii="Arial" w:hAnsi="Arial" w:cs="Arial"/>
                <w:b/>
              </w:rPr>
            </w:pPr>
            <w:r w:rsidRPr="00B801F4">
              <w:rPr>
                <w:rFonts w:ascii="Arial" w:hAnsi="Arial" w:cs="Arial"/>
                <w:b/>
              </w:rPr>
              <w:t>31/03/15</w:t>
            </w:r>
          </w:p>
          <w:p w14:paraId="362E544E"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2A64F60D" w14:textId="77777777" w:rsidR="00B801F4" w:rsidRPr="00B801F4" w:rsidRDefault="00B801F4" w:rsidP="00B801F4">
            <w:pPr>
              <w:spacing w:after="0"/>
              <w:jc w:val="right"/>
              <w:rPr>
                <w:rFonts w:ascii="Arial" w:hAnsi="Arial" w:cs="Arial"/>
                <w:b/>
              </w:rPr>
            </w:pPr>
          </w:p>
          <w:p w14:paraId="7E400FA9" w14:textId="77777777" w:rsidR="00B801F4" w:rsidRPr="00B801F4" w:rsidRDefault="00B801F4" w:rsidP="00B801F4">
            <w:pPr>
              <w:spacing w:after="0"/>
              <w:jc w:val="right"/>
              <w:rPr>
                <w:rFonts w:ascii="Arial" w:hAnsi="Arial" w:cs="Arial"/>
                <w:b/>
              </w:rPr>
            </w:pPr>
          </w:p>
        </w:tc>
        <w:tc>
          <w:tcPr>
            <w:tcW w:w="1696" w:type="dxa"/>
            <w:tcBorders>
              <w:left w:val="single" w:sz="4" w:space="0" w:color="FFFFFF" w:themeColor="background1"/>
            </w:tcBorders>
          </w:tcPr>
          <w:p w14:paraId="7AA5B669" w14:textId="77777777" w:rsidR="00B801F4" w:rsidRPr="00B801F4" w:rsidRDefault="00B801F4" w:rsidP="00B801F4">
            <w:pPr>
              <w:spacing w:after="0"/>
              <w:jc w:val="right"/>
              <w:rPr>
                <w:rFonts w:ascii="Arial" w:hAnsi="Arial" w:cs="Arial"/>
                <w:b/>
              </w:rPr>
            </w:pPr>
          </w:p>
          <w:p w14:paraId="4253C943" w14:textId="77777777" w:rsidR="00B801F4" w:rsidRPr="00B801F4" w:rsidRDefault="00B801F4" w:rsidP="00B801F4">
            <w:pPr>
              <w:spacing w:after="0"/>
              <w:jc w:val="right"/>
              <w:rPr>
                <w:rFonts w:ascii="Arial" w:hAnsi="Arial" w:cs="Arial"/>
                <w:b/>
              </w:rPr>
            </w:pPr>
          </w:p>
          <w:p w14:paraId="235CF791" w14:textId="77777777" w:rsidR="00B801F4" w:rsidRPr="00B801F4" w:rsidRDefault="00B801F4" w:rsidP="00B801F4">
            <w:pPr>
              <w:spacing w:after="0"/>
              <w:jc w:val="right"/>
              <w:rPr>
                <w:rFonts w:ascii="Arial" w:hAnsi="Arial" w:cs="Arial"/>
                <w:b/>
              </w:rPr>
            </w:pPr>
            <w:r w:rsidRPr="00B801F4">
              <w:rPr>
                <w:rFonts w:ascii="Arial" w:hAnsi="Arial" w:cs="Arial"/>
                <w:b/>
              </w:rPr>
              <w:t>31/03/14</w:t>
            </w:r>
          </w:p>
          <w:p w14:paraId="4092428D"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1B8C9B4F" w14:textId="77777777" w:rsidTr="00B801F4">
        <w:tc>
          <w:tcPr>
            <w:tcW w:w="5058" w:type="dxa"/>
          </w:tcPr>
          <w:p w14:paraId="6F4FE06D" w14:textId="77777777" w:rsidR="00B801F4" w:rsidRPr="00B801F4" w:rsidRDefault="00B801F4" w:rsidP="00B801F4">
            <w:pPr>
              <w:rPr>
                <w:rFonts w:ascii="Arial" w:hAnsi="Arial" w:cs="Arial"/>
                <w:b/>
              </w:rPr>
            </w:pPr>
            <w:r w:rsidRPr="00B801F4">
              <w:rPr>
                <w:rFonts w:ascii="Arial" w:hAnsi="Arial" w:cs="Arial"/>
                <w:b/>
              </w:rPr>
              <w:t>Fixed interest securities</w:t>
            </w:r>
          </w:p>
        </w:tc>
        <w:tc>
          <w:tcPr>
            <w:tcW w:w="1559" w:type="dxa"/>
          </w:tcPr>
          <w:p w14:paraId="6661B619" w14:textId="77777777" w:rsidR="00B801F4" w:rsidRPr="00B801F4" w:rsidRDefault="00B801F4" w:rsidP="00B801F4">
            <w:pPr>
              <w:jc w:val="right"/>
              <w:rPr>
                <w:rFonts w:ascii="Arial" w:hAnsi="Arial" w:cs="Arial"/>
              </w:rPr>
            </w:pPr>
          </w:p>
        </w:tc>
        <w:tc>
          <w:tcPr>
            <w:tcW w:w="430" w:type="dxa"/>
            <w:tcBorders>
              <w:right w:val="single" w:sz="4" w:space="0" w:color="FFFFFF" w:themeColor="background1"/>
            </w:tcBorders>
          </w:tcPr>
          <w:p w14:paraId="4D93CAB4"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39D42B44" w14:textId="77777777" w:rsidR="00B801F4" w:rsidRPr="00B801F4" w:rsidRDefault="00B801F4" w:rsidP="00B801F4">
            <w:pPr>
              <w:jc w:val="right"/>
              <w:rPr>
                <w:rFonts w:ascii="Arial" w:hAnsi="Arial" w:cs="Arial"/>
              </w:rPr>
            </w:pPr>
          </w:p>
        </w:tc>
      </w:tr>
      <w:tr w:rsidR="00B801F4" w:rsidRPr="00B801F4" w14:paraId="64F1C05A" w14:textId="77777777" w:rsidTr="00B801F4">
        <w:tc>
          <w:tcPr>
            <w:tcW w:w="5058" w:type="dxa"/>
          </w:tcPr>
          <w:p w14:paraId="7C2EE3BD" w14:textId="77777777" w:rsidR="00B801F4" w:rsidRPr="00B801F4" w:rsidRDefault="00B801F4" w:rsidP="00B801F4">
            <w:pPr>
              <w:rPr>
                <w:rFonts w:ascii="Arial" w:hAnsi="Arial" w:cs="Arial"/>
              </w:rPr>
            </w:pPr>
            <w:r w:rsidRPr="00B801F4">
              <w:rPr>
                <w:rFonts w:ascii="Arial" w:hAnsi="Arial" w:cs="Arial"/>
              </w:rPr>
              <w:t>UK corporate bonds quoted</w:t>
            </w:r>
          </w:p>
        </w:tc>
        <w:tc>
          <w:tcPr>
            <w:tcW w:w="1559" w:type="dxa"/>
          </w:tcPr>
          <w:p w14:paraId="2DE3B2C9" w14:textId="77777777" w:rsidR="00B801F4" w:rsidRPr="00B801F4" w:rsidRDefault="00B801F4" w:rsidP="00B801F4">
            <w:pPr>
              <w:jc w:val="right"/>
              <w:rPr>
                <w:rFonts w:ascii="Arial" w:hAnsi="Arial" w:cs="Arial"/>
              </w:rPr>
            </w:pPr>
            <w:r w:rsidRPr="00B801F4">
              <w:rPr>
                <w:rFonts w:ascii="Arial" w:hAnsi="Arial" w:cs="Arial"/>
              </w:rPr>
              <w:t>94.2</w:t>
            </w:r>
          </w:p>
        </w:tc>
        <w:tc>
          <w:tcPr>
            <w:tcW w:w="430" w:type="dxa"/>
            <w:tcBorders>
              <w:right w:val="single" w:sz="4" w:space="0" w:color="FFFFFF" w:themeColor="background1"/>
            </w:tcBorders>
          </w:tcPr>
          <w:p w14:paraId="134E9CDE"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49E4ADF1" w14:textId="77777777" w:rsidR="00B801F4" w:rsidRPr="00B801F4" w:rsidRDefault="00B801F4" w:rsidP="00B801F4">
            <w:pPr>
              <w:jc w:val="right"/>
              <w:rPr>
                <w:rFonts w:ascii="Arial" w:hAnsi="Arial" w:cs="Arial"/>
              </w:rPr>
            </w:pPr>
            <w:r w:rsidRPr="00B801F4">
              <w:rPr>
                <w:rFonts w:ascii="Arial" w:hAnsi="Arial" w:cs="Arial"/>
              </w:rPr>
              <w:t>76.0</w:t>
            </w:r>
          </w:p>
        </w:tc>
      </w:tr>
      <w:tr w:rsidR="00B801F4" w:rsidRPr="00B801F4" w14:paraId="68BF639A" w14:textId="77777777" w:rsidTr="00B801F4">
        <w:tc>
          <w:tcPr>
            <w:tcW w:w="5058" w:type="dxa"/>
          </w:tcPr>
          <w:p w14:paraId="296D39AD" w14:textId="77777777" w:rsidR="00B801F4" w:rsidRPr="00B801F4" w:rsidRDefault="00B801F4" w:rsidP="00B801F4">
            <w:pPr>
              <w:rPr>
                <w:rFonts w:ascii="Arial" w:hAnsi="Arial" w:cs="Arial"/>
              </w:rPr>
            </w:pPr>
            <w:r w:rsidRPr="00B801F4">
              <w:rPr>
                <w:rFonts w:ascii="Arial" w:hAnsi="Arial" w:cs="Arial"/>
              </w:rPr>
              <w:t>Overseas corporate bonds quoted</w:t>
            </w:r>
          </w:p>
        </w:tc>
        <w:tc>
          <w:tcPr>
            <w:tcW w:w="1559" w:type="dxa"/>
            <w:tcBorders>
              <w:bottom w:val="single" w:sz="18" w:space="0" w:color="auto"/>
            </w:tcBorders>
          </w:tcPr>
          <w:p w14:paraId="5E4A7AC9" w14:textId="77777777" w:rsidR="00B801F4" w:rsidRPr="00B801F4" w:rsidRDefault="00B801F4" w:rsidP="00B801F4">
            <w:pPr>
              <w:jc w:val="right"/>
              <w:rPr>
                <w:rFonts w:ascii="Arial" w:hAnsi="Arial" w:cs="Arial"/>
              </w:rPr>
            </w:pPr>
            <w:r w:rsidRPr="00B801F4">
              <w:rPr>
                <w:rFonts w:ascii="Arial" w:hAnsi="Arial" w:cs="Arial"/>
              </w:rPr>
              <w:t>54.6</w:t>
            </w:r>
          </w:p>
        </w:tc>
        <w:tc>
          <w:tcPr>
            <w:tcW w:w="430" w:type="dxa"/>
            <w:tcBorders>
              <w:right w:val="single" w:sz="4" w:space="0" w:color="FFFFFF" w:themeColor="background1"/>
            </w:tcBorders>
          </w:tcPr>
          <w:p w14:paraId="6A556229" w14:textId="77777777" w:rsidR="00B801F4" w:rsidRPr="00B801F4" w:rsidRDefault="00B801F4" w:rsidP="00B801F4">
            <w:pPr>
              <w:jc w:val="right"/>
              <w:rPr>
                <w:rFonts w:ascii="Arial" w:hAnsi="Arial" w:cs="Arial"/>
              </w:rPr>
            </w:pPr>
          </w:p>
        </w:tc>
        <w:tc>
          <w:tcPr>
            <w:tcW w:w="1696" w:type="dxa"/>
            <w:tcBorders>
              <w:left w:val="single" w:sz="4" w:space="0" w:color="FFFFFF" w:themeColor="background1"/>
              <w:bottom w:val="single" w:sz="18" w:space="0" w:color="auto"/>
            </w:tcBorders>
          </w:tcPr>
          <w:p w14:paraId="68A3A35F" w14:textId="77777777" w:rsidR="00B801F4" w:rsidRPr="00B801F4" w:rsidRDefault="00B801F4" w:rsidP="00B801F4">
            <w:pPr>
              <w:jc w:val="right"/>
              <w:rPr>
                <w:rFonts w:ascii="Arial" w:hAnsi="Arial" w:cs="Arial"/>
              </w:rPr>
            </w:pPr>
            <w:r w:rsidRPr="00B801F4">
              <w:rPr>
                <w:rFonts w:ascii="Arial" w:hAnsi="Arial" w:cs="Arial"/>
              </w:rPr>
              <w:t>157.0</w:t>
            </w:r>
          </w:p>
        </w:tc>
      </w:tr>
      <w:tr w:rsidR="00B801F4" w:rsidRPr="00B801F4" w14:paraId="3F14488A" w14:textId="77777777" w:rsidTr="00B801F4">
        <w:tc>
          <w:tcPr>
            <w:tcW w:w="5058" w:type="dxa"/>
          </w:tcPr>
          <w:p w14:paraId="115D00F6" w14:textId="77777777" w:rsidR="00B801F4" w:rsidRPr="00B801F4" w:rsidRDefault="00B801F4" w:rsidP="00B801F4">
            <w:pPr>
              <w:rPr>
                <w:rFonts w:ascii="Arial" w:hAnsi="Arial" w:cs="Arial"/>
              </w:rPr>
            </w:pPr>
          </w:p>
        </w:tc>
        <w:tc>
          <w:tcPr>
            <w:tcW w:w="1559" w:type="dxa"/>
            <w:tcBorders>
              <w:top w:val="single" w:sz="18" w:space="0" w:color="auto"/>
              <w:bottom w:val="single" w:sz="18" w:space="0" w:color="auto"/>
            </w:tcBorders>
          </w:tcPr>
          <w:p w14:paraId="37FA9411" w14:textId="77777777" w:rsidR="00B801F4" w:rsidRPr="00B801F4" w:rsidRDefault="00B801F4" w:rsidP="00B801F4">
            <w:pPr>
              <w:jc w:val="right"/>
              <w:rPr>
                <w:rFonts w:ascii="Arial" w:hAnsi="Arial" w:cs="Arial"/>
              </w:rPr>
            </w:pPr>
            <w:r w:rsidRPr="00B801F4">
              <w:rPr>
                <w:rFonts w:ascii="Arial" w:hAnsi="Arial" w:cs="Arial"/>
              </w:rPr>
              <w:t>148.8</w:t>
            </w:r>
          </w:p>
        </w:tc>
        <w:tc>
          <w:tcPr>
            <w:tcW w:w="430" w:type="dxa"/>
            <w:tcBorders>
              <w:right w:val="single" w:sz="4" w:space="0" w:color="FFFFFF" w:themeColor="background1"/>
            </w:tcBorders>
          </w:tcPr>
          <w:p w14:paraId="230F1A95" w14:textId="77777777" w:rsidR="00B801F4" w:rsidRPr="00B801F4" w:rsidRDefault="00B801F4" w:rsidP="00B801F4">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157B87C5" w14:textId="77777777" w:rsidR="00B801F4" w:rsidRPr="00B801F4" w:rsidRDefault="00B801F4" w:rsidP="00B801F4">
            <w:pPr>
              <w:jc w:val="right"/>
              <w:rPr>
                <w:rFonts w:ascii="Arial" w:hAnsi="Arial" w:cs="Arial"/>
              </w:rPr>
            </w:pPr>
            <w:r w:rsidRPr="00B801F4">
              <w:rPr>
                <w:rFonts w:ascii="Arial" w:hAnsi="Arial" w:cs="Arial"/>
              </w:rPr>
              <w:t>233.0</w:t>
            </w:r>
          </w:p>
        </w:tc>
      </w:tr>
    </w:tbl>
    <w:p w14:paraId="082FA3EA" w14:textId="77777777" w:rsidR="00B801F4" w:rsidRPr="00B801F4" w:rsidRDefault="00B801F4" w:rsidP="00B801F4">
      <w:pPr>
        <w:rPr>
          <w:rFonts w:cs="Arial"/>
        </w:rPr>
      </w:pPr>
    </w:p>
    <w:p w14:paraId="26AFE9F4" w14:textId="77777777" w:rsidR="00B801F4" w:rsidRPr="00B801F4" w:rsidRDefault="00B801F4" w:rsidP="00B801F4">
      <w:pPr>
        <w:rPr>
          <w:rFonts w:cs="Arial"/>
        </w:rPr>
      </w:pP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801F4" w:rsidRPr="00B801F4" w14:paraId="4FC8D8FA" w14:textId="77777777" w:rsidTr="00B801F4">
        <w:tc>
          <w:tcPr>
            <w:tcW w:w="5058" w:type="dxa"/>
          </w:tcPr>
          <w:p w14:paraId="45AEF3FB" w14:textId="77777777" w:rsidR="00B801F4" w:rsidRPr="00B801F4" w:rsidRDefault="00B801F4" w:rsidP="00B801F4">
            <w:pPr>
              <w:spacing w:after="0"/>
              <w:rPr>
                <w:rFonts w:ascii="Arial" w:hAnsi="Arial" w:cs="Arial"/>
                <w:b/>
              </w:rPr>
            </w:pPr>
          </w:p>
          <w:p w14:paraId="63D2C2D1" w14:textId="77777777" w:rsidR="00B801F4" w:rsidRPr="00B801F4" w:rsidRDefault="00B801F4" w:rsidP="00B801F4">
            <w:pPr>
              <w:spacing w:after="0"/>
              <w:rPr>
                <w:rFonts w:ascii="Arial" w:hAnsi="Arial" w:cs="Arial"/>
                <w:b/>
              </w:rPr>
            </w:pPr>
          </w:p>
        </w:tc>
        <w:tc>
          <w:tcPr>
            <w:tcW w:w="1559" w:type="dxa"/>
          </w:tcPr>
          <w:p w14:paraId="2788B594" w14:textId="77777777" w:rsidR="00B801F4" w:rsidRPr="00B801F4" w:rsidRDefault="00B801F4" w:rsidP="00B801F4">
            <w:pPr>
              <w:spacing w:after="0"/>
              <w:jc w:val="right"/>
              <w:rPr>
                <w:rFonts w:ascii="Arial" w:hAnsi="Arial" w:cs="Arial"/>
                <w:b/>
              </w:rPr>
            </w:pPr>
            <w:r w:rsidRPr="00B801F4">
              <w:rPr>
                <w:rFonts w:ascii="Arial" w:hAnsi="Arial" w:cs="Arial"/>
                <w:b/>
              </w:rPr>
              <w:t>31/03/15</w:t>
            </w:r>
          </w:p>
          <w:p w14:paraId="42AAA696"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27C5AEB2" w14:textId="77777777" w:rsidR="00B801F4" w:rsidRPr="00B801F4" w:rsidRDefault="00B801F4" w:rsidP="00B801F4">
            <w:pPr>
              <w:spacing w:after="0"/>
              <w:jc w:val="right"/>
              <w:rPr>
                <w:rFonts w:ascii="Arial" w:hAnsi="Arial" w:cs="Arial"/>
                <w:b/>
              </w:rPr>
            </w:pPr>
          </w:p>
          <w:p w14:paraId="65CBB336" w14:textId="77777777" w:rsidR="00B801F4" w:rsidRPr="00B801F4" w:rsidRDefault="00B801F4" w:rsidP="00B801F4">
            <w:pPr>
              <w:spacing w:after="0"/>
              <w:jc w:val="right"/>
              <w:rPr>
                <w:rFonts w:ascii="Arial" w:hAnsi="Arial" w:cs="Arial"/>
                <w:b/>
              </w:rPr>
            </w:pPr>
          </w:p>
        </w:tc>
        <w:tc>
          <w:tcPr>
            <w:tcW w:w="1696" w:type="dxa"/>
            <w:tcBorders>
              <w:left w:val="single" w:sz="4" w:space="0" w:color="FFFFFF" w:themeColor="background1"/>
            </w:tcBorders>
          </w:tcPr>
          <w:p w14:paraId="52A70292" w14:textId="77777777" w:rsidR="00B801F4" w:rsidRPr="00B801F4" w:rsidRDefault="00B801F4" w:rsidP="00B801F4">
            <w:pPr>
              <w:spacing w:after="0"/>
              <w:jc w:val="right"/>
              <w:rPr>
                <w:rFonts w:ascii="Arial" w:hAnsi="Arial" w:cs="Arial"/>
                <w:b/>
              </w:rPr>
            </w:pPr>
            <w:r w:rsidRPr="00B801F4">
              <w:rPr>
                <w:rFonts w:ascii="Arial" w:hAnsi="Arial" w:cs="Arial"/>
                <w:b/>
              </w:rPr>
              <w:t>31/03/14</w:t>
            </w:r>
          </w:p>
          <w:p w14:paraId="6C1A80B7"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3512DAA0" w14:textId="77777777" w:rsidTr="00B801F4">
        <w:tc>
          <w:tcPr>
            <w:tcW w:w="5058" w:type="dxa"/>
          </w:tcPr>
          <w:p w14:paraId="6738C942" w14:textId="77777777" w:rsidR="00B801F4" w:rsidRPr="00B801F4" w:rsidRDefault="00B801F4" w:rsidP="00B801F4">
            <w:pPr>
              <w:rPr>
                <w:rFonts w:ascii="Arial" w:hAnsi="Arial" w:cs="Arial"/>
                <w:b/>
              </w:rPr>
            </w:pPr>
            <w:r w:rsidRPr="00B801F4">
              <w:rPr>
                <w:rFonts w:ascii="Arial" w:hAnsi="Arial" w:cs="Arial"/>
                <w:b/>
              </w:rPr>
              <w:t>Equities</w:t>
            </w:r>
          </w:p>
        </w:tc>
        <w:tc>
          <w:tcPr>
            <w:tcW w:w="1559" w:type="dxa"/>
          </w:tcPr>
          <w:p w14:paraId="088DCC09" w14:textId="77777777" w:rsidR="00B801F4" w:rsidRPr="00B801F4" w:rsidRDefault="00B801F4" w:rsidP="00B801F4">
            <w:pPr>
              <w:jc w:val="right"/>
              <w:rPr>
                <w:rFonts w:ascii="Arial" w:hAnsi="Arial" w:cs="Arial"/>
              </w:rPr>
            </w:pPr>
          </w:p>
        </w:tc>
        <w:tc>
          <w:tcPr>
            <w:tcW w:w="430" w:type="dxa"/>
            <w:tcBorders>
              <w:right w:val="single" w:sz="4" w:space="0" w:color="FFFFFF" w:themeColor="background1"/>
            </w:tcBorders>
          </w:tcPr>
          <w:p w14:paraId="42D92DB1"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20BAB086" w14:textId="77777777" w:rsidR="00B801F4" w:rsidRPr="00B801F4" w:rsidRDefault="00B801F4" w:rsidP="00B801F4">
            <w:pPr>
              <w:jc w:val="right"/>
              <w:rPr>
                <w:rFonts w:ascii="Arial" w:hAnsi="Arial" w:cs="Arial"/>
              </w:rPr>
            </w:pPr>
          </w:p>
        </w:tc>
      </w:tr>
      <w:tr w:rsidR="00B801F4" w:rsidRPr="00B801F4" w14:paraId="29DE0B00" w14:textId="77777777" w:rsidTr="00B801F4">
        <w:tc>
          <w:tcPr>
            <w:tcW w:w="5058" w:type="dxa"/>
          </w:tcPr>
          <w:p w14:paraId="2F59ECB7" w14:textId="77777777" w:rsidR="00B801F4" w:rsidRPr="00B801F4" w:rsidRDefault="00B801F4" w:rsidP="00B801F4">
            <w:pPr>
              <w:rPr>
                <w:rFonts w:ascii="Arial" w:hAnsi="Arial" w:cs="Arial"/>
              </w:rPr>
            </w:pPr>
            <w:r w:rsidRPr="00B801F4">
              <w:rPr>
                <w:rFonts w:ascii="Arial" w:hAnsi="Arial" w:cs="Arial"/>
              </w:rPr>
              <w:t>UK quoted</w:t>
            </w:r>
          </w:p>
        </w:tc>
        <w:tc>
          <w:tcPr>
            <w:tcW w:w="1559" w:type="dxa"/>
          </w:tcPr>
          <w:p w14:paraId="27DAF1FD" w14:textId="77777777" w:rsidR="00B801F4" w:rsidRPr="00B801F4" w:rsidRDefault="00B801F4" w:rsidP="00B801F4">
            <w:pPr>
              <w:jc w:val="right"/>
              <w:rPr>
                <w:rFonts w:ascii="Arial" w:hAnsi="Arial" w:cs="Arial"/>
              </w:rPr>
            </w:pPr>
            <w:r w:rsidRPr="00B801F4">
              <w:rPr>
                <w:rFonts w:ascii="Arial" w:hAnsi="Arial" w:cs="Arial"/>
              </w:rPr>
              <w:t>212.3</w:t>
            </w:r>
          </w:p>
        </w:tc>
        <w:tc>
          <w:tcPr>
            <w:tcW w:w="430" w:type="dxa"/>
            <w:tcBorders>
              <w:right w:val="single" w:sz="4" w:space="0" w:color="FFFFFF" w:themeColor="background1"/>
            </w:tcBorders>
          </w:tcPr>
          <w:p w14:paraId="158231A8"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3EB7BD18" w14:textId="77777777" w:rsidR="00B801F4" w:rsidRPr="00B801F4" w:rsidRDefault="00B801F4" w:rsidP="00B801F4">
            <w:pPr>
              <w:jc w:val="right"/>
              <w:rPr>
                <w:rFonts w:ascii="Arial" w:hAnsi="Arial" w:cs="Arial"/>
              </w:rPr>
            </w:pPr>
            <w:r w:rsidRPr="00B801F4">
              <w:rPr>
                <w:rFonts w:ascii="Arial" w:hAnsi="Arial" w:cs="Arial"/>
              </w:rPr>
              <w:t>231.3</w:t>
            </w:r>
          </w:p>
        </w:tc>
      </w:tr>
      <w:tr w:rsidR="00B801F4" w:rsidRPr="00B801F4" w14:paraId="4622BA11" w14:textId="77777777" w:rsidTr="00B801F4">
        <w:tc>
          <w:tcPr>
            <w:tcW w:w="5058" w:type="dxa"/>
          </w:tcPr>
          <w:p w14:paraId="4658CB34" w14:textId="77777777" w:rsidR="00B801F4" w:rsidRPr="00B801F4" w:rsidRDefault="00B801F4" w:rsidP="00B801F4">
            <w:pPr>
              <w:rPr>
                <w:rFonts w:ascii="Arial" w:hAnsi="Arial" w:cs="Arial"/>
              </w:rPr>
            </w:pPr>
            <w:r w:rsidRPr="00B801F4">
              <w:rPr>
                <w:rFonts w:ascii="Arial" w:hAnsi="Arial" w:cs="Arial"/>
              </w:rPr>
              <w:t>Overseas quoted</w:t>
            </w:r>
          </w:p>
        </w:tc>
        <w:tc>
          <w:tcPr>
            <w:tcW w:w="1559" w:type="dxa"/>
            <w:tcBorders>
              <w:bottom w:val="single" w:sz="18" w:space="0" w:color="auto"/>
            </w:tcBorders>
          </w:tcPr>
          <w:p w14:paraId="57785950" w14:textId="77777777" w:rsidR="00B801F4" w:rsidRPr="00B801F4" w:rsidRDefault="00B801F4" w:rsidP="00B801F4">
            <w:pPr>
              <w:jc w:val="right"/>
              <w:rPr>
                <w:rFonts w:ascii="Arial" w:hAnsi="Arial" w:cs="Arial"/>
              </w:rPr>
            </w:pPr>
            <w:r w:rsidRPr="00B801F4">
              <w:rPr>
                <w:rFonts w:ascii="Arial" w:hAnsi="Arial" w:cs="Arial"/>
              </w:rPr>
              <w:t>1,788.4</w:t>
            </w:r>
          </w:p>
        </w:tc>
        <w:tc>
          <w:tcPr>
            <w:tcW w:w="430" w:type="dxa"/>
            <w:tcBorders>
              <w:right w:val="single" w:sz="4" w:space="0" w:color="FFFFFF" w:themeColor="background1"/>
            </w:tcBorders>
          </w:tcPr>
          <w:p w14:paraId="3F074095" w14:textId="77777777" w:rsidR="00B801F4" w:rsidRPr="00B801F4" w:rsidRDefault="00B801F4" w:rsidP="00B801F4">
            <w:pPr>
              <w:jc w:val="right"/>
              <w:rPr>
                <w:rFonts w:ascii="Arial" w:hAnsi="Arial" w:cs="Arial"/>
              </w:rPr>
            </w:pPr>
          </w:p>
        </w:tc>
        <w:tc>
          <w:tcPr>
            <w:tcW w:w="1696" w:type="dxa"/>
            <w:tcBorders>
              <w:left w:val="single" w:sz="4" w:space="0" w:color="FFFFFF" w:themeColor="background1"/>
              <w:bottom w:val="single" w:sz="18" w:space="0" w:color="auto"/>
            </w:tcBorders>
          </w:tcPr>
          <w:p w14:paraId="14456AE6" w14:textId="77777777" w:rsidR="00B801F4" w:rsidRPr="00B801F4" w:rsidRDefault="00B801F4" w:rsidP="00B801F4">
            <w:pPr>
              <w:jc w:val="right"/>
              <w:rPr>
                <w:rFonts w:ascii="Arial" w:hAnsi="Arial" w:cs="Arial"/>
              </w:rPr>
            </w:pPr>
            <w:r w:rsidRPr="00B801F4">
              <w:rPr>
                <w:rFonts w:ascii="Arial" w:hAnsi="Arial" w:cs="Arial"/>
              </w:rPr>
              <w:t>1,689.8</w:t>
            </w:r>
          </w:p>
        </w:tc>
      </w:tr>
      <w:tr w:rsidR="00B801F4" w:rsidRPr="00B801F4" w14:paraId="1B797F22" w14:textId="77777777" w:rsidTr="00B801F4">
        <w:tc>
          <w:tcPr>
            <w:tcW w:w="5058" w:type="dxa"/>
          </w:tcPr>
          <w:p w14:paraId="3D490713" w14:textId="77777777" w:rsidR="00B801F4" w:rsidRPr="00B801F4" w:rsidRDefault="00B801F4" w:rsidP="00B801F4">
            <w:pPr>
              <w:rPr>
                <w:rFonts w:ascii="Arial" w:hAnsi="Arial" w:cs="Arial"/>
              </w:rPr>
            </w:pPr>
          </w:p>
        </w:tc>
        <w:tc>
          <w:tcPr>
            <w:tcW w:w="1559" w:type="dxa"/>
            <w:tcBorders>
              <w:top w:val="single" w:sz="18" w:space="0" w:color="auto"/>
              <w:bottom w:val="single" w:sz="18" w:space="0" w:color="auto"/>
            </w:tcBorders>
          </w:tcPr>
          <w:p w14:paraId="35A14922" w14:textId="77777777" w:rsidR="00B801F4" w:rsidRPr="00B801F4" w:rsidRDefault="00B801F4" w:rsidP="00B801F4">
            <w:pPr>
              <w:jc w:val="right"/>
              <w:rPr>
                <w:rFonts w:ascii="Arial" w:hAnsi="Arial" w:cs="Arial"/>
              </w:rPr>
            </w:pPr>
            <w:r w:rsidRPr="00B801F4">
              <w:rPr>
                <w:rFonts w:ascii="Arial" w:hAnsi="Arial" w:cs="Arial"/>
              </w:rPr>
              <w:t>2,000.7</w:t>
            </w:r>
          </w:p>
        </w:tc>
        <w:tc>
          <w:tcPr>
            <w:tcW w:w="430" w:type="dxa"/>
            <w:tcBorders>
              <w:right w:val="single" w:sz="4" w:space="0" w:color="FFFFFF" w:themeColor="background1"/>
            </w:tcBorders>
          </w:tcPr>
          <w:p w14:paraId="077F600B" w14:textId="77777777" w:rsidR="00B801F4" w:rsidRPr="00B801F4" w:rsidRDefault="00B801F4" w:rsidP="00B801F4">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3C942C6F" w14:textId="77777777" w:rsidR="00B801F4" w:rsidRPr="00B801F4" w:rsidRDefault="00B801F4" w:rsidP="00B801F4">
            <w:pPr>
              <w:jc w:val="right"/>
              <w:rPr>
                <w:rFonts w:ascii="Arial" w:hAnsi="Arial" w:cs="Arial"/>
              </w:rPr>
            </w:pPr>
            <w:r w:rsidRPr="00B801F4">
              <w:rPr>
                <w:rFonts w:ascii="Arial" w:hAnsi="Arial" w:cs="Arial"/>
              </w:rPr>
              <w:t>1,921.1</w:t>
            </w:r>
          </w:p>
        </w:tc>
      </w:tr>
      <w:tr w:rsidR="00B801F4" w:rsidRPr="00B801F4" w14:paraId="28ADB2B7" w14:textId="77777777" w:rsidTr="00B801F4">
        <w:tc>
          <w:tcPr>
            <w:tcW w:w="5058" w:type="dxa"/>
          </w:tcPr>
          <w:p w14:paraId="1F0F08E8" w14:textId="77777777" w:rsidR="00B801F4" w:rsidRPr="00B801F4" w:rsidRDefault="00B801F4" w:rsidP="00B801F4">
            <w:pPr>
              <w:rPr>
                <w:rFonts w:ascii="Arial" w:hAnsi="Arial" w:cs="Arial"/>
              </w:rPr>
            </w:pPr>
          </w:p>
        </w:tc>
        <w:tc>
          <w:tcPr>
            <w:tcW w:w="1559" w:type="dxa"/>
            <w:tcBorders>
              <w:top w:val="single" w:sz="18" w:space="0" w:color="auto"/>
            </w:tcBorders>
          </w:tcPr>
          <w:p w14:paraId="1ED55FAF" w14:textId="77777777" w:rsidR="00B801F4" w:rsidRPr="00B801F4" w:rsidRDefault="00B801F4" w:rsidP="00B801F4">
            <w:pPr>
              <w:jc w:val="right"/>
              <w:rPr>
                <w:rFonts w:ascii="Arial" w:hAnsi="Arial" w:cs="Arial"/>
              </w:rPr>
            </w:pPr>
          </w:p>
          <w:p w14:paraId="7AC48746" w14:textId="77777777" w:rsidR="00B801F4" w:rsidRPr="00B801F4" w:rsidRDefault="00B801F4" w:rsidP="00B801F4">
            <w:pPr>
              <w:jc w:val="right"/>
              <w:rPr>
                <w:rFonts w:ascii="Arial" w:hAnsi="Arial" w:cs="Arial"/>
              </w:rPr>
            </w:pPr>
          </w:p>
        </w:tc>
        <w:tc>
          <w:tcPr>
            <w:tcW w:w="430" w:type="dxa"/>
          </w:tcPr>
          <w:p w14:paraId="60868C4D" w14:textId="77777777" w:rsidR="00B801F4" w:rsidRPr="00B801F4" w:rsidRDefault="00B801F4" w:rsidP="00B801F4">
            <w:pPr>
              <w:jc w:val="right"/>
              <w:rPr>
                <w:rFonts w:ascii="Arial" w:hAnsi="Arial" w:cs="Arial"/>
              </w:rPr>
            </w:pPr>
          </w:p>
        </w:tc>
        <w:tc>
          <w:tcPr>
            <w:tcW w:w="1696" w:type="dxa"/>
            <w:tcBorders>
              <w:top w:val="single" w:sz="18" w:space="0" w:color="auto"/>
            </w:tcBorders>
          </w:tcPr>
          <w:p w14:paraId="24C15A30" w14:textId="77777777" w:rsidR="00B801F4" w:rsidRPr="00B801F4" w:rsidRDefault="00B801F4" w:rsidP="00B801F4">
            <w:pPr>
              <w:jc w:val="right"/>
              <w:rPr>
                <w:rFonts w:ascii="Arial" w:hAnsi="Arial" w:cs="Arial"/>
              </w:rPr>
            </w:pPr>
          </w:p>
        </w:tc>
      </w:tr>
      <w:tr w:rsidR="00B801F4" w:rsidRPr="00B801F4" w14:paraId="59962941" w14:textId="77777777" w:rsidTr="00B801F4">
        <w:tc>
          <w:tcPr>
            <w:tcW w:w="5058" w:type="dxa"/>
          </w:tcPr>
          <w:p w14:paraId="2AADD0B4" w14:textId="77777777" w:rsidR="00B801F4" w:rsidRPr="00B801F4" w:rsidRDefault="00B801F4" w:rsidP="00B801F4">
            <w:pPr>
              <w:spacing w:after="0"/>
              <w:rPr>
                <w:rFonts w:ascii="Arial" w:hAnsi="Arial" w:cs="Arial"/>
                <w:b/>
              </w:rPr>
            </w:pPr>
          </w:p>
          <w:p w14:paraId="692C4209" w14:textId="77777777" w:rsidR="00B801F4" w:rsidRPr="00B801F4" w:rsidRDefault="00B801F4" w:rsidP="00B801F4">
            <w:pPr>
              <w:spacing w:after="0"/>
              <w:rPr>
                <w:rFonts w:ascii="Arial" w:hAnsi="Arial" w:cs="Arial"/>
                <w:b/>
              </w:rPr>
            </w:pPr>
          </w:p>
        </w:tc>
        <w:tc>
          <w:tcPr>
            <w:tcW w:w="1559" w:type="dxa"/>
          </w:tcPr>
          <w:p w14:paraId="61EE3965" w14:textId="77777777" w:rsidR="00B801F4" w:rsidRPr="00B801F4" w:rsidRDefault="00B801F4" w:rsidP="00B801F4">
            <w:pPr>
              <w:spacing w:after="0"/>
              <w:jc w:val="right"/>
              <w:rPr>
                <w:rFonts w:ascii="Arial" w:hAnsi="Arial" w:cs="Arial"/>
                <w:b/>
              </w:rPr>
            </w:pPr>
            <w:r w:rsidRPr="00B801F4">
              <w:rPr>
                <w:rFonts w:ascii="Arial" w:hAnsi="Arial" w:cs="Arial"/>
                <w:b/>
              </w:rPr>
              <w:t>31/03/15</w:t>
            </w:r>
          </w:p>
          <w:p w14:paraId="0B1CC7A3"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6A2379ED" w14:textId="77777777" w:rsidR="00B801F4" w:rsidRPr="00B801F4" w:rsidRDefault="00B801F4" w:rsidP="00B801F4">
            <w:pPr>
              <w:spacing w:after="0"/>
              <w:jc w:val="right"/>
              <w:rPr>
                <w:rFonts w:ascii="Arial" w:hAnsi="Arial" w:cs="Arial"/>
                <w:b/>
              </w:rPr>
            </w:pPr>
          </w:p>
          <w:p w14:paraId="6E095E66" w14:textId="77777777" w:rsidR="00B801F4" w:rsidRPr="00B801F4" w:rsidRDefault="00B801F4" w:rsidP="00B801F4">
            <w:pPr>
              <w:spacing w:after="0"/>
              <w:jc w:val="right"/>
              <w:rPr>
                <w:rFonts w:ascii="Arial" w:hAnsi="Arial" w:cs="Arial"/>
                <w:b/>
              </w:rPr>
            </w:pPr>
          </w:p>
        </w:tc>
        <w:tc>
          <w:tcPr>
            <w:tcW w:w="1696" w:type="dxa"/>
            <w:tcBorders>
              <w:left w:val="single" w:sz="4" w:space="0" w:color="FFFFFF" w:themeColor="background1"/>
            </w:tcBorders>
          </w:tcPr>
          <w:p w14:paraId="78775F12" w14:textId="77777777" w:rsidR="00B801F4" w:rsidRPr="00B801F4" w:rsidRDefault="00B801F4" w:rsidP="00B801F4">
            <w:pPr>
              <w:spacing w:after="0"/>
              <w:jc w:val="right"/>
              <w:rPr>
                <w:rFonts w:ascii="Arial" w:hAnsi="Arial" w:cs="Arial"/>
                <w:b/>
              </w:rPr>
            </w:pPr>
            <w:r w:rsidRPr="00B801F4">
              <w:rPr>
                <w:rFonts w:ascii="Arial" w:hAnsi="Arial" w:cs="Arial"/>
                <w:b/>
              </w:rPr>
              <w:t>31/03/14</w:t>
            </w:r>
          </w:p>
          <w:p w14:paraId="168724A9"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26993162" w14:textId="77777777" w:rsidTr="00B801F4">
        <w:tc>
          <w:tcPr>
            <w:tcW w:w="5058" w:type="dxa"/>
          </w:tcPr>
          <w:p w14:paraId="70B995DA" w14:textId="77777777" w:rsidR="00B801F4" w:rsidRPr="00B801F4" w:rsidRDefault="00B801F4" w:rsidP="00B801F4">
            <w:pPr>
              <w:rPr>
                <w:rFonts w:ascii="Arial" w:hAnsi="Arial" w:cs="Arial"/>
                <w:b/>
              </w:rPr>
            </w:pPr>
            <w:r w:rsidRPr="00B801F4">
              <w:rPr>
                <w:rFonts w:ascii="Arial" w:hAnsi="Arial" w:cs="Arial"/>
                <w:b/>
              </w:rPr>
              <w:t>Index linked securities</w:t>
            </w:r>
          </w:p>
        </w:tc>
        <w:tc>
          <w:tcPr>
            <w:tcW w:w="1559" w:type="dxa"/>
          </w:tcPr>
          <w:p w14:paraId="1AB6B3F9" w14:textId="77777777" w:rsidR="00B801F4" w:rsidRPr="00B801F4" w:rsidRDefault="00B801F4" w:rsidP="00B801F4">
            <w:pPr>
              <w:jc w:val="right"/>
              <w:rPr>
                <w:rFonts w:ascii="Arial" w:hAnsi="Arial" w:cs="Arial"/>
              </w:rPr>
            </w:pPr>
          </w:p>
        </w:tc>
        <w:tc>
          <w:tcPr>
            <w:tcW w:w="430" w:type="dxa"/>
            <w:tcBorders>
              <w:right w:val="single" w:sz="4" w:space="0" w:color="FFFFFF" w:themeColor="background1"/>
            </w:tcBorders>
          </w:tcPr>
          <w:p w14:paraId="6E2320F6"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54B45E79" w14:textId="77777777" w:rsidR="00B801F4" w:rsidRPr="00B801F4" w:rsidRDefault="00B801F4" w:rsidP="00B801F4">
            <w:pPr>
              <w:jc w:val="right"/>
              <w:rPr>
                <w:rFonts w:ascii="Arial" w:hAnsi="Arial" w:cs="Arial"/>
              </w:rPr>
            </w:pPr>
          </w:p>
        </w:tc>
      </w:tr>
      <w:tr w:rsidR="00B801F4" w:rsidRPr="00B801F4" w14:paraId="25B06B68" w14:textId="77777777" w:rsidTr="00B801F4">
        <w:tc>
          <w:tcPr>
            <w:tcW w:w="5058" w:type="dxa"/>
          </w:tcPr>
          <w:p w14:paraId="5E0845E1" w14:textId="77777777" w:rsidR="00B801F4" w:rsidRPr="00B801F4" w:rsidRDefault="00B801F4" w:rsidP="00B801F4">
            <w:pPr>
              <w:rPr>
                <w:rFonts w:ascii="Arial" w:hAnsi="Arial" w:cs="Arial"/>
              </w:rPr>
            </w:pPr>
            <w:r w:rsidRPr="00B801F4">
              <w:rPr>
                <w:rFonts w:ascii="Arial" w:hAnsi="Arial" w:cs="Arial"/>
              </w:rPr>
              <w:t>UK quoted</w:t>
            </w:r>
          </w:p>
        </w:tc>
        <w:tc>
          <w:tcPr>
            <w:tcW w:w="1559" w:type="dxa"/>
            <w:tcBorders>
              <w:bottom w:val="single" w:sz="18" w:space="0" w:color="auto"/>
            </w:tcBorders>
          </w:tcPr>
          <w:p w14:paraId="7E6DBB4D" w14:textId="77777777" w:rsidR="00B801F4" w:rsidRPr="00B801F4" w:rsidRDefault="00B801F4" w:rsidP="00B801F4">
            <w:pPr>
              <w:jc w:val="right"/>
              <w:rPr>
                <w:rFonts w:ascii="Arial" w:hAnsi="Arial" w:cs="Arial"/>
              </w:rPr>
            </w:pPr>
            <w:r w:rsidRPr="00B801F4">
              <w:rPr>
                <w:rFonts w:ascii="Arial" w:hAnsi="Arial" w:cs="Arial"/>
              </w:rPr>
              <w:t>317.9</w:t>
            </w:r>
          </w:p>
        </w:tc>
        <w:tc>
          <w:tcPr>
            <w:tcW w:w="430" w:type="dxa"/>
            <w:tcBorders>
              <w:right w:val="single" w:sz="4" w:space="0" w:color="FFFFFF" w:themeColor="background1"/>
            </w:tcBorders>
          </w:tcPr>
          <w:p w14:paraId="52B76EC2" w14:textId="77777777" w:rsidR="00B801F4" w:rsidRPr="00B801F4" w:rsidRDefault="00B801F4" w:rsidP="00B801F4">
            <w:pPr>
              <w:jc w:val="right"/>
              <w:rPr>
                <w:rFonts w:ascii="Arial" w:hAnsi="Arial" w:cs="Arial"/>
              </w:rPr>
            </w:pPr>
          </w:p>
        </w:tc>
        <w:tc>
          <w:tcPr>
            <w:tcW w:w="1696" w:type="dxa"/>
            <w:tcBorders>
              <w:left w:val="single" w:sz="4" w:space="0" w:color="FFFFFF" w:themeColor="background1"/>
              <w:bottom w:val="single" w:sz="18" w:space="0" w:color="auto"/>
            </w:tcBorders>
          </w:tcPr>
          <w:p w14:paraId="6220F6FE" w14:textId="77777777" w:rsidR="00B801F4" w:rsidRPr="00B801F4" w:rsidRDefault="00B801F4" w:rsidP="00B801F4">
            <w:pPr>
              <w:jc w:val="right"/>
              <w:rPr>
                <w:rFonts w:ascii="Arial" w:hAnsi="Arial" w:cs="Arial"/>
              </w:rPr>
            </w:pPr>
            <w:r w:rsidRPr="00B801F4">
              <w:rPr>
                <w:rFonts w:ascii="Arial" w:hAnsi="Arial" w:cs="Arial"/>
              </w:rPr>
              <w:t>0.0</w:t>
            </w:r>
          </w:p>
        </w:tc>
      </w:tr>
      <w:tr w:rsidR="00B801F4" w:rsidRPr="00B801F4" w14:paraId="4B5F1CC9" w14:textId="77777777" w:rsidTr="00B801F4">
        <w:tc>
          <w:tcPr>
            <w:tcW w:w="5058" w:type="dxa"/>
          </w:tcPr>
          <w:p w14:paraId="7C15354B" w14:textId="77777777" w:rsidR="00B801F4" w:rsidRPr="00B801F4" w:rsidRDefault="00B801F4" w:rsidP="00B801F4">
            <w:pPr>
              <w:rPr>
                <w:rFonts w:ascii="Arial" w:hAnsi="Arial" w:cs="Arial"/>
              </w:rPr>
            </w:pPr>
          </w:p>
        </w:tc>
        <w:tc>
          <w:tcPr>
            <w:tcW w:w="1559" w:type="dxa"/>
            <w:tcBorders>
              <w:top w:val="single" w:sz="18" w:space="0" w:color="auto"/>
              <w:bottom w:val="single" w:sz="18" w:space="0" w:color="auto"/>
            </w:tcBorders>
          </w:tcPr>
          <w:p w14:paraId="54AA6725" w14:textId="77777777" w:rsidR="00B801F4" w:rsidRPr="00B801F4" w:rsidRDefault="00B801F4" w:rsidP="00B801F4">
            <w:pPr>
              <w:jc w:val="right"/>
              <w:rPr>
                <w:rFonts w:ascii="Arial" w:hAnsi="Arial" w:cs="Arial"/>
              </w:rPr>
            </w:pPr>
            <w:r w:rsidRPr="00B801F4">
              <w:rPr>
                <w:rFonts w:ascii="Arial" w:hAnsi="Arial" w:cs="Arial"/>
              </w:rPr>
              <w:t>317.9</w:t>
            </w:r>
          </w:p>
        </w:tc>
        <w:tc>
          <w:tcPr>
            <w:tcW w:w="430" w:type="dxa"/>
            <w:tcBorders>
              <w:right w:val="single" w:sz="4" w:space="0" w:color="FFFFFF" w:themeColor="background1"/>
            </w:tcBorders>
          </w:tcPr>
          <w:p w14:paraId="2843DBAC" w14:textId="77777777" w:rsidR="00B801F4" w:rsidRPr="00B801F4" w:rsidRDefault="00B801F4" w:rsidP="00B801F4">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4E4F182C" w14:textId="77777777" w:rsidR="00B801F4" w:rsidRPr="00B801F4" w:rsidRDefault="00B801F4" w:rsidP="00B801F4">
            <w:pPr>
              <w:jc w:val="right"/>
              <w:rPr>
                <w:rFonts w:ascii="Arial" w:hAnsi="Arial" w:cs="Arial"/>
              </w:rPr>
            </w:pPr>
            <w:r w:rsidRPr="00B801F4">
              <w:rPr>
                <w:rFonts w:ascii="Arial" w:hAnsi="Arial" w:cs="Arial"/>
              </w:rPr>
              <w:t>0.0</w:t>
            </w:r>
          </w:p>
        </w:tc>
      </w:tr>
    </w:tbl>
    <w:p w14:paraId="1AE02BD4" w14:textId="77777777" w:rsidR="00B801F4" w:rsidRPr="00B801F4" w:rsidRDefault="00B801F4" w:rsidP="00B801F4">
      <w:pPr>
        <w:rPr>
          <w:rFonts w:cs="Arial"/>
        </w:rPr>
      </w:pPr>
    </w:p>
    <w:tbl>
      <w:tblPr>
        <w:tblStyle w:val="TableGrid11"/>
        <w:tblW w:w="0" w:type="auto"/>
        <w:tblInd w:w="720" w:type="dxa"/>
        <w:tblLook w:val="04A0" w:firstRow="1" w:lastRow="0" w:firstColumn="1" w:lastColumn="0" w:noHBand="0" w:noVBand="1"/>
      </w:tblPr>
      <w:tblGrid>
        <w:gridCol w:w="5227"/>
        <w:gridCol w:w="1424"/>
        <w:gridCol w:w="432"/>
        <w:gridCol w:w="1705"/>
      </w:tblGrid>
      <w:tr w:rsidR="00B801F4" w:rsidRPr="00B801F4" w14:paraId="109DF2FB" w14:textId="77777777" w:rsidTr="00B801F4">
        <w:trPr>
          <w:trHeight w:val="277"/>
        </w:trPr>
        <w:tc>
          <w:tcPr>
            <w:tcW w:w="5227" w:type="dxa"/>
            <w:tcBorders>
              <w:top w:val="nil"/>
              <w:left w:val="nil"/>
              <w:bottom w:val="nil"/>
              <w:right w:val="nil"/>
            </w:tcBorders>
          </w:tcPr>
          <w:p w14:paraId="24FE3192" w14:textId="77777777" w:rsidR="00B801F4" w:rsidRPr="00B801F4" w:rsidRDefault="00B801F4" w:rsidP="00B801F4">
            <w:pPr>
              <w:rPr>
                <w:rFonts w:ascii="Arial" w:hAnsi="Arial" w:cs="Arial"/>
                <w:b/>
              </w:rPr>
            </w:pPr>
          </w:p>
        </w:tc>
        <w:tc>
          <w:tcPr>
            <w:tcW w:w="1424" w:type="dxa"/>
            <w:tcBorders>
              <w:top w:val="nil"/>
              <w:left w:val="nil"/>
              <w:bottom w:val="nil"/>
              <w:right w:val="nil"/>
            </w:tcBorders>
          </w:tcPr>
          <w:p w14:paraId="46C06171" w14:textId="77777777" w:rsidR="00B801F4" w:rsidRPr="00B801F4" w:rsidRDefault="00B801F4" w:rsidP="00B801F4">
            <w:pPr>
              <w:jc w:val="right"/>
              <w:rPr>
                <w:rFonts w:ascii="Arial" w:hAnsi="Arial" w:cs="Arial"/>
                <w:b/>
              </w:rPr>
            </w:pPr>
          </w:p>
        </w:tc>
        <w:tc>
          <w:tcPr>
            <w:tcW w:w="432" w:type="dxa"/>
            <w:tcBorders>
              <w:top w:val="nil"/>
              <w:left w:val="nil"/>
              <w:bottom w:val="nil"/>
              <w:right w:val="nil"/>
            </w:tcBorders>
          </w:tcPr>
          <w:p w14:paraId="5D66F6C1" w14:textId="77777777" w:rsidR="00B801F4" w:rsidRPr="00B801F4" w:rsidRDefault="00B801F4" w:rsidP="00B801F4">
            <w:pPr>
              <w:jc w:val="right"/>
              <w:rPr>
                <w:rFonts w:ascii="Arial" w:hAnsi="Arial" w:cs="Arial"/>
                <w:b/>
              </w:rPr>
            </w:pPr>
          </w:p>
        </w:tc>
        <w:tc>
          <w:tcPr>
            <w:tcW w:w="1705" w:type="dxa"/>
            <w:tcBorders>
              <w:top w:val="nil"/>
              <w:left w:val="nil"/>
              <w:bottom w:val="nil"/>
              <w:right w:val="nil"/>
            </w:tcBorders>
          </w:tcPr>
          <w:p w14:paraId="5215279F" w14:textId="77777777" w:rsidR="00B801F4" w:rsidRPr="00B801F4" w:rsidRDefault="00B801F4" w:rsidP="00B801F4">
            <w:pPr>
              <w:jc w:val="right"/>
              <w:rPr>
                <w:rFonts w:ascii="Arial" w:hAnsi="Arial" w:cs="Arial"/>
                <w:b/>
              </w:rPr>
            </w:pPr>
          </w:p>
        </w:tc>
      </w:tr>
      <w:tr w:rsidR="00B801F4" w:rsidRPr="00B801F4" w14:paraId="09D692A5" w14:textId="77777777" w:rsidTr="00B801F4">
        <w:trPr>
          <w:trHeight w:val="277"/>
        </w:trPr>
        <w:tc>
          <w:tcPr>
            <w:tcW w:w="5227" w:type="dxa"/>
            <w:tcBorders>
              <w:top w:val="nil"/>
              <w:left w:val="nil"/>
              <w:bottom w:val="nil"/>
              <w:right w:val="nil"/>
            </w:tcBorders>
          </w:tcPr>
          <w:p w14:paraId="167F3019" w14:textId="77777777" w:rsidR="00B801F4" w:rsidRPr="00B801F4" w:rsidRDefault="00B801F4" w:rsidP="00B801F4">
            <w:pPr>
              <w:spacing w:after="0"/>
              <w:rPr>
                <w:rFonts w:ascii="Arial" w:hAnsi="Arial" w:cs="Arial"/>
                <w:b/>
              </w:rPr>
            </w:pPr>
          </w:p>
        </w:tc>
        <w:tc>
          <w:tcPr>
            <w:tcW w:w="1424" w:type="dxa"/>
            <w:tcBorders>
              <w:top w:val="nil"/>
              <w:left w:val="nil"/>
              <w:bottom w:val="nil"/>
              <w:right w:val="nil"/>
            </w:tcBorders>
          </w:tcPr>
          <w:p w14:paraId="2864E94E" w14:textId="77777777" w:rsidR="00B801F4" w:rsidRPr="00B801F4" w:rsidRDefault="00B801F4" w:rsidP="00B801F4">
            <w:pPr>
              <w:spacing w:after="0"/>
              <w:jc w:val="right"/>
              <w:rPr>
                <w:rFonts w:ascii="Arial" w:hAnsi="Arial" w:cs="Arial"/>
                <w:b/>
              </w:rPr>
            </w:pPr>
            <w:r w:rsidRPr="00B801F4">
              <w:rPr>
                <w:rFonts w:ascii="Arial" w:hAnsi="Arial" w:cs="Arial"/>
                <w:b/>
              </w:rPr>
              <w:t>31/03/15</w:t>
            </w:r>
          </w:p>
        </w:tc>
        <w:tc>
          <w:tcPr>
            <w:tcW w:w="432" w:type="dxa"/>
            <w:tcBorders>
              <w:top w:val="nil"/>
              <w:left w:val="nil"/>
              <w:bottom w:val="nil"/>
              <w:right w:val="nil"/>
            </w:tcBorders>
          </w:tcPr>
          <w:p w14:paraId="42570DFB" w14:textId="77777777" w:rsidR="00B801F4" w:rsidRPr="00B801F4" w:rsidRDefault="00B801F4" w:rsidP="00B801F4">
            <w:pPr>
              <w:spacing w:after="0"/>
              <w:jc w:val="right"/>
              <w:rPr>
                <w:rFonts w:ascii="Arial" w:hAnsi="Arial" w:cs="Arial"/>
                <w:b/>
              </w:rPr>
            </w:pPr>
          </w:p>
        </w:tc>
        <w:tc>
          <w:tcPr>
            <w:tcW w:w="1705" w:type="dxa"/>
            <w:tcBorders>
              <w:top w:val="nil"/>
              <w:left w:val="nil"/>
              <w:bottom w:val="nil"/>
              <w:right w:val="nil"/>
            </w:tcBorders>
          </w:tcPr>
          <w:p w14:paraId="20C03C50" w14:textId="77777777" w:rsidR="00B801F4" w:rsidRPr="00B801F4" w:rsidRDefault="00B801F4" w:rsidP="00B801F4">
            <w:pPr>
              <w:spacing w:after="0"/>
              <w:jc w:val="right"/>
              <w:rPr>
                <w:rFonts w:ascii="Arial" w:hAnsi="Arial" w:cs="Arial"/>
                <w:b/>
              </w:rPr>
            </w:pPr>
            <w:r w:rsidRPr="00B801F4">
              <w:rPr>
                <w:rFonts w:ascii="Arial" w:hAnsi="Arial" w:cs="Arial"/>
                <w:b/>
              </w:rPr>
              <w:t>31/03/14</w:t>
            </w:r>
          </w:p>
        </w:tc>
      </w:tr>
      <w:tr w:rsidR="00B801F4" w:rsidRPr="00B801F4" w14:paraId="1A05B22A" w14:textId="77777777" w:rsidTr="00B801F4">
        <w:trPr>
          <w:trHeight w:val="262"/>
        </w:trPr>
        <w:tc>
          <w:tcPr>
            <w:tcW w:w="5227" w:type="dxa"/>
            <w:tcBorders>
              <w:top w:val="nil"/>
              <w:left w:val="nil"/>
              <w:bottom w:val="nil"/>
              <w:right w:val="nil"/>
            </w:tcBorders>
          </w:tcPr>
          <w:p w14:paraId="07C485A8" w14:textId="77777777" w:rsidR="00B801F4" w:rsidRPr="00B801F4" w:rsidRDefault="00B801F4" w:rsidP="00B801F4">
            <w:pPr>
              <w:spacing w:after="0"/>
              <w:rPr>
                <w:rFonts w:ascii="Arial" w:hAnsi="Arial" w:cs="Arial"/>
                <w:b/>
              </w:rPr>
            </w:pPr>
          </w:p>
        </w:tc>
        <w:tc>
          <w:tcPr>
            <w:tcW w:w="1424" w:type="dxa"/>
            <w:tcBorders>
              <w:top w:val="nil"/>
              <w:left w:val="nil"/>
              <w:bottom w:val="nil"/>
              <w:right w:val="nil"/>
            </w:tcBorders>
          </w:tcPr>
          <w:p w14:paraId="19483CF9"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2" w:type="dxa"/>
            <w:tcBorders>
              <w:top w:val="nil"/>
              <w:left w:val="nil"/>
              <w:bottom w:val="nil"/>
              <w:right w:val="nil"/>
            </w:tcBorders>
          </w:tcPr>
          <w:p w14:paraId="0357E61E" w14:textId="77777777" w:rsidR="00B801F4" w:rsidRPr="00B801F4" w:rsidRDefault="00B801F4" w:rsidP="00B801F4">
            <w:pPr>
              <w:spacing w:after="0"/>
              <w:jc w:val="right"/>
              <w:rPr>
                <w:rFonts w:ascii="Arial" w:hAnsi="Arial" w:cs="Arial"/>
                <w:b/>
              </w:rPr>
            </w:pPr>
          </w:p>
        </w:tc>
        <w:tc>
          <w:tcPr>
            <w:tcW w:w="1705" w:type="dxa"/>
            <w:tcBorders>
              <w:top w:val="nil"/>
              <w:left w:val="nil"/>
              <w:bottom w:val="nil"/>
              <w:right w:val="nil"/>
            </w:tcBorders>
          </w:tcPr>
          <w:p w14:paraId="5E23AF37"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0636E5E5" w14:textId="77777777" w:rsidTr="00B801F4">
        <w:trPr>
          <w:trHeight w:val="277"/>
        </w:trPr>
        <w:tc>
          <w:tcPr>
            <w:tcW w:w="5227" w:type="dxa"/>
            <w:tcBorders>
              <w:top w:val="nil"/>
              <w:left w:val="nil"/>
              <w:bottom w:val="nil"/>
              <w:right w:val="nil"/>
            </w:tcBorders>
          </w:tcPr>
          <w:p w14:paraId="6790BF49" w14:textId="77777777" w:rsidR="00B801F4" w:rsidRPr="00B801F4" w:rsidRDefault="00B801F4" w:rsidP="00B801F4">
            <w:pPr>
              <w:rPr>
                <w:rFonts w:ascii="Arial" w:hAnsi="Arial" w:cs="Arial"/>
                <w:b/>
              </w:rPr>
            </w:pPr>
            <w:r w:rsidRPr="00B801F4">
              <w:rPr>
                <w:rFonts w:ascii="Arial" w:hAnsi="Arial" w:cs="Arial"/>
                <w:b/>
              </w:rPr>
              <w:t>Pooled investment vehicles</w:t>
            </w:r>
          </w:p>
          <w:p w14:paraId="37073F0B" w14:textId="77777777" w:rsidR="00B801F4" w:rsidRPr="00B801F4" w:rsidRDefault="00B801F4" w:rsidP="00B801F4">
            <w:pPr>
              <w:rPr>
                <w:rFonts w:ascii="Arial" w:hAnsi="Arial" w:cs="Arial"/>
                <w:b/>
              </w:rPr>
            </w:pPr>
            <w:r w:rsidRPr="00B801F4">
              <w:rPr>
                <w:rFonts w:ascii="Arial" w:hAnsi="Arial" w:cs="Arial"/>
                <w:b/>
              </w:rPr>
              <w:t>UK managed funds:</w:t>
            </w:r>
          </w:p>
        </w:tc>
        <w:tc>
          <w:tcPr>
            <w:tcW w:w="1424" w:type="dxa"/>
            <w:tcBorders>
              <w:top w:val="nil"/>
              <w:left w:val="nil"/>
              <w:bottom w:val="nil"/>
              <w:right w:val="nil"/>
            </w:tcBorders>
          </w:tcPr>
          <w:p w14:paraId="2C0A5593" w14:textId="77777777" w:rsidR="00B801F4" w:rsidRPr="00B801F4" w:rsidRDefault="00B801F4" w:rsidP="00B801F4">
            <w:pPr>
              <w:jc w:val="right"/>
              <w:rPr>
                <w:rFonts w:ascii="Arial" w:hAnsi="Arial" w:cs="Arial"/>
              </w:rPr>
            </w:pPr>
          </w:p>
        </w:tc>
        <w:tc>
          <w:tcPr>
            <w:tcW w:w="432" w:type="dxa"/>
            <w:tcBorders>
              <w:top w:val="nil"/>
              <w:left w:val="nil"/>
              <w:bottom w:val="nil"/>
              <w:right w:val="nil"/>
            </w:tcBorders>
          </w:tcPr>
          <w:p w14:paraId="2381B44F" w14:textId="77777777" w:rsidR="00B801F4" w:rsidRPr="00B801F4" w:rsidRDefault="00B801F4" w:rsidP="00B801F4">
            <w:pPr>
              <w:jc w:val="right"/>
              <w:rPr>
                <w:rFonts w:ascii="Arial" w:hAnsi="Arial" w:cs="Arial"/>
              </w:rPr>
            </w:pPr>
          </w:p>
        </w:tc>
        <w:tc>
          <w:tcPr>
            <w:tcW w:w="1705" w:type="dxa"/>
            <w:tcBorders>
              <w:top w:val="nil"/>
              <w:left w:val="nil"/>
              <w:bottom w:val="nil"/>
              <w:right w:val="nil"/>
            </w:tcBorders>
          </w:tcPr>
          <w:p w14:paraId="41EEEE40" w14:textId="77777777" w:rsidR="00B801F4" w:rsidRPr="00B801F4" w:rsidRDefault="00B801F4" w:rsidP="00B801F4">
            <w:pPr>
              <w:jc w:val="right"/>
              <w:rPr>
                <w:rFonts w:ascii="Arial" w:hAnsi="Arial" w:cs="Arial"/>
              </w:rPr>
            </w:pPr>
          </w:p>
        </w:tc>
      </w:tr>
      <w:tr w:rsidR="00B801F4" w:rsidRPr="00B801F4" w14:paraId="55951317" w14:textId="77777777" w:rsidTr="00B801F4">
        <w:trPr>
          <w:trHeight w:val="277"/>
        </w:trPr>
        <w:tc>
          <w:tcPr>
            <w:tcW w:w="5227" w:type="dxa"/>
            <w:tcBorders>
              <w:top w:val="nil"/>
              <w:left w:val="nil"/>
              <w:bottom w:val="nil"/>
              <w:right w:val="nil"/>
            </w:tcBorders>
          </w:tcPr>
          <w:p w14:paraId="031E311A" w14:textId="77777777" w:rsidR="00B801F4" w:rsidRPr="00B801F4" w:rsidRDefault="00B801F4" w:rsidP="00B801F4">
            <w:pPr>
              <w:rPr>
                <w:rFonts w:ascii="Arial" w:hAnsi="Arial" w:cs="Arial"/>
              </w:rPr>
            </w:pPr>
            <w:r w:rsidRPr="00B801F4">
              <w:rPr>
                <w:rFonts w:ascii="Arial" w:hAnsi="Arial" w:cs="Arial"/>
              </w:rPr>
              <w:t>Fixed income funds</w:t>
            </w:r>
          </w:p>
        </w:tc>
        <w:tc>
          <w:tcPr>
            <w:tcW w:w="1424" w:type="dxa"/>
            <w:tcBorders>
              <w:top w:val="nil"/>
              <w:left w:val="nil"/>
              <w:bottom w:val="nil"/>
              <w:right w:val="nil"/>
            </w:tcBorders>
          </w:tcPr>
          <w:p w14:paraId="384E5AAF" w14:textId="77777777" w:rsidR="00B801F4" w:rsidRPr="00B801F4" w:rsidRDefault="00B801F4" w:rsidP="00B801F4">
            <w:pPr>
              <w:jc w:val="right"/>
              <w:rPr>
                <w:rFonts w:ascii="Arial" w:hAnsi="Arial" w:cs="Arial"/>
              </w:rPr>
            </w:pPr>
            <w:r w:rsidRPr="00B801F4">
              <w:rPr>
                <w:rFonts w:ascii="Arial" w:hAnsi="Arial" w:cs="Arial"/>
              </w:rPr>
              <w:t>58.2</w:t>
            </w:r>
          </w:p>
        </w:tc>
        <w:tc>
          <w:tcPr>
            <w:tcW w:w="432" w:type="dxa"/>
            <w:tcBorders>
              <w:top w:val="nil"/>
              <w:left w:val="nil"/>
              <w:bottom w:val="nil"/>
              <w:right w:val="nil"/>
            </w:tcBorders>
          </w:tcPr>
          <w:p w14:paraId="30F9B3CF" w14:textId="77777777" w:rsidR="00B801F4" w:rsidRPr="00B801F4" w:rsidRDefault="00B801F4" w:rsidP="00B801F4">
            <w:pPr>
              <w:jc w:val="right"/>
              <w:rPr>
                <w:rFonts w:ascii="Arial" w:hAnsi="Arial" w:cs="Arial"/>
              </w:rPr>
            </w:pPr>
          </w:p>
        </w:tc>
        <w:tc>
          <w:tcPr>
            <w:tcW w:w="1705" w:type="dxa"/>
            <w:tcBorders>
              <w:top w:val="nil"/>
              <w:left w:val="nil"/>
              <w:bottom w:val="nil"/>
              <w:right w:val="nil"/>
            </w:tcBorders>
          </w:tcPr>
          <w:p w14:paraId="7673DA92" w14:textId="77777777" w:rsidR="00B801F4" w:rsidRPr="00B801F4" w:rsidRDefault="00B801F4" w:rsidP="00B801F4">
            <w:pPr>
              <w:jc w:val="right"/>
              <w:rPr>
                <w:rFonts w:ascii="Arial" w:hAnsi="Arial" w:cs="Arial"/>
              </w:rPr>
            </w:pPr>
            <w:r w:rsidRPr="00B801F4">
              <w:rPr>
                <w:rFonts w:ascii="Arial" w:hAnsi="Arial" w:cs="Arial"/>
              </w:rPr>
              <w:t>47.0</w:t>
            </w:r>
          </w:p>
        </w:tc>
      </w:tr>
      <w:tr w:rsidR="00B801F4" w:rsidRPr="00B801F4" w14:paraId="5A789EF5" w14:textId="77777777" w:rsidTr="00B801F4">
        <w:trPr>
          <w:trHeight w:val="277"/>
        </w:trPr>
        <w:tc>
          <w:tcPr>
            <w:tcW w:w="5227" w:type="dxa"/>
            <w:tcBorders>
              <w:top w:val="nil"/>
              <w:left w:val="nil"/>
              <w:bottom w:val="nil"/>
              <w:right w:val="nil"/>
            </w:tcBorders>
          </w:tcPr>
          <w:p w14:paraId="530A4387" w14:textId="77777777" w:rsidR="00B801F4" w:rsidRPr="00B801F4" w:rsidRDefault="00B801F4" w:rsidP="00B801F4">
            <w:pPr>
              <w:rPr>
                <w:rFonts w:ascii="Arial" w:hAnsi="Arial" w:cs="Arial"/>
              </w:rPr>
            </w:pPr>
            <w:r w:rsidRPr="00B801F4">
              <w:rPr>
                <w:rFonts w:ascii="Arial" w:hAnsi="Arial" w:cs="Arial"/>
              </w:rPr>
              <w:t>Venture capital</w:t>
            </w:r>
          </w:p>
        </w:tc>
        <w:tc>
          <w:tcPr>
            <w:tcW w:w="1424" w:type="dxa"/>
            <w:tcBorders>
              <w:top w:val="nil"/>
              <w:left w:val="nil"/>
              <w:bottom w:val="nil"/>
              <w:right w:val="nil"/>
            </w:tcBorders>
          </w:tcPr>
          <w:p w14:paraId="4BCD7AA4" w14:textId="77777777" w:rsidR="00B801F4" w:rsidRPr="00B801F4" w:rsidRDefault="00B801F4" w:rsidP="00B801F4">
            <w:pPr>
              <w:jc w:val="right"/>
              <w:rPr>
                <w:rFonts w:ascii="Arial" w:hAnsi="Arial" w:cs="Arial"/>
              </w:rPr>
            </w:pPr>
            <w:r w:rsidRPr="00B801F4">
              <w:rPr>
                <w:rFonts w:ascii="Arial" w:hAnsi="Arial" w:cs="Arial"/>
              </w:rPr>
              <w:t>278.5</w:t>
            </w:r>
          </w:p>
        </w:tc>
        <w:tc>
          <w:tcPr>
            <w:tcW w:w="432" w:type="dxa"/>
            <w:tcBorders>
              <w:top w:val="nil"/>
              <w:left w:val="nil"/>
              <w:bottom w:val="nil"/>
              <w:right w:val="nil"/>
            </w:tcBorders>
          </w:tcPr>
          <w:p w14:paraId="24E6D54C" w14:textId="77777777" w:rsidR="00B801F4" w:rsidRPr="00B801F4" w:rsidRDefault="00B801F4" w:rsidP="00B801F4">
            <w:pPr>
              <w:jc w:val="right"/>
              <w:rPr>
                <w:rFonts w:ascii="Arial" w:hAnsi="Arial" w:cs="Arial"/>
              </w:rPr>
            </w:pPr>
          </w:p>
        </w:tc>
        <w:tc>
          <w:tcPr>
            <w:tcW w:w="1705" w:type="dxa"/>
            <w:tcBorders>
              <w:top w:val="nil"/>
              <w:left w:val="nil"/>
              <w:bottom w:val="nil"/>
              <w:right w:val="nil"/>
            </w:tcBorders>
          </w:tcPr>
          <w:p w14:paraId="469197C8" w14:textId="77777777" w:rsidR="00B801F4" w:rsidRPr="00B801F4" w:rsidRDefault="00B801F4" w:rsidP="00B801F4">
            <w:pPr>
              <w:jc w:val="right"/>
              <w:rPr>
                <w:rFonts w:ascii="Arial" w:hAnsi="Arial" w:cs="Arial"/>
              </w:rPr>
            </w:pPr>
            <w:r w:rsidRPr="00B801F4">
              <w:rPr>
                <w:rFonts w:ascii="Arial" w:hAnsi="Arial" w:cs="Arial"/>
              </w:rPr>
              <w:t>264.8</w:t>
            </w:r>
          </w:p>
        </w:tc>
      </w:tr>
      <w:tr w:rsidR="00B801F4" w:rsidRPr="00B801F4" w14:paraId="0C5123BC" w14:textId="77777777" w:rsidTr="00B801F4">
        <w:trPr>
          <w:trHeight w:val="277"/>
        </w:trPr>
        <w:tc>
          <w:tcPr>
            <w:tcW w:w="5227" w:type="dxa"/>
            <w:tcBorders>
              <w:top w:val="nil"/>
              <w:left w:val="nil"/>
              <w:bottom w:val="nil"/>
              <w:right w:val="nil"/>
            </w:tcBorders>
          </w:tcPr>
          <w:p w14:paraId="60770BE5" w14:textId="77777777" w:rsidR="00B801F4" w:rsidRPr="00B801F4" w:rsidRDefault="00B801F4" w:rsidP="00B801F4">
            <w:pPr>
              <w:rPr>
                <w:rFonts w:cs="Arial"/>
                <w:b/>
              </w:rPr>
            </w:pPr>
            <w:r w:rsidRPr="00B801F4">
              <w:rPr>
                <w:rFonts w:ascii="Arial" w:hAnsi="Arial" w:cs="Arial"/>
              </w:rPr>
              <w:t>Property funds</w:t>
            </w:r>
          </w:p>
        </w:tc>
        <w:tc>
          <w:tcPr>
            <w:tcW w:w="1424" w:type="dxa"/>
            <w:tcBorders>
              <w:top w:val="nil"/>
              <w:left w:val="nil"/>
              <w:bottom w:val="nil"/>
              <w:right w:val="nil"/>
            </w:tcBorders>
          </w:tcPr>
          <w:p w14:paraId="521049CD" w14:textId="77777777" w:rsidR="00B801F4" w:rsidRPr="00B801F4" w:rsidRDefault="00B801F4" w:rsidP="00B801F4">
            <w:pPr>
              <w:jc w:val="right"/>
              <w:rPr>
                <w:rFonts w:ascii="Arial" w:hAnsi="Arial" w:cs="Arial"/>
              </w:rPr>
            </w:pPr>
            <w:r w:rsidRPr="00B801F4">
              <w:rPr>
                <w:rFonts w:ascii="Arial" w:hAnsi="Arial" w:cs="Arial"/>
              </w:rPr>
              <w:t>12.9</w:t>
            </w:r>
          </w:p>
        </w:tc>
        <w:tc>
          <w:tcPr>
            <w:tcW w:w="432" w:type="dxa"/>
            <w:tcBorders>
              <w:top w:val="nil"/>
              <w:left w:val="nil"/>
              <w:bottom w:val="nil"/>
              <w:right w:val="nil"/>
            </w:tcBorders>
          </w:tcPr>
          <w:p w14:paraId="55EC0FBE" w14:textId="77777777" w:rsidR="00B801F4" w:rsidRPr="00B801F4" w:rsidRDefault="00B801F4" w:rsidP="00B801F4">
            <w:pPr>
              <w:jc w:val="right"/>
              <w:rPr>
                <w:rFonts w:ascii="Arial" w:hAnsi="Arial" w:cs="Arial"/>
              </w:rPr>
            </w:pPr>
          </w:p>
        </w:tc>
        <w:tc>
          <w:tcPr>
            <w:tcW w:w="1705" w:type="dxa"/>
            <w:tcBorders>
              <w:top w:val="nil"/>
              <w:left w:val="nil"/>
              <w:bottom w:val="nil"/>
              <w:right w:val="nil"/>
            </w:tcBorders>
          </w:tcPr>
          <w:p w14:paraId="5C24D6CB" w14:textId="77777777" w:rsidR="00B801F4" w:rsidRPr="00B801F4" w:rsidRDefault="00B801F4" w:rsidP="00B801F4">
            <w:pPr>
              <w:jc w:val="right"/>
              <w:rPr>
                <w:rFonts w:ascii="Arial" w:hAnsi="Arial" w:cs="Arial"/>
              </w:rPr>
            </w:pPr>
            <w:r w:rsidRPr="00B801F4">
              <w:rPr>
                <w:rFonts w:ascii="Arial" w:hAnsi="Arial" w:cs="Arial"/>
              </w:rPr>
              <w:t>0.0</w:t>
            </w:r>
          </w:p>
        </w:tc>
      </w:tr>
      <w:tr w:rsidR="00B801F4" w:rsidRPr="00B801F4" w14:paraId="1C508DBD" w14:textId="77777777" w:rsidTr="00B801F4">
        <w:trPr>
          <w:trHeight w:val="277"/>
        </w:trPr>
        <w:tc>
          <w:tcPr>
            <w:tcW w:w="5227" w:type="dxa"/>
            <w:tcBorders>
              <w:top w:val="nil"/>
              <w:left w:val="nil"/>
              <w:bottom w:val="nil"/>
              <w:right w:val="nil"/>
            </w:tcBorders>
          </w:tcPr>
          <w:p w14:paraId="1FD48BAF" w14:textId="77777777" w:rsidR="00B801F4" w:rsidRPr="00B801F4" w:rsidRDefault="00B801F4" w:rsidP="00B801F4">
            <w:pPr>
              <w:rPr>
                <w:rFonts w:ascii="Arial" w:hAnsi="Arial" w:cs="Arial"/>
                <w:b/>
              </w:rPr>
            </w:pPr>
            <w:r w:rsidRPr="00B801F4">
              <w:rPr>
                <w:rFonts w:ascii="Arial" w:hAnsi="Arial" w:cs="Arial"/>
                <w:b/>
              </w:rPr>
              <w:t>Overseas managed funds:</w:t>
            </w:r>
          </w:p>
        </w:tc>
        <w:tc>
          <w:tcPr>
            <w:tcW w:w="1424" w:type="dxa"/>
            <w:tcBorders>
              <w:top w:val="nil"/>
              <w:left w:val="nil"/>
              <w:bottom w:val="nil"/>
              <w:right w:val="nil"/>
            </w:tcBorders>
          </w:tcPr>
          <w:p w14:paraId="37FF8EBE" w14:textId="77777777" w:rsidR="00B801F4" w:rsidRPr="00B801F4" w:rsidRDefault="00B801F4" w:rsidP="00B801F4">
            <w:pPr>
              <w:jc w:val="right"/>
              <w:rPr>
                <w:rFonts w:ascii="Arial" w:hAnsi="Arial" w:cs="Arial"/>
              </w:rPr>
            </w:pPr>
          </w:p>
        </w:tc>
        <w:tc>
          <w:tcPr>
            <w:tcW w:w="432" w:type="dxa"/>
            <w:tcBorders>
              <w:top w:val="nil"/>
              <w:left w:val="nil"/>
              <w:bottom w:val="nil"/>
              <w:right w:val="nil"/>
            </w:tcBorders>
          </w:tcPr>
          <w:p w14:paraId="6213E484" w14:textId="77777777" w:rsidR="00B801F4" w:rsidRPr="00B801F4" w:rsidRDefault="00B801F4" w:rsidP="00B801F4">
            <w:pPr>
              <w:jc w:val="right"/>
              <w:rPr>
                <w:rFonts w:ascii="Arial" w:hAnsi="Arial" w:cs="Arial"/>
              </w:rPr>
            </w:pPr>
          </w:p>
        </w:tc>
        <w:tc>
          <w:tcPr>
            <w:tcW w:w="1705" w:type="dxa"/>
            <w:tcBorders>
              <w:top w:val="nil"/>
              <w:left w:val="nil"/>
              <w:bottom w:val="nil"/>
              <w:right w:val="nil"/>
            </w:tcBorders>
          </w:tcPr>
          <w:p w14:paraId="30327F76" w14:textId="77777777" w:rsidR="00B801F4" w:rsidRPr="00B801F4" w:rsidRDefault="00B801F4" w:rsidP="00B801F4">
            <w:pPr>
              <w:jc w:val="right"/>
              <w:rPr>
                <w:rFonts w:ascii="Arial" w:hAnsi="Arial" w:cs="Arial"/>
              </w:rPr>
            </w:pPr>
          </w:p>
        </w:tc>
      </w:tr>
      <w:tr w:rsidR="00B801F4" w:rsidRPr="00B801F4" w14:paraId="5C614CFE" w14:textId="77777777" w:rsidTr="00B801F4">
        <w:trPr>
          <w:trHeight w:val="262"/>
        </w:trPr>
        <w:tc>
          <w:tcPr>
            <w:tcW w:w="5227" w:type="dxa"/>
            <w:tcBorders>
              <w:top w:val="nil"/>
              <w:left w:val="nil"/>
              <w:bottom w:val="nil"/>
              <w:right w:val="nil"/>
            </w:tcBorders>
          </w:tcPr>
          <w:p w14:paraId="595A4428" w14:textId="77777777" w:rsidR="00B801F4" w:rsidRPr="00B801F4" w:rsidRDefault="00B801F4" w:rsidP="00B801F4">
            <w:pPr>
              <w:rPr>
                <w:rFonts w:ascii="Arial" w:hAnsi="Arial" w:cs="Arial"/>
              </w:rPr>
            </w:pPr>
            <w:r w:rsidRPr="00B801F4">
              <w:rPr>
                <w:rFonts w:ascii="Arial" w:hAnsi="Arial" w:cs="Arial"/>
              </w:rPr>
              <w:t>Equity funds</w:t>
            </w:r>
          </w:p>
        </w:tc>
        <w:tc>
          <w:tcPr>
            <w:tcW w:w="1424" w:type="dxa"/>
            <w:tcBorders>
              <w:top w:val="nil"/>
              <w:left w:val="nil"/>
              <w:bottom w:val="nil"/>
              <w:right w:val="nil"/>
            </w:tcBorders>
          </w:tcPr>
          <w:p w14:paraId="76F58AB8" w14:textId="77777777" w:rsidR="00B801F4" w:rsidRPr="00B801F4" w:rsidRDefault="00B801F4" w:rsidP="00B801F4">
            <w:pPr>
              <w:jc w:val="right"/>
              <w:rPr>
                <w:rFonts w:ascii="Arial" w:hAnsi="Arial" w:cs="Arial"/>
              </w:rPr>
            </w:pPr>
            <w:r w:rsidRPr="00B801F4">
              <w:rPr>
                <w:rFonts w:ascii="Arial" w:hAnsi="Arial" w:cs="Arial"/>
              </w:rPr>
              <w:t>505.0</w:t>
            </w:r>
          </w:p>
        </w:tc>
        <w:tc>
          <w:tcPr>
            <w:tcW w:w="432" w:type="dxa"/>
            <w:tcBorders>
              <w:top w:val="nil"/>
              <w:left w:val="nil"/>
              <w:bottom w:val="nil"/>
              <w:right w:val="nil"/>
            </w:tcBorders>
          </w:tcPr>
          <w:p w14:paraId="44D7AD07" w14:textId="77777777" w:rsidR="00B801F4" w:rsidRPr="00B801F4" w:rsidRDefault="00B801F4" w:rsidP="00B801F4">
            <w:pPr>
              <w:jc w:val="right"/>
              <w:rPr>
                <w:rFonts w:ascii="Arial" w:hAnsi="Arial" w:cs="Arial"/>
              </w:rPr>
            </w:pPr>
          </w:p>
        </w:tc>
        <w:tc>
          <w:tcPr>
            <w:tcW w:w="1705" w:type="dxa"/>
            <w:tcBorders>
              <w:top w:val="nil"/>
              <w:left w:val="nil"/>
              <w:bottom w:val="nil"/>
              <w:right w:val="nil"/>
            </w:tcBorders>
          </w:tcPr>
          <w:p w14:paraId="2115CCDF" w14:textId="77777777" w:rsidR="00B801F4" w:rsidRPr="00B801F4" w:rsidRDefault="00B801F4" w:rsidP="00B801F4">
            <w:pPr>
              <w:jc w:val="right"/>
              <w:rPr>
                <w:rFonts w:ascii="Arial" w:hAnsi="Arial" w:cs="Arial"/>
              </w:rPr>
            </w:pPr>
            <w:r w:rsidRPr="00B801F4">
              <w:rPr>
                <w:rFonts w:ascii="Arial" w:hAnsi="Arial" w:cs="Arial"/>
              </w:rPr>
              <w:t>644.1</w:t>
            </w:r>
          </w:p>
        </w:tc>
      </w:tr>
      <w:tr w:rsidR="00B801F4" w:rsidRPr="00B801F4" w14:paraId="22F3749F" w14:textId="77777777" w:rsidTr="00B801F4">
        <w:trPr>
          <w:trHeight w:val="277"/>
        </w:trPr>
        <w:tc>
          <w:tcPr>
            <w:tcW w:w="5227" w:type="dxa"/>
            <w:tcBorders>
              <w:top w:val="nil"/>
              <w:left w:val="nil"/>
              <w:bottom w:val="nil"/>
              <w:right w:val="nil"/>
            </w:tcBorders>
          </w:tcPr>
          <w:p w14:paraId="1BD39F24" w14:textId="77777777" w:rsidR="00B801F4" w:rsidRPr="00B801F4" w:rsidRDefault="00B801F4" w:rsidP="00B801F4">
            <w:pPr>
              <w:rPr>
                <w:rFonts w:ascii="Arial" w:hAnsi="Arial" w:cs="Arial"/>
              </w:rPr>
            </w:pPr>
            <w:r w:rsidRPr="00B801F4">
              <w:rPr>
                <w:rFonts w:ascii="Arial" w:hAnsi="Arial" w:cs="Arial"/>
              </w:rPr>
              <w:t>Fixed income funds</w:t>
            </w:r>
          </w:p>
        </w:tc>
        <w:tc>
          <w:tcPr>
            <w:tcW w:w="1424" w:type="dxa"/>
            <w:tcBorders>
              <w:top w:val="nil"/>
              <w:left w:val="nil"/>
              <w:bottom w:val="nil"/>
              <w:right w:val="nil"/>
            </w:tcBorders>
          </w:tcPr>
          <w:p w14:paraId="208CED04" w14:textId="77777777" w:rsidR="00B801F4" w:rsidRPr="00B801F4" w:rsidRDefault="00B801F4" w:rsidP="00B801F4">
            <w:pPr>
              <w:jc w:val="right"/>
              <w:rPr>
                <w:rFonts w:ascii="Arial" w:hAnsi="Arial" w:cs="Arial"/>
              </w:rPr>
            </w:pPr>
            <w:r w:rsidRPr="00B801F4">
              <w:rPr>
                <w:rFonts w:ascii="Arial" w:hAnsi="Arial" w:cs="Arial"/>
              </w:rPr>
              <w:t>1,443.8</w:t>
            </w:r>
          </w:p>
        </w:tc>
        <w:tc>
          <w:tcPr>
            <w:tcW w:w="432" w:type="dxa"/>
            <w:tcBorders>
              <w:top w:val="nil"/>
              <w:left w:val="nil"/>
              <w:bottom w:val="nil"/>
              <w:right w:val="nil"/>
            </w:tcBorders>
          </w:tcPr>
          <w:p w14:paraId="596D6A20" w14:textId="77777777" w:rsidR="00B801F4" w:rsidRPr="00B801F4" w:rsidRDefault="00B801F4" w:rsidP="00B801F4">
            <w:pPr>
              <w:jc w:val="right"/>
              <w:rPr>
                <w:rFonts w:ascii="Arial" w:hAnsi="Arial" w:cs="Arial"/>
              </w:rPr>
            </w:pPr>
          </w:p>
        </w:tc>
        <w:tc>
          <w:tcPr>
            <w:tcW w:w="1705" w:type="dxa"/>
            <w:tcBorders>
              <w:top w:val="nil"/>
              <w:left w:val="nil"/>
              <w:bottom w:val="nil"/>
              <w:right w:val="nil"/>
            </w:tcBorders>
          </w:tcPr>
          <w:p w14:paraId="558D25E4" w14:textId="77777777" w:rsidR="00B801F4" w:rsidRPr="00B801F4" w:rsidRDefault="00B801F4" w:rsidP="00B801F4">
            <w:pPr>
              <w:jc w:val="right"/>
              <w:rPr>
                <w:rFonts w:ascii="Arial" w:hAnsi="Arial" w:cs="Arial"/>
              </w:rPr>
            </w:pPr>
            <w:r w:rsidRPr="00B801F4">
              <w:rPr>
                <w:rFonts w:ascii="Arial" w:hAnsi="Arial" w:cs="Arial"/>
              </w:rPr>
              <w:t>970.3</w:t>
            </w:r>
          </w:p>
        </w:tc>
      </w:tr>
      <w:tr w:rsidR="00B801F4" w:rsidRPr="00B801F4" w14:paraId="61123983" w14:textId="77777777" w:rsidTr="00B801F4">
        <w:trPr>
          <w:trHeight w:val="277"/>
        </w:trPr>
        <w:tc>
          <w:tcPr>
            <w:tcW w:w="5227" w:type="dxa"/>
            <w:tcBorders>
              <w:top w:val="nil"/>
              <w:left w:val="nil"/>
              <w:bottom w:val="nil"/>
              <w:right w:val="nil"/>
            </w:tcBorders>
          </w:tcPr>
          <w:p w14:paraId="70CDB49A" w14:textId="77777777" w:rsidR="00B801F4" w:rsidRPr="00B801F4" w:rsidRDefault="00B801F4" w:rsidP="00B801F4">
            <w:pPr>
              <w:rPr>
                <w:rFonts w:ascii="Arial" w:hAnsi="Arial" w:cs="Arial"/>
              </w:rPr>
            </w:pPr>
            <w:r w:rsidRPr="00B801F4">
              <w:rPr>
                <w:rFonts w:ascii="Arial" w:hAnsi="Arial" w:cs="Arial"/>
              </w:rPr>
              <w:t>Cash funds</w:t>
            </w:r>
          </w:p>
        </w:tc>
        <w:tc>
          <w:tcPr>
            <w:tcW w:w="1424" w:type="dxa"/>
            <w:tcBorders>
              <w:top w:val="nil"/>
              <w:left w:val="nil"/>
              <w:bottom w:val="nil"/>
              <w:right w:val="nil"/>
            </w:tcBorders>
          </w:tcPr>
          <w:p w14:paraId="1E9664AB" w14:textId="77777777" w:rsidR="00B801F4" w:rsidRPr="00B801F4" w:rsidRDefault="00B801F4" w:rsidP="00B801F4">
            <w:pPr>
              <w:jc w:val="right"/>
              <w:rPr>
                <w:rFonts w:ascii="Arial" w:hAnsi="Arial" w:cs="Arial"/>
              </w:rPr>
            </w:pPr>
            <w:r w:rsidRPr="00B801F4">
              <w:rPr>
                <w:rFonts w:ascii="Arial" w:hAnsi="Arial" w:cs="Arial"/>
              </w:rPr>
              <w:t>0.5</w:t>
            </w:r>
          </w:p>
        </w:tc>
        <w:tc>
          <w:tcPr>
            <w:tcW w:w="432" w:type="dxa"/>
            <w:tcBorders>
              <w:top w:val="nil"/>
              <w:left w:val="nil"/>
              <w:bottom w:val="nil"/>
              <w:right w:val="nil"/>
            </w:tcBorders>
          </w:tcPr>
          <w:p w14:paraId="0AA0BD2E" w14:textId="77777777" w:rsidR="00B801F4" w:rsidRPr="00B801F4" w:rsidRDefault="00B801F4" w:rsidP="00B801F4">
            <w:pPr>
              <w:jc w:val="right"/>
              <w:rPr>
                <w:rFonts w:ascii="Arial" w:hAnsi="Arial" w:cs="Arial"/>
              </w:rPr>
            </w:pPr>
          </w:p>
        </w:tc>
        <w:tc>
          <w:tcPr>
            <w:tcW w:w="1705" w:type="dxa"/>
            <w:tcBorders>
              <w:top w:val="nil"/>
              <w:left w:val="nil"/>
              <w:bottom w:val="nil"/>
              <w:right w:val="nil"/>
            </w:tcBorders>
          </w:tcPr>
          <w:p w14:paraId="53864502" w14:textId="77777777" w:rsidR="00B801F4" w:rsidRPr="00B801F4" w:rsidRDefault="00B801F4" w:rsidP="00B801F4">
            <w:pPr>
              <w:jc w:val="right"/>
              <w:rPr>
                <w:rFonts w:ascii="Arial" w:hAnsi="Arial" w:cs="Arial"/>
              </w:rPr>
            </w:pPr>
            <w:r w:rsidRPr="00B801F4">
              <w:rPr>
                <w:rFonts w:ascii="Arial" w:hAnsi="Arial" w:cs="Arial"/>
              </w:rPr>
              <w:t>0.0</w:t>
            </w:r>
          </w:p>
        </w:tc>
      </w:tr>
      <w:tr w:rsidR="00B801F4" w:rsidRPr="00B801F4" w14:paraId="0BFE6D8E" w14:textId="77777777" w:rsidTr="00B801F4">
        <w:trPr>
          <w:trHeight w:val="277"/>
        </w:trPr>
        <w:tc>
          <w:tcPr>
            <w:tcW w:w="5227" w:type="dxa"/>
            <w:tcBorders>
              <w:top w:val="nil"/>
              <w:left w:val="nil"/>
              <w:bottom w:val="nil"/>
              <w:right w:val="nil"/>
            </w:tcBorders>
          </w:tcPr>
          <w:p w14:paraId="133543FD" w14:textId="77777777" w:rsidR="00B801F4" w:rsidRPr="00B801F4" w:rsidRDefault="00B801F4" w:rsidP="00B801F4">
            <w:pPr>
              <w:rPr>
                <w:rFonts w:ascii="Arial" w:hAnsi="Arial" w:cs="Arial"/>
              </w:rPr>
            </w:pPr>
            <w:r w:rsidRPr="00B801F4">
              <w:rPr>
                <w:rFonts w:ascii="Arial" w:hAnsi="Arial" w:cs="Arial"/>
              </w:rPr>
              <w:t>Property funds</w:t>
            </w:r>
          </w:p>
        </w:tc>
        <w:tc>
          <w:tcPr>
            <w:tcW w:w="1424" w:type="dxa"/>
            <w:tcBorders>
              <w:top w:val="nil"/>
              <w:left w:val="nil"/>
              <w:bottom w:val="nil"/>
              <w:right w:val="nil"/>
            </w:tcBorders>
          </w:tcPr>
          <w:p w14:paraId="7D7DFBE0" w14:textId="77777777" w:rsidR="00B801F4" w:rsidRPr="00B801F4" w:rsidRDefault="00B801F4" w:rsidP="00B801F4">
            <w:pPr>
              <w:jc w:val="right"/>
              <w:rPr>
                <w:rFonts w:ascii="Arial" w:hAnsi="Arial" w:cs="Arial"/>
              </w:rPr>
            </w:pPr>
            <w:r w:rsidRPr="00B801F4">
              <w:rPr>
                <w:rFonts w:ascii="Arial" w:hAnsi="Arial" w:cs="Arial"/>
              </w:rPr>
              <w:t>30.1</w:t>
            </w:r>
          </w:p>
        </w:tc>
        <w:tc>
          <w:tcPr>
            <w:tcW w:w="432" w:type="dxa"/>
            <w:tcBorders>
              <w:top w:val="nil"/>
              <w:left w:val="nil"/>
              <w:bottom w:val="nil"/>
              <w:right w:val="nil"/>
            </w:tcBorders>
          </w:tcPr>
          <w:p w14:paraId="6534BEB4" w14:textId="77777777" w:rsidR="00B801F4" w:rsidRPr="00B801F4" w:rsidRDefault="00B801F4" w:rsidP="00B801F4">
            <w:pPr>
              <w:jc w:val="right"/>
              <w:rPr>
                <w:rFonts w:ascii="Arial" w:hAnsi="Arial" w:cs="Arial"/>
              </w:rPr>
            </w:pPr>
          </w:p>
        </w:tc>
        <w:tc>
          <w:tcPr>
            <w:tcW w:w="1705" w:type="dxa"/>
            <w:tcBorders>
              <w:top w:val="nil"/>
              <w:left w:val="nil"/>
              <w:bottom w:val="nil"/>
              <w:right w:val="nil"/>
            </w:tcBorders>
          </w:tcPr>
          <w:p w14:paraId="3384E2D2" w14:textId="77777777" w:rsidR="00B801F4" w:rsidRPr="00B801F4" w:rsidRDefault="00B801F4" w:rsidP="00B801F4">
            <w:pPr>
              <w:jc w:val="right"/>
              <w:rPr>
                <w:rFonts w:ascii="Arial" w:hAnsi="Arial" w:cs="Arial"/>
              </w:rPr>
            </w:pPr>
            <w:r w:rsidRPr="00B801F4">
              <w:rPr>
                <w:rFonts w:ascii="Arial" w:hAnsi="Arial" w:cs="Arial"/>
              </w:rPr>
              <w:t>25.1</w:t>
            </w:r>
          </w:p>
        </w:tc>
      </w:tr>
      <w:tr w:rsidR="00B801F4" w:rsidRPr="00B801F4" w14:paraId="0E5342C8" w14:textId="77777777" w:rsidTr="00F56451">
        <w:trPr>
          <w:trHeight w:val="277"/>
        </w:trPr>
        <w:tc>
          <w:tcPr>
            <w:tcW w:w="5227" w:type="dxa"/>
            <w:tcBorders>
              <w:top w:val="nil"/>
              <w:left w:val="nil"/>
              <w:bottom w:val="nil"/>
              <w:right w:val="nil"/>
            </w:tcBorders>
          </w:tcPr>
          <w:p w14:paraId="3ABD9D34" w14:textId="77777777" w:rsidR="00B801F4" w:rsidRPr="00B801F4" w:rsidRDefault="00B801F4" w:rsidP="00B801F4">
            <w:pPr>
              <w:rPr>
                <w:rFonts w:ascii="Arial" w:hAnsi="Arial" w:cs="Arial"/>
              </w:rPr>
            </w:pPr>
            <w:r w:rsidRPr="00B801F4">
              <w:rPr>
                <w:rFonts w:ascii="Arial" w:hAnsi="Arial" w:cs="Arial"/>
              </w:rPr>
              <w:t>Venture capital</w:t>
            </w:r>
          </w:p>
        </w:tc>
        <w:tc>
          <w:tcPr>
            <w:tcW w:w="1424" w:type="dxa"/>
            <w:tcBorders>
              <w:top w:val="nil"/>
              <w:left w:val="nil"/>
              <w:bottom w:val="single" w:sz="18" w:space="0" w:color="auto"/>
              <w:right w:val="nil"/>
            </w:tcBorders>
          </w:tcPr>
          <w:p w14:paraId="1744ABB6" w14:textId="77777777" w:rsidR="00B801F4" w:rsidRPr="00B801F4" w:rsidRDefault="00B801F4" w:rsidP="00B801F4">
            <w:pPr>
              <w:jc w:val="right"/>
              <w:rPr>
                <w:rFonts w:ascii="Arial" w:hAnsi="Arial" w:cs="Arial"/>
              </w:rPr>
            </w:pPr>
            <w:r w:rsidRPr="00B801F4">
              <w:rPr>
                <w:rFonts w:ascii="Arial" w:hAnsi="Arial" w:cs="Arial"/>
              </w:rPr>
              <w:t>411.2</w:t>
            </w:r>
          </w:p>
        </w:tc>
        <w:tc>
          <w:tcPr>
            <w:tcW w:w="432" w:type="dxa"/>
            <w:tcBorders>
              <w:top w:val="nil"/>
              <w:left w:val="nil"/>
              <w:bottom w:val="nil"/>
              <w:right w:val="nil"/>
            </w:tcBorders>
          </w:tcPr>
          <w:p w14:paraId="407C1419" w14:textId="77777777" w:rsidR="00B801F4" w:rsidRPr="00B801F4" w:rsidRDefault="00B801F4" w:rsidP="00B801F4">
            <w:pPr>
              <w:jc w:val="right"/>
              <w:rPr>
                <w:rFonts w:ascii="Arial" w:hAnsi="Arial" w:cs="Arial"/>
              </w:rPr>
            </w:pPr>
          </w:p>
        </w:tc>
        <w:tc>
          <w:tcPr>
            <w:tcW w:w="1705" w:type="dxa"/>
            <w:tcBorders>
              <w:top w:val="nil"/>
              <w:left w:val="nil"/>
              <w:bottom w:val="single" w:sz="18" w:space="0" w:color="auto"/>
              <w:right w:val="nil"/>
            </w:tcBorders>
          </w:tcPr>
          <w:p w14:paraId="731BD8A6" w14:textId="77777777" w:rsidR="00B801F4" w:rsidRPr="00B801F4" w:rsidRDefault="00B801F4" w:rsidP="00B801F4">
            <w:pPr>
              <w:jc w:val="right"/>
              <w:rPr>
                <w:rFonts w:ascii="Arial" w:hAnsi="Arial" w:cs="Arial"/>
              </w:rPr>
            </w:pPr>
            <w:r w:rsidRPr="00B801F4">
              <w:rPr>
                <w:rFonts w:ascii="Arial" w:hAnsi="Arial" w:cs="Arial"/>
              </w:rPr>
              <w:t>287.6</w:t>
            </w:r>
          </w:p>
        </w:tc>
      </w:tr>
      <w:tr w:rsidR="00B801F4" w:rsidRPr="00B801F4" w14:paraId="02A96A03" w14:textId="77777777" w:rsidTr="00F56451">
        <w:trPr>
          <w:trHeight w:val="262"/>
        </w:trPr>
        <w:tc>
          <w:tcPr>
            <w:tcW w:w="5227" w:type="dxa"/>
            <w:tcBorders>
              <w:top w:val="nil"/>
              <w:left w:val="nil"/>
              <w:bottom w:val="nil"/>
              <w:right w:val="nil"/>
            </w:tcBorders>
          </w:tcPr>
          <w:p w14:paraId="2B35AA7B" w14:textId="77777777" w:rsidR="00B801F4" w:rsidRPr="00B801F4" w:rsidRDefault="00B801F4" w:rsidP="00B801F4"/>
        </w:tc>
        <w:tc>
          <w:tcPr>
            <w:tcW w:w="1424" w:type="dxa"/>
            <w:tcBorders>
              <w:top w:val="single" w:sz="18" w:space="0" w:color="auto"/>
              <w:left w:val="nil"/>
              <w:bottom w:val="single" w:sz="18" w:space="0" w:color="auto"/>
              <w:right w:val="nil"/>
            </w:tcBorders>
          </w:tcPr>
          <w:p w14:paraId="44D9F086" w14:textId="77777777" w:rsidR="00B801F4" w:rsidRPr="00B801F4" w:rsidRDefault="00B801F4" w:rsidP="00B801F4">
            <w:pPr>
              <w:jc w:val="right"/>
            </w:pPr>
            <w:r w:rsidRPr="00B801F4">
              <w:rPr>
                <w:rFonts w:ascii="Arial" w:hAnsi="Arial" w:cs="Arial"/>
              </w:rPr>
              <w:t>2,740.2</w:t>
            </w:r>
          </w:p>
        </w:tc>
        <w:tc>
          <w:tcPr>
            <w:tcW w:w="432" w:type="dxa"/>
            <w:tcBorders>
              <w:top w:val="nil"/>
              <w:left w:val="nil"/>
              <w:bottom w:val="nil"/>
              <w:right w:val="nil"/>
            </w:tcBorders>
          </w:tcPr>
          <w:p w14:paraId="77ED1539" w14:textId="77777777" w:rsidR="00B801F4" w:rsidRPr="00B801F4" w:rsidRDefault="00B801F4" w:rsidP="00B801F4">
            <w:pPr>
              <w:jc w:val="right"/>
            </w:pPr>
          </w:p>
        </w:tc>
        <w:tc>
          <w:tcPr>
            <w:tcW w:w="1705" w:type="dxa"/>
            <w:tcBorders>
              <w:top w:val="single" w:sz="18" w:space="0" w:color="auto"/>
              <w:left w:val="nil"/>
              <w:bottom w:val="single" w:sz="18" w:space="0" w:color="auto"/>
              <w:right w:val="nil"/>
            </w:tcBorders>
          </w:tcPr>
          <w:p w14:paraId="5D543606" w14:textId="77777777" w:rsidR="00B801F4" w:rsidRPr="00B801F4" w:rsidRDefault="00B801F4" w:rsidP="00B801F4">
            <w:pPr>
              <w:jc w:val="right"/>
              <w:rPr>
                <w:rFonts w:ascii="Arial" w:hAnsi="Arial" w:cs="Arial"/>
              </w:rPr>
            </w:pPr>
            <w:r w:rsidRPr="00B801F4">
              <w:rPr>
                <w:rFonts w:ascii="Arial" w:hAnsi="Arial" w:cs="Arial"/>
              </w:rPr>
              <w:t>2,238.9</w:t>
            </w:r>
          </w:p>
        </w:tc>
      </w:tr>
      <w:tr w:rsidR="00B801F4" w:rsidRPr="00B801F4" w14:paraId="5FF4793F" w14:textId="77777777" w:rsidTr="00F56451">
        <w:trPr>
          <w:trHeight w:val="262"/>
        </w:trPr>
        <w:tc>
          <w:tcPr>
            <w:tcW w:w="5227" w:type="dxa"/>
            <w:tcBorders>
              <w:top w:val="nil"/>
              <w:left w:val="nil"/>
              <w:bottom w:val="nil"/>
              <w:right w:val="nil"/>
            </w:tcBorders>
          </w:tcPr>
          <w:p w14:paraId="3854A2CC" w14:textId="77777777" w:rsidR="00B801F4" w:rsidRPr="00B801F4" w:rsidRDefault="00B801F4" w:rsidP="00B801F4"/>
        </w:tc>
        <w:tc>
          <w:tcPr>
            <w:tcW w:w="1424" w:type="dxa"/>
            <w:tcBorders>
              <w:top w:val="single" w:sz="18" w:space="0" w:color="auto"/>
              <w:left w:val="nil"/>
              <w:bottom w:val="nil"/>
              <w:right w:val="nil"/>
            </w:tcBorders>
          </w:tcPr>
          <w:p w14:paraId="21F63E4F" w14:textId="77777777" w:rsidR="00B801F4" w:rsidRPr="00B801F4" w:rsidRDefault="00B801F4" w:rsidP="00B801F4">
            <w:pPr>
              <w:jc w:val="right"/>
            </w:pPr>
          </w:p>
        </w:tc>
        <w:tc>
          <w:tcPr>
            <w:tcW w:w="432" w:type="dxa"/>
            <w:tcBorders>
              <w:top w:val="nil"/>
              <w:left w:val="nil"/>
              <w:bottom w:val="nil"/>
              <w:right w:val="nil"/>
            </w:tcBorders>
          </w:tcPr>
          <w:p w14:paraId="7EC13124" w14:textId="77777777" w:rsidR="00B801F4" w:rsidRPr="00B801F4" w:rsidRDefault="00B801F4" w:rsidP="00B801F4">
            <w:pPr>
              <w:jc w:val="right"/>
            </w:pPr>
          </w:p>
        </w:tc>
        <w:tc>
          <w:tcPr>
            <w:tcW w:w="1705" w:type="dxa"/>
            <w:tcBorders>
              <w:top w:val="single" w:sz="18" w:space="0" w:color="auto"/>
              <w:left w:val="nil"/>
              <w:bottom w:val="nil"/>
              <w:right w:val="nil"/>
            </w:tcBorders>
          </w:tcPr>
          <w:p w14:paraId="5487271D" w14:textId="77777777" w:rsidR="00B801F4" w:rsidRPr="00B801F4" w:rsidRDefault="00B801F4" w:rsidP="00B801F4">
            <w:pPr>
              <w:jc w:val="right"/>
            </w:pPr>
          </w:p>
        </w:tc>
      </w:tr>
    </w:tbl>
    <w:p w14:paraId="40DC4D70" w14:textId="77777777" w:rsidR="00B801F4" w:rsidRPr="00B801F4" w:rsidRDefault="00B801F4" w:rsidP="00B801F4">
      <w:pPr>
        <w:ind w:left="720"/>
      </w:pP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801F4" w:rsidRPr="00B801F4" w14:paraId="26660D68" w14:textId="77777777" w:rsidTr="00B801F4">
        <w:tc>
          <w:tcPr>
            <w:tcW w:w="5058" w:type="dxa"/>
          </w:tcPr>
          <w:p w14:paraId="5E939C93" w14:textId="77777777" w:rsidR="00B801F4" w:rsidRPr="00B801F4" w:rsidRDefault="00B801F4" w:rsidP="00B801F4">
            <w:pPr>
              <w:spacing w:after="0"/>
              <w:rPr>
                <w:rFonts w:ascii="Arial" w:hAnsi="Arial" w:cs="Arial"/>
                <w:b/>
              </w:rPr>
            </w:pPr>
          </w:p>
        </w:tc>
        <w:tc>
          <w:tcPr>
            <w:tcW w:w="1559" w:type="dxa"/>
          </w:tcPr>
          <w:p w14:paraId="5FEA99E7" w14:textId="77777777" w:rsidR="00B801F4" w:rsidRPr="00B801F4" w:rsidRDefault="00B801F4" w:rsidP="00B801F4">
            <w:pPr>
              <w:spacing w:after="0"/>
              <w:jc w:val="right"/>
              <w:rPr>
                <w:rFonts w:ascii="Arial" w:hAnsi="Arial" w:cs="Arial"/>
                <w:b/>
              </w:rPr>
            </w:pPr>
            <w:r w:rsidRPr="00B801F4">
              <w:rPr>
                <w:rFonts w:ascii="Arial" w:hAnsi="Arial" w:cs="Arial"/>
                <w:b/>
              </w:rPr>
              <w:t>31/03/15</w:t>
            </w:r>
          </w:p>
          <w:p w14:paraId="461F1F57"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33022014" w14:textId="77777777" w:rsidR="00B801F4" w:rsidRPr="00B801F4" w:rsidRDefault="00B801F4" w:rsidP="00B801F4">
            <w:pPr>
              <w:spacing w:after="0"/>
              <w:jc w:val="right"/>
              <w:rPr>
                <w:rFonts w:ascii="Arial" w:hAnsi="Arial" w:cs="Arial"/>
                <w:b/>
              </w:rPr>
            </w:pPr>
          </w:p>
          <w:p w14:paraId="73956013" w14:textId="77777777" w:rsidR="00B801F4" w:rsidRPr="00B801F4" w:rsidRDefault="00B801F4" w:rsidP="00B801F4">
            <w:pPr>
              <w:spacing w:after="0"/>
              <w:jc w:val="right"/>
              <w:rPr>
                <w:rFonts w:ascii="Arial" w:hAnsi="Arial" w:cs="Arial"/>
                <w:b/>
              </w:rPr>
            </w:pPr>
          </w:p>
        </w:tc>
        <w:tc>
          <w:tcPr>
            <w:tcW w:w="1696" w:type="dxa"/>
            <w:tcBorders>
              <w:left w:val="single" w:sz="4" w:space="0" w:color="FFFFFF" w:themeColor="background1"/>
            </w:tcBorders>
          </w:tcPr>
          <w:p w14:paraId="4493BDAD" w14:textId="77777777" w:rsidR="00B801F4" w:rsidRPr="00B801F4" w:rsidRDefault="00B801F4" w:rsidP="00B801F4">
            <w:pPr>
              <w:spacing w:after="0"/>
              <w:jc w:val="right"/>
              <w:rPr>
                <w:rFonts w:ascii="Arial" w:hAnsi="Arial" w:cs="Arial"/>
                <w:b/>
              </w:rPr>
            </w:pPr>
            <w:r w:rsidRPr="00B801F4">
              <w:rPr>
                <w:rFonts w:ascii="Arial" w:hAnsi="Arial" w:cs="Arial"/>
                <w:b/>
              </w:rPr>
              <w:t>31/03/14</w:t>
            </w:r>
          </w:p>
          <w:p w14:paraId="72E06A97"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60AB94AB" w14:textId="77777777" w:rsidTr="00B801F4">
        <w:tc>
          <w:tcPr>
            <w:tcW w:w="5058" w:type="dxa"/>
          </w:tcPr>
          <w:p w14:paraId="341D0DA6" w14:textId="77777777" w:rsidR="00B801F4" w:rsidRPr="00B801F4" w:rsidRDefault="00B801F4" w:rsidP="00B801F4">
            <w:pPr>
              <w:rPr>
                <w:rFonts w:ascii="Arial" w:hAnsi="Arial" w:cs="Arial"/>
                <w:b/>
              </w:rPr>
            </w:pPr>
            <w:r w:rsidRPr="00B801F4">
              <w:rPr>
                <w:rFonts w:ascii="Arial" w:hAnsi="Arial" w:cs="Arial"/>
                <w:b/>
              </w:rPr>
              <w:t>Properties</w:t>
            </w:r>
          </w:p>
        </w:tc>
        <w:tc>
          <w:tcPr>
            <w:tcW w:w="1559" w:type="dxa"/>
          </w:tcPr>
          <w:p w14:paraId="59A15BFD" w14:textId="77777777" w:rsidR="00B801F4" w:rsidRPr="00B801F4" w:rsidRDefault="00B801F4" w:rsidP="00B801F4">
            <w:pPr>
              <w:jc w:val="right"/>
              <w:rPr>
                <w:rFonts w:ascii="Arial" w:hAnsi="Arial" w:cs="Arial"/>
              </w:rPr>
            </w:pPr>
          </w:p>
        </w:tc>
        <w:tc>
          <w:tcPr>
            <w:tcW w:w="430" w:type="dxa"/>
            <w:tcBorders>
              <w:right w:val="single" w:sz="4" w:space="0" w:color="FFFFFF" w:themeColor="background1"/>
            </w:tcBorders>
          </w:tcPr>
          <w:p w14:paraId="1E52EC14"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6E3775B5" w14:textId="77777777" w:rsidR="00B801F4" w:rsidRPr="00B801F4" w:rsidRDefault="00B801F4" w:rsidP="00B801F4">
            <w:pPr>
              <w:jc w:val="right"/>
              <w:rPr>
                <w:rFonts w:ascii="Arial" w:hAnsi="Arial" w:cs="Arial"/>
              </w:rPr>
            </w:pPr>
          </w:p>
        </w:tc>
      </w:tr>
      <w:tr w:rsidR="00B801F4" w:rsidRPr="00B801F4" w14:paraId="2717DE89" w14:textId="77777777" w:rsidTr="00B801F4">
        <w:tc>
          <w:tcPr>
            <w:tcW w:w="5058" w:type="dxa"/>
          </w:tcPr>
          <w:p w14:paraId="31733DF6" w14:textId="77777777" w:rsidR="00B801F4" w:rsidRPr="00B801F4" w:rsidRDefault="00B801F4" w:rsidP="00B801F4">
            <w:pPr>
              <w:rPr>
                <w:rFonts w:ascii="Arial" w:hAnsi="Arial" w:cs="Arial"/>
              </w:rPr>
            </w:pPr>
            <w:r w:rsidRPr="00B801F4">
              <w:rPr>
                <w:rFonts w:ascii="Arial" w:hAnsi="Arial" w:cs="Arial"/>
              </w:rPr>
              <w:t>UK – freehold</w:t>
            </w:r>
          </w:p>
        </w:tc>
        <w:tc>
          <w:tcPr>
            <w:tcW w:w="1559" w:type="dxa"/>
          </w:tcPr>
          <w:p w14:paraId="2D1CD80A" w14:textId="77777777" w:rsidR="00B801F4" w:rsidRPr="00B801F4" w:rsidRDefault="00B801F4" w:rsidP="00B801F4">
            <w:pPr>
              <w:jc w:val="right"/>
              <w:rPr>
                <w:rFonts w:ascii="Arial" w:hAnsi="Arial" w:cs="Arial"/>
              </w:rPr>
            </w:pPr>
            <w:r w:rsidRPr="00B801F4">
              <w:rPr>
                <w:rFonts w:ascii="Arial" w:hAnsi="Arial" w:cs="Arial"/>
              </w:rPr>
              <w:t>460.6</w:t>
            </w:r>
          </w:p>
        </w:tc>
        <w:tc>
          <w:tcPr>
            <w:tcW w:w="430" w:type="dxa"/>
            <w:tcBorders>
              <w:right w:val="single" w:sz="4" w:space="0" w:color="FFFFFF" w:themeColor="background1"/>
            </w:tcBorders>
          </w:tcPr>
          <w:p w14:paraId="4698D106"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6F97A167" w14:textId="77777777" w:rsidR="00B801F4" w:rsidRPr="00B801F4" w:rsidRDefault="00B801F4" w:rsidP="00B801F4">
            <w:pPr>
              <w:jc w:val="right"/>
              <w:rPr>
                <w:rFonts w:ascii="Arial" w:hAnsi="Arial" w:cs="Arial"/>
              </w:rPr>
            </w:pPr>
            <w:r w:rsidRPr="00B801F4">
              <w:rPr>
                <w:rFonts w:ascii="Arial" w:hAnsi="Arial" w:cs="Arial"/>
              </w:rPr>
              <w:t>389.8</w:t>
            </w:r>
          </w:p>
        </w:tc>
      </w:tr>
      <w:tr w:rsidR="00B801F4" w:rsidRPr="00B801F4" w14:paraId="2EE07D2A" w14:textId="77777777" w:rsidTr="00B801F4">
        <w:tc>
          <w:tcPr>
            <w:tcW w:w="5058" w:type="dxa"/>
          </w:tcPr>
          <w:p w14:paraId="59C0F9D2" w14:textId="77777777" w:rsidR="00B801F4" w:rsidRPr="00B801F4" w:rsidRDefault="00B801F4" w:rsidP="00B801F4">
            <w:pPr>
              <w:rPr>
                <w:rFonts w:ascii="Arial" w:hAnsi="Arial" w:cs="Arial"/>
              </w:rPr>
            </w:pPr>
            <w:r w:rsidRPr="00B801F4">
              <w:rPr>
                <w:rFonts w:ascii="Arial" w:hAnsi="Arial" w:cs="Arial"/>
              </w:rPr>
              <w:t>UK – long leasehold</w:t>
            </w:r>
          </w:p>
        </w:tc>
        <w:tc>
          <w:tcPr>
            <w:tcW w:w="1559" w:type="dxa"/>
            <w:tcBorders>
              <w:bottom w:val="single" w:sz="18" w:space="0" w:color="auto"/>
            </w:tcBorders>
          </w:tcPr>
          <w:p w14:paraId="5B3CD523" w14:textId="77777777" w:rsidR="00B801F4" w:rsidRPr="00B801F4" w:rsidRDefault="00B801F4" w:rsidP="00B801F4">
            <w:pPr>
              <w:jc w:val="right"/>
              <w:rPr>
                <w:rFonts w:ascii="Arial" w:hAnsi="Arial" w:cs="Arial"/>
              </w:rPr>
            </w:pPr>
            <w:r w:rsidRPr="00B801F4">
              <w:rPr>
                <w:rFonts w:ascii="Arial" w:hAnsi="Arial" w:cs="Arial"/>
              </w:rPr>
              <w:t>70.8</w:t>
            </w:r>
          </w:p>
        </w:tc>
        <w:tc>
          <w:tcPr>
            <w:tcW w:w="430" w:type="dxa"/>
            <w:tcBorders>
              <w:right w:val="single" w:sz="4" w:space="0" w:color="FFFFFF" w:themeColor="background1"/>
            </w:tcBorders>
          </w:tcPr>
          <w:p w14:paraId="47C9967A" w14:textId="77777777" w:rsidR="00B801F4" w:rsidRPr="00B801F4" w:rsidRDefault="00B801F4" w:rsidP="00B801F4">
            <w:pPr>
              <w:jc w:val="right"/>
              <w:rPr>
                <w:rFonts w:ascii="Arial" w:hAnsi="Arial" w:cs="Arial"/>
              </w:rPr>
            </w:pPr>
          </w:p>
        </w:tc>
        <w:tc>
          <w:tcPr>
            <w:tcW w:w="1696" w:type="dxa"/>
            <w:tcBorders>
              <w:left w:val="single" w:sz="4" w:space="0" w:color="FFFFFF" w:themeColor="background1"/>
              <w:bottom w:val="single" w:sz="18" w:space="0" w:color="auto"/>
            </w:tcBorders>
          </w:tcPr>
          <w:p w14:paraId="1B9E9C57" w14:textId="77777777" w:rsidR="00B801F4" w:rsidRPr="00B801F4" w:rsidRDefault="00B801F4" w:rsidP="00B801F4">
            <w:pPr>
              <w:jc w:val="right"/>
              <w:rPr>
                <w:rFonts w:ascii="Arial" w:hAnsi="Arial" w:cs="Arial"/>
              </w:rPr>
            </w:pPr>
            <w:r w:rsidRPr="00B801F4">
              <w:rPr>
                <w:rFonts w:ascii="Arial" w:hAnsi="Arial" w:cs="Arial"/>
              </w:rPr>
              <w:t>60.7</w:t>
            </w:r>
          </w:p>
        </w:tc>
      </w:tr>
      <w:tr w:rsidR="00B801F4" w:rsidRPr="00B801F4" w14:paraId="0AE31E44" w14:textId="77777777" w:rsidTr="00B801F4">
        <w:tc>
          <w:tcPr>
            <w:tcW w:w="5058" w:type="dxa"/>
          </w:tcPr>
          <w:p w14:paraId="752E79A3" w14:textId="77777777" w:rsidR="00B801F4" w:rsidRPr="00B801F4" w:rsidRDefault="00B801F4" w:rsidP="00B801F4">
            <w:pPr>
              <w:rPr>
                <w:rFonts w:ascii="Arial" w:hAnsi="Arial" w:cs="Arial"/>
              </w:rPr>
            </w:pPr>
          </w:p>
        </w:tc>
        <w:tc>
          <w:tcPr>
            <w:tcW w:w="1559" w:type="dxa"/>
            <w:tcBorders>
              <w:top w:val="single" w:sz="18" w:space="0" w:color="auto"/>
              <w:bottom w:val="single" w:sz="18" w:space="0" w:color="auto"/>
            </w:tcBorders>
          </w:tcPr>
          <w:p w14:paraId="12FD6A10" w14:textId="77777777" w:rsidR="00B801F4" w:rsidRPr="00B801F4" w:rsidRDefault="00B801F4" w:rsidP="00B801F4">
            <w:pPr>
              <w:jc w:val="right"/>
              <w:rPr>
                <w:rFonts w:ascii="Arial" w:hAnsi="Arial" w:cs="Arial"/>
              </w:rPr>
            </w:pPr>
            <w:r w:rsidRPr="00B801F4">
              <w:rPr>
                <w:rFonts w:ascii="Arial" w:hAnsi="Arial" w:cs="Arial"/>
              </w:rPr>
              <w:t>531.4</w:t>
            </w:r>
          </w:p>
        </w:tc>
        <w:tc>
          <w:tcPr>
            <w:tcW w:w="430" w:type="dxa"/>
            <w:tcBorders>
              <w:right w:val="single" w:sz="4" w:space="0" w:color="FFFFFF" w:themeColor="background1"/>
            </w:tcBorders>
          </w:tcPr>
          <w:p w14:paraId="1EDAA76E" w14:textId="77777777" w:rsidR="00B801F4" w:rsidRPr="00B801F4" w:rsidRDefault="00B801F4" w:rsidP="00B801F4">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4555E29B" w14:textId="77777777" w:rsidR="00B801F4" w:rsidRPr="00B801F4" w:rsidRDefault="00B801F4" w:rsidP="00B801F4">
            <w:pPr>
              <w:jc w:val="right"/>
              <w:rPr>
                <w:rFonts w:ascii="Arial" w:hAnsi="Arial" w:cs="Arial"/>
              </w:rPr>
            </w:pPr>
            <w:r w:rsidRPr="00B801F4">
              <w:rPr>
                <w:rFonts w:ascii="Arial" w:hAnsi="Arial" w:cs="Arial"/>
              </w:rPr>
              <w:t>450.5</w:t>
            </w:r>
          </w:p>
        </w:tc>
      </w:tr>
    </w:tbl>
    <w:p w14:paraId="460CD4E5" w14:textId="77777777" w:rsidR="00B801F4" w:rsidRPr="00B801F4" w:rsidRDefault="00B801F4" w:rsidP="00B801F4"/>
    <w:p w14:paraId="755025E3" w14:textId="77777777" w:rsidR="00B801F4" w:rsidRPr="00B801F4" w:rsidRDefault="00B801F4" w:rsidP="00B801F4">
      <w:pPr>
        <w:tabs>
          <w:tab w:val="left" w:pos="1080"/>
        </w:tabs>
        <w:spacing w:after="80"/>
        <w:ind w:left="709"/>
      </w:pPr>
    </w:p>
    <w:tbl>
      <w:tblPr>
        <w:tblStyle w:val="TableGrid1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
        <w:gridCol w:w="5801"/>
        <w:gridCol w:w="1559"/>
        <w:gridCol w:w="430"/>
        <w:gridCol w:w="1543"/>
        <w:gridCol w:w="153"/>
      </w:tblGrid>
      <w:tr w:rsidR="00B801F4" w:rsidRPr="00B801F4" w14:paraId="56B62E05" w14:textId="77777777" w:rsidTr="00B801F4">
        <w:trPr>
          <w:gridAfter w:val="1"/>
          <w:wAfter w:w="153" w:type="dxa"/>
        </w:trPr>
        <w:tc>
          <w:tcPr>
            <w:tcW w:w="9486" w:type="dxa"/>
            <w:gridSpan w:val="5"/>
          </w:tcPr>
          <w:p w14:paraId="1ECA675C" w14:textId="77777777" w:rsidR="00B801F4" w:rsidRPr="00B801F4" w:rsidRDefault="00B801F4" w:rsidP="00B801F4">
            <w:pPr>
              <w:ind w:left="720" w:hanging="720"/>
              <w:rPr>
                <w:rFonts w:ascii="Arial" w:hAnsi="Arial" w:cs="Arial"/>
                <w:b/>
              </w:rPr>
            </w:pPr>
            <w:r w:rsidRPr="00B801F4">
              <w:rPr>
                <w:rFonts w:ascii="Arial" w:hAnsi="Arial" w:cs="Arial"/>
                <w:b/>
              </w:rPr>
              <w:t>Property holdings</w:t>
            </w:r>
          </w:p>
          <w:p w14:paraId="55EBEB7E" w14:textId="77777777" w:rsidR="00B801F4" w:rsidRPr="00B801F4" w:rsidRDefault="00B801F4" w:rsidP="00B801F4">
            <w:pPr>
              <w:tabs>
                <w:tab w:val="left" w:pos="993"/>
              </w:tabs>
              <w:ind w:firstLine="23"/>
              <w:jc w:val="left"/>
              <w:rPr>
                <w:rFonts w:ascii="Arial" w:hAnsi="Arial" w:cs="Arial"/>
                <w:b/>
              </w:rPr>
            </w:pPr>
            <w:r w:rsidRPr="00B801F4">
              <w:rPr>
                <w:rFonts w:ascii="Arial" w:hAnsi="Arial" w:cs="Arial"/>
              </w:rPr>
              <w:t>The Fund's investment in property comprises of investments in pooled property funds along with a number of directly owned properties which are leased commercially to various tenants.  Details of these directly owned properties are as follows.</w:t>
            </w:r>
          </w:p>
        </w:tc>
      </w:tr>
      <w:tr w:rsidR="00B801F4" w:rsidRPr="00B801F4" w14:paraId="6745D731" w14:textId="77777777" w:rsidTr="00B801F4">
        <w:trPr>
          <w:gridBefore w:val="1"/>
          <w:wBefore w:w="153" w:type="dxa"/>
        </w:trPr>
        <w:tc>
          <w:tcPr>
            <w:tcW w:w="5801" w:type="dxa"/>
          </w:tcPr>
          <w:p w14:paraId="26104937" w14:textId="77777777" w:rsidR="00B801F4" w:rsidRPr="00B801F4" w:rsidRDefault="00B801F4" w:rsidP="00B801F4">
            <w:pPr>
              <w:tabs>
                <w:tab w:val="left" w:pos="993"/>
              </w:tabs>
              <w:spacing w:after="0"/>
              <w:ind w:right="-3686"/>
              <w:rPr>
                <w:rFonts w:ascii="Arial" w:hAnsi="Arial" w:cs="Arial"/>
                <w:b/>
              </w:rPr>
            </w:pPr>
          </w:p>
          <w:p w14:paraId="59D57CD3" w14:textId="77777777" w:rsidR="00B801F4" w:rsidRPr="00B801F4" w:rsidRDefault="00B801F4" w:rsidP="00B801F4">
            <w:pPr>
              <w:tabs>
                <w:tab w:val="left" w:pos="993"/>
              </w:tabs>
              <w:spacing w:after="0"/>
              <w:rPr>
                <w:rFonts w:ascii="Arial" w:hAnsi="Arial" w:cs="Arial"/>
                <w:b/>
              </w:rPr>
            </w:pPr>
          </w:p>
          <w:p w14:paraId="6E228D2E" w14:textId="77777777" w:rsidR="00B801F4" w:rsidRPr="00B801F4" w:rsidRDefault="00B801F4" w:rsidP="00B801F4">
            <w:pPr>
              <w:tabs>
                <w:tab w:val="left" w:pos="993"/>
              </w:tabs>
              <w:spacing w:after="0"/>
              <w:rPr>
                <w:rFonts w:ascii="Arial" w:hAnsi="Arial" w:cs="Arial"/>
                <w:b/>
              </w:rPr>
            </w:pPr>
          </w:p>
        </w:tc>
        <w:tc>
          <w:tcPr>
            <w:tcW w:w="1559" w:type="dxa"/>
          </w:tcPr>
          <w:p w14:paraId="3E8F1872" w14:textId="77777777" w:rsidR="00B801F4" w:rsidRPr="00B801F4" w:rsidRDefault="00B801F4" w:rsidP="00B801F4">
            <w:pPr>
              <w:tabs>
                <w:tab w:val="left" w:pos="993"/>
              </w:tabs>
              <w:spacing w:after="0"/>
              <w:jc w:val="right"/>
              <w:rPr>
                <w:rFonts w:ascii="Arial" w:hAnsi="Arial" w:cs="Arial"/>
                <w:b/>
              </w:rPr>
            </w:pPr>
          </w:p>
          <w:p w14:paraId="12A99546" w14:textId="77777777" w:rsidR="00B801F4" w:rsidRPr="00B801F4" w:rsidRDefault="00B801F4" w:rsidP="00B801F4">
            <w:pPr>
              <w:tabs>
                <w:tab w:val="left" w:pos="993"/>
              </w:tabs>
              <w:spacing w:after="0"/>
              <w:jc w:val="right"/>
              <w:rPr>
                <w:rFonts w:ascii="Arial" w:hAnsi="Arial" w:cs="Arial"/>
                <w:b/>
              </w:rPr>
            </w:pPr>
            <w:r w:rsidRPr="00B801F4">
              <w:rPr>
                <w:rFonts w:ascii="Arial" w:hAnsi="Arial" w:cs="Arial"/>
                <w:b/>
              </w:rPr>
              <w:t>31/03/15</w:t>
            </w:r>
          </w:p>
          <w:p w14:paraId="0ED05954" w14:textId="77777777" w:rsidR="00B801F4" w:rsidRPr="00B801F4" w:rsidRDefault="00B801F4" w:rsidP="00B801F4">
            <w:pPr>
              <w:tabs>
                <w:tab w:val="left" w:pos="993"/>
              </w:tabs>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69FF9626" w14:textId="77777777" w:rsidR="00B801F4" w:rsidRPr="00B801F4" w:rsidRDefault="00B801F4" w:rsidP="00B801F4">
            <w:pPr>
              <w:tabs>
                <w:tab w:val="left" w:pos="993"/>
              </w:tabs>
              <w:spacing w:after="0"/>
              <w:jc w:val="right"/>
              <w:rPr>
                <w:rFonts w:ascii="Arial" w:hAnsi="Arial" w:cs="Arial"/>
                <w:b/>
              </w:rPr>
            </w:pPr>
          </w:p>
          <w:p w14:paraId="0D301736" w14:textId="77777777" w:rsidR="00B801F4" w:rsidRPr="00B801F4" w:rsidRDefault="00B801F4" w:rsidP="00B801F4">
            <w:pPr>
              <w:tabs>
                <w:tab w:val="left" w:pos="993"/>
              </w:tabs>
              <w:spacing w:after="0"/>
              <w:jc w:val="right"/>
              <w:rPr>
                <w:rFonts w:ascii="Arial" w:hAnsi="Arial" w:cs="Arial"/>
                <w:b/>
              </w:rPr>
            </w:pPr>
          </w:p>
        </w:tc>
        <w:tc>
          <w:tcPr>
            <w:tcW w:w="1696" w:type="dxa"/>
            <w:gridSpan w:val="2"/>
            <w:tcBorders>
              <w:left w:val="single" w:sz="4" w:space="0" w:color="FFFFFF" w:themeColor="background1"/>
            </w:tcBorders>
          </w:tcPr>
          <w:p w14:paraId="08F71935" w14:textId="77777777" w:rsidR="00B801F4" w:rsidRPr="00B801F4" w:rsidRDefault="00B801F4" w:rsidP="00B801F4">
            <w:pPr>
              <w:tabs>
                <w:tab w:val="left" w:pos="993"/>
              </w:tabs>
              <w:spacing w:after="0"/>
              <w:jc w:val="right"/>
              <w:rPr>
                <w:rFonts w:ascii="Arial" w:hAnsi="Arial" w:cs="Arial"/>
                <w:b/>
              </w:rPr>
            </w:pPr>
          </w:p>
          <w:p w14:paraId="0A8ECEA3" w14:textId="77777777" w:rsidR="00B801F4" w:rsidRPr="00B801F4" w:rsidRDefault="00B801F4" w:rsidP="00B801F4">
            <w:pPr>
              <w:tabs>
                <w:tab w:val="left" w:pos="993"/>
              </w:tabs>
              <w:spacing w:after="0"/>
              <w:jc w:val="right"/>
              <w:rPr>
                <w:rFonts w:ascii="Arial" w:hAnsi="Arial" w:cs="Arial"/>
                <w:b/>
              </w:rPr>
            </w:pPr>
            <w:r w:rsidRPr="00B801F4">
              <w:rPr>
                <w:rFonts w:ascii="Arial" w:hAnsi="Arial" w:cs="Arial"/>
                <w:b/>
              </w:rPr>
              <w:t>31/03/14</w:t>
            </w:r>
          </w:p>
          <w:p w14:paraId="239A0887" w14:textId="77777777" w:rsidR="00B801F4" w:rsidRPr="00B801F4" w:rsidRDefault="00B801F4" w:rsidP="00B801F4">
            <w:pPr>
              <w:tabs>
                <w:tab w:val="left" w:pos="993"/>
              </w:tabs>
              <w:spacing w:after="0"/>
              <w:jc w:val="right"/>
              <w:rPr>
                <w:rFonts w:ascii="Arial" w:hAnsi="Arial" w:cs="Arial"/>
                <w:b/>
              </w:rPr>
            </w:pPr>
            <w:r w:rsidRPr="00B801F4">
              <w:rPr>
                <w:rFonts w:ascii="Arial" w:hAnsi="Arial" w:cs="Arial"/>
                <w:b/>
              </w:rPr>
              <w:t>£m</w:t>
            </w:r>
          </w:p>
        </w:tc>
      </w:tr>
      <w:tr w:rsidR="00B801F4" w:rsidRPr="00B801F4" w14:paraId="3E187F14" w14:textId="77777777" w:rsidTr="00B801F4">
        <w:trPr>
          <w:gridBefore w:val="1"/>
          <w:wBefore w:w="153" w:type="dxa"/>
        </w:trPr>
        <w:tc>
          <w:tcPr>
            <w:tcW w:w="5801" w:type="dxa"/>
          </w:tcPr>
          <w:p w14:paraId="7D5D5CD2" w14:textId="7C38539F" w:rsidR="00B801F4" w:rsidRPr="00B801F4" w:rsidRDefault="00B801F4" w:rsidP="00B801F4">
            <w:pPr>
              <w:tabs>
                <w:tab w:val="left" w:pos="993"/>
              </w:tabs>
              <w:rPr>
                <w:rFonts w:ascii="Arial" w:hAnsi="Arial" w:cs="Arial"/>
              </w:rPr>
            </w:pPr>
            <w:r w:rsidRPr="00B801F4">
              <w:rPr>
                <w:rFonts w:ascii="Arial" w:hAnsi="Arial" w:cs="Arial"/>
              </w:rPr>
              <w:t xml:space="preserve">Balance </w:t>
            </w:r>
            <w:r w:rsidR="00FE3B95">
              <w:rPr>
                <w:rFonts w:ascii="Arial" w:hAnsi="Arial" w:cs="Arial"/>
              </w:rPr>
              <w:t xml:space="preserve">as </w:t>
            </w:r>
            <w:r w:rsidRPr="00B801F4">
              <w:rPr>
                <w:rFonts w:ascii="Arial" w:hAnsi="Arial" w:cs="Arial"/>
              </w:rPr>
              <w:t>at start of the year</w:t>
            </w:r>
          </w:p>
        </w:tc>
        <w:tc>
          <w:tcPr>
            <w:tcW w:w="1559" w:type="dxa"/>
          </w:tcPr>
          <w:p w14:paraId="01BEE552" w14:textId="77777777" w:rsidR="00B801F4" w:rsidRPr="00B801F4" w:rsidRDefault="00B801F4" w:rsidP="00B801F4">
            <w:pPr>
              <w:tabs>
                <w:tab w:val="left" w:pos="993"/>
              </w:tabs>
              <w:jc w:val="right"/>
              <w:rPr>
                <w:rFonts w:ascii="Arial" w:hAnsi="Arial" w:cs="Arial"/>
              </w:rPr>
            </w:pPr>
            <w:r w:rsidRPr="00B801F4">
              <w:rPr>
                <w:rFonts w:ascii="Arial" w:hAnsi="Arial" w:cs="Arial"/>
              </w:rPr>
              <w:t>450.5</w:t>
            </w:r>
          </w:p>
        </w:tc>
        <w:tc>
          <w:tcPr>
            <w:tcW w:w="430" w:type="dxa"/>
            <w:tcBorders>
              <w:right w:val="single" w:sz="4" w:space="0" w:color="FFFFFF" w:themeColor="background1"/>
            </w:tcBorders>
          </w:tcPr>
          <w:p w14:paraId="1370262D" w14:textId="77777777" w:rsidR="00B801F4" w:rsidRPr="00B801F4" w:rsidRDefault="00B801F4" w:rsidP="00B801F4">
            <w:pPr>
              <w:tabs>
                <w:tab w:val="left" w:pos="993"/>
              </w:tabs>
              <w:jc w:val="right"/>
              <w:rPr>
                <w:rFonts w:ascii="Arial" w:hAnsi="Arial" w:cs="Arial"/>
              </w:rPr>
            </w:pPr>
          </w:p>
        </w:tc>
        <w:tc>
          <w:tcPr>
            <w:tcW w:w="1696" w:type="dxa"/>
            <w:gridSpan w:val="2"/>
            <w:tcBorders>
              <w:left w:val="single" w:sz="4" w:space="0" w:color="FFFFFF" w:themeColor="background1"/>
            </w:tcBorders>
          </w:tcPr>
          <w:p w14:paraId="50754658" w14:textId="77777777" w:rsidR="00B801F4" w:rsidRPr="00B801F4" w:rsidRDefault="00B801F4" w:rsidP="00B801F4">
            <w:pPr>
              <w:tabs>
                <w:tab w:val="left" w:pos="993"/>
              </w:tabs>
              <w:jc w:val="right"/>
              <w:rPr>
                <w:rFonts w:ascii="Arial" w:hAnsi="Arial" w:cs="Arial"/>
              </w:rPr>
            </w:pPr>
            <w:r w:rsidRPr="00B801F4">
              <w:rPr>
                <w:rFonts w:ascii="Arial" w:hAnsi="Arial" w:cs="Arial"/>
              </w:rPr>
              <w:t>434.9</w:t>
            </w:r>
          </w:p>
        </w:tc>
      </w:tr>
      <w:tr w:rsidR="00B801F4" w:rsidRPr="00B801F4" w14:paraId="3E703D91" w14:textId="77777777" w:rsidTr="00B801F4">
        <w:trPr>
          <w:gridBefore w:val="1"/>
          <w:wBefore w:w="153" w:type="dxa"/>
        </w:trPr>
        <w:tc>
          <w:tcPr>
            <w:tcW w:w="5801" w:type="dxa"/>
          </w:tcPr>
          <w:p w14:paraId="4CCFE553" w14:textId="77777777" w:rsidR="00B801F4" w:rsidRPr="00B801F4" w:rsidRDefault="00B801F4" w:rsidP="00B801F4">
            <w:pPr>
              <w:tabs>
                <w:tab w:val="left" w:pos="993"/>
              </w:tabs>
              <w:rPr>
                <w:rFonts w:ascii="Arial" w:hAnsi="Arial" w:cs="Arial"/>
              </w:rPr>
            </w:pPr>
            <w:r w:rsidRPr="00B801F4">
              <w:rPr>
                <w:rFonts w:ascii="Arial" w:hAnsi="Arial" w:cs="Arial"/>
              </w:rPr>
              <w:t>Additions:</w:t>
            </w:r>
          </w:p>
        </w:tc>
        <w:tc>
          <w:tcPr>
            <w:tcW w:w="1559" w:type="dxa"/>
          </w:tcPr>
          <w:p w14:paraId="5E9D90CB" w14:textId="77777777" w:rsidR="00B801F4" w:rsidRPr="00B801F4" w:rsidRDefault="00B801F4" w:rsidP="00B801F4">
            <w:pPr>
              <w:tabs>
                <w:tab w:val="left" w:pos="993"/>
              </w:tabs>
              <w:jc w:val="right"/>
              <w:rPr>
                <w:rFonts w:ascii="Arial" w:hAnsi="Arial" w:cs="Arial"/>
              </w:rPr>
            </w:pPr>
          </w:p>
        </w:tc>
        <w:tc>
          <w:tcPr>
            <w:tcW w:w="430" w:type="dxa"/>
            <w:tcBorders>
              <w:right w:val="single" w:sz="4" w:space="0" w:color="FFFFFF" w:themeColor="background1"/>
            </w:tcBorders>
          </w:tcPr>
          <w:p w14:paraId="5DC8AE4F" w14:textId="77777777" w:rsidR="00B801F4" w:rsidRPr="00B801F4" w:rsidRDefault="00B801F4" w:rsidP="00B801F4">
            <w:pPr>
              <w:tabs>
                <w:tab w:val="left" w:pos="993"/>
              </w:tabs>
              <w:jc w:val="right"/>
              <w:rPr>
                <w:rFonts w:ascii="Arial" w:hAnsi="Arial" w:cs="Arial"/>
              </w:rPr>
            </w:pPr>
          </w:p>
        </w:tc>
        <w:tc>
          <w:tcPr>
            <w:tcW w:w="1696" w:type="dxa"/>
            <w:gridSpan w:val="2"/>
            <w:tcBorders>
              <w:left w:val="single" w:sz="4" w:space="0" w:color="FFFFFF" w:themeColor="background1"/>
            </w:tcBorders>
          </w:tcPr>
          <w:p w14:paraId="76D4027C" w14:textId="77777777" w:rsidR="00B801F4" w:rsidRPr="00B801F4" w:rsidRDefault="00B801F4" w:rsidP="00B801F4">
            <w:pPr>
              <w:tabs>
                <w:tab w:val="left" w:pos="993"/>
              </w:tabs>
              <w:jc w:val="right"/>
              <w:rPr>
                <w:rFonts w:ascii="Arial" w:hAnsi="Arial" w:cs="Arial"/>
              </w:rPr>
            </w:pPr>
          </w:p>
        </w:tc>
      </w:tr>
      <w:tr w:rsidR="00B801F4" w:rsidRPr="00B801F4" w14:paraId="67F3305B" w14:textId="77777777" w:rsidTr="00B801F4">
        <w:trPr>
          <w:gridBefore w:val="1"/>
          <w:wBefore w:w="153" w:type="dxa"/>
        </w:trPr>
        <w:tc>
          <w:tcPr>
            <w:tcW w:w="5801" w:type="dxa"/>
          </w:tcPr>
          <w:p w14:paraId="72F6BA84" w14:textId="77777777" w:rsidR="00B801F4" w:rsidRPr="00B801F4" w:rsidRDefault="00B801F4" w:rsidP="00B801F4">
            <w:pPr>
              <w:tabs>
                <w:tab w:val="left" w:pos="993"/>
              </w:tabs>
              <w:rPr>
                <w:rFonts w:ascii="Arial" w:hAnsi="Arial" w:cs="Arial"/>
              </w:rPr>
            </w:pPr>
            <w:r w:rsidRPr="00B801F4">
              <w:rPr>
                <w:rFonts w:ascii="Arial" w:hAnsi="Arial" w:cs="Arial"/>
              </w:rPr>
              <w:t>Purchases</w:t>
            </w:r>
          </w:p>
        </w:tc>
        <w:tc>
          <w:tcPr>
            <w:tcW w:w="1559" w:type="dxa"/>
          </w:tcPr>
          <w:p w14:paraId="7E5E47CB" w14:textId="77777777" w:rsidR="00B801F4" w:rsidRPr="00B801F4" w:rsidRDefault="00B801F4" w:rsidP="00B801F4">
            <w:pPr>
              <w:tabs>
                <w:tab w:val="left" w:pos="993"/>
              </w:tabs>
              <w:jc w:val="right"/>
              <w:rPr>
                <w:rFonts w:ascii="Arial" w:hAnsi="Arial" w:cs="Arial"/>
              </w:rPr>
            </w:pPr>
            <w:r w:rsidRPr="00B801F4">
              <w:rPr>
                <w:rFonts w:ascii="Arial" w:hAnsi="Arial" w:cs="Arial"/>
              </w:rPr>
              <w:t>57.3</w:t>
            </w:r>
          </w:p>
        </w:tc>
        <w:tc>
          <w:tcPr>
            <w:tcW w:w="430" w:type="dxa"/>
            <w:tcBorders>
              <w:right w:val="single" w:sz="4" w:space="0" w:color="FFFFFF" w:themeColor="background1"/>
            </w:tcBorders>
          </w:tcPr>
          <w:p w14:paraId="01F5420B" w14:textId="77777777" w:rsidR="00B801F4" w:rsidRPr="00B801F4" w:rsidRDefault="00B801F4" w:rsidP="00B801F4">
            <w:pPr>
              <w:tabs>
                <w:tab w:val="left" w:pos="993"/>
              </w:tabs>
              <w:jc w:val="right"/>
              <w:rPr>
                <w:rFonts w:ascii="Arial" w:hAnsi="Arial" w:cs="Arial"/>
              </w:rPr>
            </w:pPr>
          </w:p>
        </w:tc>
        <w:tc>
          <w:tcPr>
            <w:tcW w:w="1696" w:type="dxa"/>
            <w:gridSpan w:val="2"/>
            <w:tcBorders>
              <w:left w:val="single" w:sz="4" w:space="0" w:color="FFFFFF" w:themeColor="background1"/>
            </w:tcBorders>
          </w:tcPr>
          <w:p w14:paraId="38F346E2" w14:textId="77777777" w:rsidR="00B801F4" w:rsidRPr="00B801F4" w:rsidRDefault="00B801F4" w:rsidP="00B801F4">
            <w:pPr>
              <w:tabs>
                <w:tab w:val="left" w:pos="993"/>
              </w:tabs>
              <w:jc w:val="right"/>
              <w:rPr>
                <w:rFonts w:ascii="Arial" w:hAnsi="Arial" w:cs="Arial"/>
              </w:rPr>
            </w:pPr>
            <w:r w:rsidRPr="00B801F4">
              <w:rPr>
                <w:rFonts w:ascii="Arial" w:hAnsi="Arial" w:cs="Arial"/>
              </w:rPr>
              <w:t>15.0</w:t>
            </w:r>
          </w:p>
        </w:tc>
      </w:tr>
      <w:tr w:rsidR="00B801F4" w:rsidRPr="00B801F4" w14:paraId="54D0156F" w14:textId="77777777" w:rsidTr="00B801F4">
        <w:trPr>
          <w:gridBefore w:val="1"/>
          <w:wBefore w:w="153" w:type="dxa"/>
        </w:trPr>
        <w:tc>
          <w:tcPr>
            <w:tcW w:w="5801" w:type="dxa"/>
          </w:tcPr>
          <w:p w14:paraId="7793053F" w14:textId="77777777" w:rsidR="00B801F4" w:rsidRPr="00B801F4" w:rsidRDefault="00B801F4" w:rsidP="00B801F4">
            <w:pPr>
              <w:tabs>
                <w:tab w:val="left" w:pos="993"/>
              </w:tabs>
              <w:rPr>
                <w:rFonts w:ascii="Arial" w:hAnsi="Arial" w:cs="Arial"/>
              </w:rPr>
            </w:pPr>
            <w:r w:rsidRPr="00B801F4">
              <w:rPr>
                <w:rFonts w:ascii="Arial" w:hAnsi="Arial" w:cs="Arial"/>
              </w:rPr>
              <w:t>Construction</w:t>
            </w:r>
          </w:p>
        </w:tc>
        <w:tc>
          <w:tcPr>
            <w:tcW w:w="1559" w:type="dxa"/>
          </w:tcPr>
          <w:p w14:paraId="5E3D3B32" w14:textId="77777777" w:rsidR="00B801F4" w:rsidRPr="00B801F4" w:rsidRDefault="00B801F4" w:rsidP="00B801F4">
            <w:pPr>
              <w:tabs>
                <w:tab w:val="left" w:pos="993"/>
              </w:tabs>
              <w:jc w:val="right"/>
              <w:rPr>
                <w:rFonts w:ascii="Arial" w:hAnsi="Arial" w:cs="Arial"/>
              </w:rPr>
            </w:pPr>
            <w:r w:rsidRPr="00B801F4">
              <w:rPr>
                <w:rFonts w:ascii="Arial" w:hAnsi="Arial" w:cs="Arial"/>
              </w:rPr>
              <w:t>2.4</w:t>
            </w:r>
          </w:p>
        </w:tc>
        <w:tc>
          <w:tcPr>
            <w:tcW w:w="430" w:type="dxa"/>
            <w:tcBorders>
              <w:right w:val="single" w:sz="4" w:space="0" w:color="FFFFFF" w:themeColor="background1"/>
            </w:tcBorders>
          </w:tcPr>
          <w:p w14:paraId="6E14C9FF" w14:textId="77777777" w:rsidR="00B801F4" w:rsidRPr="00B801F4" w:rsidRDefault="00B801F4" w:rsidP="00B801F4">
            <w:pPr>
              <w:tabs>
                <w:tab w:val="left" w:pos="993"/>
              </w:tabs>
              <w:jc w:val="right"/>
              <w:rPr>
                <w:rFonts w:ascii="Arial" w:hAnsi="Arial" w:cs="Arial"/>
              </w:rPr>
            </w:pPr>
          </w:p>
        </w:tc>
        <w:tc>
          <w:tcPr>
            <w:tcW w:w="1696" w:type="dxa"/>
            <w:gridSpan w:val="2"/>
            <w:tcBorders>
              <w:left w:val="single" w:sz="4" w:space="0" w:color="FFFFFF" w:themeColor="background1"/>
            </w:tcBorders>
          </w:tcPr>
          <w:p w14:paraId="2E963DDD" w14:textId="77777777" w:rsidR="00B801F4" w:rsidRPr="00B801F4" w:rsidRDefault="00B801F4" w:rsidP="00B801F4">
            <w:pPr>
              <w:tabs>
                <w:tab w:val="left" w:pos="993"/>
              </w:tabs>
              <w:jc w:val="right"/>
              <w:rPr>
                <w:rFonts w:ascii="Arial" w:hAnsi="Arial" w:cs="Arial"/>
              </w:rPr>
            </w:pPr>
            <w:r w:rsidRPr="00B801F4">
              <w:rPr>
                <w:rFonts w:ascii="Arial" w:hAnsi="Arial" w:cs="Arial"/>
              </w:rPr>
              <w:t>0.0</w:t>
            </w:r>
          </w:p>
        </w:tc>
      </w:tr>
      <w:tr w:rsidR="00B801F4" w:rsidRPr="00B801F4" w14:paraId="3FCD5A3A" w14:textId="77777777" w:rsidTr="00B801F4">
        <w:trPr>
          <w:gridBefore w:val="1"/>
          <w:wBefore w:w="153" w:type="dxa"/>
        </w:trPr>
        <w:tc>
          <w:tcPr>
            <w:tcW w:w="5801" w:type="dxa"/>
          </w:tcPr>
          <w:p w14:paraId="4DD32E79" w14:textId="77777777" w:rsidR="00B801F4" w:rsidRPr="00B801F4" w:rsidRDefault="00B801F4" w:rsidP="00B801F4">
            <w:pPr>
              <w:tabs>
                <w:tab w:val="left" w:pos="993"/>
              </w:tabs>
              <w:rPr>
                <w:rFonts w:ascii="Arial" w:hAnsi="Arial" w:cs="Arial"/>
              </w:rPr>
            </w:pPr>
            <w:r w:rsidRPr="00B801F4">
              <w:rPr>
                <w:rFonts w:ascii="Arial" w:hAnsi="Arial" w:cs="Arial"/>
              </w:rPr>
              <w:t>Disposals</w:t>
            </w:r>
          </w:p>
        </w:tc>
        <w:tc>
          <w:tcPr>
            <w:tcW w:w="1559" w:type="dxa"/>
          </w:tcPr>
          <w:p w14:paraId="39AAA80E" w14:textId="77777777" w:rsidR="00B801F4" w:rsidRPr="00B801F4" w:rsidRDefault="00B801F4" w:rsidP="00B801F4">
            <w:pPr>
              <w:tabs>
                <w:tab w:val="left" w:pos="993"/>
              </w:tabs>
              <w:jc w:val="right"/>
              <w:rPr>
                <w:rFonts w:ascii="Arial" w:hAnsi="Arial" w:cs="Arial"/>
              </w:rPr>
            </w:pPr>
            <w:r w:rsidRPr="00B801F4">
              <w:rPr>
                <w:rFonts w:ascii="Arial" w:hAnsi="Arial" w:cs="Arial"/>
              </w:rPr>
              <w:t>(26.1)</w:t>
            </w:r>
          </w:p>
        </w:tc>
        <w:tc>
          <w:tcPr>
            <w:tcW w:w="430" w:type="dxa"/>
            <w:tcBorders>
              <w:right w:val="single" w:sz="4" w:space="0" w:color="FFFFFF" w:themeColor="background1"/>
            </w:tcBorders>
          </w:tcPr>
          <w:p w14:paraId="62FE0197" w14:textId="77777777" w:rsidR="00B801F4" w:rsidRPr="00B801F4" w:rsidRDefault="00B801F4" w:rsidP="00B801F4">
            <w:pPr>
              <w:tabs>
                <w:tab w:val="left" w:pos="993"/>
              </w:tabs>
              <w:jc w:val="right"/>
              <w:rPr>
                <w:rFonts w:ascii="Arial" w:hAnsi="Arial" w:cs="Arial"/>
              </w:rPr>
            </w:pPr>
          </w:p>
        </w:tc>
        <w:tc>
          <w:tcPr>
            <w:tcW w:w="1696" w:type="dxa"/>
            <w:gridSpan w:val="2"/>
            <w:tcBorders>
              <w:left w:val="single" w:sz="4" w:space="0" w:color="FFFFFF" w:themeColor="background1"/>
            </w:tcBorders>
          </w:tcPr>
          <w:p w14:paraId="458FFC42" w14:textId="77777777" w:rsidR="00B801F4" w:rsidRPr="00B801F4" w:rsidRDefault="00B801F4" w:rsidP="00B801F4">
            <w:pPr>
              <w:tabs>
                <w:tab w:val="left" w:pos="993"/>
              </w:tabs>
              <w:jc w:val="right"/>
              <w:rPr>
                <w:rFonts w:ascii="Arial" w:hAnsi="Arial" w:cs="Arial"/>
              </w:rPr>
            </w:pPr>
            <w:r w:rsidRPr="00B801F4">
              <w:rPr>
                <w:rFonts w:ascii="Arial" w:hAnsi="Arial" w:cs="Arial"/>
              </w:rPr>
              <w:t>(43.3)</w:t>
            </w:r>
          </w:p>
        </w:tc>
      </w:tr>
      <w:tr w:rsidR="00B801F4" w:rsidRPr="00B801F4" w14:paraId="5D2AE3F3" w14:textId="77777777" w:rsidTr="00B801F4">
        <w:trPr>
          <w:gridBefore w:val="1"/>
          <w:wBefore w:w="153" w:type="dxa"/>
        </w:trPr>
        <w:tc>
          <w:tcPr>
            <w:tcW w:w="5801" w:type="dxa"/>
          </w:tcPr>
          <w:p w14:paraId="440B2C46" w14:textId="77777777" w:rsidR="00B801F4" w:rsidRPr="00B801F4" w:rsidRDefault="00B801F4" w:rsidP="00B801F4">
            <w:pPr>
              <w:tabs>
                <w:tab w:val="left" w:pos="993"/>
              </w:tabs>
              <w:rPr>
                <w:rFonts w:ascii="Arial" w:hAnsi="Arial" w:cs="Arial"/>
              </w:rPr>
            </w:pPr>
            <w:r w:rsidRPr="00B801F4">
              <w:rPr>
                <w:rFonts w:ascii="Arial" w:hAnsi="Arial" w:cs="Arial"/>
              </w:rPr>
              <w:t>Net gain/loss on fair value</w:t>
            </w:r>
          </w:p>
        </w:tc>
        <w:tc>
          <w:tcPr>
            <w:tcW w:w="1559" w:type="dxa"/>
          </w:tcPr>
          <w:p w14:paraId="7BAE6506" w14:textId="77777777" w:rsidR="00B801F4" w:rsidRPr="00B801F4" w:rsidRDefault="00B801F4" w:rsidP="00B801F4">
            <w:pPr>
              <w:tabs>
                <w:tab w:val="left" w:pos="993"/>
              </w:tabs>
              <w:jc w:val="right"/>
              <w:rPr>
                <w:rFonts w:ascii="Arial" w:hAnsi="Arial" w:cs="Arial"/>
              </w:rPr>
            </w:pPr>
            <w:r w:rsidRPr="00B801F4">
              <w:rPr>
                <w:rFonts w:ascii="Arial" w:hAnsi="Arial" w:cs="Arial"/>
              </w:rPr>
              <w:t>47.3</w:t>
            </w:r>
          </w:p>
        </w:tc>
        <w:tc>
          <w:tcPr>
            <w:tcW w:w="430" w:type="dxa"/>
            <w:tcBorders>
              <w:right w:val="single" w:sz="4" w:space="0" w:color="FFFFFF" w:themeColor="background1"/>
            </w:tcBorders>
          </w:tcPr>
          <w:p w14:paraId="6C669116" w14:textId="77777777" w:rsidR="00B801F4" w:rsidRPr="00B801F4" w:rsidRDefault="00B801F4" w:rsidP="00B801F4">
            <w:pPr>
              <w:tabs>
                <w:tab w:val="left" w:pos="993"/>
              </w:tabs>
              <w:jc w:val="right"/>
              <w:rPr>
                <w:rFonts w:ascii="Arial" w:hAnsi="Arial" w:cs="Arial"/>
              </w:rPr>
            </w:pPr>
          </w:p>
        </w:tc>
        <w:tc>
          <w:tcPr>
            <w:tcW w:w="1696" w:type="dxa"/>
            <w:gridSpan w:val="2"/>
            <w:tcBorders>
              <w:left w:val="single" w:sz="4" w:space="0" w:color="FFFFFF" w:themeColor="background1"/>
            </w:tcBorders>
          </w:tcPr>
          <w:p w14:paraId="35D8E736" w14:textId="77777777" w:rsidR="00B801F4" w:rsidRPr="00B801F4" w:rsidRDefault="00B801F4" w:rsidP="00B801F4">
            <w:pPr>
              <w:tabs>
                <w:tab w:val="left" w:pos="993"/>
              </w:tabs>
              <w:jc w:val="right"/>
              <w:rPr>
                <w:rFonts w:ascii="Arial" w:hAnsi="Arial" w:cs="Arial"/>
              </w:rPr>
            </w:pPr>
            <w:r w:rsidRPr="00B801F4">
              <w:rPr>
                <w:rFonts w:ascii="Arial" w:hAnsi="Arial" w:cs="Arial"/>
              </w:rPr>
              <w:t>43.9</w:t>
            </w:r>
          </w:p>
        </w:tc>
      </w:tr>
      <w:tr w:rsidR="00B801F4" w:rsidRPr="00B801F4" w14:paraId="6C681BF6" w14:textId="77777777" w:rsidTr="00B801F4">
        <w:trPr>
          <w:gridBefore w:val="1"/>
          <w:wBefore w:w="153" w:type="dxa"/>
        </w:trPr>
        <w:tc>
          <w:tcPr>
            <w:tcW w:w="5801" w:type="dxa"/>
          </w:tcPr>
          <w:p w14:paraId="5177B93E" w14:textId="17ECE52A" w:rsidR="00B801F4" w:rsidRPr="00B801F4" w:rsidRDefault="00B801F4" w:rsidP="00B801F4">
            <w:pPr>
              <w:tabs>
                <w:tab w:val="left" w:pos="993"/>
              </w:tabs>
              <w:rPr>
                <w:rFonts w:ascii="Arial" w:hAnsi="Arial" w:cs="Arial"/>
              </w:rPr>
            </w:pPr>
            <w:r w:rsidRPr="00B801F4">
              <w:rPr>
                <w:rFonts w:ascii="Arial" w:hAnsi="Arial" w:cs="Arial"/>
              </w:rPr>
              <w:t xml:space="preserve">Balance </w:t>
            </w:r>
            <w:r w:rsidR="00FE3B95">
              <w:rPr>
                <w:rFonts w:ascii="Arial" w:hAnsi="Arial" w:cs="Arial"/>
              </w:rPr>
              <w:t xml:space="preserve">as </w:t>
            </w:r>
            <w:r w:rsidRPr="00B801F4">
              <w:rPr>
                <w:rFonts w:ascii="Arial" w:hAnsi="Arial" w:cs="Arial"/>
              </w:rPr>
              <w:t>at the end of the year</w:t>
            </w:r>
          </w:p>
        </w:tc>
        <w:tc>
          <w:tcPr>
            <w:tcW w:w="1559" w:type="dxa"/>
            <w:tcBorders>
              <w:top w:val="single" w:sz="18" w:space="0" w:color="auto"/>
              <w:bottom w:val="single" w:sz="18" w:space="0" w:color="auto"/>
            </w:tcBorders>
          </w:tcPr>
          <w:p w14:paraId="790A62CD" w14:textId="77777777" w:rsidR="00B801F4" w:rsidRPr="00B801F4" w:rsidRDefault="00B801F4" w:rsidP="00B801F4">
            <w:pPr>
              <w:tabs>
                <w:tab w:val="left" w:pos="993"/>
              </w:tabs>
              <w:jc w:val="right"/>
              <w:rPr>
                <w:rFonts w:ascii="Arial" w:hAnsi="Arial" w:cs="Arial"/>
              </w:rPr>
            </w:pPr>
            <w:r w:rsidRPr="00B801F4">
              <w:rPr>
                <w:rFonts w:ascii="Arial" w:hAnsi="Arial" w:cs="Arial"/>
              </w:rPr>
              <w:t>531.4</w:t>
            </w:r>
          </w:p>
        </w:tc>
        <w:tc>
          <w:tcPr>
            <w:tcW w:w="430" w:type="dxa"/>
            <w:tcBorders>
              <w:right w:val="single" w:sz="4" w:space="0" w:color="FFFFFF" w:themeColor="background1"/>
            </w:tcBorders>
          </w:tcPr>
          <w:p w14:paraId="1E7D462A" w14:textId="77777777" w:rsidR="00B801F4" w:rsidRPr="00B801F4" w:rsidRDefault="00B801F4" w:rsidP="00B801F4">
            <w:pPr>
              <w:tabs>
                <w:tab w:val="left" w:pos="993"/>
              </w:tabs>
              <w:jc w:val="right"/>
              <w:rPr>
                <w:rFonts w:ascii="Arial" w:hAnsi="Arial" w:cs="Arial"/>
              </w:rPr>
            </w:pPr>
          </w:p>
        </w:tc>
        <w:tc>
          <w:tcPr>
            <w:tcW w:w="1696" w:type="dxa"/>
            <w:gridSpan w:val="2"/>
            <w:tcBorders>
              <w:top w:val="single" w:sz="18" w:space="0" w:color="auto"/>
              <w:left w:val="single" w:sz="4" w:space="0" w:color="FFFFFF" w:themeColor="background1"/>
              <w:bottom w:val="single" w:sz="18" w:space="0" w:color="auto"/>
            </w:tcBorders>
          </w:tcPr>
          <w:p w14:paraId="46F97E1E" w14:textId="77777777" w:rsidR="00B801F4" w:rsidRPr="00B801F4" w:rsidRDefault="00B801F4" w:rsidP="00B801F4">
            <w:pPr>
              <w:tabs>
                <w:tab w:val="left" w:pos="993"/>
              </w:tabs>
              <w:jc w:val="right"/>
              <w:rPr>
                <w:rFonts w:ascii="Arial" w:hAnsi="Arial" w:cs="Arial"/>
              </w:rPr>
            </w:pPr>
            <w:r w:rsidRPr="00B801F4">
              <w:rPr>
                <w:rFonts w:ascii="Arial" w:hAnsi="Arial" w:cs="Arial"/>
              </w:rPr>
              <w:t>450.5</w:t>
            </w:r>
          </w:p>
        </w:tc>
      </w:tr>
    </w:tbl>
    <w:p w14:paraId="7105AF1D" w14:textId="77777777" w:rsidR="00B801F4" w:rsidRPr="00B801F4" w:rsidRDefault="00B801F4" w:rsidP="00B801F4">
      <w:pPr>
        <w:tabs>
          <w:tab w:val="left" w:pos="993"/>
        </w:tabs>
        <w:ind w:left="720"/>
        <w:rPr>
          <w:rFonts w:cs="Arial"/>
        </w:rPr>
      </w:pPr>
    </w:p>
    <w:p w14:paraId="021BEA65" w14:textId="77777777" w:rsidR="00B801F4" w:rsidRPr="00B801F4" w:rsidRDefault="00B801F4" w:rsidP="00B801F4">
      <w:pPr>
        <w:ind w:left="720"/>
        <w:rPr>
          <w:rFonts w:cs="Arial"/>
          <w:b/>
        </w:rPr>
      </w:pPr>
    </w:p>
    <w:p w14:paraId="03FBC5BD" w14:textId="77777777" w:rsidR="00B801F4" w:rsidRPr="00B801F4" w:rsidRDefault="00B801F4" w:rsidP="00B801F4">
      <w:pPr>
        <w:ind w:left="567" w:firstLine="142"/>
        <w:rPr>
          <w:rFonts w:cs="Arial"/>
          <w:b/>
        </w:rPr>
      </w:pPr>
      <w:r w:rsidRPr="00B801F4">
        <w:rPr>
          <w:rFonts w:cs="Arial"/>
          <w:b/>
        </w:rPr>
        <w:t>Operating leases</w:t>
      </w:r>
    </w:p>
    <w:p w14:paraId="6CDD9B1B" w14:textId="77777777" w:rsidR="00B801F4" w:rsidRPr="00B801F4" w:rsidRDefault="00B801F4" w:rsidP="00B801F4">
      <w:pPr>
        <w:ind w:left="1080" w:hanging="371"/>
        <w:jc w:val="left"/>
        <w:rPr>
          <w:rFonts w:cs="Arial"/>
        </w:rPr>
      </w:pPr>
      <w:r w:rsidRPr="00B801F4">
        <w:rPr>
          <w:rFonts w:cs="Arial"/>
        </w:rPr>
        <w:t>The Fund leases out property under operating leases.</w:t>
      </w:r>
    </w:p>
    <w:p w14:paraId="0C945B88" w14:textId="77777777" w:rsidR="00B801F4" w:rsidRPr="00B801F4" w:rsidRDefault="00B801F4" w:rsidP="00B801F4">
      <w:pPr>
        <w:ind w:left="709"/>
        <w:jc w:val="left"/>
        <w:rPr>
          <w:rFonts w:cs="Arial"/>
        </w:rPr>
      </w:pPr>
      <w:r w:rsidRPr="00B801F4">
        <w:rPr>
          <w:rFonts w:cs="Arial"/>
        </w:rPr>
        <w:t>The future minimum lease payments receivable under non-cancellable leases in future years are:</w:t>
      </w: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801F4" w:rsidRPr="00B801F4" w14:paraId="36A5AE2C" w14:textId="77777777" w:rsidTr="00B801F4">
        <w:tc>
          <w:tcPr>
            <w:tcW w:w="5058" w:type="dxa"/>
          </w:tcPr>
          <w:p w14:paraId="328816FF" w14:textId="77777777" w:rsidR="00B801F4" w:rsidRPr="00B801F4" w:rsidRDefault="00B801F4" w:rsidP="00B801F4">
            <w:pPr>
              <w:spacing w:after="0"/>
              <w:rPr>
                <w:rFonts w:ascii="Arial" w:hAnsi="Arial" w:cs="Arial"/>
                <w:b/>
              </w:rPr>
            </w:pPr>
          </w:p>
        </w:tc>
        <w:tc>
          <w:tcPr>
            <w:tcW w:w="1559" w:type="dxa"/>
          </w:tcPr>
          <w:p w14:paraId="29E6FD05" w14:textId="77777777" w:rsidR="00B801F4" w:rsidRPr="00B801F4" w:rsidRDefault="00B801F4" w:rsidP="00B801F4">
            <w:pPr>
              <w:spacing w:after="0"/>
              <w:jc w:val="right"/>
              <w:rPr>
                <w:rFonts w:ascii="Arial" w:hAnsi="Arial" w:cs="Arial"/>
                <w:b/>
              </w:rPr>
            </w:pPr>
            <w:r w:rsidRPr="00B801F4">
              <w:rPr>
                <w:rFonts w:ascii="Arial" w:hAnsi="Arial" w:cs="Arial"/>
                <w:b/>
              </w:rPr>
              <w:t>2014/15</w:t>
            </w:r>
          </w:p>
          <w:p w14:paraId="1D856E21"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22DE9C24" w14:textId="77777777" w:rsidR="00B801F4" w:rsidRPr="00B801F4" w:rsidRDefault="00B801F4" w:rsidP="00B801F4">
            <w:pPr>
              <w:spacing w:after="0"/>
              <w:jc w:val="right"/>
              <w:rPr>
                <w:rFonts w:ascii="Arial" w:hAnsi="Arial" w:cs="Arial"/>
                <w:b/>
              </w:rPr>
            </w:pPr>
          </w:p>
          <w:p w14:paraId="5118D4BD" w14:textId="77777777" w:rsidR="00B801F4" w:rsidRPr="00B801F4" w:rsidRDefault="00B801F4" w:rsidP="00B801F4">
            <w:pPr>
              <w:spacing w:after="0"/>
              <w:jc w:val="right"/>
              <w:rPr>
                <w:rFonts w:ascii="Arial" w:hAnsi="Arial" w:cs="Arial"/>
                <w:b/>
              </w:rPr>
            </w:pPr>
          </w:p>
        </w:tc>
        <w:tc>
          <w:tcPr>
            <w:tcW w:w="1696" w:type="dxa"/>
            <w:tcBorders>
              <w:left w:val="single" w:sz="4" w:space="0" w:color="FFFFFF" w:themeColor="background1"/>
            </w:tcBorders>
          </w:tcPr>
          <w:p w14:paraId="40A63153" w14:textId="77777777" w:rsidR="00B801F4" w:rsidRPr="00B801F4" w:rsidRDefault="00B801F4" w:rsidP="00B801F4">
            <w:pPr>
              <w:spacing w:after="0"/>
              <w:jc w:val="right"/>
              <w:rPr>
                <w:rFonts w:ascii="Arial" w:hAnsi="Arial" w:cs="Arial"/>
                <w:b/>
              </w:rPr>
            </w:pPr>
            <w:r w:rsidRPr="00B801F4">
              <w:rPr>
                <w:rFonts w:ascii="Arial" w:hAnsi="Arial" w:cs="Arial"/>
                <w:b/>
              </w:rPr>
              <w:t>2013/14</w:t>
            </w:r>
          </w:p>
          <w:p w14:paraId="42BF0EC0"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6A36160F" w14:textId="77777777" w:rsidTr="00B801F4">
        <w:tc>
          <w:tcPr>
            <w:tcW w:w="5058" w:type="dxa"/>
          </w:tcPr>
          <w:p w14:paraId="0D17A056" w14:textId="77777777" w:rsidR="00B801F4" w:rsidRPr="00B801F4" w:rsidRDefault="00B801F4" w:rsidP="00B801F4">
            <w:pPr>
              <w:rPr>
                <w:rFonts w:ascii="Arial" w:hAnsi="Arial" w:cs="Arial"/>
              </w:rPr>
            </w:pPr>
            <w:r w:rsidRPr="00B801F4">
              <w:rPr>
                <w:rFonts w:ascii="Arial" w:hAnsi="Arial" w:cs="Arial"/>
              </w:rPr>
              <w:t>Leases expiring in the following year</w:t>
            </w:r>
          </w:p>
        </w:tc>
        <w:tc>
          <w:tcPr>
            <w:tcW w:w="1559" w:type="dxa"/>
          </w:tcPr>
          <w:p w14:paraId="5E6EA841" w14:textId="77777777" w:rsidR="00B801F4" w:rsidRPr="00B801F4" w:rsidRDefault="00B801F4" w:rsidP="00B801F4">
            <w:pPr>
              <w:jc w:val="right"/>
              <w:rPr>
                <w:rFonts w:ascii="Arial" w:hAnsi="Arial" w:cs="Arial"/>
              </w:rPr>
            </w:pPr>
            <w:r w:rsidRPr="00B801F4">
              <w:rPr>
                <w:rFonts w:ascii="Arial" w:hAnsi="Arial" w:cs="Arial"/>
              </w:rPr>
              <w:t>4.0</w:t>
            </w:r>
          </w:p>
        </w:tc>
        <w:tc>
          <w:tcPr>
            <w:tcW w:w="430" w:type="dxa"/>
            <w:tcBorders>
              <w:right w:val="single" w:sz="4" w:space="0" w:color="FFFFFF" w:themeColor="background1"/>
            </w:tcBorders>
          </w:tcPr>
          <w:p w14:paraId="5639BB79"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7FDA0671" w14:textId="77777777" w:rsidR="00B801F4" w:rsidRPr="00B801F4" w:rsidRDefault="00B801F4" w:rsidP="00B801F4">
            <w:pPr>
              <w:jc w:val="right"/>
              <w:rPr>
                <w:rFonts w:ascii="Arial" w:hAnsi="Arial" w:cs="Arial"/>
              </w:rPr>
            </w:pPr>
            <w:r w:rsidRPr="00B801F4">
              <w:rPr>
                <w:rFonts w:ascii="Arial" w:hAnsi="Arial" w:cs="Arial"/>
              </w:rPr>
              <w:t>2.0</w:t>
            </w:r>
          </w:p>
        </w:tc>
      </w:tr>
      <w:tr w:rsidR="00B801F4" w:rsidRPr="00B801F4" w14:paraId="32696667" w14:textId="77777777" w:rsidTr="00B801F4">
        <w:tc>
          <w:tcPr>
            <w:tcW w:w="5058" w:type="dxa"/>
          </w:tcPr>
          <w:p w14:paraId="37F924C7" w14:textId="77777777" w:rsidR="00B801F4" w:rsidRPr="00B801F4" w:rsidRDefault="00B801F4" w:rsidP="00B801F4">
            <w:pPr>
              <w:rPr>
                <w:rFonts w:ascii="Arial" w:hAnsi="Arial" w:cs="Arial"/>
              </w:rPr>
            </w:pPr>
            <w:r w:rsidRPr="00B801F4">
              <w:rPr>
                <w:rFonts w:ascii="Arial" w:hAnsi="Arial" w:cs="Arial"/>
              </w:rPr>
              <w:t>Leases expiring in two to five years</w:t>
            </w:r>
          </w:p>
        </w:tc>
        <w:tc>
          <w:tcPr>
            <w:tcW w:w="1559" w:type="dxa"/>
          </w:tcPr>
          <w:p w14:paraId="6C04AC46" w14:textId="77777777" w:rsidR="00B801F4" w:rsidRPr="00B801F4" w:rsidRDefault="00B801F4" w:rsidP="00B801F4">
            <w:pPr>
              <w:jc w:val="right"/>
              <w:rPr>
                <w:rFonts w:ascii="Arial" w:hAnsi="Arial" w:cs="Arial"/>
              </w:rPr>
            </w:pPr>
            <w:r w:rsidRPr="00B801F4">
              <w:rPr>
                <w:rFonts w:ascii="Arial" w:hAnsi="Arial" w:cs="Arial"/>
              </w:rPr>
              <w:t>13.1</w:t>
            </w:r>
          </w:p>
        </w:tc>
        <w:tc>
          <w:tcPr>
            <w:tcW w:w="430" w:type="dxa"/>
            <w:tcBorders>
              <w:right w:val="single" w:sz="4" w:space="0" w:color="FFFFFF" w:themeColor="background1"/>
            </w:tcBorders>
          </w:tcPr>
          <w:p w14:paraId="0A51EC4C"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03E2E49F" w14:textId="77777777" w:rsidR="00B801F4" w:rsidRPr="00B801F4" w:rsidRDefault="00B801F4" w:rsidP="00B801F4">
            <w:pPr>
              <w:jc w:val="right"/>
              <w:rPr>
                <w:rFonts w:ascii="Arial" w:hAnsi="Arial" w:cs="Arial"/>
              </w:rPr>
            </w:pPr>
            <w:r w:rsidRPr="00B801F4">
              <w:rPr>
                <w:rFonts w:ascii="Arial" w:hAnsi="Arial" w:cs="Arial"/>
              </w:rPr>
              <w:t>11.9</w:t>
            </w:r>
          </w:p>
        </w:tc>
      </w:tr>
      <w:tr w:rsidR="00B801F4" w:rsidRPr="00B801F4" w14:paraId="0BE1298A" w14:textId="77777777" w:rsidTr="00B801F4">
        <w:tc>
          <w:tcPr>
            <w:tcW w:w="5058" w:type="dxa"/>
          </w:tcPr>
          <w:p w14:paraId="108A5191" w14:textId="77777777" w:rsidR="00B801F4" w:rsidRPr="00B801F4" w:rsidRDefault="00B801F4" w:rsidP="00B801F4">
            <w:pPr>
              <w:rPr>
                <w:rFonts w:ascii="Arial" w:hAnsi="Arial" w:cs="Arial"/>
              </w:rPr>
            </w:pPr>
            <w:r w:rsidRPr="00B801F4">
              <w:rPr>
                <w:rFonts w:ascii="Arial" w:hAnsi="Arial" w:cs="Arial"/>
              </w:rPr>
              <w:t>Leases expiring after five years</w:t>
            </w:r>
          </w:p>
        </w:tc>
        <w:tc>
          <w:tcPr>
            <w:tcW w:w="1559" w:type="dxa"/>
            <w:tcBorders>
              <w:bottom w:val="single" w:sz="18" w:space="0" w:color="auto"/>
            </w:tcBorders>
          </w:tcPr>
          <w:p w14:paraId="2567DA7B" w14:textId="77777777" w:rsidR="00B801F4" w:rsidRPr="00B801F4" w:rsidRDefault="00B801F4" w:rsidP="00B801F4">
            <w:pPr>
              <w:jc w:val="right"/>
              <w:rPr>
                <w:rFonts w:ascii="Arial" w:hAnsi="Arial" w:cs="Arial"/>
              </w:rPr>
            </w:pPr>
            <w:r w:rsidRPr="00B801F4">
              <w:rPr>
                <w:rFonts w:ascii="Arial" w:hAnsi="Arial" w:cs="Arial"/>
              </w:rPr>
              <w:t>13.5</w:t>
            </w:r>
          </w:p>
        </w:tc>
        <w:tc>
          <w:tcPr>
            <w:tcW w:w="430" w:type="dxa"/>
          </w:tcPr>
          <w:p w14:paraId="1C355A02" w14:textId="77777777" w:rsidR="00B801F4" w:rsidRPr="00B801F4" w:rsidRDefault="00B801F4" w:rsidP="00B801F4">
            <w:pPr>
              <w:jc w:val="right"/>
              <w:rPr>
                <w:rFonts w:ascii="Arial" w:hAnsi="Arial" w:cs="Arial"/>
              </w:rPr>
            </w:pPr>
          </w:p>
        </w:tc>
        <w:tc>
          <w:tcPr>
            <w:tcW w:w="1696" w:type="dxa"/>
            <w:tcBorders>
              <w:bottom w:val="single" w:sz="18" w:space="0" w:color="auto"/>
            </w:tcBorders>
          </w:tcPr>
          <w:p w14:paraId="45CAB07B" w14:textId="77777777" w:rsidR="00B801F4" w:rsidRPr="00B801F4" w:rsidRDefault="00B801F4" w:rsidP="00B801F4">
            <w:pPr>
              <w:jc w:val="right"/>
              <w:rPr>
                <w:rFonts w:ascii="Arial" w:hAnsi="Arial" w:cs="Arial"/>
              </w:rPr>
            </w:pPr>
            <w:r w:rsidRPr="00B801F4">
              <w:rPr>
                <w:rFonts w:ascii="Arial" w:hAnsi="Arial" w:cs="Arial"/>
              </w:rPr>
              <w:t>12.4</w:t>
            </w:r>
          </w:p>
        </w:tc>
      </w:tr>
      <w:tr w:rsidR="00B801F4" w:rsidRPr="00B801F4" w14:paraId="238F6BC6" w14:textId="77777777" w:rsidTr="00B801F4">
        <w:tc>
          <w:tcPr>
            <w:tcW w:w="5058" w:type="dxa"/>
          </w:tcPr>
          <w:p w14:paraId="58035837" w14:textId="77777777" w:rsidR="00B801F4" w:rsidRPr="00B801F4" w:rsidRDefault="00B801F4" w:rsidP="00B801F4">
            <w:pPr>
              <w:rPr>
                <w:rFonts w:ascii="Arial" w:hAnsi="Arial" w:cs="Arial"/>
              </w:rPr>
            </w:pPr>
            <w:r w:rsidRPr="00B801F4">
              <w:rPr>
                <w:rFonts w:ascii="Arial" w:hAnsi="Arial" w:cs="Arial"/>
              </w:rPr>
              <w:t>Total</w:t>
            </w:r>
          </w:p>
        </w:tc>
        <w:tc>
          <w:tcPr>
            <w:tcW w:w="1559" w:type="dxa"/>
            <w:tcBorders>
              <w:top w:val="single" w:sz="18" w:space="0" w:color="auto"/>
              <w:bottom w:val="single" w:sz="18" w:space="0" w:color="auto"/>
            </w:tcBorders>
          </w:tcPr>
          <w:p w14:paraId="135C21F5" w14:textId="77777777" w:rsidR="00B801F4" w:rsidRPr="00B801F4" w:rsidRDefault="00B801F4" w:rsidP="00B801F4">
            <w:pPr>
              <w:jc w:val="right"/>
              <w:rPr>
                <w:rFonts w:ascii="Arial" w:hAnsi="Arial" w:cs="Arial"/>
              </w:rPr>
            </w:pPr>
            <w:r w:rsidRPr="00B801F4">
              <w:rPr>
                <w:rFonts w:ascii="Arial" w:hAnsi="Arial" w:cs="Arial"/>
              </w:rPr>
              <w:t>30.6</w:t>
            </w:r>
          </w:p>
        </w:tc>
        <w:tc>
          <w:tcPr>
            <w:tcW w:w="430" w:type="dxa"/>
          </w:tcPr>
          <w:p w14:paraId="508F5DAA" w14:textId="77777777" w:rsidR="00B801F4" w:rsidRPr="00B801F4" w:rsidRDefault="00B801F4" w:rsidP="00B801F4">
            <w:pPr>
              <w:jc w:val="right"/>
              <w:rPr>
                <w:rFonts w:ascii="Arial" w:hAnsi="Arial" w:cs="Arial"/>
              </w:rPr>
            </w:pPr>
          </w:p>
        </w:tc>
        <w:tc>
          <w:tcPr>
            <w:tcW w:w="1696" w:type="dxa"/>
            <w:tcBorders>
              <w:top w:val="single" w:sz="18" w:space="0" w:color="auto"/>
              <w:bottom w:val="single" w:sz="18" w:space="0" w:color="auto"/>
            </w:tcBorders>
          </w:tcPr>
          <w:p w14:paraId="27091C4D" w14:textId="77777777" w:rsidR="00B801F4" w:rsidRPr="00B801F4" w:rsidRDefault="00B801F4" w:rsidP="00B801F4">
            <w:pPr>
              <w:jc w:val="right"/>
              <w:rPr>
                <w:rFonts w:ascii="Arial" w:hAnsi="Arial" w:cs="Arial"/>
              </w:rPr>
            </w:pPr>
            <w:r w:rsidRPr="00B801F4">
              <w:rPr>
                <w:rFonts w:ascii="Arial" w:hAnsi="Arial" w:cs="Arial"/>
              </w:rPr>
              <w:t>26.3</w:t>
            </w:r>
          </w:p>
        </w:tc>
      </w:tr>
      <w:tr w:rsidR="00B801F4" w:rsidRPr="00B801F4" w14:paraId="3E1D2292" w14:textId="77777777" w:rsidTr="00B801F4">
        <w:tc>
          <w:tcPr>
            <w:tcW w:w="5058" w:type="dxa"/>
          </w:tcPr>
          <w:p w14:paraId="50264E70" w14:textId="77777777" w:rsidR="00B801F4" w:rsidRPr="00B801F4" w:rsidRDefault="00B801F4" w:rsidP="00B801F4"/>
        </w:tc>
        <w:tc>
          <w:tcPr>
            <w:tcW w:w="1559" w:type="dxa"/>
            <w:tcBorders>
              <w:top w:val="single" w:sz="18" w:space="0" w:color="auto"/>
            </w:tcBorders>
          </w:tcPr>
          <w:p w14:paraId="689C11C6" w14:textId="77777777" w:rsidR="00B801F4" w:rsidRPr="00B801F4" w:rsidRDefault="00B801F4" w:rsidP="00B801F4">
            <w:pPr>
              <w:jc w:val="right"/>
            </w:pPr>
          </w:p>
        </w:tc>
        <w:tc>
          <w:tcPr>
            <w:tcW w:w="430" w:type="dxa"/>
          </w:tcPr>
          <w:p w14:paraId="4662D922" w14:textId="77777777" w:rsidR="00B801F4" w:rsidRPr="00B801F4" w:rsidRDefault="00B801F4" w:rsidP="00B801F4">
            <w:pPr>
              <w:jc w:val="right"/>
            </w:pPr>
          </w:p>
        </w:tc>
        <w:tc>
          <w:tcPr>
            <w:tcW w:w="1696" w:type="dxa"/>
            <w:tcBorders>
              <w:top w:val="single" w:sz="18" w:space="0" w:color="auto"/>
            </w:tcBorders>
          </w:tcPr>
          <w:p w14:paraId="5930BF06" w14:textId="77777777" w:rsidR="00B801F4" w:rsidRPr="00B801F4" w:rsidRDefault="00B801F4" w:rsidP="00B801F4">
            <w:pPr>
              <w:jc w:val="right"/>
            </w:pPr>
          </w:p>
        </w:tc>
      </w:tr>
    </w:tbl>
    <w:p w14:paraId="7EC40943" w14:textId="77777777" w:rsidR="00B801F4" w:rsidRPr="00B801F4" w:rsidRDefault="00B801F4" w:rsidP="00B801F4">
      <w:pPr>
        <w:ind w:left="709"/>
        <w:jc w:val="left"/>
      </w:pPr>
      <w:r w:rsidRPr="00B801F4">
        <w:t>There are no contingent rents as all rents are fixed until the next rent review (generally on 5 year review patterns) and then are either reviewed to market rent, a fixed uplift or in line with an index.</w:t>
      </w:r>
    </w:p>
    <w:p w14:paraId="41A44175" w14:textId="77777777" w:rsidR="00B801F4" w:rsidRPr="00B801F4" w:rsidRDefault="00B801F4" w:rsidP="00B801F4">
      <w:pPr>
        <w:ind w:left="709"/>
        <w:jc w:val="left"/>
      </w:pPr>
      <w:r w:rsidRPr="00B801F4">
        <w:t>The income is contractually secured against a wide range of tenants who in turn operate in a range of market sectors. Income is generally reviewed to market rent five yearly, and there is also an element of the portfolio income that is indexed or has fixed uplifts (generally being in the range of 2-4% per annum). The portfolio also features a number of vacant properties for which the future income depends on the terms agreed by tenants, and the investment manager is working with letting agents to fill these voids.</w:t>
      </w:r>
    </w:p>
    <w:p w14:paraId="556FF18E" w14:textId="77777777" w:rsidR="00B801F4" w:rsidRPr="00B801F4" w:rsidRDefault="00B801F4" w:rsidP="00B801F4">
      <w:pPr>
        <w:ind w:left="720"/>
        <w:rPr>
          <w:b/>
        </w:rPr>
      </w:pPr>
    </w:p>
    <w:p w14:paraId="4292BC70" w14:textId="77777777" w:rsidR="00B801F4" w:rsidRPr="00B801F4" w:rsidRDefault="00B801F4" w:rsidP="00B801F4">
      <w:pPr>
        <w:ind w:left="720"/>
        <w:rPr>
          <w:b/>
          <w:sz w:val="28"/>
          <w:szCs w:val="28"/>
        </w:rPr>
      </w:pPr>
    </w:p>
    <w:p w14:paraId="1253E517" w14:textId="77777777" w:rsidR="00B801F4" w:rsidRPr="00B801F4" w:rsidRDefault="00B801F4" w:rsidP="00B801F4">
      <w:pPr>
        <w:ind w:left="720"/>
        <w:rPr>
          <w:b/>
          <w:sz w:val="28"/>
          <w:szCs w:val="28"/>
        </w:rPr>
      </w:pPr>
    </w:p>
    <w:p w14:paraId="37885303" w14:textId="77777777" w:rsidR="00B801F4" w:rsidRPr="00B801F4" w:rsidRDefault="00B801F4" w:rsidP="00B801F4">
      <w:pPr>
        <w:ind w:left="720"/>
        <w:rPr>
          <w:b/>
          <w:sz w:val="28"/>
          <w:szCs w:val="28"/>
        </w:rPr>
      </w:pPr>
    </w:p>
    <w:p w14:paraId="03E561A6" w14:textId="77777777" w:rsidR="00B801F4" w:rsidRPr="00B801F4" w:rsidRDefault="00B801F4" w:rsidP="00B801F4">
      <w:pPr>
        <w:ind w:left="720"/>
        <w:rPr>
          <w:b/>
          <w:sz w:val="28"/>
          <w:szCs w:val="28"/>
        </w:rPr>
      </w:pPr>
    </w:p>
    <w:p w14:paraId="11DFE2B1" w14:textId="77777777" w:rsidR="00B801F4" w:rsidRPr="00B801F4" w:rsidRDefault="00B801F4" w:rsidP="00B801F4">
      <w:pPr>
        <w:ind w:left="720"/>
        <w:rPr>
          <w:b/>
          <w:sz w:val="28"/>
          <w:szCs w:val="28"/>
        </w:rPr>
      </w:pPr>
    </w:p>
    <w:p w14:paraId="55085B6B" w14:textId="77777777" w:rsidR="00B801F4" w:rsidRPr="00B801F4" w:rsidRDefault="00B801F4" w:rsidP="00B801F4">
      <w:pPr>
        <w:ind w:left="720"/>
        <w:rPr>
          <w:b/>
          <w:sz w:val="28"/>
          <w:szCs w:val="28"/>
        </w:rPr>
      </w:pPr>
      <w:r w:rsidRPr="00B801F4">
        <w:rPr>
          <w:b/>
          <w:sz w:val="28"/>
          <w:szCs w:val="28"/>
        </w:rPr>
        <w:t>Analysis of derivatives</w:t>
      </w:r>
    </w:p>
    <w:p w14:paraId="3CA7FDC6" w14:textId="77777777" w:rsidR="00B801F4" w:rsidRPr="00B801F4" w:rsidRDefault="00B801F4" w:rsidP="00B801F4">
      <w:pPr>
        <w:ind w:left="720"/>
        <w:rPr>
          <w:b/>
        </w:rPr>
      </w:pPr>
    </w:p>
    <w:p w14:paraId="13BF6FF8" w14:textId="77777777" w:rsidR="00B801F4" w:rsidRPr="00B801F4" w:rsidRDefault="00B801F4" w:rsidP="00B801F4">
      <w:pPr>
        <w:spacing w:after="0"/>
        <w:ind w:left="720"/>
        <w:jc w:val="left"/>
        <w:rPr>
          <w:b/>
        </w:rPr>
      </w:pPr>
      <w:r w:rsidRPr="00B801F4">
        <w:rPr>
          <w:b/>
        </w:rPr>
        <w:t>Objectives and policies for holding derivatives</w:t>
      </w:r>
    </w:p>
    <w:p w14:paraId="32374B2C" w14:textId="77777777" w:rsidR="00B801F4" w:rsidRPr="00B801F4" w:rsidRDefault="00B801F4" w:rsidP="00B801F4">
      <w:pPr>
        <w:spacing w:after="0"/>
        <w:ind w:left="720"/>
        <w:jc w:val="left"/>
      </w:pPr>
      <w:r w:rsidRPr="00B801F4">
        <w:t>Most of the holding in derivatives is to hedge liabilities or hedge exposures to reduce risk in the Fund.  Derivatives maybe used to gain exposure to an asset more efficiently than holding the underlying asset.  The use of derivatives is managed in line with the investment management agreement agreed between the Fund and the various investment managers.</w:t>
      </w:r>
    </w:p>
    <w:p w14:paraId="0E4B94CE" w14:textId="77777777" w:rsidR="00B801F4" w:rsidRPr="00B801F4" w:rsidRDefault="00B801F4" w:rsidP="00B801F4">
      <w:pPr>
        <w:ind w:left="720"/>
        <w:jc w:val="left"/>
      </w:pPr>
    </w:p>
    <w:p w14:paraId="049850B2" w14:textId="77777777" w:rsidR="00B801F4" w:rsidRPr="00B801F4" w:rsidRDefault="00B801F4" w:rsidP="00B801F4">
      <w:pPr>
        <w:spacing w:after="0"/>
        <w:ind w:firstLine="709"/>
        <w:jc w:val="left"/>
        <w:rPr>
          <w:b/>
        </w:rPr>
      </w:pPr>
      <w:r w:rsidRPr="00B801F4">
        <w:rPr>
          <w:b/>
        </w:rPr>
        <w:t>Forward foreign currency</w:t>
      </w:r>
    </w:p>
    <w:p w14:paraId="625C766F" w14:textId="77777777" w:rsidR="00B801F4" w:rsidRPr="00B801F4" w:rsidRDefault="00B801F4" w:rsidP="00B801F4">
      <w:pPr>
        <w:ind w:left="709"/>
      </w:pPr>
      <w:r w:rsidRPr="00B801F4">
        <w:t xml:space="preserve">In order to maintain appropriate diversification and to take advantage of overseas investment returns, a significant proportion of the Fund's quoted equity portfolio is in overseas stock markets.  To reduce the volatility associated with fluctuating currency rates, the Fund has a passive currency programme in place which is managed by the global custodian and the Fund's internal managers.      </w:t>
      </w:r>
    </w:p>
    <w:p w14:paraId="10385BE4" w14:textId="77777777" w:rsidR="00B801F4" w:rsidRPr="00B801F4" w:rsidRDefault="00B801F4" w:rsidP="00B801F4">
      <w:pPr>
        <w:ind w:left="709"/>
      </w:pPr>
    </w:p>
    <w:p w14:paraId="5D29EBF4" w14:textId="77777777" w:rsidR="00B801F4" w:rsidRPr="00B801F4" w:rsidRDefault="00B801F4" w:rsidP="00B801F4">
      <w:pPr>
        <w:ind w:left="709"/>
      </w:pPr>
      <w:r w:rsidRPr="00B801F4">
        <w:t xml:space="preserve"> </w:t>
      </w:r>
    </w:p>
    <w:p w14:paraId="2C4DDD56" w14:textId="77777777" w:rsidR="00B801F4" w:rsidRPr="00B801F4" w:rsidRDefault="00B801F4" w:rsidP="00B801F4">
      <w:pPr>
        <w:tabs>
          <w:tab w:val="left" w:pos="1080"/>
        </w:tabs>
        <w:spacing w:after="80"/>
        <w:ind w:left="709"/>
      </w:pPr>
    </w:p>
    <w:p w14:paraId="42310316" w14:textId="77777777" w:rsidR="00B801F4" w:rsidRPr="00B801F4" w:rsidRDefault="00B801F4" w:rsidP="00B801F4">
      <w:pPr>
        <w:tabs>
          <w:tab w:val="left" w:pos="1080"/>
        </w:tabs>
        <w:spacing w:after="80"/>
        <w:ind w:left="709"/>
      </w:pPr>
    </w:p>
    <w:p w14:paraId="6D502A79" w14:textId="77777777" w:rsidR="00B801F4" w:rsidRPr="00B801F4" w:rsidRDefault="00B801F4" w:rsidP="00B801F4">
      <w:pPr>
        <w:tabs>
          <w:tab w:val="left" w:pos="1080"/>
        </w:tabs>
        <w:spacing w:after="80"/>
        <w:ind w:left="709"/>
        <w:sectPr w:rsidR="00B801F4" w:rsidRPr="00B801F4" w:rsidSect="00B801F4">
          <w:pgSz w:w="11900" w:h="16840" w:code="9"/>
          <w:pgMar w:top="720" w:right="720" w:bottom="720" w:left="720" w:header="284" w:footer="284" w:gutter="0"/>
          <w:cols w:space="292"/>
          <w:docGrid w:linePitch="326"/>
        </w:sectPr>
      </w:pPr>
    </w:p>
    <w:p w14:paraId="377A48BD" w14:textId="77777777" w:rsidR="00B801F4" w:rsidRPr="00B801F4" w:rsidRDefault="00B801F4" w:rsidP="00B801F4">
      <w:pPr>
        <w:tabs>
          <w:tab w:val="left" w:pos="1080"/>
        </w:tabs>
        <w:spacing w:after="80"/>
        <w:ind w:left="709"/>
      </w:pPr>
    </w:p>
    <w:p w14:paraId="694539F9" w14:textId="77777777" w:rsidR="00B801F4" w:rsidRPr="00B801F4" w:rsidRDefault="00B801F4" w:rsidP="00B801F4">
      <w:pPr>
        <w:tabs>
          <w:tab w:val="left" w:pos="1080"/>
        </w:tabs>
        <w:spacing w:after="80"/>
        <w:ind w:left="709" w:hanging="709"/>
        <w:rPr>
          <w:b/>
        </w:rPr>
      </w:pPr>
      <w:r w:rsidRPr="00B801F4">
        <w:rPr>
          <w:b/>
        </w:rPr>
        <w:t>Derivative contracts (forward currency positions)</w:t>
      </w:r>
    </w:p>
    <w:p w14:paraId="1FCDF1F5" w14:textId="77777777" w:rsidR="00B801F4" w:rsidRPr="00B801F4" w:rsidRDefault="00B801F4" w:rsidP="00B801F4">
      <w:pPr>
        <w:tabs>
          <w:tab w:val="left" w:pos="1080"/>
        </w:tabs>
        <w:spacing w:after="80"/>
        <w:ind w:left="709"/>
      </w:pPr>
    </w:p>
    <w:tbl>
      <w:tblPr>
        <w:tblStyle w:val="TableGrid1"/>
        <w:tblpPr w:leftFromText="180" w:rightFromText="180" w:vertAnchor="page" w:horzAnchor="margin" w:tblpY="2071"/>
        <w:tblW w:w="0" w:type="auto"/>
        <w:tblBorders>
          <w:insideH w:val="none" w:sz="0" w:space="0" w:color="auto"/>
          <w:insideV w:val="none" w:sz="0" w:space="0" w:color="auto"/>
        </w:tblBorders>
        <w:tblLook w:val="04A0" w:firstRow="1" w:lastRow="0" w:firstColumn="1" w:lastColumn="0" w:noHBand="0" w:noVBand="1"/>
      </w:tblPr>
      <w:tblGrid>
        <w:gridCol w:w="2962"/>
        <w:gridCol w:w="993"/>
        <w:gridCol w:w="280"/>
        <w:gridCol w:w="972"/>
        <w:gridCol w:w="151"/>
        <w:gridCol w:w="1318"/>
        <w:gridCol w:w="1158"/>
        <w:gridCol w:w="98"/>
        <w:gridCol w:w="1007"/>
        <w:gridCol w:w="153"/>
        <w:gridCol w:w="1358"/>
      </w:tblGrid>
      <w:tr w:rsidR="00B801F4" w:rsidRPr="00B801F4" w14:paraId="2AB996A0" w14:textId="77777777" w:rsidTr="00B801F4">
        <w:trPr>
          <w:trHeight w:val="553"/>
        </w:trPr>
        <w:tc>
          <w:tcPr>
            <w:tcW w:w="5807" w:type="dxa"/>
            <w:tcBorders>
              <w:top w:val="single" w:sz="4" w:space="0" w:color="auto"/>
              <w:bottom w:val="nil"/>
            </w:tcBorders>
            <w:shd w:val="clear" w:color="auto" w:fill="A8D08D" w:themeFill="accent6" w:themeFillTint="99"/>
          </w:tcPr>
          <w:p w14:paraId="3AC7F814" w14:textId="77777777" w:rsidR="00B801F4" w:rsidRPr="00B801F4" w:rsidRDefault="00B801F4" w:rsidP="00B801F4">
            <w:pPr>
              <w:tabs>
                <w:tab w:val="left" w:pos="1080"/>
              </w:tabs>
              <w:spacing w:after="80"/>
              <w:jc w:val="left"/>
              <w:rPr>
                <w:b/>
              </w:rPr>
            </w:pPr>
            <w:r w:rsidRPr="00B801F4">
              <w:rPr>
                <w:b/>
              </w:rPr>
              <w:t>Settlements</w:t>
            </w:r>
          </w:p>
        </w:tc>
        <w:tc>
          <w:tcPr>
            <w:tcW w:w="1276" w:type="dxa"/>
            <w:gridSpan w:val="2"/>
            <w:tcBorders>
              <w:top w:val="single" w:sz="4" w:space="0" w:color="auto"/>
              <w:bottom w:val="nil"/>
            </w:tcBorders>
            <w:shd w:val="clear" w:color="auto" w:fill="A8D08D" w:themeFill="accent6" w:themeFillTint="99"/>
          </w:tcPr>
          <w:p w14:paraId="2484FA53" w14:textId="77777777" w:rsidR="00B801F4" w:rsidRPr="00B801F4" w:rsidRDefault="00B801F4" w:rsidP="00B801F4">
            <w:pPr>
              <w:tabs>
                <w:tab w:val="left" w:pos="1080"/>
              </w:tabs>
              <w:spacing w:after="80"/>
              <w:jc w:val="right"/>
              <w:rPr>
                <w:b/>
              </w:rPr>
            </w:pPr>
            <w:r w:rsidRPr="00B801F4">
              <w:rPr>
                <w:b/>
              </w:rPr>
              <w:t>Currency bought*</w:t>
            </w:r>
          </w:p>
        </w:tc>
        <w:tc>
          <w:tcPr>
            <w:tcW w:w="1701" w:type="dxa"/>
            <w:gridSpan w:val="2"/>
            <w:tcBorders>
              <w:top w:val="single" w:sz="4" w:space="0" w:color="auto"/>
              <w:bottom w:val="nil"/>
            </w:tcBorders>
            <w:shd w:val="clear" w:color="auto" w:fill="A8D08D" w:themeFill="accent6" w:themeFillTint="99"/>
          </w:tcPr>
          <w:p w14:paraId="1C83FA93" w14:textId="77777777" w:rsidR="00B801F4" w:rsidRPr="00B801F4" w:rsidRDefault="00B801F4" w:rsidP="00B801F4">
            <w:pPr>
              <w:tabs>
                <w:tab w:val="left" w:pos="1080"/>
              </w:tabs>
              <w:spacing w:after="80"/>
              <w:jc w:val="right"/>
              <w:rPr>
                <w:b/>
              </w:rPr>
            </w:pPr>
            <w:r w:rsidRPr="00B801F4">
              <w:rPr>
                <w:b/>
              </w:rPr>
              <w:t>Local value</w:t>
            </w:r>
          </w:p>
        </w:tc>
        <w:tc>
          <w:tcPr>
            <w:tcW w:w="1417" w:type="dxa"/>
            <w:tcBorders>
              <w:top w:val="single" w:sz="4" w:space="0" w:color="auto"/>
              <w:bottom w:val="nil"/>
            </w:tcBorders>
            <w:shd w:val="clear" w:color="auto" w:fill="A8D08D" w:themeFill="accent6" w:themeFillTint="99"/>
          </w:tcPr>
          <w:p w14:paraId="0E30AAA1" w14:textId="77777777" w:rsidR="00B801F4" w:rsidRPr="00B801F4" w:rsidRDefault="00B801F4" w:rsidP="00B801F4">
            <w:pPr>
              <w:tabs>
                <w:tab w:val="left" w:pos="1080"/>
              </w:tabs>
              <w:spacing w:after="80"/>
              <w:jc w:val="right"/>
              <w:rPr>
                <w:b/>
              </w:rPr>
            </w:pPr>
            <w:r w:rsidRPr="00B801F4">
              <w:rPr>
                <w:b/>
              </w:rPr>
              <w:t>Currency sold*</w:t>
            </w:r>
          </w:p>
        </w:tc>
        <w:tc>
          <w:tcPr>
            <w:tcW w:w="1810" w:type="dxa"/>
            <w:gridSpan w:val="2"/>
            <w:tcBorders>
              <w:top w:val="single" w:sz="4" w:space="0" w:color="auto"/>
              <w:bottom w:val="nil"/>
            </w:tcBorders>
            <w:shd w:val="clear" w:color="auto" w:fill="A8D08D" w:themeFill="accent6" w:themeFillTint="99"/>
          </w:tcPr>
          <w:p w14:paraId="7C0E9210" w14:textId="77777777" w:rsidR="00B801F4" w:rsidRPr="00B801F4" w:rsidRDefault="00B801F4" w:rsidP="00B801F4">
            <w:pPr>
              <w:tabs>
                <w:tab w:val="left" w:pos="1080"/>
              </w:tabs>
              <w:spacing w:after="80"/>
              <w:jc w:val="right"/>
              <w:rPr>
                <w:b/>
              </w:rPr>
            </w:pPr>
            <w:r w:rsidRPr="00B801F4">
              <w:rPr>
                <w:b/>
              </w:rPr>
              <w:t>Local value</w:t>
            </w:r>
          </w:p>
        </w:tc>
        <w:tc>
          <w:tcPr>
            <w:tcW w:w="1701" w:type="dxa"/>
            <w:gridSpan w:val="2"/>
            <w:tcBorders>
              <w:top w:val="single" w:sz="4" w:space="0" w:color="auto"/>
              <w:bottom w:val="nil"/>
            </w:tcBorders>
            <w:shd w:val="clear" w:color="auto" w:fill="A8D08D" w:themeFill="accent6" w:themeFillTint="99"/>
          </w:tcPr>
          <w:p w14:paraId="56067D20" w14:textId="77777777" w:rsidR="00B801F4" w:rsidRPr="00B801F4" w:rsidRDefault="00B801F4" w:rsidP="00B801F4">
            <w:pPr>
              <w:tabs>
                <w:tab w:val="left" w:pos="1080"/>
              </w:tabs>
              <w:spacing w:after="80"/>
              <w:jc w:val="right"/>
              <w:rPr>
                <w:b/>
              </w:rPr>
            </w:pPr>
            <w:r w:rsidRPr="00B801F4">
              <w:rPr>
                <w:b/>
              </w:rPr>
              <w:t>Asset value</w:t>
            </w:r>
          </w:p>
        </w:tc>
        <w:tc>
          <w:tcPr>
            <w:tcW w:w="1842" w:type="dxa"/>
            <w:tcBorders>
              <w:top w:val="single" w:sz="4" w:space="0" w:color="auto"/>
              <w:bottom w:val="nil"/>
            </w:tcBorders>
            <w:shd w:val="clear" w:color="auto" w:fill="A8D08D" w:themeFill="accent6" w:themeFillTint="99"/>
          </w:tcPr>
          <w:p w14:paraId="51FB24A4" w14:textId="77777777" w:rsidR="00B801F4" w:rsidRPr="00B801F4" w:rsidRDefault="00B801F4" w:rsidP="00B801F4">
            <w:pPr>
              <w:tabs>
                <w:tab w:val="left" w:pos="1080"/>
              </w:tabs>
              <w:spacing w:after="80"/>
              <w:jc w:val="right"/>
              <w:rPr>
                <w:b/>
              </w:rPr>
            </w:pPr>
            <w:r w:rsidRPr="00B801F4">
              <w:rPr>
                <w:b/>
              </w:rPr>
              <w:t>Liability value</w:t>
            </w:r>
          </w:p>
        </w:tc>
      </w:tr>
      <w:tr w:rsidR="00B801F4" w:rsidRPr="00B801F4" w14:paraId="3A6519E9" w14:textId="77777777" w:rsidTr="00B801F4">
        <w:tc>
          <w:tcPr>
            <w:tcW w:w="5807" w:type="dxa"/>
            <w:tcBorders>
              <w:top w:val="nil"/>
              <w:bottom w:val="single" w:sz="4" w:space="0" w:color="auto"/>
            </w:tcBorders>
            <w:shd w:val="clear" w:color="auto" w:fill="A8D08D" w:themeFill="accent6" w:themeFillTint="99"/>
          </w:tcPr>
          <w:p w14:paraId="2CD432F2" w14:textId="77777777" w:rsidR="00B801F4" w:rsidRPr="00B801F4" w:rsidRDefault="00B801F4" w:rsidP="00B801F4">
            <w:pPr>
              <w:tabs>
                <w:tab w:val="left" w:pos="1080"/>
              </w:tabs>
              <w:spacing w:after="80"/>
              <w:jc w:val="right"/>
              <w:rPr>
                <w:b/>
              </w:rPr>
            </w:pPr>
          </w:p>
        </w:tc>
        <w:tc>
          <w:tcPr>
            <w:tcW w:w="992" w:type="dxa"/>
            <w:tcBorders>
              <w:top w:val="nil"/>
              <w:bottom w:val="single" w:sz="4" w:space="0" w:color="auto"/>
            </w:tcBorders>
            <w:shd w:val="clear" w:color="auto" w:fill="A8D08D" w:themeFill="accent6" w:themeFillTint="99"/>
          </w:tcPr>
          <w:p w14:paraId="63B337F1" w14:textId="77777777" w:rsidR="00B801F4" w:rsidRPr="00B801F4" w:rsidRDefault="00B801F4" w:rsidP="00B801F4">
            <w:pPr>
              <w:tabs>
                <w:tab w:val="left" w:pos="1080"/>
              </w:tabs>
              <w:spacing w:after="80"/>
              <w:jc w:val="right"/>
              <w:rPr>
                <w:b/>
              </w:rPr>
            </w:pPr>
          </w:p>
        </w:tc>
        <w:tc>
          <w:tcPr>
            <w:tcW w:w="1701" w:type="dxa"/>
            <w:gridSpan w:val="2"/>
            <w:tcBorders>
              <w:top w:val="nil"/>
              <w:bottom w:val="single" w:sz="4" w:space="0" w:color="auto"/>
            </w:tcBorders>
            <w:shd w:val="clear" w:color="auto" w:fill="A8D08D" w:themeFill="accent6" w:themeFillTint="99"/>
          </w:tcPr>
          <w:p w14:paraId="6D760412" w14:textId="77777777" w:rsidR="00B801F4" w:rsidRPr="00B801F4" w:rsidRDefault="00B801F4" w:rsidP="00B801F4">
            <w:pPr>
              <w:tabs>
                <w:tab w:val="left" w:pos="1080"/>
              </w:tabs>
              <w:spacing w:after="80"/>
              <w:jc w:val="right"/>
              <w:rPr>
                <w:b/>
              </w:rPr>
            </w:pPr>
            <w:r w:rsidRPr="00B801F4">
              <w:rPr>
                <w:b/>
              </w:rPr>
              <w:t>m</w:t>
            </w:r>
          </w:p>
        </w:tc>
        <w:tc>
          <w:tcPr>
            <w:tcW w:w="1701" w:type="dxa"/>
            <w:gridSpan w:val="2"/>
            <w:tcBorders>
              <w:top w:val="nil"/>
              <w:bottom w:val="single" w:sz="4" w:space="0" w:color="auto"/>
            </w:tcBorders>
            <w:shd w:val="clear" w:color="auto" w:fill="A8D08D" w:themeFill="accent6" w:themeFillTint="99"/>
          </w:tcPr>
          <w:p w14:paraId="6387197A" w14:textId="77777777" w:rsidR="00B801F4" w:rsidRPr="00B801F4" w:rsidRDefault="00B801F4" w:rsidP="00B801F4">
            <w:pPr>
              <w:tabs>
                <w:tab w:val="left" w:pos="1080"/>
              </w:tabs>
              <w:spacing w:after="80"/>
              <w:jc w:val="right"/>
              <w:rPr>
                <w:b/>
              </w:rPr>
            </w:pPr>
          </w:p>
        </w:tc>
        <w:tc>
          <w:tcPr>
            <w:tcW w:w="1531" w:type="dxa"/>
            <w:tcBorders>
              <w:top w:val="nil"/>
              <w:bottom w:val="single" w:sz="4" w:space="0" w:color="auto"/>
            </w:tcBorders>
            <w:shd w:val="clear" w:color="auto" w:fill="A8D08D" w:themeFill="accent6" w:themeFillTint="99"/>
          </w:tcPr>
          <w:p w14:paraId="50E94FBC" w14:textId="77777777" w:rsidR="00B801F4" w:rsidRPr="00B801F4" w:rsidRDefault="00B801F4" w:rsidP="00B801F4">
            <w:pPr>
              <w:tabs>
                <w:tab w:val="left" w:pos="1080"/>
              </w:tabs>
              <w:spacing w:after="80"/>
              <w:jc w:val="right"/>
              <w:rPr>
                <w:b/>
              </w:rPr>
            </w:pPr>
            <w:r w:rsidRPr="00B801F4">
              <w:rPr>
                <w:b/>
              </w:rPr>
              <w:t>m</w:t>
            </w:r>
          </w:p>
        </w:tc>
        <w:tc>
          <w:tcPr>
            <w:tcW w:w="1696" w:type="dxa"/>
            <w:gridSpan w:val="2"/>
            <w:tcBorders>
              <w:top w:val="nil"/>
              <w:bottom w:val="single" w:sz="4" w:space="0" w:color="auto"/>
            </w:tcBorders>
            <w:shd w:val="clear" w:color="auto" w:fill="A8D08D" w:themeFill="accent6" w:themeFillTint="99"/>
          </w:tcPr>
          <w:p w14:paraId="21A4C726" w14:textId="77777777" w:rsidR="00B801F4" w:rsidRPr="00B801F4" w:rsidRDefault="00B801F4" w:rsidP="00B801F4">
            <w:pPr>
              <w:tabs>
                <w:tab w:val="left" w:pos="1080"/>
              </w:tabs>
              <w:spacing w:after="80"/>
              <w:jc w:val="right"/>
              <w:rPr>
                <w:b/>
              </w:rPr>
            </w:pPr>
            <w:r w:rsidRPr="00B801F4">
              <w:rPr>
                <w:b/>
              </w:rPr>
              <w:t>£m</w:t>
            </w:r>
          </w:p>
        </w:tc>
        <w:tc>
          <w:tcPr>
            <w:tcW w:w="2126" w:type="dxa"/>
            <w:gridSpan w:val="2"/>
            <w:tcBorders>
              <w:top w:val="nil"/>
              <w:bottom w:val="single" w:sz="4" w:space="0" w:color="auto"/>
            </w:tcBorders>
            <w:shd w:val="clear" w:color="auto" w:fill="A8D08D" w:themeFill="accent6" w:themeFillTint="99"/>
          </w:tcPr>
          <w:p w14:paraId="4978CD34" w14:textId="77777777" w:rsidR="00B801F4" w:rsidRPr="00B801F4" w:rsidRDefault="00B801F4" w:rsidP="00B801F4">
            <w:pPr>
              <w:tabs>
                <w:tab w:val="left" w:pos="1080"/>
              </w:tabs>
              <w:spacing w:after="80"/>
              <w:jc w:val="right"/>
              <w:rPr>
                <w:b/>
              </w:rPr>
            </w:pPr>
            <w:r w:rsidRPr="00B801F4">
              <w:rPr>
                <w:b/>
              </w:rPr>
              <w:t>£m</w:t>
            </w:r>
          </w:p>
        </w:tc>
      </w:tr>
      <w:tr w:rsidR="00B801F4" w:rsidRPr="00B801F4" w14:paraId="193F3729" w14:textId="77777777" w:rsidTr="00B801F4">
        <w:tc>
          <w:tcPr>
            <w:tcW w:w="5807" w:type="dxa"/>
            <w:tcBorders>
              <w:top w:val="single" w:sz="4" w:space="0" w:color="auto"/>
              <w:left w:val="single" w:sz="4" w:space="0" w:color="auto"/>
              <w:bottom w:val="nil"/>
            </w:tcBorders>
          </w:tcPr>
          <w:p w14:paraId="539FC733" w14:textId="77777777" w:rsidR="00B801F4" w:rsidRPr="00B801F4" w:rsidRDefault="00B801F4" w:rsidP="00B801F4">
            <w:pPr>
              <w:tabs>
                <w:tab w:val="left" w:pos="1080"/>
              </w:tabs>
              <w:spacing w:after="80"/>
              <w:jc w:val="left"/>
            </w:pPr>
          </w:p>
        </w:tc>
        <w:tc>
          <w:tcPr>
            <w:tcW w:w="992" w:type="dxa"/>
            <w:tcBorders>
              <w:top w:val="single" w:sz="4" w:space="0" w:color="auto"/>
              <w:bottom w:val="nil"/>
            </w:tcBorders>
          </w:tcPr>
          <w:p w14:paraId="33A9DB46" w14:textId="77777777" w:rsidR="00B801F4" w:rsidRPr="00B801F4" w:rsidRDefault="00B801F4" w:rsidP="00B801F4">
            <w:pPr>
              <w:tabs>
                <w:tab w:val="left" w:pos="1080"/>
              </w:tabs>
              <w:spacing w:after="80"/>
              <w:jc w:val="right"/>
            </w:pPr>
          </w:p>
        </w:tc>
        <w:tc>
          <w:tcPr>
            <w:tcW w:w="1701" w:type="dxa"/>
            <w:gridSpan w:val="2"/>
            <w:tcBorders>
              <w:top w:val="single" w:sz="4" w:space="0" w:color="auto"/>
              <w:bottom w:val="nil"/>
            </w:tcBorders>
          </w:tcPr>
          <w:p w14:paraId="164DEDEA" w14:textId="77777777" w:rsidR="00B801F4" w:rsidRPr="00B801F4" w:rsidRDefault="00B801F4" w:rsidP="00B801F4">
            <w:pPr>
              <w:tabs>
                <w:tab w:val="left" w:pos="1080"/>
              </w:tabs>
              <w:spacing w:after="80"/>
              <w:jc w:val="right"/>
            </w:pPr>
          </w:p>
        </w:tc>
        <w:tc>
          <w:tcPr>
            <w:tcW w:w="1701" w:type="dxa"/>
            <w:gridSpan w:val="2"/>
            <w:tcBorders>
              <w:top w:val="single" w:sz="4" w:space="0" w:color="auto"/>
              <w:bottom w:val="nil"/>
            </w:tcBorders>
          </w:tcPr>
          <w:p w14:paraId="46ACE98C" w14:textId="77777777" w:rsidR="00B801F4" w:rsidRPr="00B801F4" w:rsidRDefault="00B801F4" w:rsidP="00B801F4">
            <w:pPr>
              <w:tabs>
                <w:tab w:val="left" w:pos="1080"/>
              </w:tabs>
              <w:spacing w:after="80"/>
              <w:jc w:val="right"/>
            </w:pPr>
          </w:p>
        </w:tc>
        <w:tc>
          <w:tcPr>
            <w:tcW w:w="1531" w:type="dxa"/>
            <w:tcBorders>
              <w:top w:val="single" w:sz="4" w:space="0" w:color="auto"/>
              <w:bottom w:val="nil"/>
            </w:tcBorders>
          </w:tcPr>
          <w:p w14:paraId="72887AE5" w14:textId="77777777" w:rsidR="00B801F4" w:rsidRPr="00B801F4" w:rsidRDefault="00B801F4" w:rsidP="00B801F4">
            <w:pPr>
              <w:tabs>
                <w:tab w:val="left" w:pos="1080"/>
              </w:tabs>
              <w:spacing w:after="80"/>
              <w:jc w:val="right"/>
            </w:pPr>
          </w:p>
        </w:tc>
        <w:tc>
          <w:tcPr>
            <w:tcW w:w="1696" w:type="dxa"/>
            <w:gridSpan w:val="2"/>
            <w:tcBorders>
              <w:top w:val="single" w:sz="4" w:space="0" w:color="auto"/>
              <w:bottom w:val="nil"/>
            </w:tcBorders>
          </w:tcPr>
          <w:p w14:paraId="78DF97A0" w14:textId="77777777" w:rsidR="00B801F4" w:rsidRPr="00B801F4" w:rsidRDefault="00B801F4" w:rsidP="00B801F4">
            <w:pPr>
              <w:tabs>
                <w:tab w:val="left" w:pos="1080"/>
              </w:tabs>
              <w:spacing w:after="80"/>
              <w:jc w:val="right"/>
            </w:pPr>
          </w:p>
        </w:tc>
        <w:tc>
          <w:tcPr>
            <w:tcW w:w="2126" w:type="dxa"/>
            <w:gridSpan w:val="2"/>
            <w:tcBorders>
              <w:top w:val="single" w:sz="4" w:space="0" w:color="auto"/>
              <w:bottom w:val="nil"/>
              <w:right w:val="single" w:sz="4" w:space="0" w:color="auto"/>
            </w:tcBorders>
          </w:tcPr>
          <w:p w14:paraId="34C8DFD1" w14:textId="77777777" w:rsidR="00B801F4" w:rsidRPr="00B801F4" w:rsidRDefault="00B801F4" w:rsidP="00B801F4">
            <w:pPr>
              <w:tabs>
                <w:tab w:val="left" w:pos="1080"/>
              </w:tabs>
              <w:spacing w:after="80"/>
              <w:jc w:val="right"/>
            </w:pPr>
          </w:p>
        </w:tc>
      </w:tr>
      <w:tr w:rsidR="00B801F4" w:rsidRPr="00B801F4" w14:paraId="4505170C" w14:textId="77777777" w:rsidTr="00B801F4">
        <w:trPr>
          <w:trHeight w:val="614"/>
        </w:trPr>
        <w:tc>
          <w:tcPr>
            <w:tcW w:w="5807" w:type="dxa"/>
            <w:tcBorders>
              <w:top w:val="nil"/>
              <w:bottom w:val="nil"/>
            </w:tcBorders>
          </w:tcPr>
          <w:p w14:paraId="2933D864" w14:textId="77777777" w:rsidR="00B801F4" w:rsidRPr="00B801F4" w:rsidRDefault="00B801F4" w:rsidP="00B801F4">
            <w:pPr>
              <w:tabs>
                <w:tab w:val="left" w:pos="1080"/>
              </w:tabs>
              <w:spacing w:after="80"/>
              <w:jc w:val="left"/>
            </w:pPr>
            <w:r w:rsidRPr="00B801F4">
              <w:t>Up to one month</w:t>
            </w:r>
          </w:p>
        </w:tc>
        <w:tc>
          <w:tcPr>
            <w:tcW w:w="992" w:type="dxa"/>
            <w:tcBorders>
              <w:top w:val="nil"/>
              <w:bottom w:val="nil"/>
            </w:tcBorders>
          </w:tcPr>
          <w:p w14:paraId="45014C85" w14:textId="77777777" w:rsidR="00B801F4" w:rsidRPr="00B801F4" w:rsidRDefault="00B801F4" w:rsidP="00B801F4">
            <w:pPr>
              <w:tabs>
                <w:tab w:val="left" w:pos="1080"/>
              </w:tabs>
              <w:spacing w:after="80"/>
              <w:jc w:val="right"/>
            </w:pPr>
            <w:r w:rsidRPr="00B801F4">
              <w:t>GBP</w:t>
            </w:r>
          </w:p>
        </w:tc>
        <w:tc>
          <w:tcPr>
            <w:tcW w:w="1701" w:type="dxa"/>
            <w:gridSpan w:val="2"/>
            <w:tcBorders>
              <w:top w:val="nil"/>
              <w:bottom w:val="nil"/>
            </w:tcBorders>
          </w:tcPr>
          <w:p w14:paraId="5DE15C23" w14:textId="77777777" w:rsidR="00B801F4" w:rsidRPr="00B801F4" w:rsidRDefault="00B801F4" w:rsidP="00B801F4">
            <w:pPr>
              <w:tabs>
                <w:tab w:val="left" w:pos="1080"/>
              </w:tabs>
              <w:spacing w:after="80"/>
              <w:jc w:val="right"/>
            </w:pPr>
            <w:r w:rsidRPr="00B801F4">
              <w:t>300.0</w:t>
            </w:r>
          </w:p>
        </w:tc>
        <w:tc>
          <w:tcPr>
            <w:tcW w:w="1701" w:type="dxa"/>
            <w:gridSpan w:val="2"/>
            <w:tcBorders>
              <w:top w:val="nil"/>
              <w:bottom w:val="nil"/>
            </w:tcBorders>
          </w:tcPr>
          <w:p w14:paraId="2998920B" w14:textId="77777777" w:rsidR="00B801F4" w:rsidRPr="00B801F4" w:rsidRDefault="00B801F4" w:rsidP="00B801F4">
            <w:pPr>
              <w:tabs>
                <w:tab w:val="left" w:pos="1080"/>
              </w:tabs>
              <w:spacing w:after="80"/>
              <w:jc w:val="right"/>
            </w:pPr>
            <w:r w:rsidRPr="00B801F4">
              <w:t>USD</w:t>
            </w:r>
          </w:p>
        </w:tc>
        <w:tc>
          <w:tcPr>
            <w:tcW w:w="1531" w:type="dxa"/>
            <w:tcBorders>
              <w:top w:val="nil"/>
              <w:bottom w:val="nil"/>
            </w:tcBorders>
          </w:tcPr>
          <w:p w14:paraId="5D2775FA" w14:textId="77777777" w:rsidR="00B801F4" w:rsidRPr="00B801F4" w:rsidRDefault="00B801F4" w:rsidP="00B801F4">
            <w:pPr>
              <w:tabs>
                <w:tab w:val="left" w:pos="1080"/>
              </w:tabs>
              <w:spacing w:after="80"/>
              <w:jc w:val="right"/>
            </w:pPr>
            <w:r w:rsidRPr="00B801F4">
              <w:t>(442.9)</w:t>
            </w:r>
          </w:p>
        </w:tc>
        <w:tc>
          <w:tcPr>
            <w:tcW w:w="1696" w:type="dxa"/>
            <w:gridSpan w:val="2"/>
            <w:tcBorders>
              <w:top w:val="nil"/>
              <w:bottom w:val="nil"/>
            </w:tcBorders>
          </w:tcPr>
          <w:p w14:paraId="4DE5EAAF" w14:textId="77777777" w:rsidR="00B801F4" w:rsidRPr="00B801F4" w:rsidRDefault="00B801F4" w:rsidP="00B801F4">
            <w:pPr>
              <w:tabs>
                <w:tab w:val="left" w:pos="1080"/>
              </w:tabs>
              <w:spacing w:after="80"/>
              <w:jc w:val="right"/>
            </w:pPr>
            <w:r w:rsidRPr="00B801F4">
              <w:t>300.0</w:t>
            </w:r>
          </w:p>
        </w:tc>
        <w:tc>
          <w:tcPr>
            <w:tcW w:w="2126" w:type="dxa"/>
            <w:gridSpan w:val="2"/>
            <w:tcBorders>
              <w:top w:val="nil"/>
              <w:bottom w:val="nil"/>
            </w:tcBorders>
          </w:tcPr>
          <w:p w14:paraId="086926E0" w14:textId="77777777" w:rsidR="00B801F4" w:rsidRPr="00B801F4" w:rsidRDefault="00B801F4" w:rsidP="00B801F4">
            <w:pPr>
              <w:tabs>
                <w:tab w:val="left" w:pos="1080"/>
              </w:tabs>
              <w:spacing w:after="80"/>
              <w:jc w:val="right"/>
            </w:pPr>
            <w:r w:rsidRPr="00B801F4">
              <w:t>(298.4)</w:t>
            </w:r>
          </w:p>
        </w:tc>
      </w:tr>
      <w:tr w:rsidR="00B801F4" w:rsidRPr="00B801F4" w14:paraId="2EABD6EE" w14:textId="77777777" w:rsidTr="00B801F4">
        <w:trPr>
          <w:trHeight w:val="578"/>
        </w:trPr>
        <w:tc>
          <w:tcPr>
            <w:tcW w:w="5807" w:type="dxa"/>
            <w:tcBorders>
              <w:top w:val="nil"/>
              <w:bottom w:val="nil"/>
            </w:tcBorders>
          </w:tcPr>
          <w:p w14:paraId="6F51FF9F" w14:textId="77777777" w:rsidR="00B801F4" w:rsidRPr="00B801F4" w:rsidRDefault="00B801F4" w:rsidP="00B801F4">
            <w:pPr>
              <w:tabs>
                <w:tab w:val="left" w:pos="1080"/>
              </w:tabs>
              <w:spacing w:after="80"/>
              <w:jc w:val="left"/>
            </w:pPr>
            <w:r w:rsidRPr="00B801F4">
              <w:t>Up to one month</w:t>
            </w:r>
          </w:p>
        </w:tc>
        <w:tc>
          <w:tcPr>
            <w:tcW w:w="992" w:type="dxa"/>
            <w:tcBorders>
              <w:top w:val="nil"/>
              <w:bottom w:val="nil"/>
            </w:tcBorders>
          </w:tcPr>
          <w:p w14:paraId="37C875EA" w14:textId="77777777" w:rsidR="00B801F4" w:rsidRPr="00B801F4" w:rsidRDefault="00B801F4" w:rsidP="00B801F4">
            <w:pPr>
              <w:tabs>
                <w:tab w:val="left" w:pos="1080"/>
              </w:tabs>
              <w:spacing w:after="80"/>
              <w:jc w:val="right"/>
            </w:pPr>
            <w:r w:rsidRPr="00B801F4">
              <w:t>USD</w:t>
            </w:r>
          </w:p>
        </w:tc>
        <w:tc>
          <w:tcPr>
            <w:tcW w:w="1701" w:type="dxa"/>
            <w:gridSpan w:val="2"/>
            <w:tcBorders>
              <w:top w:val="nil"/>
              <w:bottom w:val="nil"/>
            </w:tcBorders>
          </w:tcPr>
          <w:p w14:paraId="2060754A" w14:textId="77777777" w:rsidR="00B801F4" w:rsidRPr="00B801F4" w:rsidRDefault="00B801F4" w:rsidP="00B801F4">
            <w:pPr>
              <w:tabs>
                <w:tab w:val="left" w:pos="1080"/>
              </w:tabs>
              <w:spacing w:after="80"/>
              <w:jc w:val="right"/>
            </w:pPr>
            <w:r w:rsidRPr="00B801F4">
              <w:t>445.9</w:t>
            </w:r>
          </w:p>
        </w:tc>
        <w:tc>
          <w:tcPr>
            <w:tcW w:w="1701" w:type="dxa"/>
            <w:gridSpan w:val="2"/>
            <w:tcBorders>
              <w:top w:val="nil"/>
              <w:bottom w:val="nil"/>
            </w:tcBorders>
          </w:tcPr>
          <w:p w14:paraId="2F806536" w14:textId="77777777" w:rsidR="00B801F4" w:rsidRPr="00B801F4" w:rsidRDefault="00B801F4" w:rsidP="00B801F4">
            <w:pPr>
              <w:tabs>
                <w:tab w:val="left" w:pos="1080"/>
              </w:tabs>
              <w:spacing w:after="80"/>
              <w:jc w:val="right"/>
            </w:pPr>
            <w:r w:rsidRPr="00B801F4">
              <w:t>GBP</w:t>
            </w:r>
          </w:p>
        </w:tc>
        <w:tc>
          <w:tcPr>
            <w:tcW w:w="1531" w:type="dxa"/>
            <w:tcBorders>
              <w:top w:val="nil"/>
              <w:bottom w:val="nil"/>
            </w:tcBorders>
          </w:tcPr>
          <w:p w14:paraId="6BB78D79" w14:textId="77777777" w:rsidR="00B801F4" w:rsidRPr="00B801F4" w:rsidRDefault="00B801F4" w:rsidP="00B801F4">
            <w:pPr>
              <w:tabs>
                <w:tab w:val="left" w:pos="1080"/>
              </w:tabs>
              <w:spacing w:after="80"/>
              <w:jc w:val="right"/>
            </w:pPr>
            <w:r w:rsidRPr="00B801F4">
              <w:t>(300.0)</w:t>
            </w:r>
          </w:p>
        </w:tc>
        <w:tc>
          <w:tcPr>
            <w:tcW w:w="1696" w:type="dxa"/>
            <w:gridSpan w:val="2"/>
            <w:tcBorders>
              <w:top w:val="nil"/>
              <w:bottom w:val="nil"/>
            </w:tcBorders>
          </w:tcPr>
          <w:p w14:paraId="7BBB5862" w14:textId="77777777" w:rsidR="00B801F4" w:rsidRPr="00B801F4" w:rsidRDefault="00B801F4" w:rsidP="00B801F4">
            <w:pPr>
              <w:tabs>
                <w:tab w:val="left" w:pos="1080"/>
              </w:tabs>
              <w:spacing w:after="80"/>
              <w:jc w:val="right"/>
            </w:pPr>
            <w:r w:rsidRPr="00B801F4">
              <w:t>300.4</w:t>
            </w:r>
          </w:p>
        </w:tc>
        <w:tc>
          <w:tcPr>
            <w:tcW w:w="2126" w:type="dxa"/>
            <w:gridSpan w:val="2"/>
            <w:tcBorders>
              <w:top w:val="nil"/>
              <w:bottom w:val="nil"/>
            </w:tcBorders>
          </w:tcPr>
          <w:p w14:paraId="5D3AAA80" w14:textId="77777777" w:rsidR="00B801F4" w:rsidRPr="00B801F4" w:rsidRDefault="00B801F4" w:rsidP="00B801F4">
            <w:pPr>
              <w:tabs>
                <w:tab w:val="left" w:pos="1080"/>
              </w:tabs>
              <w:spacing w:after="80"/>
              <w:jc w:val="right"/>
            </w:pPr>
            <w:r w:rsidRPr="00B801F4">
              <w:t>(300.0)</w:t>
            </w:r>
          </w:p>
        </w:tc>
      </w:tr>
      <w:tr w:rsidR="00B801F4" w:rsidRPr="00B801F4" w14:paraId="1C508B61" w14:textId="77777777" w:rsidTr="00B801F4">
        <w:trPr>
          <w:trHeight w:val="557"/>
        </w:trPr>
        <w:tc>
          <w:tcPr>
            <w:tcW w:w="5807" w:type="dxa"/>
            <w:tcBorders>
              <w:top w:val="nil"/>
              <w:bottom w:val="nil"/>
            </w:tcBorders>
          </w:tcPr>
          <w:p w14:paraId="1161278E" w14:textId="77777777" w:rsidR="00B801F4" w:rsidRPr="00B801F4" w:rsidRDefault="00B801F4" w:rsidP="00B801F4">
            <w:pPr>
              <w:tabs>
                <w:tab w:val="left" w:pos="1080"/>
              </w:tabs>
              <w:spacing w:after="80"/>
              <w:jc w:val="left"/>
            </w:pPr>
            <w:r w:rsidRPr="00B801F4">
              <w:t>One to six months</w:t>
            </w:r>
          </w:p>
        </w:tc>
        <w:tc>
          <w:tcPr>
            <w:tcW w:w="992" w:type="dxa"/>
            <w:tcBorders>
              <w:top w:val="nil"/>
              <w:bottom w:val="nil"/>
            </w:tcBorders>
          </w:tcPr>
          <w:p w14:paraId="573723D0" w14:textId="77777777" w:rsidR="00B801F4" w:rsidRPr="00B801F4" w:rsidRDefault="00B801F4" w:rsidP="00B801F4">
            <w:pPr>
              <w:tabs>
                <w:tab w:val="left" w:pos="1080"/>
              </w:tabs>
              <w:spacing w:after="80"/>
              <w:jc w:val="right"/>
            </w:pPr>
            <w:r w:rsidRPr="00B801F4">
              <w:t>AUD</w:t>
            </w:r>
          </w:p>
        </w:tc>
        <w:tc>
          <w:tcPr>
            <w:tcW w:w="1701" w:type="dxa"/>
            <w:gridSpan w:val="2"/>
            <w:tcBorders>
              <w:top w:val="nil"/>
              <w:bottom w:val="nil"/>
            </w:tcBorders>
          </w:tcPr>
          <w:p w14:paraId="7965C95C" w14:textId="77777777" w:rsidR="00B801F4" w:rsidRPr="00B801F4" w:rsidRDefault="00B801F4" w:rsidP="00B801F4">
            <w:pPr>
              <w:tabs>
                <w:tab w:val="left" w:pos="1080"/>
              </w:tabs>
              <w:spacing w:after="80"/>
              <w:jc w:val="right"/>
            </w:pPr>
            <w:r w:rsidRPr="00B801F4">
              <w:t>3.5</w:t>
            </w:r>
          </w:p>
        </w:tc>
        <w:tc>
          <w:tcPr>
            <w:tcW w:w="1701" w:type="dxa"/>
            <w:gridSpan w:val="2"/>
            <w:tcBorders>
              <w:top w:val="nil"/>
              <w:bottom w:val="nil"/>
            </w:tcBorders>
          </w:tcPr>
          <w:p w14:paraId="50EAD6B7" w14:textId="77777777" w:rsidR="00B801F4" w:rsidRPr="00B801F4" w:rsidRDefault="00B801F4" w:rsidP="00B801F4">
            <w:pPr>
              <w:tabs>
                <w:tab w:val="left" w:pos="1080"/>
              </w:tabs>
              <w:spacing w:after="80"/>
              <w:jc w:val="right"/>
            </w:pPr>
            <w:r w:rsidRPr="00B801F4">
              <w:t>USD</w:t>
            </w:r>
          </w:p>
        </w:tc>
        <w:tc>
          <w:tcPr>
            <w:tcW w:w="1531" w:type="dxa"/>
            <w:tcBorders>
              <w:top w:val="nil"/>
              <w:bottom w:val="nil"/>
            </w:tcBorders>
          </w:tcPr>
          <w:p w14:paraId="5C3C13E7" w14:textId="77777777" w:rsidR="00B801F4" w:rsidRPr="00B801F4" w:rsidRDefault="00B801F4" w:rsidP="00B801F4">
            <w:pPr>
              <w:tabs>
                <w:tab w:val="left" w:pos="1080"/>
              </w:tabs>
              <w:spacing w:after="80"/>
              <w:jc w:val="right"/>
            </w:pPr>
            <w:r w:rsidRPr="00B801F4">
              <w:t>(2.8)</w:t>
            </w:r>
          </w:p>
        </w:tc>
        <w:tc>
          <w:tcPr>
            <w:tcW w:w="1696" w:type="dxa"/>
            <w:gridSpan w:val="2"/>
            <w:tcBorders>
              <w:top w:val="nil"/>
              <w:bottom w:val="nil"/>
            </w:tcBorders>
          </w:tcPr>
          <w:p w14:paraId="07D47491" w14:textId="77777777" w:rsidR="00B801F4" w:rsidRPr="00B801F4" w:rsidRDefault="00B801F4" w:rsidP="00B801F4">
            <w:pPr>
              <w:tabs>
                <w:tab w:val="left" w:pos="1080"/>
              </w:tabs>
              <w:spacing w:after="80"/>
              <w:jc w:val="right"/>
            </w:pPr>
            <w:r w:rsidRPr="00B801F4">
              <w:t>1.8</w:t>
            </w:r>
          </w:p>
        </w:tc>
        <w:tc>
          <w:tcPr>
            <w:tcW w:w="2126" w:type="dxa"/>
            <w:gridSpan w:val="2"/>
            <w:tcBorders>
              <w:top w:val="nil"/>
              <w:bottom w:val="nil"/>
            </w:tcBorders>
          </w:tcPr>
          <w:p w14:paraId="7C888483" w14:textId="77777777" w:rsidR="00B801F4" w:rsidRPr="00B801F4" w:rsidRDefault="00B801F4" w:rsidP="00B801F4">
            <w:pPr>
              <w:tabs>
                <w:tab w:val="left" w:pos="1080"/>
              </w:tabs>
              <w:spacing w:after="80"/>
              <w:jc w:val="right"/>
            </w:pPr>
            <w:r w:rsidRPr="00B801F4">
              <w:t>(1.9)</w:t>
            </w:r>
          </w:p>
        </w:tc>
      </w:tr>
      <w:tr w:rsidR="00B801F4" w:rsidRPr="00B801F4" w14:paraId="293E7B32" w14:textId="77777777" w:rsidTr="00B801F4">
        <w:trPr>
          <w:trHeight w:val="579"/>
        </w:trPr>
        <w:tc>
          <w:tcPr>
            <w:tcW w:w="5807" w:type="dxa"/>
            <w:tcBorders>
              <w:top w:val="nil"/>
              <w:bottom w:val="nil"/>
            </w:tcBorders>
          </w:tcPr>
          <w:p w14:paraId="58FFD065" w14:textId="77777777" w:rsidR="00B801F4" w:rsidRPr="00B801F4" w:rsidRDefault="00B801F4" w:rsidP="00B801F4">
            <w:pPr>
              <w:tabs>
                <w:tab w:val="left" w:pos="1080"/>
              </w:tabs>
              <w:spacing w:after="80"/>
              <w:jc w:val="left"/>
            </w:pPr>
            <w:r w:rsidRPr="00B801F4">
              <w:t>One to six months</w:t>
            </w:r>
          </w:p>
        </w:tc>
        <w:tc>
          <w:tcPr>
            <w:tcW w:w="992" w:type="dxa"/>
            <w:tcBorders>
              <w:top w:val="nil"/>
              <w:bottom w:val="nil"/>
            </w:tcBorders>
          </w:tcPr>
          <w:p w14:paraId="68EA8975" w14:textId="77777777" w:rsidR="00B801F4" w:rsidRPr="00B801F4" w:rsidRDefault="00B801F4" w:rsidP="00B801F4">
            <w:pPr>
              <w:tabs>
                <w:tab w:val="left" w:pos="1080"/>
              </w:tabs>
              <w:spacing w:after="80"/>
              <w:jc w:val="right"/>
            </w:pPr>
            <w:r w:rsidRPr="00B801F4">
              <w:t>USD</w:t>
            </w:r>
          </w:p>
        </w:tc>
        <w:tc>
          <w:tcPr>
            <w:tcW w:w="1701" w:type="dxa"/>
            <w:gridSpan w:val="2"/>
            <w:tcBorders>
              <w:top w:val="nil"/>
              <w:bottom w:val="nil"/>
            </w:tcBorders>
          </w:tcPr>
          <w:p w14:paraId="08A83462" w14:textId="77777777" w:rsidR="00B801F4" w:rsidRPr="00B801F4" w:rsidRDefault="00B801F4" w:rsidP="00B801F4">
            <w:pPr>
              <w:tabs>
                <w:tab w:val="left" w:pos="1080"/>
              </w:tabs>
              <w:spacing w:after="80"/>
              <w:jc w:val="right"/>
            </w:pPr>
            <w:r w:rsidRPr="00B801F4">
              <w:t>30.4</w:t>
            </w:r>
          </w:p>
        </w:tc>
        <w:tc>
          <w:tcPr>
            <w:tcW w:w="1701" w:type="dxa"/>
            <w:gridSpan w:val="2"/>
            <w:tcBorders>
              <w:top w:val="nil"/>
              <w:bottom w:val="nil"/>
            </w:tcBorders>
          </w:tcPr>
          <w:p w14:paraId="37EE5624" w14:textId="77777777" w:rsidR="00B801F4" w:rsidRPr="00B801F4" w:rsidRDefault="00B801F4" w:rsidP="00B801F4">
            <w:pPr>
              <w:tabs>
                <w:tab w:val="left" w:pos="1080"/>
              </w:tabs>
              <w:spacing w:after="80"/>
              <w:jc w:val="right"/>
            </w:pPr>
            <w:r w:rsidRPr="00B801F4">
              <w:t>CHF</w:t>
            </w:r>
          </w:p>
        </w:tc>
        <w:tc>
          <w:tcPr>
            <w:tcW w:w="1531" w:type="dxa"/>
            <w:tcBorders>
              <w:top w:val="nil"/>
              <w:bottom w:val="nil"/>
            </w:tcBorders>
          </w:tcPr>
          <w:p w14:paraId="4D6B61F1" w14:textId="77777777" w:rsidR="00B801F4" w:rsidRPr="00B801F4" w:rsidRDefault="00B801F4" w:rsidP="00B801F4">
            <w:pPr>
              <w:tabs>
                <w:tab w:val="left" w:pos="1080"/>
              </w:tabs>
              <w:spacing w:after="80"/>
              <w:jc w:val="right"/>
            </w:pPr>
            <w:r w:rsidRPr="00B801F4">
              <w:t>(28.7)</w:t>
            </w:r>
          </w:p>
        </w:tc>
        <w:tc>
          <w:tcPr>
            <w:tcW w:w="1696" w:type="dxa"/>
            <w:gridSpan w:val="2"/>
            <w:tcBorders>
              <w:top w:val="nil"/>
              <w:bottom w:val="nil"/>
            </w:tcBorders>
          </w:tcPr>
          <w:p w14:paraId="2B99439A" w14:textId="77777777" w:rsidR="00B801F4" w:rsidRPr="00B801F4" w:rsidRDefault="00B801F4" w:rsidP="00B801F4">
            <w:pPr>
              <w:tabs>
                <w:tab w:val="left" w:pos="1080"/>
              </w:tabs>
              <w:spacing w:after="80"/>
              <w:jc w:val="right"/>
            </w:pPr>
            <w:r w:rsidRPr="00B801F4">
              <w:t>20.5</w:t>
            </w:r>
          </w:p>
        </w:tc>
        <w:tc>
          <w:tcPr>
            <w:tcW w:w="2126" w:type="dxa"/>
            <w:gridSpan w:val="2"/>
            <w:tcBorders>
              <w:top w:val="nil"/>
              <w:bottom w:val="nil"/>
            </w:tcBorders>
          </w:tcPr>
          <w:p w14:paraId="31C337BF" w14:textId="77777777" w:rsidR="00B801F4" w:rsidRPr="00B801F4" w:rsidRDefault="00B801F4" w:rsidP="00B801F4">
            <w:pPr>
              <w:tabs>
                <w:tab w:val="left" w:pos="1080"/>
              </w:tabs>
              <w:spacing w:after="80"/>
              <w:jc w:val="right"/>
            </w:pPr>
            <w:r w:rsidRPr="00B801F4">
              <w:t>(20.1)</w:t>
            </w:r>
          </w:p>
        </w:tc>
      </w:tr>
      <w:tr w:rsidR="00B801F4" w:rsidRPr="00B801F4" w14:paraId="585207D7" w14:textId="77777777" w:rsidTr="00B801F4">
        <w:trPr>
          <w:trHeight w:val="701"/>
        </w:trPr>
        <w:tc>
          <w:tcPr>
            <w:tcW w:w="5807" w:type="dxa"/>
            <w:tcBorders>
              <w:top w:val="nil"/>
              <w:bottom w:val="nil"/>
            </w:tcBorders>
          </w:tcPr>
          <w:p w14:paraId="5D08FAB7" w14:textId="77777777" w:rsidR="00B801F4" w:rsidRPr="00B801F4" w:rsidRDefault="00B801F4" w:rsidP="00B801F4">
            <w:pPr>
              <w:tabs>
                <w:tab w:val="left" w:pos="1080"/>
              </w:tabs>
              <w:spacing w:after="80"/>
              <w:jc w:val="left"/>
            </w:pPr>
            <w:r w:rsidRPr="00B801F4">
              <w:t>One to six months</w:t>
            </w:r>
          </w:p>
        </w:tc>
        <w:tc>
          <w:tcPr>
            <w:tcW w:w="992" w:type="dxa"/>
            <w:tcBorders>
              <w:top w:val="nil"/>
              <w:bottom w:val="nil"/>
            </w:tcBorders>
          </w:tcPr>
          <w:p w14:paraId="3C87183F" w14:textId="77777777" w:rsidR="00B801F4" w:rsidRPr="00B801F4" w:rsidRDefault="00B801F4" w:rsidP="00B801F4">
            <w:pPr>
              <w:tabs>
                <w:tab w:val="left" w:pos="1080"/>
              </w:tabs>
              <w:spacing w:after="80"/>
              <w:jc w:val="right"/>
            </w:pPr>
            <w:r w:rsidRPr="00B801F4">
              <w:t>USD</w:t>
            </w:r>
          </w:p>
        </w:tc>
        <w:tc>
          <w:tcPr>
            <w:tcW w:w="1701" w:type="dxa"/>
            <w:gridSpan w:val="2"/>
            <w:tcBorders>
              <w:top w:val="nil"/>
              <w:bottom w:val="nil"/>
            </w:tcBorders>
          </w:tcPr>
          <w:p w14:paraId="25B9F398" w14:textId="77777777" w:rsidR="00B801F4" w:rsidRPr="00B801F4" w:rsidRDefault="00B801F4" w:rsidP="00B801F4">
            <w:pPr>
              <w:tabs>
                <w:tab w:val="left" w:pos="1080"/>
              </w:tabs>
              <w:spacing w:after="80"/>
              <w:jc w:val="right"/>
            </w:pPr>
            <w:r w:rsidRPr="00B801F4">
              <w:t>5.3</w:t>
            </w:r>
          </w:p>
        </w:tc>
        <w:tc>
          <w:tcPr>
            <w:tcW w:w="1701" w:type="dxa"/>
            <w:gridSpan w:val="2"/>
            <w:tcBorders>
              <w:top w:val="nil"/>
              <w:bottom w:val="nil"/>
            </w:tcBorders>
          </w:tcPr>
          <w:p w14:paraId="69C2C55D" w14:textId="77777777" w:rsidR="00B801F4" w:rsidRPr="00B801F4" w:rsidRDefault="00B801F4" w:rsidP="00B801F4">
            <w:pPr>
              <w:tabs>
                <w:tab w:val="left" w:pos="1080"/>
              </w:tabs>
              <w:spacing w:after="80"/>
              <w:jc w:val="right"/>
            </w:pPr>
            <w:r w:rsidRPr="00B801F4">
              <w:t>AUD</w:t>
            </w:r>
          </w:p>
        </w:tc>
        <w:tc>
          <w:tcPr>
            <w:tcW w:w="1531" w:type="dxa"/>
            <w:tcBorders>
              <w:top w:val="nil"/>
              <w:bottom w:val="nil"/>
            </w:tcBorders>
          </w:tcPr>
          <w:p w14:paraId="701A74FF" w14:textId="77777777" w:rsidR="00B801F4" w:rsidRPr="00B801F4" w:rsidRDefault="00B801F4" w:rsidP="00B801F4">
            <w:pPr>
              <w:tabs>
                <w:tab w:val="left" w:pos="1080"/>
              </w:tabs>
              <w:spacing w:after="80"/>
              <w:jc w:val="right"/>
            </w:pPr>
            <w:r w:rsidRPr="00B801F4">
              <w:t>(5.9)</w:t>
            </w:r>
          </w:p>
        </w:tc>
        <w:tc>
          <w:tcPr>
            <w:tcW w:w="1696" w:type="dxa"/>
            <w:gridSpan w:val="2"/>
            <w:tcBorders>
              <w:top w:val="nil"/>
              <w:bottom w:val="nil"/>
            </w:tcBorders>
          </w:tcPr>
          <w:p w14:paraId="42075046" w14:textId="77777777" w:rsidR="00B801F4" w:rsidRPr="00B801F4" w:rsidRDefault="00B801F4" w:rsidP="00B801F4">
            <w:pPr>
              <w:tabs>
                <w:tab w:val="left" w:pos="1080"/>
              </w:tabs>
              <w:spacing w:after="80"/>
              <w:jc w:val="right"/>
            </w:pPr>
            <w:r w:rsidRPr="00B801F4">
              <w:t>3.6</w:t>
            </w:r>
          </w:p>
        </w:tc>
        <w:tc>
          <w:tcPr>
            <w:tcW w:w="2126" w:type="dxa"/>
            <w:gridSpan w:val="2"/>
            <w:tcBorders>
              <w:top w:val="nil"/>
              <w:bottom w:val="nil"/>
            </w:tcBorders>
          </w:tcPr>
          <w:p w14:paraId="2D9F6E2A" w14:textId="77777777" w:rsidR="00B801F4" w:rsidRPr="00B801F4" w:rsidRDefault="00B801F4" w:rsidP="00B801F4">
            <w:pPr>
              <w:tabs>
                <w:tab w:val="left" w:pos="1080"/>
              </w:tabs>
              <w:spacing w:after="80"/>
              <w:jc w:val="right"/>
            </w:pPr>
            <w:r w:rsidRPr="00B801F4">
              <w:t>(3.0)</w:t>
            </w:r>
          </w:p>
        </w:tc>
      </w:tr>
      <w:tr w:rsidR="00B801F4" w:rsidRPr="00B801F4" w14:paraId="3DF94C1C" w14:textId="77777777" w:rsidTr="00B801F4">
        <w:trPr>
          <w:trHeight w:val="747"/>
        </w:trPr>
        <w:tc>
          <w:tcPr>
            <w:tcW w:w="5807" w:type="dxa"/>
            <w:tcBorders>
              <w:top w:val="nil"/>
              <w:bottom w:val="nil"/>
            </w:tcBorders>
          </w:tcPr>
          <w:p w14:paraId="5E03A0FD" w14:textId="77777777" w:rsidR="00B801F4" w:rsidRPr="00B801F4" w:rsidRDefault="00B801F4" w:rsidP="00B801F4">
            <w:pPr>
              <w:tabs>
                <w:tab w:val="left" w:pos="1080"/>
              </w:tabs>
              <w:spacing w:after="80"/>
              <w:jc w:val="left"/>
            </w:pPr>
            <w:r w:rsidRPr="00B801F4">
              <w:t>One to six months</w:t>
            </w:r>
          </w:p>
        </w:tc>
        <w:tc>
          <w:tcPr>
            <w:tcW w:w="992" w:type="dxa"/>
            <w:tcBorders>
              <w:top w:val="nil"/>
              <w:bottom w:val="nil"/>
            </w:tcBorders>
          </w:tcPr>
          <w:p w14:paraId="4C43FA9A" w14:textId="77777777" w:rsidR="00B801F4" w:rsidRPr="00B801F4" w:rsidRDefault="00B801F4" w:rsidP="00B801F4">
            <w:pPr>
              <w:tabs>
                <w:tab w:val="left" w:pos="1080"/>
              </w:tabs>
              <w:spacing w:after="80"/>
              <w:jc w:val="right"/>
            </w:pPr>
            <w:r w:rsidRPr="00B801F4">
              <w:t>CHF</w:t>
            </w:r>
          </w:p>
        </w:tc>
        <w:tc>
          <w:tcPr>
            <w:tcW w:w="1701" w:type="dxa"/>
            <w:gridSpan w:val="2"/>
            <w:tcBorders>
              <w:top w:val="nil"/>
              <w:bottom w:val="nil"/>
            </w:tcBorders>
          </w:tcPr>
          <w:p w14:paraId="66F1C6FA" w14:textId="77777777" w:rsidR="00B801F4" w:rsidRPr="00B801F4" w:rsidRDefault="00B801F4" w:rsidP="00B801F4">
            <w:pPr>
              <w:tabs>
                <w:tab w:val="left" w:pos="1080"/>
              </w:tabs>
              <w:spacing w:after="80"/>
              <w:jc w:val="right"/>
            </w:pPr>
            <w:r w:rsidRPr="00B801F4">
              <w:t>8.7</w:t>
            </w:r>
          </w:p>
        </w:tc>
        <w:tc>
          <w:tcPr>
            <w:tcW w:w="1701" w:type="dxa"/>
            <w:gridSpan w:val="2"/>
            <w:tcBorders>
              <w:top w:val="nil"/>
              <w:bottom w:val="nil"/>
            </w:tcBorders>
          </w:tcPr>
          <w:p w14:paraId="646B4746" w14:textId="77777777" w:rsidR="00B801F4" w:rsidRPr="00B801F4" w:rsidRDefault="00B801F4" w:rsidP="00B801F4">
            <w:pPr>
              <w:tabs>
                <w:tab w:val="left" w:pos="1080"/>
              </w:tabs>
              <w:spacing w:after="80"/>
              <w:jc w:val="right"/>
            </w:pPr>
            <w:r w:rsidRPr="00B801F4">
              <w:t>USD</w:t>
            </w:r>
          </w:p>
        </w:tc>
        <w:tc>
          <w:tcPr>
            <w:tcW w:w="1531" w:type="dxa"/>
            <w:tcBorders>
              <w:top w:val="nil"/>
              <w:bottom w:val="nil"/>
            </w:tcBorders>
          </w:tcPr>
          <w:p w14:paraId="029A3C33" w14:textId="77777777" w:rsidR="00B801F4" w:rsidRPr="00B801F4" w:rsidRDefault="00B801F4" w:rsidP="00B801F4">
            <w:pPr>
              <w:tabs>
                <w:tab w:val="left" w:pos="1080"/>
              </w:tabs>
              <w:spacing w:after="80"/>
              <w:jc w:val="right"/>
            </w:pPr>
            <w:r w:rsidRPr="00B801F4">
              <w:t>(9.2)</w:t>
            </w:r>
          </w:p>
        </w:tc>
        <w:tc>
          <w:tcPr>
            <w:tcW w:w="1696" w:type="dxa"/>
            <w:gridSpan w:val="2"/>
            <w:tcBorders>
              <w:top w:val="nil"/>
              <w:bottom w:val="nil"/>
            </w:tcBorders>
          </w:tcPr>
          <w:p w14:paraId="720415FD" w14:textId="77777777" w:rsidR="00B801F4" w:rsidRPr="00B801F4" w:rsidRDefault="00B801F4" w:rsidP="00B801F4">
            <w:pPr>
              <w:tabs>
                <w:tab w:val="left" w:pos="1080"/>
              </w:tabs>
              <w:spacing w:after="80"/>
              <w:jc w:val="right"/>
            </w:pPr>
            <w:r w:rsidRPr="00B801F4">
              <w:t>6.1</w:t>
            </w:r>
          </w:p>
        </w:tc>
        <w:tc>
          <w:tcPr>
            <w:tcW w:w="2126" w:type="dxa"/>
            <w:gridSpan w:val="2"/>
            <w:tcBorders>
              <w:top w:val="nil"/>
              <w:bottom w:val="nil"/>
            </w:tcBorders>
          </w:tcPr>
          <w:p w14:paraId="21CC8439" w14:textId="77777777" w:rsidR="00B801F4" w:rsidRPr="00B801F4" w:rsidRDefault="00B801F4" w:rsidP="00B801F4">
            <w:pPr>
              <w:tabs>
                <w:tab w:val="left" w:pos="1080"/>
              </w:tabs>
              <w:spacing w:after="80"/>
              <w:jc w:val="right"/>
            </w:pPr>
            <w:r w:rsidRPr="00B801F4">
              <w:t>(6.2)</w:t>
            </w:r>
          </w:p>
        </w:tc>
      </w:tr>
      <w:tr w:rsidR="00B801F4" w:rsidRPr="00B801F4" w14:paraId="3B009208" w14:textId="77777777" w:rsidTr="00B801F4">
        <w:tc>
          <w:tcPr>
            <w:tcW w:w="5807" w:type="dxa"/>
            <w:tcBorders>
              <w:top w:val="nil"/>
              <w:bottom w:val="nil"/>
            </w:tcBorders>
            <w:shd w:val="clear" w:color="auto" w:fill="C5E0B3" w:themeFill="accent6" w:themeFillTint="66"/>
          </w:tcPr>
          <w:p w14:paraId="1FE99A00" w14:textId="77777777" w:rsidR="00B801F4" w:rsidRPr="00B801F4" w:rsidRDefault="00B801F4" w:rsidP="00B801F4">
            <w:pPr>
              <w:tabs>
                <w:tab w:val="left" w:pos="1080"/>
              </w:tabs>
              <w:spacing w:after="80"/>
              <w:jc w:val="left"/>
            </w:pPr>
            <w:r w:rsidRPr="00B801F4">
              <w:t>Open forward currency contracts at 31 March 2015</w:t>
            </w:r>
          </w:p>
        </w:tc>
        <w:tc>
          <w:tcPr>
            <w:tcW w:w="992" w:type="dxa"/>
            <w:tcBorders>
              <w:top w:val="nil"/>
              <w:bottom w:val="nil"/>
            </w:tcBorders>
            <w:shd w:val="clear" w:color="auto" w:fill="C5E0B3" w:themeFill="accent6" w:themeFillTint="66"/>
          </w:tcPr>
          <w:p w14:paraId="5FC5C4F2" w14:textId="77777777" w:rsidR="00B801F4" w:rsidRPr="00B801F4" w:rsidRDefault="00B801F4" w:rsidP="00B801F4">
            <w:pPr>
              <w:tabs>
                <w:tab w:val="left" w:pos="1080"/>
              </w:tabs>
              <w:spacing w:after="80"/>
              <w:jc w:val="right"/>
            </w:pPr>
          </w:p>
        </w:tc>
        <w:tc>
          <w:tcPr>
            <w:tcW w:w="1701" w:type="dxa"/>
            <w:gridSpan w:val="2"/>
            <w:tcBorders>
              <w:top w:val="nil"/>
              <w:bottom w:val="nil"/>
            </w:tcBorders>
            <w:shd w:val="clear" w:color="auto" w:fill="C5E0B3" w:themeFill="accent6" w:themeFillTint="66"/>
          </w:tcPr>
          <w:p w14:paraId="412154AD" w14:textId="77777777" w:rsidR="00B801F4" w:rsidRPr="00B801F4" w:rsidRDefault="00B801F4" w:rsidP="00B801F4">
            <w:pPr>
              <w:tabs>
                <w:tab w:val="left" w:pos="1080"/>
              </w:tabs>
              <w:spacing w:after="80"/>
              <w:jc w:val="right"/>
            </w:pPr>
          </w:p>
        </w:tc>
        <w:tc>
          <w:tcPr>
            <w:tcW w:w="1701" w:type="dxa"/>
            <w:gridSpan w:val="2"/>
            <w:tcBorders>
              <w:top w:val="nil"/>
              <w:bottom w:val="nil"/>
            </w:tcBorders>
            <w:shd w:val="clear" w:color="auto" w:fill="C5E0B3" w:themeFill="accent6" w:themeFillTint="66"/>
          </w:tcPr>
          <w:p w14:paraId="36BA45BE" w14:textId="77777777" w:rsidR="00B801F4" w:rsidRPr="00B801F4" w:rsidRDefault="00B801F4" w:rsidP="00B801F4">
            <w:pPr>
              <w:tabs>
                <w:tab w:val="left" w:pos="1080"/>
              </w:tabs>
              <w:spacing w:after="80"/>
              <w:jc w:val="right"/>
            </w:pPr>
          </w:p>
        </w:tc>
        <w:tc>
          <w:tcPr>
            <w:tcW w:w="1531" w:type="dxa"/>
            <w:tcBorders>
              <w:top w:val="nil"/>
              <w:bottom w:val="nil"/>
            </w:tcBorders>
            <w:shd w:val="clear" w:color="auto" w:fill="C5E0B3" w:themeFill="accent6" w:themeFillTint="66"/>
          </w:tcPr>
          <w:p w14:paraId="23125C26" w14:textId="77777777" w:rsidR="00B801F4" w:rsidRPr="00B801F4" w:rsidRDefault="00B801F4" w:rsidP="00B801F4">
            <w:pPr>
              <w:tabs>
                <w:tab w:val="left" w:pos="1080"/>
              </w:tabs>
              <w:spacing w:after="80"/>
              <w:jc w:val="right"/>
            </w:pPr>
          </w:p>
        </w:tc>
        <w:tc>
          <w:tcPr>
            <w:tcW w:w="1696" w:type="dxa"/>
            <w:gridSpan w:val="2"/>
            <w:tcBorders>
              <w:top w:val="nil"/>
              <w:bottom w:val="nil"/>
            </w:tcBorders>
            <w:shd w:val="clear" w:color="auto" w:fill="C5E0B3" w:themeFill="accent6" w:themeFillTint="66"/>
          </w:tcPr>
          <w:p w14:paraId="1265D448" w14:textId="77777777" w:rsidR="00B801F4" w:rsidRPr="00B801F4" w:rsidRDefault="00B801F4" w:rsidP="00B801F4">
            <w:pPr>
              <w:tabs>
                <w:tab w:val="left" w:pos="1080"/>
              </w:tabs>
              <w:spacing w:after="80"/>
              <w:jc w:val="right"/>
            </w:pPr>
            <w:r w:rsidRPr="00B801F4">
              <w:t>632.4</w:t>
            </w:r>
          </w:p>
        </w:tc>
        <w:tc>
          <w:tcPr>
            <w:tcW w:w="2126" w:type="dxa"/>
            <w:gridSpan w:val="2"/>
            <w:tcBorders>
              <w:top w:val="nil"/>
              <w:bottom w:val="nil"/>
            </w:tcBorders>
            <w:shd w:val="clear" w:color="auto" w:fill="C5E0B3" w:themeFill="accent6" w:themeFillTint="66"/>
          </w:tcPr>
          <w:p w14:paraId="678D83A7" w14:textId="77777777" w:rsidR="00B801F4" w:rsidRPr="00B801F4" w:rsidRDefault="00B801F4" w:rsidP="00B801F4">
            <w:pPr>
              <w:tabs>
                <w:tab w:val="left" w:pos="1080"/>
              </w:tabs>
              <w:spacing w:after="80"/>
              <w:jc w:val="right"/>
            </w:pPr>
            <w:r w:rsidRPr="00B801F4">
              <w:t>(629.6)</w:t>
            </w:r>
          </w:p>
        </w:tc>
      </w:tr>
      <w:tr w:rsidR="00B801F4" w:rsidRPr="00B801F4" w14:paraId="197BECCC" w14:textId="77777777" w:rsidTr="00B801F4">
        <w:trPr>
          <w:trHeight w:val="82"/>
        </w:trPr>
        <w:tc>
          <w:tcPr>
            <w:tcW w:w="5807" w:type="dxa"/>
            <w:tcBorders>
              <w:top w:val="nil"/>
              <w:bottom w:val="nil"/>
            </w:tcBorders>
            <w:shd w:val="clear" w:color="auto" w:fill="C5E0B3" w:themeFill="accent6" w:themeFillTint="66"/>
          </w:tcPr>
          <w:p w14:paraId="1FEF1A1F" w14:textId="77777777" w:rsidR="00B801F4" w:rsidRPr="00B801F4" w:rsidRDefault="00B801F4" w:rsidP="00B801F4">
            <w:pPr>
              <w:tabs>
                <w:tab w:val="left" w:pos="1080"/>
              </w:tabs>
              <w:spacing w:after="80"/>
              <w:jc w:val="left"/>
            </w:pPr>
          </w:p>
        </w:tc>
        <w:tc>
          <w:tcPr>
            <w:tcW w:w="992" w:type="dxa"/>
            <w:tcBorders>
              <w:top w:val="nil"/>
              <w:bottom w:val="nil"/>
            </w:tcBorders>
            <w:shd w:val="clear" w:color="auto" w:fill="C5E0B3" w:themeFill="accent6" w:themeFillTint="66"/>
          </w:tcPr>
          <w:p w14:paraId="32C9C93D" w14:textId="77777777" w:rsidR="00B801F4" w:rsidRPr="00B801F4" w:rsidRDefault="00B801F4" w:rsidP="00B801F4">
            <w:pPr>
              <w:tabs>
                <w:tab w:val="left" w:pos="1080"/>
              </w:tabs>
              <w:spacing w:after="80"/>
              <w:jc w:val="right"/>
            </w:pPr>
          </w:p>
        </w:tc>
        <w:tc>
          <w:tcPr>
            <w:tcW w:w="1701" w:type="dxa"/>
            <w:gridSpan w:val="2"/>
            <w:tcBorders>
              <w:top w:val="nil"/>
              <w:bottom w:val="nil"/>
            </w:tcBorders>
            <w:shd w:val="clear" w:color="auto" w:fill="C5E0B3" w:themeFill="accent6" w:themeFillTint="66"/>
          </w:tcPr>
          <w:p w14:paraId="023A08EC" w14:textId="77777777" w:rsidR="00B801F4" w:rsidRPr="00B801F4" w:rsidRDefault="00B801F4" w:rsidP="00B801F4">
            <w:pPr>
              <w:tabs>
                <w:tab w:val="left" w:pos="1080"/>
              </w:tabs>
              <w:spacing w:after="80"/>
              <w:jc w:val="right"/>
            </w:pPr>
          </w:p>
        </w:tc>
        <w:tc>
          <w:tcPr>
            <w:tcW w:w="1701" w:type="dxa"/>
            <w:gridSpan w:val="2"/>
            <w:tcBorders>
              <w:top w:val="nil"/>
              <w:bottom w:val="nil"/>
            </w:tcBorders>
            <w:shd w:val="clear" w:color="auto" w:fill="C5E0B3" w:themeFill="accent6" w:themeFillTint="66"/>
          </w:tcPr>
          <w:p w14:paraId="0774FE75" w14:textId="77777777" w:rsidR="00B801F4" w:rsidRPr="00B801F4" w:rsidRDefault="00B801F4" w:rsidP="00B801F4">
            <w:pPr>
              <w:tabs>
                <w:tab w:val="left" w:pos="1080"/>
              </w:tabs>
              <w:spacing w:after="80"/>
              <w:jc w:val="right"/>
            </w:pPr>
          </w:p>
        </w:tc>
        <w:tc>
          <w:tcPr>
            <w:tcW w:w="1531" w:type="dxa"/>
            <w:tcBorders>
              <w:top w:val="nil"/>
              <w:bottom w:val="nil"/>
            </w:tcBorders>
            <w:shd w:val="clear" w:color="auto" w:fill="C5E0B3" w:themeFill="accent6" w:themeFillTint="66"/>
          </w:tcPr>
          <w:p w14:paraId="2E52953D" w14:textId="77777777" w:rsidR="00B801F4" w:rsidRPr="00B801F4" w:rsidRDefault="00B801F4" w:rsidP="00B801F4">
            <w:pPr>
              <w:tabs>
                <w:tab w:val="left" w:pos="1080"/>
              </w:tabs>
              <w:spacing w:after="80"/>
              <w:jc w:val="right"/>
            </w:pPr>
          </w:p>
        </w:tc>
        <w:tc>
          <w:tcPr>
            <w:tcW w:w="1696" w:type="dxa"/>
            <w:gridSpan w:val="2"/>
            <w:tcBorders>
              <w:top w:val="nil"/>
              <w:bottom w:val="nil"/>
            </w:tcBorders>
            <w:shd w:val="clear" w:color="auto" w:fill="C5E0B3" w:themeFill="accent6" w:themeFillTint="66"/>
          </w:tcPr>
          <w:p w14:paraId="3134219D" w14:textId="77777777" w:rsidR="00B801F4" w:rsidRPr="00B801F4" w:rsidRDefault="00B801F4" w:rsidP="00B801F4">
            <w:pPr>
              <w:tabs>
                <w:tab w:val="left" w:pos="1080"/>
              </w:tabs>
              <w:spacing w:after="80"/>
              <w:jc w:val="right"/>
            </w:pPr>
          </w:p>
        </w:tc>
        <w:tc>
          <w:tcPr>
            <w:tcW w:w="2126" w:type="dxa"/>
            <w:gridSpan w:val="2"/>
            <w:tcBorders>
              <w:top w:val="nil"/>
              <w:bottom w:val="nil"/>
            </w:tcBorders>
            <w:shd w:val="clear" w:color="auto" w:fill="C5E0B3" w:themeFill="accent6" w:themeFillTint="66"/>
          </w:tcPr>
          <w:p w14:paraId="37FA542C" w14:textId="77777777" w:rsidR="00B801F4" w:rsidRPr="00B801F4" w:rsidRDefault="00B801F4" w:rsidP="00B801F4">
            <w:pPr>
              <w:tabs>
                <w:tab w:val="left" w:pos="1080"/>
              </w:tabs>
              <w:spacing w:after="80"/>
              <w:jc w:val="right"/>
            </w:pPr>
          </w:p>
        </w:tc>
      </w:tr>
      <w:tr w:rsidR="00B801F4" w:rsidRPr="00B801F4" w14:paraId="0AD4C0B0" w14:textId="77777777" w:rsidTr="00B801F4">
        <w:trPr>
          <w:trHeight w:val="569"/>
        </w:trPr>
        <w:tc>
          <w:tcPr>
            <w:tcW w:w="5807" w:type="dxa"/>
            <w:tcBorders>
              <w:top w:val="nil"/>
              <w:bottom w:val="nil"/>
            </w:tcBorders>
            <w:shd w:val="clear" w:color="auto" w:fill="C5E0B3" w:themeFill="accent6" w:themeFillTint="66"/>
          </w:tcPr>
          <w:p w14:paraId="423810F2" w14:textId="77777777" w:rsidR="00B801F4" w:rsidRPr="00B801F4" w:rsidRDefault="00B801F4" w:rsidP="00B801F4">
            <w:pPr>
              <w:tabs>
                <w:tab w:val="left" w:pos="1080"/>
              </w:tabs>
              <w:spacing w:after="80"/>
              <w:jc w:val="left"/>
            </w:pPr>
            <w:r w:rsidRPr="00B801F4">
              <w:t>Net forward currency contracts at 31 March 2015</w:t>
            </w:r>
          </w:p>
        </w:tc>
        <w:tc>
          <w:tcPr>
            <w:tcW w:w="992" w:type="dxa"/>
            <w:tcBorders>
              <w:top w:val="nil"/>
              <w:bottom w:val="nil"/>
            </w:tcBorders>
            <w:shd w:val="clear" w:color="auto" w:fill="C5E0B3" w:themeFill="accent6" w:themeFillTint="66"/>
          </w:tcPr>
          <w:p w14:paraId="7BEEEEA6" w14:textId="77777777" w:rsidR="00B801F4" w:rsidRPr="00B801F4" w:rsidRDefault="00B801F4" w:rsidP="00B801F4">
            <w:pPr>
              <w:tabs>
                <w:tab w:val="left" w:pos="1080"/>
              </w:tabs>
              <w:spacing w:after="80"/>
              <w:jc w:val="right"/>
            </w:pPr>
          </w:p>
        </w:tc>
        <w:tc>
          <w:tcPr>
            <w:tcW w:w="1701" w:type="dxa"/>
            <w:gridSpan w:val="2"/>
            <w:tcBorders>
              <w:top w:val="nil"/>
              <w:bottom w:val="nil"/>
            </w:tcBorders>
            <w:shd w:val="clear" w:color="auto" w:fill="C5E0B3" w:themeFill="accent6" w:themeFillTint="66"/>
          </w:tcPr>
          <w:p w14:paraId="1846553C" w14:textId="77777777" w:rsidR="00B801F4" w:rsidRPr="00B801F4" w:rsidRDefault="00B801F4" w:rsidP="00B801F4">
            <w:pPr>
              <w:tabs>
                <w:tab w:val="left" w:pos="1080"/>
              </w:tabs>
              <w:spacing w:after="80"/>
              <w:jc w:val="right"/>
            </w:pPr>
          </w:p>
        </w:tc>
        <w:tc>
          <w:tcPr>
            <w:tcW w:w="1701" w:type="dxa"/>
            <w:gridSpan w:val="2"/>
            <w:tcBorders>
              <w:top w:val="nil"/>
              <w:bottom w:val="nil"/>
            </w:tcBorders>
            <w:shd w:val="clear" w:color="auto" w:fill="C5E0B3" w:themeFill="accent6" w:themeFillTint="66"/>
          </w:tcPr>
          <w:p w14:paraId="5D40AD3F" w14:textId="77777777" w:rsidR="00B801F4" w:rsidRPr="00B801F4" w:rsidRDefault="00B801F4" w:rsidP="00B801F4">
            <w:pPr>
              <w:tabs>
                <w:tab w:val="left" w:pos="1080"/>
              </w:tabs>
              <w:spacing w:after="80"/>
              <w:jc w:val="right"/>
            </w:pPr>
          </w:p>
        </w:tc>
        <w:tc>
          <w:tcPr>
            <w:tcW w:w="1531" w:type="dxa"/>
            <w:tcBorders>
              <w:top w:val="nil"/>
              <w:bottom w:val="nil"/>
            </w:tcBorders>
            <w:shd w:val="clear" w:color="auto" w:fill="C5E0B3" w:themeFill="accent6" w:themeFillTint="66"/>
          </w:tcPr>
          <w:p w14:paraId="15432A8C" w14:textId="77777777" w:rsidR="00B801F4" w:rsidRPr="00B801F4" w:rsidRDefault="00B801F4" w:rsidP="00B801F4">
            <w:pPr>
              <w:tabs>
                <w:tab w:val="left" w:pos="1080"/>
              </w:tabs>
              <w:spacing w:after="80"/>
              <w:jc w:val="right"/>
            </w:pPr>
          </w:p>
        </w:tc>
        <w:tc>
          <w:tcPr>
            <w:tcW w:w="1696" w:type="dxa"/>
            <w:gridSpan w:val="2"/>
            <w:tcBorders>
              <w:top w:val="nil"/>
              <w:bottom w:val="nil"/>
            </w:tcBorders>
            <w:shd w:val="clear" w:color="auto" w:fill="C5E0B3" w:themeFill="accent6" w:themeFillTint="66"/>
          </w:tcPr>
          <w:p w14:paraId="4CC3FC79" w14:textId="77777777" w:rsidR="00B801F4" w:rsidRPr="00B801F4" w:rsidRDefault="00B801F4" w:rsidP="00B801F4">
            <w:pPr>
              <w:tabs>
                <w:tab w:val="left" w:pos="1080"/>
              </w:tabs>
              <w:spacing w:after="80"/>
              <w:jc w:val="right"/>
            </w:pPr>
          </w:p>
        </w:tc>
        <w:tc>
          <w:tcPr>
            <w:tcW w:w="2126" w:type="dxa"/>
            <w:gridSpan w:val="2"/>
            <w:tcBorders>
              <w:top w:val="nil"/>
              <w:bottom w:val="nil"/>
            </w:tcBorders>
            <w:shd w:val="clear" w:color="auto" w:fill="C5E0B3" w:themeFill="accent6" w:themeFillTint="66"/>
          </w:tcPr>
          <w:p w14:paraId="15B98FF7" w14:textId="77777777" w:rsidR="00B801F4" w:rsidRPr="00B801F4" w:rsidRDefault="00B801F4" w:rsidP="00B801F4">
            <w:pPr>
              <w:tabs>
                <w:tab w:val="left" w:pos="1080"/>
              </w:tabs>
              <w:spacing w:after="80"/>
              <w:jc w:val="right"/>
            </w:pPr>
            <w:r w:rsidRPr="00B801F4">
              <w:t>2.8</w:t>
            </w:r>
          </w:p>
        </w:tc>
      </w:tr>
      <w:tr w:rsidR="00B801F4" w:rsidRPr="00B801F4" w14:paraId="51B0D31B" w14:textId="77777777" w:rsidTr="00B801F4">
        <w:trPr>
          <w:trHeight w:val="104"/>
        </w:trPr>
        <w:tc>
          <w:tcPr>
            <w:tcW w:w="5807" w:type="dxa"/>
            <w:tcBorders>
              <w:top w:val="nil"/>
              <w:bottom w:val="nil"/>
            </w:tcBorders>
            <w:shd w:val="clear" w:color="auto" w:fill="auto"/>
          </w:tcPr>
          <w:p w14:paraId="1EF0DE21" w14:textId="77777777" w:rsidR="00B801F4" w:rsidRPr="00B801F4" w:rsidRDefault="00B801F4" w:rsidP="00B801F4">
            <w:pPr>
              <w:tabs>
                <w:tab w:val="left" w:pos="1080"/>
              </w:tabs>
              <w:spacing w:after="80"/>
              <w:jc w:val="left"/>
            </w:pPr>
          </w:p>
        </w:tc>
        <w:tc>
          <w:tcPr>
            <w:tcW w:w="992" w:type="dxa"/>
            <w:tcBorders>
              <w:top w:val="nil"/>
              <w:bottom w:val="nil"/>
            </w:tcBorders>
            <w:shd w:val="clear" w:color="auto" w:fill="auto"/>
          </w:tcPr>
          <w:p w14:paraId="198668B0" w14:textId="77777777" w:rsidR="00B801F4" w:rsidRPr="00B801F4" w:rsidRDefault="00B801F4" w:rsidP="00B801F4">
            <w:pPr>
              <w:tabs>
                <w:tab w:val="left" w:pos="1080"/>
              </w:tabs>
              <w:spacing w:after="80"/>
              <w:jc w:val="right"/>
            </w:pPr>
          </w:p>
        </w:tc>
        <w:tc>
          <w:tcPr>
            <w:tcW w:w="1701" w:type="dxa"/>
            <w:gridSpan w:val="2"/>
            <w:tcBorders>
              <w:top w:val="nil"/>
              <w:bottom w:val="nil"/>
            </w:tcBorders>
            <w:shd w:val="clear" w:color="auto" w:fill="auto"/>
          </w:tcPr>
          <w:p w14:paraId="546AF377" w14:textId="77777777" w:rsidR="00B801F4" w:rsidRPr="00B801F4" w:rsidRDefault="00B801F4" w:rsidP="00B801F4">
            <w:pPr>
              <w:tabs>
                <w:tab w:val="left" w:pos="1080"/>
              </w:tabs>
              <w:spacing w:after="80"/>
              <w:jc w:val="right"/>
            </w:pPr>
          </w:p>
        </w:tc>
        <w:tc>
          <w:tcPr>
            <w:tcW w:w="1701" w:type="dxa"/>
            <w:gridSpan w:val="2"/>
            <w:tcBorders>
              <w:top w:val="nil"/>
              <w:bottom w:val="nil"/>
            </w:tcBorders>
            <w:shd w:val="clear" w:color="auto" w:fill="auto"/>
          </w:tcPr>
          <w:p w14:paraId="260AF9AB" w14:textId="77777777" w:rsidR="00B801F4" w:rsidRPr="00B801F4" w:rsidRDefault="00B801F4" w:rsidP="00B801F4">
            <w:pPr>
              <w:tabs>
                <w:tab w:val="left" w:pos="1080"/>
              </w:tabs>
              <w:spacing w:after="80"/>
              <w:jc w:val="right"/>
            </w:pPr>
          </w:p>
        </w:tc>
        <w:tc>
          <w:tcPr>
            <w:tcW w:w="1531" w:type="dxa"/>
            <w:tcBorders>
              <w:top w:val="nil"/>
              <w:bottom w:val="nil"/>
            </w:tcBorders>
            <w:shd w:val="clear" w:color="auto" w:fill="auto"/>
          </w:tcPr>
          <w:p w14:paraId="0E18DC02" w14:textId="77777777" w:rsidR="00B801F4" w:rsidRPr="00B801F4" w:rsidRDefault="00B801F4" w:rsidP="00B801F4">
            <w:pPr>
              <w:tabs>
                <w:tab w:val="left" w:pos="1080"/>
              </w:tabs>
              <w:spacing w:after="80"/>
              <w:jc w:val="right"/>
            </w:pPr>
          </w:p>
        </w:tc>
        <w:tc>
          <w:tcPr>
            <w:tcW w:w="1696" w:type="dxa"/>
            <w:gridSpan w:val="2"/>
            <w:tcBorders>
              <w:top w:val="nil"/>
              <w:bottom w:val="nil"/>
            </w:tcBorders>
            <w:shd w:val="clear" w:color="auto" w:fill="auto"/>
          </w:tcPr>
          <w:p w14:paraId="6ABCE5C2" w14:textId="77777777" w:rsidR="00B801F4" w:rsidRPr="00B801F4" w:rsidRDefault="00B801F4" w:rsidP="00B801F4">
            <w:pPr>
              <w:tabs>
                <w:tab w:val="left" w:pos="1080"/>
              </w:tabs>
              <w:spacing w:after="80"/>
              <w:jc w:val="right"/>
            </w:pPr>
          </w:p>
        </w:tc>
        <w:tc>
          <w:tcPr>
            <w:tcW w:w="2126" w:type="dxa"/>
            <w:gridSpan w:val="2"/>
            <w:tcBorders>
              <w:top w:val="nil"/>
              <w:bottom w:val="nil"/>
            </w:tcBorders>
            <w:shd w:val="clear" w:color="auto" w:fill="auto"/>
          </w:tcPr>
          <w:p w14:paraId="6BC723AF" w14:textId="77777777" w:rsidR="00B801F4" w:rsidRPr="00B801F4" w:rsidRDefault="00B801F4" w:rsidP="00B801F4">
            <w:pPr>
              <w:tabs>
                <w:tab w:val="left" w:pos="1080"/>
              </w:tabs>
              <w:spacing w:after="80"/>
              <w:jc w:val="right"/>
            </w:pPr>
          </w:p>
        </w:tc>
      </w:tr>
      <w:tr w:rsidR="00B801F4" w:rsidRPr="00B801F4" w14:paraId="03054EA3" w14:textId="77777777" w:rsidTr="00B801F4">
        <w:trPr>
          <w:trHeight w:val="707"/>
        </w:trPr>
        <w:tc>
          <w:tcPr>
            <w:tcW w:w="5807" w:type="dxa"/>
            <w:tcBorders>
              <w:top w:val="nil"/>
              <w:bottom w:val="nil"/>
            </w:tcBorders>
            <w:shd w:val="clear" w:color="auto" w:fill="A8D08D" w:themeFill="accent6" w:themeFillTint="99"/>
          </w:tcPr>
          <w:p w14:paraId="079F8742" w14:textId="77777777" w:rsidR="00B801F4" w:rsidRPr="00B801F4" w:rsidRDefault="00B801F4" w:rsidP="00B801F4">
            <w:pPr>
              <w:tabs>
                <w:tab w:val="left" w:pos="1080"/>
              </w:tabs>
              <w:spacing w:after="80"/>
              <w:jc w:val="left"/>
            </w:pPr>
            <w:r w:rsidRPr="00B801F4">
              <w:t>Prior year comparative</w:t>
            </w:r>
          </w:p>
        </w:tc>
        <w:tc>
          <w:tcPr>
            <w:tcW w:w="992" w:type="dxa"/>
            <w:tcBorders>
              <w:top w:val="nil"/>
              <w:bottom w:val="nil"/>
            </w:tcBorders>
            <w:shd w:val="clear" w:color="auto" w:fill="A8D08D" w:themeFill="accent6" w:themeFillTint="99"/>
          </w:tcPr>
          <w:p w14:paraId="0E14974B" w14:textId="77777777" w:rsidR="00B801F4" w:rsidRPr="00B801F4" w:rsidRDefault="00B801F4" w:rsidP="00B801F4">
            <w:pPr>
              <w:tabs>
                <w:tab w:val="left" w:pos="1080"/>
              </w:tabs>
              <w:spacing w:after="80"/>
              <w:jc w:val="right"/>
            </w:pPr>
          </w:p>
        </w:tc>
        <w:tc>
          <w:tcPr>
            <w:tcW w:w="1701" w:type="dxa"/>
            <w:gridSpan w:val="2"/>
            <w:tcBorders>
              <w:top w:val="nil"/>
              <w:bottom w:val="nil"/>
            </w:tcBorders>
            <w:shd w:val="clear" w:color="auto" w:fill="A8D08D" w:themeFill="accent6" w:themeFillTint="99"/>
          </w:tcPr>
          <w:p w14:paraId="46FCC115" w14:textId="77777777" w:rsidR="00B801F4" w:rsidRPr="00B801F4" w:rsidRDefault="00B801F4" w:rsidP="00B801F4">
            <w:pPr>
              <w:tabs>
                <w:tab w:val="left" w:pos="1080"/>
              </w:tabs>
              <w:spacing w:after="80"/>
              <w:jc w:val="right"/>
            </w:pPr>
          </w:p>
        </w:tc>
        <w:tc>
          <w:tcPr>
            <w:tcW w:w="1701" w:type="dxa"/>
            <w:gridSpan w:val="2"/>
            <w:tcBorders>
              <w:top w:val="nil"/>
              <w:bottom w:val="nil"/>
            </w:tcBorders>
            <w:shd w:val="clear" w:color="auto" w:fill="A8D08D" w:themeFill="accent6" w:themeFillTint="99"/>
          </w:tcPr>
          <w:p w14:paraId="69881C3E" w14:textId="77777777" w:rsidR="00B801F4" w:rsidRPr="00B801F4" w:rsidRDefault="00B801F4" w:rsidP="00B801F4">
            <w:pPr>
              <w:tabs>
                <w:tab w:val="left" w:pos="1080"/>
              </w:tabs>
              <w:spacing w:after="80"/>
              <w:jc w:val="right"/>
            </w:pPr>
          </w:p>
        </w:tc>
        <w:tc>
          <w:tcPr>
            <w:tcW w:w="1531" w:type="dxa"/>
            <w:tcBorders>
              <w:top w:val="nil"/>
              <w:bottom w:val="nil"/>
            </w:tcBorders>
            <w:shd w:val="clear" w:color="auto" w:fill="A8D08D" w:themeFill="accent6" w:themeFillTint="99"/>
          </w:tcPr>
          <w:p w14:paraId="25B059A8" w14:textId="77777777" w:rsidR="00B801F4" w:rsidRPr="00B801F4" w:rsidRDefault="00B801F4" w:rsidP="00B801F4">
            <w:pPr>
              <w:tabs>
                <w:tab w:val="left" w:pos="1080"/>
              </w:tabs>
              <w:spacing w:after="80"/>
              <w:jc w:val="right"/>
            </w:pPr>
          </w:p>
        </w:tc>
        <w:tc>
          <w:tcPr>
            <w:tcW w:w="1696" w:type="dxa"/>
            <w:gridSpan w:val="2"/>
            <w:tcBorders>
              <w:top w:val="nil"/>
              <w:bottom w:val="nil"/>
            </w:tcBorders>
            <w:shd w:val="clear" w:color="auto" w:fill="A8D08D" w:themeFill="accent6" w:themeFillTint="99"/>
          </w:tcPr>
          <w:p w14:paraId="796C416B" w14:textId="77777777" w:rsidR="00B801F4" w:rsidRPr="00B801F4" w:rsidRDefault="00B801F4" w:rsidP="00B801F4">
            <w:pPr>
              <w:tabs>
                <w:tab w:val="left" w:pos="1080"/>
              </w:tabs>
              <w:spacing w:after="80"/>
              <w:jc w:val="right"/>
              <w:rPr>
                <w:b/>
              </w:rPr>
            </w:pPr>
            <w:r w:rsidRPr="00B801F4">
              <w:rPr>
                <w:b/>
              </w:rPr>
              <w:t>£m</w:t>
            </w:r>
          </w:p>
        </w:tc>
        <w:tc>
          <w:tcPr>
            <w:tcW w:w="2126" w:type="dxa"/>
            <w:gridSpan w:val="2"/>
            <w:tcBorders>
              <w:top w:val="nil"/>
              <w:bottom w:val="nil"/>
            </w:tcBorders>
            <w:shd w:val="clear" w:color="auto" w:fill="A8D08D" w:themeFill="accent6" w:themeFillTint="99"/>
          </w:tcPr>
          <w:p w14:paraId="49169956" w14:textId="77777777" w:rsidR="00B801F4" w:rsidRPr="00B801F4" w:rsidRDefault="00B801F4" w:rsidP="00B801F4">
            <w:pPr>
              <w:tabs>
                <w:tab w:val="left" w:pos="1080"/>
              </w:tabs>
              <w:spacing w:after="80"/>
              <w:jc w:val="right"/>
              <w:rPr>
                <w:b/>
              </w:rPr>
            </w:pPr>
            <w:r w:rsidRPr="00B801F4">
              <w:rPr>
                <w:b/>
              </w:rPr>
              <w:t>£m</w:t>
            </w:r>
          </w:p>
        </w:tc>
      </w:tr>
      <w:tr w:rsidR="00B801F4" w:rsidRPr="00B801F4" w14:paraId="5E86C486" w14:textId="77777777" w:rsidTr="00B801F4">
        <w:trPr>
          <w:trHeight w:val="176"/>
        </w:trPr>
        <w:tc>
          <w:tcPr>
            <w:tcW w:w="5807" w:type="dxa"/>
            <w:tcBorders>
              <w:top w:val="nil"/>
              <w:bottom w:val="nil"/>
            </w:tcBorders>
          </w:tcPr>
          <w:p w14:paraId="7DA6873F" w14:textId="77777777" w:rsidR="00B801F4" w:rsidRPr="00B801F4" w:rsidRDefault="00B801F4" w:rsidP="00B801F4">
            <w:pPr>
              <w:tabs>
                <w:tab w:val="left" w:pos="1080"/>
              </w:tabs>
              <w:spacing w:after="80"/>
              <w:jc w:val="left"/>
            </w:pPr>
          </w:p>
        </w:tc>
        <w:tc>
          <w:tcPr>
            <w:tcW w:w="992" w:type="dxa"/>
            <w:tcBorders>
              <w:top w:val="nil"/>
              <w:bottom w:val="nil"/>
            </w:tcBorders>
          </w:tcPr>
          <w:p w14:paraId="789F7964" w14:textId="77777777" w:rsidR="00B801F4" w:rsidRPr="00B801F4" w:rsidRDefault="00B801F4" w:rsidP="00B801F4">
            <w:pPr>
              <w:tabs>
                <w:tab w:val="left" w:pos="1080"/>
              </w:tabs>
              <w:spacing w:after="80"/>
              <w:jc w:val="right"/>
            </w:pPr>
          </w:p>
        </w:tc>
        <w:tc>
          <w:tcPr>
            <w:tcW w:w="1701" w:type="dxa"/>
            <w:gridSpan w:val="2"/>
            <w:tcBorders>
              <w:top w:val="nil"/>
              <w:bottom w:val="nil"/>
            </w:tcBorders>
          </w:tcPr>
          <w:p w14:paraId="1900EBB0" w14:textId="77777777" w:rsidR="00B801F4" w:rsidRPr="00B801F4" w:rsidRDefault="00B801F4" w:rsidP="00B801F4">
            <w:pPr>
              <w:tabs>
                <w:tab w:val="left" w:pos="1080"/>
              </w:tabs>
              <w:spacing w:after="80"/>
              <w:jc w:val="right"/>
            </w:pPr>
          </w:p>
        </w:tc>
        <w:tc>
          <w:tcPr>
            <w:tcW w:w="1701" w:type="dxa"/>
            <w:gridSpan w:val="2"/>
            <w:tcBorders>
              <w:top w:val="nil"/>
              <w:bottom w:val="nil"/>
            </w:tcBorders>
          </w:tcPr>
          <w:p w14:paraId="535E8A3D" w14:textId="77777777" w:rsidR="00B801F4" w:rsidRPr="00B801F4" w:rsidRDefault="00B801F4" w:rsidP="00B801F4">
            <w:pPr>
              <w:tabs>
                <w:tab w:val="left" w:pos="1080"/>
              </w:tabs>
              <w:spacing w:after="80"/>
              <w:jc w:val="right"/>
            </w:pPr>
          </w:p>
        </w:tc>
        <w:tc>
          <w:tcPr>
            <w:tcW w:w="1531" w:type="dxa"/>
            <w:tcBorders>
              <w:top w:val="nil"/>
              <w:bottom w:val="nil"/>
            </w:tcBorders>
          </w:tcPr>
          <w:p w14:paraId="6CEA350D" w14:textId="77777777" w:rsidR="00B801F4" w:rsidRPr="00B801F4" w:rsidRDefault="00B801F4" w:rsidP="00B801F4">
            <w:pPr>
              <w:tabs>
                <w:tab w:val="left" w:pos="1080"/>
              </w:tabs>
              <w:spacing w:after="80"/>
              <w:jc w:val="right"/>
            </w:pPr>
          </w:p>
        </w:tc>
        <w:tc>
          <w:tcPr>
            <w:tcW w:w="1696" w:type="dxa"/>
            <w:gridSpan w:val="2"/>
            <w:tcBorders>
              <w:top w:val="nil"/>
              <w:bottom w:val="nil"/>
            </w:tcBorders>
          </w:tcPr>
          <w:p w14:paraId="70022D54" w14:textId="77777777" w:rsidR="00B801F4" w:rsidRPr="00B801F4" w:rsidRDefault="00B801F4" w:rsidP="00B801F4">
            <w:pPr>
              <w:tabs>
                <w:tab w:val="left" w:pos="1080"/>
              </w:tabs>
              <w:spacing w:after="80"/>
              <w:jc w:val="right"/>
            </w:pPr>
          </w:p>
        </w:tc>
        <w:tc>
          <w:tcPr>
            <w:tcW w:w="2126" w:type="dxa"/>
            <w:gridSpan w:val="2"/>
            <w:tcBorders>
              <w:top w:val="nil"/>
              <w:bottom w:val="nil"/>
            </w:tcBorders>
          </w:tcPr>
          <w:p w14:paraId="1E91E83A" w14:textId="77777777" w:rsidR="00B801F4" w:rsidRPr="00B801F4" w:rsidRDefault="00B801F4" w:rsidP="00B801F4">
            <w:pPr>
              <w:tabs>
                <w:tab w:val="left" w:pos="1080"/>
              </w:tabs>
              <w:spacing w:after="80"/>
              <w:jc w:val="right"/>
            </w:pPr>
          </w:p>
        </w:tc>
      </w:tr>
      <w:tr w:rsidR="00B801F4" w:rsidRPr="00B801F4" w14:paraId="2F84EAAF" w14:textId="77777777" w:rsidTr="00B801F4">
        <w:trPr>
          <w:trHeight w:val="459"/>
        </w:trPr>
        <w:tc>
          <w:tcPr>
            <w:tcW w:w="5807" w:type="dxa"/>
            <w:tcBorders>
              <w:top w:val="nil"/>
              <w:bottom w:val="nil"/>
            </w:tcBorders>
          </w:tcPr>
          <w:p w14:paraId="732E1F25" w14:textId="77777777" w:rsidR="00B801F4" w:rsidRPr="00B801F4" w:rsidRDefault="00B801F4" w:rsidP="00B801F4">
            <w:pPr>
              <w:tabs>
                <w:tab w:val="left" w:pos="1080"/>
              </w:tabs>
              <w:spacing w:after="80"/>
              <w:jc w:val="left"/>
            </w:pPr>
            <w:r w:rsidRPr="00B801F4">
              <w:t>Open forward currency contracts at 31 March 2014</w:t>
            </w:r>
          </w:p>
        </w:tc>
        <w:tc>
          <w:tcPr>
            <w:tcW w:w="992" w:type="dxa"/>
            <w:tcBorders>
              <w:top w:val="nil"/>
              <w:bottom w:val="nil"/>
            </w:tcBorders>
          </w:tcPr>
          <w:p w14:paraId="4B6DBFCF" w14:textId="77777777" w:rsidR="00B801F4" w:rsidRPr="00B801F4" w:rsidRDefault="00B801F4" w:rsidP="00B801F4">
            <w:pPr>
              <w:tabs>
                <w:tab w:val="left" w:pos="1080"/>
              </w:tabs>
              <w:spacing w:after="80"/>
              <w:jc w:val="right"/>
            </w:pPr>
          </w:p>
        </w:tc>
        <w:tc>
          <w:tcPr>
            <w:tcW w:w="1701" w:type="dxa"/>
            <w:gridSpan w:val="2"/>
            <w:tcBorders>
              <w:top w:val="nil"/>
              <w:bottom w:val="nil"/>
            </w:tcBorders>
          </w:tcPr>
          <w:p w14:paraId="4C643B4B" w14:textId="77777777" w:rsidR="00B801F4" w:rsidRPr="00B801F4" w:rsidRDefault="00B801F4" w:rsidP="00B801F4">
            <w:pPr>
              <w:tabs>
                <w:tab w:val="left" w:pos="1080"/>
              </w:tabs>
              <w:spacing w:after="80"/>
              <w:jc w:val="right"/>
            </w:pPr>
          </w:p>
        </w:tc>
        <w:tc>
          <w:tcPr>
            <w:tcW w:w="1701" w:type="dxa"/>
            <w:gridSpan w:val="2"/>
            <w:tcBorders>
              <w:top w:val="nil"/>
              <w:bottom w:val="nil"/>
            </w:tcBorders>
          </w:tcPr>
          <w:p w14:paraId="3C4396F2" w14:textId="77777777" w:rsidR="00B801F4" w:rsidRPr="00B801F4" w:rsidRDefault="00B801F4" w:rsidP="00B801F4">
            <w:pPr>
              <w:tabs>
                <w:tab w:val="left" w:pos="1080"/>
              </w:tabs>
              <w:spacing w:after="80"/>
              <w:jc w:val="right"/>
            </w:pPr>
          </w:p>
        </w:tc>
        <w:tc>
          <w:tcPr>
            <w:tcW w:w="1531" w:type="dxa"/>
            <w:tcBorders>
              <w:top w:val="nil"/>
              <w:bottom w:val="nil"/>
            </w:tcBorders>
          </w:tcPr>
          <w:p w14:paraId="08028E92" w14:textId="77777777" w:rsidR="00B801F4" w:rsidRPr="00B801F4" w:rsidRDefault="00B801F4" w:rsidP="00B801F4">
            <w:pPr>
              <w:tabs>
                <w:tab w:val="left" w:pos="1080"/>
              </w:tabs>
              <w:spacing w:after="80"/>
              <w:jc w:val="right"/>
            </w:pPr>
          </w:p>
        </w:tc>
        <w:tc>
          <w:tcPr>
            <w:tcW w:w="1696" w:type="dxa"/>
            <w:gridSpan w:val="2"/>
            <w:tcBorders>
              <w:top w:val="nil"/>
              <w:bottom w:val="nil"/>
            </w:tcBorders>
          </w:tcPr>
          <w:p w14:paraId="6524238B" w14:textId="77777777" w:rsidR="00B801F4" w:rsidRPr="00B801F4" w:rsidRDefault="00B801F4" w:rsidP="00B801F4">
            <w:pPr>
              <w:tabs>
                <w:tab w:val="left" w:pos="1080"/>
              </w:tabs>
              <w:spacing w:after="80"/>
              <w:jc w:val="right"/>
            </w:pPr>
            <w:r w:rsidRPr="00B801F4">
              <w:t>21.4</w:t>
            </w:r>
          </w:p>
        </w:tc>
        <w:tc>
          <w:tcPr>
            <w:tcW w:w="2126" w:type="dxa"/>
            <w:gridSpan w:val="2"/>
            <w:tcBorders>
              <w:top w:val="nil"/>
              <w:bottom w:val="nil"/>
            </w:tcBorders>
          </w:tcPr>
          <w:p w14:paraId="367487A7" w14:textId="77777777" w:rsidR="00B801F4" w:rsidRPr="00B801F4" w:rsidRDefault="00B801F4" w:rsidP="00B801F4">
            <w:pPr>
              <w:tabs>
                <w:tab w:val="left" w:pos="1080"/>
              </w:tabs>
              <w:spacing w:after="80"/>
              <w:jc w:val="right"/>
            </w:pPr>
            <w:r w:rsidRPr="00B801F4">
              <w:t>(21.3)</w:t>
            </w:r>
          </w:p>
        </w:tc>
      </w:tr>
      <w:tr w:rsidR="00B801F4" w:rsidRPr="00B801F4" w14:paraId="77D5FB3D" w14:textId="77777777" w:rsidTr="00B801F4">
        <w:trPr>
          <w:trHeight w:val="499"/>
        </w:trPr>
        <w:tc>
          <w:tcPr>
            <w:tcW w:w="5807" w:type="dxa"/>
            <w:tcBorders>
              <w:top w:val="nil"/>
              <w:bottom w:val="single" w:sz="4" w:space="0" w:color="auto"/>
            </w:tcBorders>
          </w:tcPr>
          <w:p w14:paraId="192C0D53" w14:textId="77777777" w:rsidR="00B801F4" w:rsidRPr="00B801F4" w:rsidRDefault="00B801F4" w:rsidP="00B801F4">
            <w:pPr>
              <w:tabs>
                <w:tab w:val="left" w:pos="1080"/>
              </w:tabs>
              <w:spacing w:after="80"/>
              <w:jc w:val="left"/>
            </w:pPr>
            <w:r w:rsidRPr="00B801F4">
              <w:t>Net forward currency contracts at 31 March 2014</w:t>
            </w:r>
          </w:p>
        </w:tc>
        <w:tc>
          <w:tcPr>
            <w:tcW w:w="992" w:type="dxa"/>
            <w:tcBorders>
              <w:top w:val="nil"/>
              <w:bottom w:val="single" w:sz="4" w:space="0" w:color="auto"/>
            </w:tcBorders>
          </w:tcPr>
          <w:p w14:paraId="4A07E326" w14:textId="77777777" w:rsidR="00B801F4" w:rsidRPr="00B801F4" w:rsidRDefault="00B801F4" w:rsidP="00B801F4">
            <w:pPr>
              <w:tabs>
                <w:tab w:val="left" w:pos="1080"/>
              </w:tabs>
              <w:spacing w:after="80"/>
              <w:jc w:val="right"/>
            </w:pPr>
          </w:p>
        </w:tc>
        <w:tc>
          <w:tcPr>
            <w:tcW w:w="1701" w:type="dxa"/>
            <w:gridSpan w:val="2"/>
            <w:tcBorders>
              <w:top w:val="nil"/>
              <w:bottom w:val="single" w:sz="4" w:space="0" w:color="auto"/>
            </w:tcBorders>
          </w:tcPr>
          <w:p w14:paraId="2BA1F2E9" w14:textId="77777777" w:rsidR="00B801F4" w:rsidRPr="00B801F4" w:rsidRDefault="00B801F4" w:rsidP="00B801F4">
            <w:pPr>
              <w:tabs>
                <w:tab w:val="left" w:pos="1080"/>
              </w:tabs>
              <w:spacing w:after="80"/>
              <w:jc w:val="right"/>
            </w:pPr>
          </w:p>
        </w:tc>
        <w:tc>
          <w:tcPr>
            <w:tcW w:w="1701" w:type="dxa"/>
            <w:gridSpan w:val="2"/>
            <w:tcBorders>
              <w:top w:val="nil"/>
              <w:bottom w:val="single" w:sz="4" w:space="0" w:color="auto"/>
            </w:tcBorders>
          </w:tcPr>
          <w:p w14:paraId="7EF0A0C5" w14:textId="77777777" w:rsidR="00B801F4" w:rsidRPr="00B801F4" w:rsidRDefault="00B801F4" w:rsidP="00B801F4">
            <w:pPr>
              <w:tabs>
                <w:tab w:val="left" w:pos="1080"/>
              </w:tabs>
              <w:spacing w:after="80"/>
              <w:jc w:val="right"/>
            </w:pPr>
          </w:p>
        </w:tc>
        <w:tc>
          <w:tcPr>
            <w:tcW w:w="1531" w:type="dxa"/>
            <w:tcBorders>
              <w:top w:val="nil"/>
              <w:bottom w:val="single" w:sz="4" w:space="0" w:color="auto"/>
            </w:tcBorders>
          </w:tcPr>
          <w:p w14:paraId="70549462" w14:textId="77777777" w:rsidR="00B801F4" w:rsidRPr="00B801F4" w:rsidRDefault="00B801F4" w:rsidP="00B801F4">
            <w:pPr>
              <w:tabs>
                <w:tab w:val="left" w:pos="1080"/>
              </w:tabs>
              <w:spacing w:after="80"/>
              <w:jc w:val="right"/>
            </w:pPr>
          </w:p>
        </w:tc>
        <w:tc>
          <w:tcPr>
            <w:tcW w:w="1696" w:type="dxa"/>
            <w:gridSpan w:val="2"/>
            <w:tcBorders>
              <w:top w:val="nil"/>
              <w:bottom w:val="single" w:sz="4" w:space="0" w:color="auto"/>
            </w:tcBorders>
          </w:tcPr>
          <w:p w14:paraId="77CD6650" w14:textId="77777777" w:rsidR="00B801F4" w:rsidRPr="00B801F4" w:rsidRDefault="00B801F4" w:rsidP="00B801F4">
            <w:pPr>
              <w:tabs>
                <w:tab w:val="left" w:pos="1080"/>
              </w:tabs>
              <w:spacing w:after="80"/>
              <w:jc w:val="right"/>
            </w:pPr>
          </w:p>
        </w:tc>
        <w:tc>
          <w:tcPr>
            <w:tcW w:w="2126" w:type="dxa"/>
            <w:gridSpan w:val="2"/>
            <w:tcBorders>
              <w:top w:val="nil"/>
              <w:bottom w:val="single" w:sz="4" w:space="0" w:color="auto"/>
            </w:tcBorders>
          </w:tcPr>
          <w:p w14:paraId="1DDB0EDD" w14:textId="77777777" w:rsidR="00B801F4" w:rsidRPr="00B801F4" w:rsidRDefault="00B801F4" w:rsidP="00B801F4">
            <w:pPr>
              <w:tabs>
                <w:tab w:val="left" w:pos="1080"/>
              </w:tabs>
              <w:spacing w:after="80"/>
              <w:jc w:val="right"/>
            </w:pPr>
            <w:r w:rsidRPr="00B801F4">
              <w:t>0.1</w:t>
            </w:r>
          </w:p>
        </w:tc>
      </w:tr>
    </w:tbl>
    <w:p w14:paraId="671453E3" w14:textId="77777777" w:rsidR="00B801F4" w:rsidRPr="00B801F4" w:rsidRDefault="00B801F4" w:rsidP="00B801F4">
      <w:pPr>
        <w:tabs>
          <w:tab w:val="left" w:pos="1080"/>
        </w:tabs>
        <w:spacing w:after="80"/>
        <w:ind w:left="709"/>
      </w:pPr>
    </w:p>
    <w:p w14:paraId="11E307B4" w14:textId="77777777" w:rsidR="00B801F4" w:rsidRPr="00B801F4" w:rsidRDefault="00B801F4" w:rsidP="00B801F4">
      <w:pPr>
        <w:tabs>
          <w:tab w:val="left" w:pos="1080"/>
        </w:tabs>
        <w:spacing w:after="80"/>
        <w:ind w:left="709"/>
        <w:jc w:val="left"/>
      </w:pPr>
      <w:r w:rsidRPr="00B801F4">
        <w:t>*Currencies are referred to above using International Standards Organisation codes.</w:t>
      </w:r>
    </w:p>
    <w:p w14:paraId="4DAB4EDE" w14:textId="77777777" w:rsidR="00B801F4" w:rsidRPr="00B801F4" w:rsidRDefault="00B801F4" w:rsidP="00B801F4">
      <w:pPr>
        <w:tabs>
          <w:tab w:val="left" w:pos="1080"/>
        </w:tabs>
        <w:spacing w:after="80"/>
        <w:ind w:left="709"/>
        <w:jc w:val="left"/>
      </w:pPr>
      <w:r w:rsidRPr="00B801F4">
        <w:t>GBP – British Pound, USD – US Dollar, AUD – Australian Dollar, CHF – Swiss Franc</w:t>
      </w:r>
    </w:p>
    <w:p w14:paraId="3FFD899E" w14:textId="77777777" w:rsidR="00B801F4" w:rsidRPr="00B801F4" w:rsidRDefault="00B801F4" w:rsidP="00B801F4">
      <w:pPr>
        <w:tabs>
          <w:tab w:val="left" w:pos="1080"/>
        </w:tabs>
        <w:spacing w:after="80"/>
        <w:ind w:left="709"/>
      </w:pPr>
    </w:p>
    <w:p w14:paraId="7C954C9C" w14:textId="77777777" w:rsidR="00B801F4" w:rsidRPr="00B801F4" w:rsidRDefault="00B801F4" w:rsidP="00B801F4">
      <w:pPr>
        <w:tabs>
          <w:tab w:val="left" w:pos="1080"/>
        </w:tabs>
        <w:spacing w:after="80"/>
        <w:ind w:left="709"/>
      </w:pPr>
    </w:p>
    <w:p w14:paraId="06A8F130" w14:textId="77777777" w:rsidR="00B801F4" w:rsidRPr="00B801F4" w:rsidRDefault="00B801F4" w:rsidP="00B801F4">
      <w:pPr>
        <w:tabs>
          <w:tab w:val="left" w:pos="1080"/>
        </w:tabs>
        <w:spacing w:after="80"/>
        <w:ind w:left="709"/>
      </w:pPr>
    </w:p>
    <w:p w14:paraId="1A39834D" w14:textId="77777777" w:rsidR="00B801F4" w:rsidRPr="00B801F4" w:rsidRDefault="00B801F4" w:rsidP="00B801F4">
      <w:pPr>
        <w:tabs>
          <w:tab w:val="left" w:pos="1080"/>
        </w:tabs>
        <w:spacing w:after="80"/>
        <w:ind w:left="709"/>
      </w:pPr>
    </w:p>
    <w:p w14:paraId="2B6ED1AD" w14:textId="77777777" w:rsidR="00B801F4" w:rsidRPr="00B801F4" w:rsidRDefault="00B801F4" w:rsidP="00B801F4">
      <w:pPr>
        <w:tabs>
          <w:tab w:val="left" w:pos="1080"/>
        </w:tabs>
        <w:spacing w:after="80"/>
        <w:ind w:left="709"/>
      </w:pPr>
    </w:p>
    <w:p w14:paraId="556EB63C" w14:textId="77777777" w:rsidR="00B801F4" w:rsidRPr="00B801F4" w:rsidRDefault="00B801F4" w:rsidP="00B801F4">
      <w:pPr>
        <w:tabs>
          <w:tab w:val="left" w:pos="1080"/>
        </w:tabs>
        <w:spacing w:after="80"/>
        <w:ind w:left="709"/>
      </w:pPr>
    </w:p>
    <w:p w14:paraId="1351F437" w14:textId="77777777" w:rsidR="00B801F4" w:rsidRPr="00B801F4" w:rsidRDefault="00B801F4" w:rsidP="00B801F4">
      <w:pPr>
        <w:tabs>
          <w:tab w:val="left" w:pos="1080"/>
        </w:tabs>
        <w:spacing w:after="80"/>
        <w:ind w:left="709"/>
      </w:pPr>
    </w:p>
    <w:p w14:paraId="4A12A258" w14:textId="77777777" w:rsidR="00B801F4" w:rsidRPr="00B801F4" w:rsidRDefault="00B801F4" w:rsidP="00B801F4">
      <w:pPr>
        <w:tabs>
          <w:tab w:val="left" w:pos="1080"/>
        </w:tabs>
        <w:spacing w:after="80"/>
        <w:ind w:left="709"/>
      </w:pP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1563"/>
        <w:gridCol w:w="430"/>
        <w:gridCol w:w="1701"/>
      </w:tblGrid>
      <w:tr w:rsidR="00B801F4" w:rsidRPr="00B801F4" w14:paraId="5A226ED4" w14:textId="77777777" w:rsidTr="00B801F4">
        <w:trPr>
          <w:trHeight w:val="364"/>
        </w:trPr>
        <w:tc>
          <w:tcPr>
            <w:tcW w:w="5074" w:type="dxa"/>
          </w:tcPr>
          <w:p w14:paraId="47EAE4EE" w14:textId="77777777" w:rsidR="00B801F4" w:rsidRPr="00B801F4" w:rsidRDefault="00B801F4" w:rsidP="00B801F4">
            <w:pPr>
              <w:spacing w:after="0"/>
              <w:rPr>
                <w:rFonts w:ascii="Arial" w:hAnsi="Arial" w:cs="Arial"/>
                <w:b/>
              </w:rPr>
            </w:pPr>
          </w:p>
          <w:p w14:paraId="195D6BEF" w14:textId="77777777" w:rsidR="00B801F4" w:rsidRPr="00B801F4" w:rsidRDefault="00B801F4" w:rsidP="00B801F4">
            <w:pPr>
              <w:spacing w:after="0"/>
              <w:rPr>
                <w:rFonts w:ascii="Arial" w:hAnsi="Arial" w:cs="Arial"/>
                <w:b/>
              </w:rPr>
            </w:pPr>
          </w:p>
          <w:p w14:paraId="300271C3" w14:textId="77777777" w:rsidR="00B801F4" w:rsidRPr="00B801F4" w:rsidRDefault="00B801F4" w:rsidP="00B801F4">
            <w:pPr>
              <w:spacing w:after="0"/>
              <w:rPr>
                <w:rFonts w:ascii="Arial" w:hAnsi="Arial" w:cs="Arial"/>
                <w:b/>
              </w:rPr>
            </w:pPr>
            <w:r w:rsidRPr="00B801F4">
              <w:rPr>
                <w:rFonts w:ascii="Arial" w:hAnsi="Arial" w:cs="Arial"/>
                <w:b/>
              </w:rPr>
              <w:t>Cash deposits</w:t>
            </w:r>
          </w:p>
          <w:p w14:paraId="68D319AF" w14:textId="77777777" w:rsidR="00B801F4" w:rsidRPr="00B801F4" w:rsidRDefault="00B801F4" w:rsidP="00B801F4">
            <w:pPr>
              <w:spacing w:after="0"/>
              <w:rPr>
                <w:rFonts w:ascii="Arial" w:hAnsi="Arial" w:cs="Arial"/>
                <w:b/>
              </w:rPr>
            </w:pPr>
          </w:p>
        </w:tc>
        <w:tc>
          <w:tcPr>
            <w:tcW w:w="1563" w:type="dxa"/>
          </w:tcPr>
          <w:p w14:paraId="058D323C" w14:textId="77777777" w:rsidR="00B801F4" w:rsidRPr="00B801F4" w:rsidRDefault="00B801F4" w:rsidP="00B801F4">
            <w:pPr>
              <w:spacing w:after="0"/>
              <w:jc w:val="right"/>
              <w:rPr>
                <w:rFonts w:ascii="Arial" w:hAnsi="Arial" w:cs="Arial"/>
                <w:b/>
              </w:rPr>
            </w:pPr>
            <w:r w:rsidRPr="00B801F4">
              <w:rPr>
                <w:rFonts w:ascii="Arial" w:hAnsi="Arial" w:cs="Arial"/>
                <w:b/>
              </w:rPr>
              <w:t>31/03/15</w:t>
            </w:r>
          </w:p>
          <w:p w14:paraId="14CCCB3E"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0F9DB9C8" w14:textId="77777777" w:rsidR="00B801F4" w:rsidRPr="00B801F4" w:rsidRDefault="00B801F4" w:rsidP="00B801F4">
            <w:pPr>
              <w:spacing w:after="0"/>
              <w:jc w:val="right"/>
              <w:rPr>
                <w:rFonts w:ascii="Arial" w:hAnsi="Arial" w:cs="Arial"/>
                <w:b/>
              </w:rPr>
            </w:pPr>
          </w:p>
          <w:p w14:paraId="30ECE03C" w14:textId="77777777" w:rsidR="00B801F4" w:rsidRPr="00B801F4" w:rsidRDefault="00B801F4" w:rsidP="00B801F4">
            <w:pPr>
              <w:spacing w:after="0"/>
              <w:jc w:val="right"/>
              <w:rPr>
                <w:rFonts w:ascii="Arial" w:hAnsi="Arial" w:cs="Arial"/>
                <w:b/>
              </w:rPr>
            </w:pPr>
          </w:p>
        </w:tc>
        <w:tc>
          <w:tcPr>
            <w:tcW w:w="1701" w:type="dxa"/>
            <w:tcBorders>
              <w:left w:val="single" w:sz="4" w:space="0" w:color="FFFFFF" w:themeColor="background1"/>
            </w:tcBorders>
          </w:tcPr>
          <w:p w14:paraId="0A632894" w14:textId="77777777" w:rsidR="00B801F4" w:rsidRPr="00B801F4" w:rsidRDefault="00B801F4" w:rsidP="00B801F4">
            <w:pPr>
              <w:spacing w:after="0"/>
              <w:jc w:val="right"/>
              <w:rPr>
                <w:rFonts w:ascii="Arial" w:hAnsi="Arial" w:cs="Arial"/>
                <w:b/>
              </w:rPr>
            </w:pPr>
            <w:r w:rsidRPr="00B801F4">
              <w:rPr>
                <w:rFonts w:ascii="Arial" w:hAnsi="Arial" w:cs="Arial"/>
                <w:b/>
              </w:rPr>
              <w:t>31/03/14</w:t>
            </w:r>
          </w:p>
          <w:p w14:paraId="191873E2"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2BFD1904" w14:textId="77777777" w:rsidTr="00B801F4">
        <w:trPr>
          <w:trHeight w:val="256"/>
        </w:trPr>
        <w:tc>
          <w:tcPr>
            <w:tcW w:w="5074" w:type="dxa"/>
          </w:tcPr>
          <w:p w14:paraId="7602B106" w14:textId="77777777" w:rsidR="00B801F4" w:rsidRPr="00B801F4" w:rsidRDefault="00B801F4" w:rsidP="00B801F4">
            <w:pPr>
              <w:rPr>
                <w:rFonts w:ascii="Arial" w:hAnsi="Arial" w:cs="Arial"/>
              </w:rPr>
            </w:pPr>
            <w:r w:rsidRPr="00B801F4">
              <w:rPr>
                <w:rFonts w:ascii="Arial" w:hAnsi="Arial" w:cs="Arial"/>
              </w:rPr>
              <w:t>Sterling</w:t>
            </w:r>
          </w:p>
        </w:tc>
        <w:tc>
          <w:tcPr>
            <w:tcW w:w="1563" w:type="dxa"/>
          </w:tcPr>
          <w:p w14:paraId="604E369A" w14:textId="77777777" w:rsidR="00B801F4" w:rsidRPr="00B801F4" w:rsidRDefault="00B801F4" w:rsidP="00B801F4">
            <w:pPr>
              <w:jc w:val="right"/>
              <w:rPr>
                <w:rFonts w:ascii="Arial" w:hAnsi="Arial" w:cs="Arial"/>
              </w:rPr>
            </w:pPr>
            <w:r w:rsidRPr="00B801F4">
              <w:rPr>
                <w:rFonts w:ascii="Arial" w:hAnsi="Arial" w:cs="Arial"/>
              </w:rPr>
              <w:t>35.0</w:t>
            </w:r>
          </w:p>
        </w:tc>
        <w:tc>
          <w:tcPr>
            <w:tcW w:w="430" w:type="dxa"/>
            <w:tcBorders>
              <w:right w:val="single" w:sz="4" w:space="0" w:color="FFFFFF" w:themeColor="background1"/>
            </w:tcBorders>
          </w:tcPr>
          <w:p w14:paraId="3391A2DD" w14:textId="77777777" w:rsidR="00B801F4" w:rsidRPr="00B801F4" w:rsidRDefault="00B801F4" w:rsidP="00B801F4">
            <w:pPr>
              <w:jc w:val="right"/>
              <w:rPr>
                <w:rFonts w:ascii="Arial" w:hAnsi="Arial" w:cs="Arial"/>
              </w:rPr>
            </w:pPr>
          </w:p>
        </w:tc>
        <w:tc>
          <w:tcPr>
            <w:tcW w:w="1701" w:type="dxa"/>
            <w:tcBorders>
              <w:left w:val="single" w:sz="4" w:space="0" w:color="FFFFFF" w:themeColor="background1"/>
            </w:tcBorders>
          </w:tcPr>
          <w:p w14:paraId="7521C7DB" w14:textId="77777777" w:rsidR="00B801F4" w:rsidRPr="00B801F4" w:rsidRDefault="00B801F4" w:rsidP="00B801F4">
            <w:pPr>
              <w:jc w:val="right"/>
              <w:rPr>
                <w:rFonts w:ascii="Arial" w:hAnsi="Arial" w:cs="Arial"/>
              </w:rPr>
            </w:pPr>
            <w:r w:rsidRPr="00B801F4">
              <w:rPr>
                <w:rFonts w:ascii="Arial" w:hAnsi="Arial" w:cs="Arial"/>
              </w:rPr>
              <w:t>148.0</w:t>
            </w:r>
          </w:p>
        </w:tc>
      </w:tr>
      <w:tr w:rsidR="00B801F4" w:rsidRPr="00B801F4" w14:paraId="6A036F73" w14:textId="77777777" w:rsidTr="00B801F4">
        <w:trPr>
          <w:trHeight w:val="266"/>
        </w:trPr>
        <w:tc>
          <w:tcPr>
            <w:tcW w:w="5074" w:type="dxa"/>
          </w:tcPr>
          <w:p w14:paraId="27B57D0E" w14:textId="77777777" w:rsidR="00B801F4" w:rsidRPr="00B801F4" w:rsidRDefault="00B801F4" w:rsidP="00B801F4">
            <w:pPr>
              <w:rPr>
                <w:rFonts w:ascii="Arial" w:hAnsi="Arial" w:cs="Arial"/>
              </w:rPr>
            </w:pPr>
            <w:r w:rsidRPr="00B801F4">
              <w:rPr>
                <w:rFonts w:ascii="Arial" w:hAnsi="Arial" w:cs="Arial"/>
              </w:rPr>
              <w:t>Foreign currency</w:t>
            </w:r>
          </w:p>
        </w:tc>
        <w:tc>
          <w:tcPr>
            <w:tcW w:w="1563" w:type="dxa"/>
            <w:tcBorders>
              <w:bottom w:val="single" w:sz="18" w:space="0" w:color="auto"/>
            </w:tcBorders>
          </w:tcPr>
          <w:p w14:paraId="788B4A50" w14:textId="77777777" w:rsidR="00B801F4" w:rsidRPr="00B801F4" w:rsidRDefault="00B801F4" w:rsidP="00B801F4">
            <w:pPr>
              <w:jc w:val="right"/>
              <w:rPr>
                <w:rFonts w:ascii="Arial" w:hAnsi="Arial" w:cs="Arial"/>
              </w:rPr>
            </w:pPr>
            <w:r w:rsidRPr="00B801F4">
              <w:rPr>
                <w:rFonts w:ascii="Arial" w:hAnsi="Arial" w:cs="Arial"/>
              </w:rPr>
              <w:t>25.0</w:t>
            </w:r>
          </w:p>
        </w:tc>
        <w:tc>
          <w:tcPr>
            <w:tcW w:w="430" w:type="dxa"/>
            <w:tcBorders>
              <w:right w:val="single" w:sz="4" w:space="0" w:color="FFFFFF" w:themeColor="background1"/>
            </w:tcBorders>
          </w:tcPr>
          <w:p w14:paraId="12AEE32A" w14:textId="77777777" w:rsidR="00B801F4" w:rsidRPr="00B801F4" w:rsidRDefault="00B801F4" w:rsidP="00B801F4">
            <w:pPr>
              <w:jc w:val="right"/>
              <w:rPr>
                <w:rFonts w:ascii="Arial" w:hAnsi="Arial" w:cs="Arial"/>
              </w:rPr>
            </w:pPr>
          </w:p>
        </w:tc>
        <w:tc>
          <w:tcPr>
            <w:tcW w:w="1701" w:type="dxa"/>
            <w:tcBorders>
              <w:left w:val="single" w:sz="4" w:space="0" w:color="FFFFFF" w:themeColor="background1"/>
              <w:bottom w:val="single" w:sz="18" w:space="0" w:color="auto"/>
            </w:tcBorders>
          </w:tcPr>
          <w:p w14:paraId="5A4D7EB9" w14:textId="77777777" w:rsidR="00B801F4" w:rsidRPr="00B801F4" w:rsidRDefault="00B801F4" w:rsidP="00B801F4">
            <w:pPr>
              <w:jc w:val="right"/>
              <w:rPr>
                <w:rFonts w:ascii="Arial" w:hAnsi="Arial" w:cs="Arial"/>
              </w:rPr>
            </w:pPr>
            <w:r w:rsidRPr="00B801F4">
              <w:rPr>
                <w:rFonts w:ascii="Arial" w:hAnsi="Arial" w:cs="Arial"/>
              </w:rPr>
              <w:t>167.5</w:t>
            </w:r>
          </w:p>
        </w:tc>
      </w:tr>
      <w:tr w:rsidR="00B801F4" w:rsidRPr="00B801F4" w14:paraId="19725A24" w14:textId="77777777" w:rsidTr="00B801F4">
        <w:trPr>
          <w:trHeight w:val="256"/>
        </w:trPr>
        <w:tc>
          <w:tcPr>
            <w:tcW w:w="5074" w:type="dxa"/>
          </w:tcPr>
          <w:p w14:paraId="20D76C5D" w14:textId="77777777" w:rsidR="00B801F4" w:rsidRPr="00B801F4" w:rsidRDefault="00B801F4" w:rsidP="00B801F4">
            <w:pPr>
              <w:rPr>
                <w:rFonts w:ascii="Arial" w:hAnsi="Arial" w:cs="Arial"/>
              </w:rPr>
            </w:pPr>
          </w:p>
        </w:tc>
        <w:tc>
          <w:tcPr>
            <w:tcW w:w="1563" w:type="dxa"/>
            <w:tcBorders>
              <w:top w:val="single" w:sz="18" w:space="0" w:color="auto"/>
              <w:bottom w:val="single" w:sz="18" w:space="0" w:color="auto"/>
            </w:tcBorders>
          </w:tcPr>
          <w:p w14:paraId="0365009C" w14:textId="77777777" w:rsidR="00B801F4" w:rsidRPr="00B801F4" w:rsidRDefault="00B801F4" w:rsidP="00B801F4">
            <w:pPr>
              <w:jc w:val="right"/>
              <w:rPr>
                <w:rFonts w:ascii="Arial" w:hAnsi="Arial" w:cs="Arial"/>
              </w:rPr>
            </w:pPr>
            <w:r w:rsidRPr="00B801F4">
              <w:rPr>
                <w:rFonts w:ascii="Arial" w:hAnsi="Arial" w:cs="Arial"/>
              </w:rPr>
              <w:t>60.0</w:t>
            </w:r>
          </w:p>
        </w:tc>
        <w:tc>
          <w:tcPr>
            <w:tcW w:w="430" w:type="dxa"/>
            <w:tcBorders>
              <w:right w:val="single" w:sz="4" w:space="0" w:color="FFFFFF" w:themeColor="background1"/>
            </w:tcBorders>
          </w:tcPr>
          <w:p w14:paraId="54D50576" w14:textId="77777777" w:rsidR="00B801F4" w:rsidRPr="00B801F4" w:rsidRDefault="00B801F4" w:rsidP="00B801F4">
            <w:pPr>
              <w:jc w:val="right"/>
              <w:rPr>
                <w:rFonts w:ascii="Arial" w:hAnsi="Arial" w:cs="Arial"/>
              </w:rPr>
            </w:pPr>
          </w:p>
        </w:tc>
        <w:tc>
          <w:tcPr>
            <w:tcW w:w="1701" w:type="dxa"/>
            <w:tcBorders>
              <w:top w:val="single" w:sz="18" w:space="0" w:color="auto"/>
              <w:left w:val="single" w:sz="4" w:space="0" w:color="FFFFFF" w:themeColor="background1"/>
              <w:bottom w:val="single" w:sz="18" w:space="0" w:color="auto"/>
            </w:tcBorders>
          </w:tcPr>
          <w:p w14:paraId="0B3F60D4" w14:textId="77777777" w:rsidR="00B801F4" w:rsidRPr="00B801F4" w:rsidRDefault="00B801F4" w:rsidP="00B801F4">
            <w:pPr>
              <w:jc w:val="right"/>
              <w:rPr>
                <w:rFonts w:ascii="Arial" w:hAnsi="Arial" w:cs="Arial"/>
              </w:rPr>
            </w:pPr>
            <w:r w:rsidRPr="00B801F4">
              <w:rPr>
                <w:rFonts w:ascii="Arial" w:hAnsi="Arial" w:cs="Arial"/>
              </w:rPr>
              <w:t>315.5</w:t>
            </w:r>
          </w:p>
        </w:tc>
      </w:tr>
    </w:tbl>
    <w:p w14:paraId="52F8E899" w14:textId="77777777" w:rsidR="00B801F4" w:rsidRPr="00B801F4" w:rsidRDefault="00B801F4" w:rsidP="00B801F4">
      <w:pPr>
        <w:autoSpaceDE/>
        <w:autoSpaceDN/>
        <w:adjustRightInd/>
        <w:contextualSpacing/>
        <w:rPr>
          <w:b/>
          <w:sz w:val="28"/>
          <w:szCs w:val="28"/>
        </w:rPr>
      </w:pPr>
    </w:p>
    <w:p w14:paraId="32002766" w14:textId="77777777" w:rsidR="00B801F4" w:rsidRPr="00B801F4" w:rsidRDefault="00B801F4" w:rsidP="00B801F4">
      <w:pPr>
        <w:autoSpaceDE/>
        <w:autoSpaceDN/>
        <w:adjustRightInd/>
        <w:ind w:left="720"/>
        <w:contextualSpacing/>
        <w:rPr>
          <w:b/>
          <w:sz w:val="28"/>
          <w:szCs w:val="28"/>
        </w:rPr>
      </w:pPr>
    </w:p>
    <w:p w14:paraId="4AF44A86" w14:textId="77777777" w:rsidR="00B801F4" w:rsidRPr="00B801F4" w:rsidRDefault="00B801F4" w:rsidP="00B801F4">
      <w:pPr>
        <w:autoSpaceDE/>
        <w:autoSpaceDN/>
        <w:adjustRightInd/>
        <w:ind w:left="720"/>
        <w:contextualSpacing/>
        <w:rPr>
          <w:b/>
          <w:sz w:val="28"/>
          <w:szCs w:val="28"/>
        </w:rPr>
      </w:pPr>
    </w:p>
    <w:p w14:paraId="18DBC1B0" w14:textId="77777777" w:rsidR="00B801F4" w:rsidRPr="00B801F4" w:rsidRDefault="00B801F4" w:rsidP="00B801F4">
      <w:pPr>
        <w:autoSpaceDE/>
        <w:autoSpaceDN/>
        <w:adjustRightInd/>
        <w:ind w:left="720"/>
        <w:contextualSpacing/>
        <w:rPr>
          <w:b/>
          <w:sz w:val="28"/>
          <w:szCs w:val="28"/>
        </w:rPr>
      </w:pPr>
    </w:p>
    <w:p w14:paraId="41A22998" w14:textId="77777777" w:rsidR="00B801F4" w:rsidRPr="00B801F4" w:rsidRDefault="00B801F4" w:rsidP="00717919">
      <w:pPr>
        <w:numPr>
          <w:ilvl w:val="0"/>
          <w:numId w:val="74"/>
        </w:numPr>
        <w:autoSpaceDE/>
        <w:autoSpaceDN/>
        <w:adjustRightInd/>
        <w:contextualSpacing/>
        <w:rPr>
          <w:b/>
          <w:sz w:val="32"/>
          <w:szCs w:val="32"/>
        </w:rPr>
      </w:pPr>
      <w:r w:rsidRPr="00B801F4">
        <w:rPr>
          <w:b/>
          <w:sz w:val="32"/>
          <w:szCs w:val="32"/>
        </w:rPr>
        <w:t>Financial instruments classification</w:t>
      </w:r>
    </w:p>
    <w:p w14:paraId="05228FF4" w14:textId="77777777" w:rsidR="00B801F4" w:rsidRPr="00B801F4" w:rsidRDefault="00B801F4" w:rsidP="00B801F4">
      <w:pPr>
        <w:ind w:left="720"/>
        <w:contextualSpacing/>
        <w:rPr>
          <w:b/>
        </w:rPr>
      </w:pPr>
    </w:p>
    <w:p w14:paraId="19F92E0D" w14:textId="77777777" w:rsidR="00B801F4" w:rsidRPr="00B801F4" w:rsidRDefault="00B801F4" w:rsidP="00B801F4">
      <w:pPr>
        <w:ind w:left="720"/>
        <w:contextualSpacing/>
        <w:jc w:val="left"/>
        <w:rPr>
          <w:sz w:val="20"/>
        </w:rPr>
      </w:pPr>
      <w:r w:rsidRPr="00B801F4">
        <w:t>The accounting policy on financial instruments describes how different asset classes of financial instruments are measured, and how income and expenses, including fair value gains and losses are recognised.  The following table analyses the carrying amounts of financial assets and liabilities by category and net asset statement heading.</w:t>
      </w:r>
      <w:r w:rsidRPr="00B801F4">
        <w:rPr>
          <w:sz w:val="20"/>
        </w:rPr>
        <w:t xml:space="preserve"> </w:t>
      </w:r>
    </w:p>
    <w:p w14:paraId="07687B39" w14:textId="77777777" w:rsidR="00B801F4" w:rsidRPr="00B801F4" w:rsidRDefault="00B801F4" w:rsidP="00B801F4">
      <w:pPr>
        <w:ind w:left="720"/>
        <w:contextualSpacing/>
        <w:jc w:val="left"/>
        <w:rPr>
          <w:sz w:val="20"/>
        </w:rPr>
      </w:pPr>
    </w:p>
    <w:p w14:paraId="4E4BECA8" w14:textId="77777777" w:rsidR="00B801F4" w:rsidRPr="00B801F4" w:rsidRDefault="00B801F4" w:rsidP="00B801F4">
      <w:pPr>
        <w:ind w:left="720"/>
        <w:contextualSpacing/>
        <w:jc w:val="left"/>
      </w:pPr>
      <w:r w:rsidRPr="00B801F4">
        <w:t>Direct property, although included in the total market value of net assets, is excluded from the table since this is categorised as investment property under IAS40 rather than as a financial instrument.</w:t>
      </w:r>
    </w:p>
    <w:p w14:paraId="51C2D6A7" w14:textId="77777777" w:rsidR="00B801F4" w:rsidRPr="00B801F4" w:rsidRDefault="00B801F4" w:rsidP="00B801F4">
      <w:pPr>
        <w:autoSpaceDE/>
        <w:autoSpaceDN/>
        <w:adjustRightInd/>
        <w:spacing w:after="0"/>
        <w:jc w:val="left"/>
        <w:rPr>
          <w:rFonts w:ascii="Helvetica" w:eastAsia="Times New Roman" w:hAnsi="Helvetica" w:cs="Arial"/>
          <w:color w:val="F5F5F5"/>
          <w:sz w:val="2"/>
          <w:szCs w:val="2"/>
          <w:lang w:eastAsia="en-GB"/>
        </w:rPr>
      </w:pPr>
      <w:r w:rsidRPr="00B801F4">
        <w:rPr>
          <w:rFonts w:ascii="Helvetica" w:eastAsia="Times New Roman" w:hAnsi="Helvetica" w:cs="Arial"/>
          <w:b/>
          <w:bCs/>
          <w:color w:val="F5F5F5"/>
          <w:sz w:val="2"/>
          <w:szCs w:val="2"/>
          <w:lang w:eastAsia="en-GB"/>
        </w:rPr>
        <w:t>nvestment property</w:t>
      </w:r>
      <w:r w:rsidRPr="00B801F4">
        <w:rPr>
          <w:rFonts w:ascii="Helvetica" w:eastAsia="Times New Roman" w:hAnsi="Helvetica" w:cs="Arial"/>
          <w:color w:val="F5F5F5"/>
          <w:sz w:val="2"/>
          <w:szCs w:val="2"/>
          <w:lang w:eastAsia="en-GB"/>
        </w:rPr>
        <w:t xml:space="preserve"> is property (land or a building or part of a building or both) held (by the owner or by the lessee under a finance lease) to earn rentals or for capital appreciation or both.</w:t>
      </w:r>
    </w:p>
    <w:p w14:paraId="3AB1948B" w14:textId="77777777" w:rsidR="00B801F4" w:rsidRPr="00B801F4" w:rsidRDefault="00B801F4" w:rsidP="00B801F4">
      <w:pPr>
        <w:tabs>
          <w:tab w:val="left" w:pos="1080"/>
        </w:tabs>
        <w:spacing w:after="80"/>
        <w:ind w:left="709"/>
      </w:pPr>
    </w:p>
    <w:p w14:paraId="499C6419" w14:textId="77777777" w:rsidR="00B801F4" w:rsidRPr="00B801F4" w:rsidRDefault="00B801F4" w:rsidP="00B801F4">
      <w:pPr>
        <w:ind w:left="720"/>
        <w:contextualSpacing/>
        <w:rPr>
          <w:sz w:val="20"/>
        </w:rPr>
      </w:pPr>
    </w:p>
    <w:p w14:paraId="0FB8F77D" w14:textId="77777777" w:rsidR="00B801F4" w:rsidRPr="00B801F4" w:rsidRDefault="00B801F4" w:rsidP="00B801F4">
      <w:pPr>
        <w:ind w:left="720"/>
        <w:contextualSpacing/>
        <w:rPr>
          <w:sz w:val="20"/>
        </w:rPr>
      </w:pPr>
    </w:p>
    <w:p w14:paraId="45FB392C" w14:textId="77777777" w:rsidR="00B801F4" w:rsidRPr="00B801F4" w:rsidRDefault="00B801F4" w:rsidP="00B801F4">
      <w:pPr>
        <w:ind w:left="720"/>
        <w:contextualSpacing/>
        <w:rPr>
          <w:sz w:val="20"/>
        </w:rPr>
        <w:sectPr w:rsidR="00B801F4" w:rsidRPr="00B801F4" w:rsidSect="00B801F4">
          <w:pgSz w:w="11900" w:h="16840" w:code="9"/>
          <w:pgMar w:top="720" w:right="720" w:bottom="720" w:left="720" w:header="284" w:footer="284" w:gutter="0"/>
          <w:cols w:space="292"/>
          <w:docGrid w:linePitch="326"/>
        </w:sectPr>
      </w:pPr>
    </w:p>
    <w:p w14:paraId="51CD20C1" w14:textId="77777777" w:rsidR="00B801F4" w:rsidRPr="00B801F4" w:rsidRDefault="00B801F4" w:rsidP="00B801F4">
      <w:pPr>
        <w:ind w:left="720"/>
        <w:contextualSpacing/>
        <w:rPr>
          <w:sz w:val="20"/>
        </w:rPr>
      </w:pPr>
    </w:p>
    <w:p w14:paraId="456E68CD" w14:textId="77777777" w:rsidR="00B801F4" w:rsidRPr="00B801F4" w:rsidRDefault="00B801F4" w:rsidP="00B801F4">
      <w:pPr>
        <w:ind w:left="720"/>
        <w:contextualSpacing/>
        <w:rPr>
          <w:sz w:val="20"/>
        </w:rPr>
      </w:pPr>
    </w:p>
    <w:tbl>
      <w:tblPr>
        <w:tblStyle w:val="TableGrid11"/>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502"/>
        <w:gridCol w:w="2268"/>
        <w:gridCol w:w="2835"/>
        <w:gridCol w:w="1785"/>
      </w:tblGrid>
      <w:tr w:rsidR="00B801F4" w:rsidRPr="00B801F4" w14:paraId="36757657" w14:textId="77777777" w:rsidTr="00B801F4">
        <w:tc>
          <w:tcPr>
            <w:tcW w:w="8502" w:type="dxa"/>
            <w:shd w:val="clear" w:color="auto" w:fill="A8D08D" w:themeFill="accent6" w:themeFillTint="99"/>
          </w:tcPr>
          <w:p w14:paraId="37B74E66" w14:textId="77777777" w:rsidR="00B801F4" w:rsidRPr="00B801F4" w:rsidRDefault="00B801F4" w:rsidP="00B801F4">
            <w:pPr>
              <w:tabs>
                <w:tab w:val="left" w:pos="1080"/>
              </w:tabs>
              <w:spacing w:after="80"/>
              <w:jc w:val="left"/>
              <w:rPr>
                <w:rFonts w:ascii="Arial" w:hAnsi="Arial" w:cs="Arial"/>
                <w:b/>
              </w:rPr>
            </w:pPr>
            <w:r w:rsidRPr="00B801F4">
              <w:rPr>
                <w:rFonts w:ascii="Arial" w:hAnsi="Arial" w:cs="Arial"/>
                <w:b/>
              </w:rPr>
              <w:t>31/03/15</w:t>
            </w:r>
          </w:p>
        </w:tc>
        <w:tc>
          <w:tcPr>
            <w:tcW w:w="2268" w:type="dxa"/>
            <w:shd w:val="clear" w:color="auto" w:fill="A8D08D" w:themeFill="accent6" w:themeFillTint="99"/>
          </w:tcPr>
          <w:p w14:paraId="0E47754D"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Fair value through profit or loss</w:t>
            </w:r>
          </w:p>
        </w:tc>
        <w:tc>
          <w:tcPr>
            <w:tcW w:w="2835" w:type="dxa"/>
            <w:shd w:val="clear" w:color="auto" w:fill="A8D08D" w:themeFill="accent6" w:themeFillTint="99"/>
          </w:tcPr>
          <w:p w14:paraId="666BC112"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Loans and receivables</w:t>
            </w:r>
          </w:p>
        </w:tc>
        <w:tc>
          <w:tcPr>
            <w:tcW w:w="1785" w:type="dxa"/>
            <w:shd w:val="clear" w:color="auto" w:fill="A8D08D" w:themeFill="accent6" w:themeFillTint="99"/>
          </w:tcPr>
          <w:p w14:paraId="4EDAAEEC"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Financial liabilities at amortised cost</w:t>
            </w:r>
          </w:p>
        </w:tc>
      </w:tr>
      <w:tr w:rsidR="00B801F4" w:rsidRPr="00B801F4" w14:paraId="6830EE25" w14:textId="77777777" w:rsidTr="00B801F4">
        <w:tc>
          <w:tcPr>
            <w:tcW w:w="8502" w:type="dxa"/>
            <w:shd w:val="clear" w:color="auto" w:fill="A8D08D" w:themeFill="accent6" w:themeFillTint="99"/>
          </w:tcPr>
          <w:p w14:paraId="5349C2F1" w14:textId="77777777" w:rsidR="00B801F4" w:rsidRPr="00B801F4" w:rsidRDefault="00B801F4" w:rsidP="00B801F4">
            <w:pPr>
              <w:tabs>
                <w:tab w:val="left" w:pos="1080"/>
              </w:tabs>
              <w:spacing w:after="80"/>
              <w:jc w:val="left"/>
              <w:rPr>
                <w:rFonts w:ascii="Arial" w:hAnsi="Arial" w:cs="Arial"/>
              </w:rPr>
            </w:pPr>
          </w:p>
        </w:tc>
        <w:tc>
          <w:tcPr>
            <w:tcW w:w="2268" w:type="dxa"/>
            <w:shd w:val="clear" w:color="auto" w:fill="A8D08D" w:themeFill="accent6" w:themeFillTint="99"/>
          </w:tcPr>
          <w:p w14:paraId="4FC88180"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£m</w:t>
            </w:r>
          </w:p>
        </w:tc>
        <w:tc>
          <w:tcPr>
            <w:tcW w:w="2835" w:type="dxa"/>
            <w:shd w:val="clear" w:color="auto" w:fill="A8D08D" w:themeFill="accent6" w:themeFillTint="99"/>
          </w:tcPr>
          <w:p w14:paraId="5A1CDF32"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£m</w:t>
            </w:r>
          </w:p>
        </w:tc>
        <w:tc>
          <w:tcPr>
            <w:tcW w:w="1785" w:type="dxa"/>
            <w:shd w:val="clear" w:color="auto" w:fill="A8D08D" w:themeFill="accent6" w:themeFillTint="99"/>
          </w:tcPr>
          <w:p w14:paraId="20AB56E2"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£m</w:t>
            </w:r>
          </w:p>
        </w:tc>
      </w:tr>
      <w:tr w:rsidR="00B801F4" w:rsidRPr="00B801F4" w14:paraId="388F72D9" w14:textId="77777777" w:rsidTr="00B801F4">
        <w:tc>
          <w:tcPr>
            <w:tcW w:w="8502" w:type="dxa"/>
            <w:shd w:val="clear" w:color="auto" w:fill="E2EFD9" w:themeFill="accent6" w:themeFillTint="33"/>
          </w:tcPr>
          <w:p w14:paraId="382CFDAC" w14:textId="77777777" w:rsidR="00B801F4" w:rsidRPr="00B801F4" w:rsidRDefault="00B801F4" w:rsidP="00B801F4">
            <w:pPr>
              <w:tabs>
                <w:tab w:val="left" w:pos="1080"/>
              </w:tabs>
              <w:spacing w:after="80"/>
              <w:jc w:val="left"/>
              <w:rPr>
                <w:rFonts w:ascii="Arial" w:hAnsi="Arial" w:cs="Arial"/>
                <w:b/>
              </w:rPr>
            </w:pPr>
            <w:r w:rsidRPr="00B801F4">
              <w:rPr>
                <w:rFonts w:ascii="Arial" w:hAnsi="Arial" w:cs="Arial"/>
                <w:b/>
              </w:rPr>
              <w:t>Financial assets</w:t>
            </w:r>
          </w:p>
        </w:tc>
        <w:tc>
          <w:tcPr>
            <w:tcW w:w="2268" w:type="dxa"/>
            <w:shd w:val="clear" w:color="auto" w:fill="E2EFD9" w:themeFill="accent6" w:themeFillTint="33"/>
          </w:tcPr>
          <w:p w14:paraId="310C8F78" w14:textId="77777777" w:rsidR="00B801F4" w:rsidRPr="00B801F4" w:rsidRDefault="00B801F4" w:rsidP="00B801F4">
            <w:pPr>
              <w:tabs>
                <w:tab w:val="left" w:pos="1080"/>
              </w:tabs>
              <w:spacing w:after="80"/>
              <w:jc w:val="right"/>
              <w:rPr>
                <w:rFonts w:ascii="Arial" w:hAnsi="Arial" w:cs="Arial"/>
              </w:rPr>
            </w:pPr>
          </w:p>
        </w:tc>
        <w:tc>
          <w:tcPr>
            <w:tcW w:w="2835" w:type="dxa"/>
            <w:shd w:val="clear" w:color="auto" w:fill="E2EFD9" w:themeFill="accent6" w:themeFillTint="33"/>
          </w:tcPr>
          <w:p w14:paraId="49E8BC38" w14:textId="77777777" w:rsidR="00B801F4" w:rsidRPr="00B801F4" w:rsidRDefault="00B801F4" w:rsidP="00B801F4">
            <w:pPr>
              <w:tabs>
                <w:tab w:val="left" w:pos="1080"/>
              </w:tabs>
              <w:spacing w:after="80"/>
              <w:jc w:val="right"/>
              <w:rPr>
                <w:rFonts w:ascii="Arial" w:hAnsi="Arial" w:cs="Arial"/>
              </w:rPr>
            </w:pPr>
          </w:p>
        </w:tc>
        <w:tc>
          <w:tcPr>
            <w:tcW w:w="1785" w:type="dxa"/>
            <w:shd w:val="clear" w:color="auto" w:fill="E2EFD9" w:themeFill="accent6" w:themeFillTint="33"/>
          </w:tcPr>
          <w:p w14:paraId="00899115" w14:textId="77777777" w:rsidR="00B801F4" w:rsidRPr="00B801F4" w:rsidRDefault="00B801F4" w:rsidP="00B801F4">
            <w:pPr>
              <w:tabs>
                <w:tab w:val="left" w:pos="1080"/>
              </w:tabs>
              <w:spacing w:after="80"/>
              <w:jc w:val="right"/>
              <w:rPr>
                <w:rFonts w:ascii="Arial" w:hAnsi="Arial" w:cs="Arial"/>
              </w:rPr>
            </w:pPr>
          </w:p>
        </w:tc>
      </w:tr>
      <w:tr w:rsidR="00B801F4" w:rsidRPr="00B801F4" w14:paraId="5A4A1DF5" w14:textId="77777777" w:rsidTr="00B801F4">
        <w:tc>
          <w:tcPr>
            <w:tcW w:w="8502" w:type="dxa"/>
          </w:tcPr>
          <w:p w14:paraId="7235CCB7"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Fixed interest securities</w:t>
            </w:r>
          </w:p>
        </w:tc>
        <w:tc>
          <w:tcPr>
            <w:tcW w:w="2268" w:type="dxa"/>
          </w:tcPr>
          <w:p w14:paraId="14FB84A4"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148.8</w:t>
            </w:r>
          </w:p>
        </w:tc>
        <w:tc>
          <w:tcPr>
            <w:tcW w:w="2835" w:type="dxa"/>
          </w:tcPr>
          <w:p w14:paraId="101C3A4F"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25F59B0E"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38DD9653" w14:textId="77777777" w:rsidTr="00B801F4">
        <w:tc>
          <w:tcPr>
            <w:tcW w:w="8502" w:type="dxa"/>
          </w:tcPr>
          <w:p w14:paraId="686C30D8"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Equities</w:t>
            </w:r>
          </w:p>
        </w:tc>
        <w:tc>
          <w:tcPr>
            <w:tcW w:w="2268" w:type="dxa"/>
          </w:tcPr>
          <w:p w14:paraId="199ABD71"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2,000.7</w:t>
            </w:r>
          </w:p>
        </w:tc>
        <w:tc>
          <w:tcPr>
            <w:tcW w:w="2835" w:type="dxa"/>
          </w:tcPr>
          <w:p w14:paraId="60624BE6"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3606AB12"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711D6918" w14:textId="77777777" w:rsidTr="00B801F4">
        <w:tc>
          <w:tcPr>
            <w:tcW w:w="8502" w:type="dxa"/>
          </w:tcPr>
          <w:p w14:paraId="27DCBE41"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Index linked securities</w:t>
            </w:r>
          </w:p>
        </w:tc>
        <w:tc>
          <w:tcPr>
            <w:tcW w:w="2268" w:type="dxa"/>
          </w:tcPr>
          <w:p w14:paraId="5A7B7DC2"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317.9</w:t>
            </w:r>
          </w:p>
        </w:tc>
        <w:tc>
          <w:tcPr>
            <w:tcW w:w="2835" w:type="dxa"/>
          </w:tcPr>
          <w:p w14:paraId="4E945384"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2B54D934"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2A76F5E6" w14:textId="77777777" w:rsidTr="00B801F4">
        <w:tc>
          <w:tcPr>
            <w:tcW w:w="8502" w:type="dxa"/>
          </w:tcPr>
          <w:p w14:paraId="1055A952"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Pooled investment vehicles</w:t>
            </w:r>
          </w:p>
        </w:tc>
        <w:tc>
          <w:tcPr>
            <w:tcW w:w="2268" w:type="dxa"/>
          </w:tcPr>
          <w:p w14:paraId="414D5BF9"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2,740.2</w:t>
            </w:r>
          </w:p>
        </w:tc>
        <w:tc>
          <w:tcPr>
            <w:tcW w:w="2835" w:type="dxa"/>
          </w:tcPr>
          <w:p w14:paraId="4FCE273D"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32C42973"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31CA6A0B" w14:textId="77777777" w:rsidTr="00B801F4">
        <w:tc>
          <w:tcPr>
            <w:tcW w:w="8502" w:type="dxa"/>
          </w:tcPr>
          <w:p w14:paraId="30C43938"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Derivative contracts</w:t>
            </w:r>
          </w:p>
        </w:tc>
        <w:tc>
          <w:tcPr>
            <w:tcW w:w="2268" w:type="dxa"/>
          </w:tcPr>
          <w:p w14:paraId="72D3E9D0"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632.4</w:t>
            </w:r>
          </w:p>
        </w:tc>
        <w:tc>
          <w:tcPr>
            <w:tcW w:w="2835" w:type="dxa"/>
          </w:tcPr>
          <w:p w14:paraId="46BDD3E9"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7B777B84"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4C95E869" w14:textId="77777777" w:rsidTr="00B801F4">
        <w:tc>
          <w:tcPr>
            <w:tcW w:w="8502" w:type="dxa"/>
          </w:tcPr>
          <w:p w14:paraId="3D5301D6"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Cash deposits</w:t>
            </w:r>
          </w:p>
        </w:tc>
        <w:tc>
          <w:tcPr>
            <w:tcW w:w="2268" w:type="dxa"/>
          </w:tcPr>
          <w:p w14:paraId="347A406A"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2835" w:type="dxa"/>
          </w:tcPr>
          <w:p w14:paraId="5105FBE6"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60.0</w:t>
            </w:r>
          </w:p>
        </w:tc>
        <w:tc>
          <w:tcPr>
            <w:tcW w:w="1785" w:type="dxa"/>
          </w:tcPr>
          <w:p w14:paraId="6D9D74C7"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0A10218A" w14:textId="77777777" w:rsidTr="00B801F4">
        <w:tc>
          <w:tcPr>
            <w:tcW w:w="8502" w:type="dxa"/>
          </w:tcPr>
          <w:p w14:paraId="2E01D033"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Investment accruals</w:t>
            </w:r>
          </w:p>
        </w:tc>
        <w:tc>
          <w:tcPr>
            <w:tcW w:w="2268" w:type="dxa"/>
          </w:tcPr>
          <w:p w14:paraId="169CF604"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11.7</w:t>
            </w:r>
          </w:p>
        </w:tc>
        <w:tc>
          <w:tcPr>
            <w:tcW w:w="2835" w:type="dxa"/>
          </w:tcPr>
          <w:p w14:paraId="1E96C7DB"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197DCC37"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1DAE6140" w14:textId="77777777" w:rsidTr="00B801F4">
        <w:tc>
          <w:tcPr>
            <w:tcW w:w="8502" w:type="dxa"/>
          </w:tcPr>
          <w:p w14:paraId="27E37085"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Debtors</w:t>
            </w:r>
          </w:p>
        </w:tc>
        <w:tc>
          <w:tcPr>
            <w:tcW w:w="2268" w:type="dxa"/>
          </w:tcPr>
          <w:p w14:paraId="5B60596F"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2835" w:type="dxa"/>
          </w:tcPr>
          <w:p w14:paraId="1A53DD3B"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28.1</w:t>
            </w:r>
          </w:p>
        </w:tc>
        <w:tc>
          <w:tcPr>
            <w:tcW w:w="1785" w:type="dxa"/>
          </w:tcPr>
          <w:p w14:paraId="1E5AD51C"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64380C78" w14:textId="77777777" w:rsidTr="00B801F4">
        <w:tc>
          <w:tcPr>
            <w:tcW w:w="8502" w:type="dxa"/>
            <w:shd w:val="clear" w:color="auto" w:fill="C5E0B3" w:themeFill="accent6" w:themeFillTint="66"/>
          </w:tcPr>
          <w:p w14:paraId="45D59211" w14:textId="77777777" w:rsidR="00B801F4" w:rsidRPr="00B801F4" w:rsidRDefault="00B801F4" w:rsidP="00B801F4">
            <w:pPr>
              <w:tabs>
                <w:tab w:val="left" w:pos="1080"/>
              </w:tabs>
              <w:spacing w:after="80"/>
              <w:jc w:val="left"/>
              <w:rPr>
                <w:rFonts w:ascii="Arial" w:hAnsi="Arial" w:cs="Arial"/>
                <w:b/>
              </w:rPr>
            </w:pPr>
            <w:r w:rsidRPr="00B801F4">
              <w:rPr>
                <w:rFonts w:ascii="Arial" w:hAnsi="Arial" w:cs="Arial"/>
                <w:b/>
              </w:rPr>
              <w:t>Total financial assets</w:t>
            </w:r>
          </w:p>
        </w:tc>
        <w:tc>
          <w:tcPr>
            <w:tcW w:w="2268" w:type="dxa"/>
            <w:shd w:val="clear" w:color="auto" w:fill="C5E0B3" w:themeFill="accent6" w:themeFillTint="66"/>
          </w:tcPr>
          <w:p w14:paraId="2D516A66"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5,851.7</w:t>
            </w:r>
          </w:p>
        </w:tc>
        <w:tc>
          <w:tcPr>
            <w:tcW w:w="2835" w:type="dxa"/>
            <w:shd w:val="clear" w:color="auto" w:fill="C5E0B3" w:themeFill="accent6" w:themeFillTint="66"/>
          </w:tcPr>
          <w:p w14:paraId="276B84D4"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88.1</w:t>
            </w:r>
          </w:p>
        </w:tc>
        <w:tc>
          <w:tcPr>
            <w:tcW w:w="1785" w:type="dxa"/>
            <w:shd w:val="clear" w:color="auto" w:fill="C5E0B3" w:themeFill="accent6" w:themeFillTint="66"/>
          </w:tcPr>
          <w:p w14:paraId="62D36E37"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w:t>
            </w:r>
          </w:p>
        </w:tc>
      </w:tr>
      <w:tr w:rsidR="00B801F4" w:rsidRPr="00B801F4" w14:paraId="6EF2441A" w14:textId="77777777" w:rsidTr="00B801F4">
        <w:trPr>
          <w:trHeight w:val="177"/>
        </w:trPr>
        <w:tc>
          <w:tcPr>
            <w:tcW w:w="8502" w:type="dxa"/>
          </w:tcPr>
          <w:p w14:paraId="5543454A" w14:textId="77777777" w:rsidR="00B801F4" w:rsidRPr="00B801F4" w:rsidRDefault="00B801F4" w:rsidP="00B801F4">
            <w:pPr>
              <w:tabs>
                <w:tab w:val="left" w:pos="1080"/>
              </w:tabs>
              <w:spacing w:after="80"/>
              <w:jc w:val="left"/>
              <w:rPr>
                <w:rFonts w:ascii="Arial" w:hAnsi="Arial" w:cs="Arial"/>
              </w:rPr>
            </w:pPr>
          </w:p>
        </w:tc>
        <w:tc>
          <w:tcPr>
            <w:tcW w:w="2268" w:type="dxa"/>
          </w:tcPr>
          <w:p w14:paraId="10C5FEBA" w14:textId="77777777" w:rsidR="00B801F4" w:rsidRPr="00B801F4" w:rsidRDefault="00B801F4" w:rsidP="00B801F4">
            <w:pPr>
              <w:tabs>
                <w:tab w:val="left" w:pos="1080"/>
              </w:tabs>
              <w:spacing w:after="80"/>
              <w:jc w:val="right"/>
              <w:rPr>
                <w:rFonts w:ascii="Arial" w:hAnsi="Arial" w:cs="Arial"/>
              </w:rPr>
            </w:pPr>
          </w:p>
        </w:tc>
        <w:tc>
          <w:tcPr>
            <w:tcW w:w="2835" w:type="dxa"/>
          </w:tcPr>
          <w:p w14:paraId="16C9ED0E" w14:textId="77777777" w:rsidR="00B801F4" w:rsidRPr="00B801F4" w:rsidRDefault="00B801F4" w:rsidP="00B801F4">
            <w:pPr>
              <w:tabs>
                <w:tab w:val="left" w:pos="1080"/>
              </w:tabs>
              <w:spacing w:after="80"/>
              <w:jc w:val="right"/>
              <w:rPr>
                <w:rFonts w:ascii="Arial" w:hAnsi="Arial" w:cs="Arial"/>
              </w:rPr>
            </w:pPr>
          </w:p>
        </w:tc>
        <w:tc>
          <w:tcPr>
            <w:tcW w:w="1785" w:type="dxa"/>
          </w:tcPr>
          <w:p w14:paraId="5B97F080" w14:textId="77777777" w:rsidR="00B801F4" w:rsidRPr="00B801F4" w:rsidRDefault="00B801F4" w:rsidP="00B801F4">
            <w:pPr>
              <w:tabs>
                <w:tab w:val="left" w:pos="1080"/>
              </w:tabs>
              <w:spacing w:after="80"/>
              <w:jc w:val="right"/>
              <w:rPr>
                <w:rFonts w:ascii="Arial" w:hAnsi="Arial" w:cs="Arial"/>
              </w:rPr>
            </w:pPr>
          </w:p>
        </w:tc>
      </w:tr>
      <w:tr w:rsidR="00B801F4" w:rsidRPr="00B801F4" w14:paraId="411F5A10" w14:textId="77777777" w:rsidTr="00B801F4">
        <w:tc>
          <w:tcPr>
            <w:tcW w:w="8502" w:type="dxa"/>
            <w:shd w:val="clear" w:color="auto" w:fill="E2EFD9" w:themeFill="accent6" w:themeFillTint="33"/>
          </w:tcPr>
          <w:p w14:paraId="5F2B7EF9" w14:textId="77777777" w:rsidR="00B801F4" w:rsidRPr="00B801F4" w:rsidRDefault="00B801F4" w:rsidP="00B801F4">
            <w:pPr>
              <w:tabs>
                <w:tab w:val="left" w:pos="1080"/>
              </w:tabs>
              <w:spacing w:after="80"/>
              <w:jc w:val="left"/>
              <w:rPr>
                <w:rFonts w:ascii="Arial" w:hAnsi="Arial" w:cs="Arial"/>
                <w:b/>
              </w:rPr>
            </w:pPr>
            <w:r w:rsidRPr="00B801F4">
              <w:rPr>
                <w:rFonts w:ascii="Arial" w:hAnsi="Arial" w:cs="Arial"/>
                <w:b/>
              </w:rPr>
              <w:t>Financial liabilities</w:t>
            </w:r>
          </w:p>
        </w:tc>
        <w:tc>
          <w:tcPr>
            <w:tcW w:w="2268" w:type="dxa"/>
            <w:shd w:val="clear" w:color="auto" w:fill="E2EFD9" w:themeFill="accent6" w:themeFillTint="33"/>
          </w:tcPr>
          <w:p w14:paraId="22B2F518" w14:textId="77777777" w:rsidR="00B801F4" w:rsidRPr="00B801F4" w:rsidRDefault="00B801F4" w:rsidP="00B801F4">
            <w:pPr>
              <w:tabs>
                <w:tab w:val="left" w:pos="1080"/>
              </w:tabs>
              <w:spacing w:after="80"/>
              <w:jc w:val="right"/>
              <w:rPr>
                <w:rFonts w:ascii="Arial" w:hAnsi="Arial" w:cs="Arial"/>
                <w:b/>
              </w:rPr>
            </w:pPr>
          </w:p>
        </w:tc>
        <w:tc>
          <w:tcPr>
            <w:tcW w:w="2835" w:type="dxa"/>
            <w:shd w:val="clear" w:color="auto" w:fill="E2EFD9" w:themeFill="accent6" w:themeFillTint="33"/>
          </w:tcPr>
          <w:p w14:paraId="46715D01" w14:textId="77777777" w:rsidR="00B801F4" w:rsidRPr="00B801F4" w:rsidRDefault="00B801F4" w:rsidP="00B801F4">
            <w:pPr>
              <w:tabs>
                <w:tab w:val="left" w:pos="1080"/>
              </w:tabs>
              <w:spacing w:after="80"/>
              <w:jc w:val="right"/>
              <w:rPr>
                <w:rFonts w:ascii="Arial" w:hAnsi="Arial" w:cs="Arial"/>
                <w:b/>
              </w:rPr>
            </w:pPr>
          </w:p>
        </w:tc>
        <w:tc>
          <w:tcPr>
            <w:tcW w:w="1785" w:type="dxa"/>
            <w:shd w:val="clear" w:color="auto" w:fill="E2EFD9" w:themeFill="accent6" w:themeFillTint="33"/>
          </w:tcPr>
          <w:p w14:paraId="0609CD8D" w14:textId="77777777" w:rsidR="00B801F4" w:rsidRPr="00B801F4" w:rsidRDefault="00B801F4" w:rsidP="00B801F4">
            <w:pPr>
              <w:tabs>
                <w:tab w:val="left" w:pos="1080"/>
              </w:tabs>
              <w:spacing w:after="80"/>
              <w:jc w:val="right"/>
              <w:rPr>
                <w:rFonts w:ascii="Arial" w:hAnsi="Arial" w:cs="Arial"/>
                <w:b/>
              </w:rPr>
            </w:pPr>
          </w:p>
        </w:tc>
      </w:tr>
      <w:tr w:rsidR="00B801F4" w:rsidRPr="00B801F4" w14:paraId="6D864B10" w14:textId="77777777" w:rsidTr="00B801F4">
        <w:tc>
          <w:tcPr>
            <w:tcW w:w="8502" w:type="dxa"/>
          </w:tcPr>
          <w:p w14:paraId="6ACEE85C"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Derivative contracts</w:t>
            </w:r>
          </w:p>
        </w:tc>
        <w:tc>
          <w:tcPr>
            <w:tcW w:w="2268" w:type="dxa"/>
          </w:tcPr>
          <w:p w14:paraId="1EB4F561"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629.6</w:t>
            </w:r>
          </w:p>
        </w:tc>
        <w:tc>
          <w:tcPr>
            <w:tcW w:w="2835" w:type="dxa"/>
          </w:tcPr>
          <w:p w14:paraId="1F3649B4"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00B65277"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36A30957" w14:textId="77777777" w:rsidTr="00B801F4">
        <w:tc>
          <w:tcPr>
            <w:tcW w:w="8502" w:type="dxa"/>
          </w:tcPr>
          <w:p w14:paraId="53FA889E"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Creditors</w:t>
            </w:r>
          </w:p>
        </w:tc>
        <w:tc>
          <w:tcPr>
            <w:tcW w:w="2268" w:type="dxa"/>
          </w:tcPr>
          <w:p w14:paraId="4D57F8AE"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2835" w:type="dxa"/>
          </w:tcPr>
          <w:p w14:paraId="42EBF889"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71AA8AFD"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10.9</w:t>
            </w:r>
          </w:p>
        </w:tc>
      </w:tr>
      <w:tr w:rsidR="00B801F4" w:rsidRPr="00B801F4" w14:paraId="5E637B0E" w14:textId="77777777" w:rsidTr="00B801F4">
        <w:tc>
          <w:tcPr>
            <w:tcW w:w="8502" w:type="dxa"/>
            <w:shd w:val="clear" w:color="auto" w:fill="C5E0B3" w:themeFill="accent6" w:themeFillTint="66"/>
          </w:tcPr>
          <w:p w14:paraId="27AA2B25" w14:textId="77777777" w:rsidR="00B801F4" w:rsidRPr="00B801F4" w:rsidRDefault="00B801F4" w:rsidP="00B801F4">
            <w:pPr>
              <w:tabs>
                <w:tab w:val="left" w:pos="1080"/>
              </w:tabs>
              <w:spacing w:after="80"/>
              <w:jc w:val="left"/>
              <w:rPr>
                <w:rFonts w:ascii="Arial" w:hAnsi="Arial" w:cs="Arial"/>
                <w:b/>
              </w:rPr>
            </w:pPr>
            <w:r w:rsidRPr="00B801F4">
              <w:rPr>
                <w:rFonts w:ascii="Arial" w:hAnsi="Arial" w:cs="Arial"/>
                <w:b/>
              </w:rPr>
              <w:t>Total financial liabilities</w:t>
            </w:r>
          </w:p>
        </w:tc>
        <w:tc>
          <w:tcPr>
            <w:tcW w:w="2268" w:type="dxa"/>
            <w:shd w:val="clear" w:color="auto" w:fill="C5E0B3" w:themeFill="accent6" w:themeFillTint="66"/>
          </w:tcPr>
          <w:p w14:paraId="4645EA6E"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629.6</w:t>
            </w:r>
          </w:p>
        </w:tc>
        <w:tc>
          <w:tcPr>
            <w:tcW w:w="2835" w:type="dxa"/>
            <w:shd w:val="clear" w:color="auto" w:fill="C5E0B3" w:themeFill="accent6" w:themeFillTint="66"/>
          </w:tcPr>
          <w:p w14:paraId="033F5C73"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w:t>
            </w:r>
          </w:p>
        </w:tc>
        <w:tc>
          <w:tcPr>
            <w:tcW w:w="1785" w:type="dxa"/>
            <w:shd w:val="clear" w:color="auto" w:fill="C5E0B3" w:themeFill="accent6" w:themeFillTint="66"/>
          </w:tcPr>
          <w:p w14:paraId="30CA5D21"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10.9</w:t>
            </w:r>
          </w:p>
        </w:tc>
      </w:tr>
    </w:tbl>
    <w:p w14:paraId="29749E2E" w14:textId="77777777" w:rsidR="00B801F4" w:rsidRPr="00B801F4" w:rsidRDefault="00B801F4" w:rsidP="00B801F4">
      <w:pPr>
        <w:tabs>
          <w:tab w:val="left" w:pos="1080"/>
        </w:tabs>
        <w:spacing w:after="80"/>
        <w:ind w:left="709"/>
      </w:pPr>
    </w:p>
    <w:p w14:paraId="79E5193C" w14:textId="77777777" w:rsidR="00B801F4" w:rsidRPr="00B801F4" w:rsidRDefault="00B801F4" w:rsidP="00B801F4">
      <w:pPr>
        <w:tabs>
          <w:tab w:val="left" w:pos="1080"/>
        </w:tabs>
        <w:spacing w:after="80"/>
        <w:ind w:left="709"/>
      </w:pPr>
    </w:p>
    <w:p w14:paraId="6505FA6C" w14:textId="77777777" w:rsidR="00B801F4" w:rsidRPr="00B801F4" w:rsidRDefault="00B801F4" w:rsidP="00B801F4">
      <w:pPr>
        <w:tabs>
          <w:tab w:val="left" w:pos="1080"/>
        </w:tabs>
        <w:spacing w:after="80"/>
        <w:ind w:left="709"/>
      </w:pPr>
    </w:p>
    <w:p w14:paraId="3164E32B" w14:textId="77777777" w:rsidR="00B801F4" w:rsidRPr="00B801F4" w:rsidRDefault="00B801F4" w:rsidP="00B801F4">
      <w:pPr>
        <w:tabs>
          <w:tab w:val="left" w:pos="1080"/>
        </w:tabs>
        <w:spacing w:after="80"/>
        <w:ind w:left="709"/>
      </w:pPr>
    </w:p>
    <w:p w14:paraId="066BAB9C" w14:textId="77777777" w:rsidR="00B801F4" w:rsidRPr="00B801F4" w:rsidRDefault="00B801F4" w:rsidP="00B801F4">
      <w:pPr>
        <w:tabs>
          <w:tab w:val="left" w:pos="1080"/>
        </w:tabs>
        <w:spacing w:after="80"/>
        <w:ind w:left="709"/>
      </w:pPr>
    </w:p>
    <w:p w14:paraId="6BA341FB" w14:textId="77777777" w:rsidR="00B801F4" w:rsidRPr="00B801F4" w:rsidRDefault="00B801F4" w:rsidP="00B801F4">
      <w:pPr>
        <w:tabs>
          <w:tab w:val="left" w:pos="1080"/>
        </w:tabs>
        <w:spacing w:after="80"/>
        <w:ind w:left="709"/>
      </w:pPr>
    </w:p>
    <w:p w14:paraId="712730DE" w14:textId="77777777" w:rsidR="00B801F4" w:rsidRPr="00B801F4" w:rsidRDefault="00B801F4" w:rsidP="00B801F4">
      <w:pPr>
        <w:tabs>
          <w:tab w:val="left" w:pos="1080"/>
        </w:tabs>
        <w:spacing w:after="80"/>
        <w:ind w:left="709"/>
      </w:pPr>
    </w:p>
    <w:p w14:paraId="078AAA11" w14:textId="77777777" w:rsidR="00B801F4" w:rsidRPr="00B801F4" w:rsidRDefault="00B801F4" w:rsidP="00B801F4">
      <w:pPr>
        <w:tabs>
          <w:tab w:val="left" w:pos="1080"/>
        </w:tabs>
        <w:spacing w:after="80"/>
        <w:ind w:left="709"/>
      </w:pPr>
    </w:p>
    <w:tbl>
      <w:tblPr>
        <w:tblStyle w:val="TableGrid11"/>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502"/>
        <w:gridCol w:w="2268"/>
        <w:gridCol w:w="2835"/>
        <w:gridCol w:w="1785"/>
      </w:tblGrid>
      <w:tr w:rsidR="00B801F4" w:rsidRPr="00B801F4" w14:paraId="25698373" w14:textId="77777777" w:rsidTr="00B801F4">
        <w:tc>
          <w:tcPr>
            <w:tcW w:w="8502" w:type="dxa"/>
            <w:shd w:val="clear" w:color="auto" w:fill="A8D08D" w:themeFill="accent6" w:themeFillTint="99"/>
          </w:tcPr>
          <w:p w14:paraId="6DAAF390" w14:textId="77777777" w:rsidR="00B801F4" w:rsidRPr="00B801F4" w:rsidRDefault="00B801F4" w:rsidP="00B801F4">
            <w:pPr>
              <w:tabs>
                <w:tab w:val="left" w:pos="1080"/>
              </w:tabs>
              <w:spacing w:after="80"/>
              <w:jc w:val="left"/>
              <w:rPr>
                <w:rFonts w:ascii="Arial" w:hAnsi="Arial" w:cs="Arial"/>
                <w:b/>
              </w:rPr>
            </w:pPr>
            <w:r w:rsidRPr="00B801F4">
              <w:rPr>
                <w:rFonts w:ascii="Arial" w:hAnsi="Arial" w:cs="Arial"/>
                <w:b/>
              </w:rPr>
              <w:t>31/03/14</w:t>
            </w:r>
          </w:p>
        </w:tc>
        <w:tc>
          <w:tcPr>
            <w:tcW w:w="2268" w:type="dxa"/>
            <w:shd w:val="clear" w:color="auto" w:fill="A8D08D" w:themeFill="accent6" w:themeFillTint="99"/>
          </w:tcPr>
          <w:p w14:paraId="524ECDA7"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Fair value through profit or loss</w:t>
            </w:r>
          </w:p>
        </w:tc>
        <w:tc>
          <w:tcPr>
            <w:tcW w:w="2835" w:type="dxa"/>
            <w:shd w:val="clear" w:color="auto" w:fill="A8D08D" w:themeFill="accent6" w:themeFillTint="99"/>
          </w:tcPr>
          <w:p w14:paraId="343460B3"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Loans and receivables</w:t>
            </w:r>
          </w:p>
        </w:tc>
        <w:tc>
          <w:tcPr>
            <w:tcW w:w="1785" w:type="dxa"/>
            <w:shd w:val="clear" w:color="auto" w:fill="A8D08D" w:themeFill="accent6" w:themeFillTint="99"/>
          </w:tcPr>
          <w:p w14:paraId="586E957B"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Financial liabilities at amortised cost</w:t>
            </w:r>
          </w:p>
        </w:tc>
      </w:tr>
      <w:tr w:rsidR="00B801F4" w:rsidRPr="00B801F4" w14:paraId="02C13B6F" w14:textId="77777777" w:rsidTr="00B801F4">
        <w:tc>
          <w:tcPr>
            <w:tcW w:w="8502" w:type="dxa"/>
            <w:shd w:val="clear" w:color="auto" w:fill="A8D08D" w:themeFill="accent6" w:themeFillTint="99"/>
          </w:tcPr>
          <w:p w14:paraId="5BE49E9A" w14:textId="77777777" w:rsidR="00B801F4" w:rsidRPr="00B801F4" w:rsidRDefault="00B801F4" w:rsidP="00B801F4">
            <w:pPr>
              <w:tabs>
                <w:tab w:val="left" w:pos="1080"/>
              </w:tabs>
              <w:spacing w:after="80"/>
              <w:jc w:val="left"/>
              <w:rPr>
                <w:rFonts w:ascii="Arial" w:hAnsi="Arial" w:cs="Arial"/>
              </w:rPr>
            </w:pPr>
          </w:p>
        </w:tc>
        <w:tc>
          <w:tcPr>
            <w:tcW w:w="2268" w:type="dxa"/>
            <w:shd w:val="clear" w:color="auto" w:fill="A8D08D" w:themeFill="accent6" w:themeFillTint="99"/>
          </w:tcPr>
          <w:p w14:paraId="6CA57340"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£m</w:t>
            </w:r>
          </w:p>
        </w:tc>
        <w:tc>
          <w:tcPr>
            <w:tcW w:w="2835" w:type="dxa"/>
            <w:shd w:val="clear" w:color="auto" w:fill="A8D08D" w:themeFill="accent6" w:themeFillTint="99"/>
          </w:tcPr>
          <w:p w14:paraId="22436160"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£m</w:t>
            </w:r>
          </w:p>
        </w:tc>
        <w:tc>
          <w:tcPr>
            <w:tcW w:w="1785" w:type="dxa"/>
            <w:shd w:val="clear" w:color="auto" w:fill="A8D08D" w:themeFill="accent6" w:themeFillTint="99"/>
          </w:tcPr>
          <w:p w14:paraId="0DFB74EC"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£m</w:t>
            </w:r>
          </w:p>
        </w:tc>
      </w:tr>
      <w:tr w:rsidR="00B801F4" w:rsidRPr="00B801F4" w14:paraId="659A8DAA" w14:textId="77777777" w:rsidTr="00B801F4">
        <w:tc>
          <w:tcPr>
            <w:tcW w:w="8502" w:type="dxa"/>
            <w:shd w:val="clear" w:color="auto" w:fill="E2EFD9" w:themeFill="accent6" w:themeFillTint="33"/>
          </w:tcPr>
          <w:p w14:paraId="4A11BF8E" w14:textId="77777777" w:rsidR="00B801F4" w:rsidRPr="00B801F4" w:rsidRDefault="00B801F4" w:rsidP="00B801F4">
            <w:pPr>
              <w:tabs>
                <w:tab w:val="left" w:pos="1080"/>
              </w:tabs>
              <w:spacing w:after="80"/>
              <w:jc w:val="left"/>
              <w:rPr>
                <w:rFonts w:ascii="Arial" w:hAnsi="Arial" w:cs="Arial"/>
                <w:b/>
              </w:rPr>
            </w:pPr>
            <w:r w:rsidRPr="00B801F4">
              <w:rPr>
                <w:rFonts w:ascii="Arial" w:hAnsi="Arial" w:cs="Arial"/>
                <w:b/>
              </w:rPr>
              <w:t>Financial assets</w:t>
            </w:r>
          </w:p>
        </w:tc>
        <w:tc>
          <w:tcPr>
            <w:tcW w:w="2268" w:type="dxa"/>
            <w:shd w:val="clear" w:color="auto" w:fill="E2EFD9" w:themeFill="accent6" w:themeFillTint="33"/>
          </w:tcPr>
          <w:p w14:paraId="25EE8734" w14:textId="77777777" w:rsidR="00B801F4" w:rsidRPr="00B801F4" w:rsidRDefault="00B801F4" w:rsidP="00B801F4">
            <w:pPr>
              <w:tabs>
                <w:tab w:val="left" w:pos="1080"/>
              </w:tabs>
              <w:spacing w:after="80"/>
              <w:jc w:val="right"/>
              <w:rPr>
                <w:rFonts w:ascii="Arial" w:hAnsi="Arial" w:cs="Arial"/>
              </w:rPr>
            </w:pPr>
          </w:p>
        </w:tc>
        <w:tc>
          <w:tcPr>
            <w:tcW w:w="2835" w:type="dxa"/>
            <w:shd w:val="clear" w:color="auto" w:fill="E2EFD9" w:themeFill="accent6" w:themeFillTint="33"/>
          </w:tcPr>
          <w:p w14:paraId="4AC58D7D" w14:textId="77777777" w:rsidR="00B801F4" w:rsidRPr="00B801F4" w:rsidRDefault="00B801F4" w:rsidP="00B801F4">
            <w:pPr>
              <w:tabs>
                <w:tab w:val="left" w:pos="1080"/>
              </w:tabs>
              <w:spacing w:after="80"/>
              <w:jc w:val="right"/>
              <w:rPr>
                <w:rFonts w:ascii="Arial" w:hAnsi="Arial" w:cs="Arial"/>
              </w:rPr>
            </w:pPr>
          </w:p>
        </w:tc>
        <w:tc>
          <w:tcPr>
            <w:tcW w:w="1785" w:type="dxa"/>
            <w:shd w:val="clear" w:color="auto" w:fill="E2EFD9" w:themeFill="accent6" w:themeFillTint="33"/>
          </w:tcPr>
          <w:p w14:paraId="17D1C5B6" w14:textId="77777777" w:rsidR="00B801F4" w:rsidRPr="00B801F4" w:rsidRDefault="00B801F4" w:rsidP="00B801F4">
            <w:pPr>
              <w:tabs>
                <w:tab w:val="left" w:pos="1080"/>
              </w:tabs>
              <w:spacing w:after="80"/>
              <w:jc w:val="right"/>
              <w:rPr>
                <w:rFonts w:ascii="Arial" w:hAnsi="Arial" w:cs="Arial"/>
              </w:rPr>
            </w:pPr>
          </w:p>
        </w:tc>
      </w:tr>
      <w:tr w:rsidR="00B801F4" w:rsidRPr="00B801F4" w14:paraId="2B736ED2" w14:textId="77777777" w:rsidTr="00B801F4">
        <w:tc>
          <w:tcPr>
            <w:tcW w:w="8502" w:type="dxa"/>
          </w:tcPr>
          <w:p w14:paraId="75399596"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Fixed interest securities</w:t>
            </w:r>
          </w:p>
        </w:tc>
        <w:tc>
          <w:tcPr>
            <w:tcW w:w="2268" w:type="dxa"/>
          </w:tcPr>
          <w:p w14:paraId="3D2C8BBC"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233.0</w:t>
            </w:r>
          </w:p>
        </w:tc>
        <w:tc>
          <w:tcPr>
            <w:tcW w:w="2835" w:type="dxa"/>
          </w:tcPr>
          <w:p w14:paraId="70F98908"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300ADAAA"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1AF98C18" w14:textId="77777777" w:rsidTr="00B801F4">
        <w:tc>
          <w:tcPr>
            <w:tcW w:w="8502" w:type="dxa"/>
          </w:tcPr>
          <w:p w14:paraId="066F3793"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Equities</w:t>
            </w:r>
          </w:p>
        </w:tc>
        <w:tc>
          <w:tcPr>
            <w:tcW w:w="2268" w:type="dxa"/>
          </w:tcPr>
          <w:p w14:paraId="73B3A83D"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1,921.1</w:t>
            </w:r>
          </w:p>
        </w:tc>
        <w:tc>
          <w:tcPr>
            <w:tcW w:w="2835" w:type="dxa"/>
          </w:tcPr>
          <w:p w14:paraId="4E4A21F2"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0D052F70"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7BB39FB8" w14:textId="77777777" w:rsidTr="00B801F4">
        <w:tc>
          <w:tcPr>
            <w:tcW w:w="8502" w:type="dxa"/>
          </w:tcPr>
          <w:p w14:paraId="7280353B"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Pooled investment vehicles</w:t>
            </w:r>
          </w:p>
        </w:tc>
        <w:tc>
          <w:tcPr>
            <w:tcW w:w="2268" w:type="dxa"/>
          </w:tcPr>
          <w:p w14:paraId="3B870155"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2,238.9</w:t>
            </w:r>
          </w:p>
        </w:tc>
        <w:tc>
          <w:tcPr>
            <w:tcW w:w="2835" w:type="dxa"/>
          </w:tcPr>
          <w:p w14:paraId="454AFF1B"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692997DB"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0F9A9FD1" w14:textId="77777777" w:rsidTr="00B801F4">
        <w:tc>
          <w:tcPr>
            <w:tcW w:w="8502" w:type="dxa"/>
          </w:tcPr>
          <w:p w14:paraId="35035D04"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Derivative contracts</w:t>
            </w:r>
          </w:p>
        </w:tc>
        <w:tc>
          <w:tcPr>
            <w:tcW w:w="2268" w:type="dxa"/>
          </w:tcPr>
          <w:p w14:paraId="5D143001"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21.4</w:t>
            </w:r>
          </w:p>
        </w:tc>
        <w:tc>
          <w:tcPr>
            <w:tcW w:w="2835" w:type="dxa"/>
          </w:tcPr>
          <w:p w14:paraId="6A827020"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29146CB2"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7A33C0BF" w14:textId="77777777" w:rsidTr="00B801F4">
        <w:tc>
          <w:tcPr>
            <w:tcW w:w="8502" w:type="dxa"/>
          </w:tcPr>
          <w:p w14:paraId="39F1BC6A"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Cash deposits</w:t>
            </w:r>
          </w:p>
        </w:tc>
        <w:tc>
          <w:tcPr>
            <w:tcW w:w="2268" w:type="dxa"/>
          </w:tcPr>
          <w:p w14:paraId="09D5FDC9"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2835" w:type="dxa"/>
          </w:tcPr>
          <w:p w14:paraId="7175C23C"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315.5</w:t>
            </w:r>
          </w:p>
        </w:tc>
        <w:tc>
          <w:tcPr>
            <w:tcW w:w="1785" w:type="dxa"/>
          </w:tcPr>
          <w:p w14:paraId="4DA97D2B"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7E102B4E" w14:textId="77777777" w:rsidTr="00B801F4">
        <w:trPr>
          <w:trHeight w:val="424"/>
        </w:trPr>
        <w:tc>
          <w:tcPr>
            <w:tcW w:w="8502" w:type="dxa"/>
          </w:tcPr>
          <w:p w14:paraId="2E764F55"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Investment accruals</w:t>
            </w:r>
          </w:p>
        </w:tc>
        <w:tc>
          <w:tcPr>
            <w:tcW w:w="2268" w:type="dxa"/>
          </w:tcPr>
          <w:p w14:paraId="0BCE31BF"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12.4</w:t>
            </w:r>
          </w:p>
        </w:tc>
        <w:tc>
          <w:tcPr>
            <w:tcW w:w="2835" w:type="dxa"/>
          </w:tcPr>
          <w:p w14:paraId="005712E7"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277CE955"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59C0F8E3" w14:textId="77777777" w:rsidTr="00B801F4">
        <w:tc>
          <w:tcPr>
            <w:tcW w:w="8502" w:type="dxa"/>
          </w:tcPr>
          <w:p w14:paraId="4D5A5E39"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Debtors</w:t>
            </w:r>
          </w:p>
        </w:tc>
        <w:tc>
          <w:tcPr>
            <w:tcW w:w="2268" w:type="dxa"/>
          </w:tcPr>
          <w:p w14:paraId="1EDD9989"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2835" w:type="dxa"/>
          </w:tcPr>
          <w:p w14:paraId="3657D4AB"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28.3</w:t>
            </w:r>
          </w:p>
        </w:tc>
        <w:tc>
          <w:tcPr>
            <w:tcW w:w="1785" w:type="dxa"/>
          </w:tcPr>
          <w:p w14:paraId="62866AED"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6B848E09" w14:textId="77777777" w:rsidTr="00B801F4">
        <w:tc>
          <w:tcPr>
            <w:tcW w:w="8502" w:type="dxa"/>
            <w:shd w:val="clear" w:color="auto" w:fill="C5E0B3" w:themeFill="accent6" w:themeFillTint="66"/>
          </w:tcPr>
          <w:p w14:paraId="5B1900CB" w14:textId="77777777" w:rsidR="00B801F4" w:rsidRPr="00B801F4" w:rsidRDefault="00B801F4" w:rsidP="00B801F4">
            <w:pPr>
              <w:tabs>
                <w:tab w:val="left" w:pos="1080"/>
              </w:tabs>
              <w:spacing w:after="80"/>
              <w:jc w:val="left"/>
              <w:rPr>
                <w:rFonts w:ascii="Arial" w:hAnsi="Arial" w:cs="Arial"/>
                <w:b/>
              </w:rPr>
            </w:pPr>
            <w:r w:rsidRPr="00B801F4">
              <w:rPr>
                <w:rFonts w:ascii="Arial" w:hAnsi="Arial" w:cs="Arial"/>
                <w:b/>
              </w:rPr>
              <w:t>Total financial assets</w:t>
            </w:r>
          </w:p>
        </w:tc>
        <w:tc>
          <w:tcPr>
            <w:tcW w:w="2268" w:type="dxa"/>
            <w:shd w:val="clear" w:color="auto" w:fill="C5E0B3" w:themeFill="accent6" w:themeFillTint="66"/>
          </w:tcPr>
          <w:p w14:paraId="69404DE6"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4,426.8</w:t>
            </w:r>
          </w:p>
        </w:tc>
        <w:tc>
          <w:tcPr>
            <w:tcW w:w="2835" w:type="dxa"/>
            <w:shd w:val="clear" w:color="auto" w:fill="C5E0B3" w:themeFill="accent6" w:themeFillTint="66"/>
          </w:tcPr>
          <w:p w14:paraId="62F96ECF"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343.8</w:t>
            </w:r>
          </w:p>
        </w:tc>
        <w:tc>
          <w:tcPr>
            <w:tcW w:w="1785" w:type="dxa"/>
            <w:shd w:val="clear" w:color="auto" w:fill="C5E0B3" w:themeFill="accent6" w:themeFillTint="66"/>
          </w:tcPr>
          <w:p w14:paraId="161CD784"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w:t>
            </w:r>
          </w:p>
        </w:tc>
      </w:tr>
      <w:tr w:rsidR="00B801F4" w:rsidRPr="00B801F4" w14:paraId="4C335BB9" w14:textId="77777777" w:rsidTr="00B801F4">
        <w:trPr>
          <w:trHeight w:val="177"/>
        </w:trPr>
        <w:tc>
          <w:tcPr>
            <w:tcW w:w="8502" w:type="dxa"/>
          </w:tcPr>
          <w:p w14:paraId="5749DA1E" w14:textId="77777777" w:rsidR="00B801F4" w:rsidRPr="00B801F4" w:rsidRDefault="00B801F4" w:rsidP="00B801F4">
            <w:pPr>
              <w:tabs>
                <w:tab w:val="left" w:pos="1080"/>
              </w:tabs>
              <w:spacing w:after="80"/>
              <w:jc w:val="left"/>
              <w:rPr>
                <w:rFonts w:ascii="Arial" w:hAnsi="Arial" w:cs="Arial"/>
              </w:rPr>
            </w:pPr>
          </w:p>
        </w:tc>
        <w:tc>
          <w:tcPr>
            <w:tcW w:w="2268" w:type="dxa"/>
          </w:tcPr>
          <w:p w14:paraId="47418BA3" w14:textId="77777777" w:rsidR="00B801F4" w:rsidRPr="00B801F4" w:rsidRDefault="00B801F4" w:rsidP="00B801F4">
            <w:pPr>
              <w:tabs>
                <w:tab w:val="left" w:pos="1080"/>
              </w:tabs>
              <w:spacing w:after="80"/>
              <w:jc w:val="right"/>
              <w:rPr>
                <w:rFonts w:ascii="Arial" w:hAnsi="Arial" w:cs="Arial"/>
              </w:rPr>
            </w:pPr>
          </w:p>
        </w:tc>
        <w:tc>
          <w:tcPr>
            <w:tcW w:w="2835" w:type="dxa"/>
          </w:tcPr>
          <w:p w14:paraId="3896C4C8" w14:textId="77777777" w:rsidR="00B801F4" w:rsidRPr="00B801F4" w:rsidRDefault="00B801F4" w:rsidP="00B801F4">
            <w:pPr>
              <w:tabs>
                <w:tab w:val="left" w:pos="1080"/>
              </w:tabs>
              <w:spacing w:after="80"/>
              <w:jc w:val="right"/>
              <w:rPr>
                <w:rFonts w:ascii="Arial" w:hAnsi="Arial" w:cs="Arial"/>
              </w:rPr>
            </w:pPr>
          </w:p>
        </w:tc>
        <w:tc>
          <w:tcPr>
            <w:tcW w:w="1785" w:type="dxa"/>
          </w:tcPr>
          <w:p w14:paraId="0B07FAF6" w14:textId="77777777" w:rsidR="00B801F4" w:rsidRPr="00B801F4" w:rsidRDefault="00B801F4" w:rsidP="00B801F4">
            <w:pPr>
              <w:tabs>
                <w:tab w:val="left" w:pos="1080"/>
              </w:tabs>
              <w:spacing w:after="80"/>
              <w:jc w:val="right"/>
              <w:rPr>
                <w:rFonts w:ascii="Arial" w:hAnsi="Arial" w:cs="Arial"/>
              </w:rPr>
            </w:pPr>
          </w:p>
        </w:tc>
      </w:tr>
      <w:tr w:rsidR="00B801F4" w:rsidRPr="00B801F4" w14:paraId="4E6242DC" w14:textId="77777777" w:rsidTr="00B801F4">
        <w:tc>
          <w:tcPr>
            <w:tcW w:w="8502" w:type="dxa"/>
            <w:shd w:val="clear" w:color="auto" w:fill="E2EFD9" w:themeFill="accent6" w:themeFillTint="33"/>
          </w:tcPr>
          <w:p w14:paraId="6952B66D" w14:textId="77777777" w:rsidR="00B801F4" w:rsidRPr="00B801F4" w:rsidRDefault="00B801F4" w:rsidP="00B801F4">
            <w:pPr>
              <w:tabs>
                <w:tab w:val="left" w:pos="1080"/>
              </w:tabs>
              <w:spacing w:after="80"/>
              <w:jc w:val="left"/>
              <w:rPr>
                <w:rFonts w:ascii="Arial" w:hAnsi="Arial" w:cs="Arial"/>
                <w:b/>
              </w:rPr>
            </w:pPr>
            <w:r w:rsidRPr="00B801F4">
              <w:rPr>
                <w:rFonts w:ascii="Arial" w:hAnsi="Arial" w:cs="Arial"/>
                <w:b/>
              </w:rPr>
              <w:t>Financial liabilities</w:t>
            </w:r>
          </w:p>
        </w:tc>
        <w:tc>
          <w:tcPr>
            <w:tcW w:w="2268" w:type="dxa"/>
            <w:shd w:val="clear" w:color="auto" w:fill="E2EFD9" w:themeFill="accent6" w:themeFillTint="33"/>
          </w:tcPr>
          <w:p w14:paraId="252D54DB" w14:textId="77777777" w:rsidR="00B801F4" w:rsidRPr="00B801F4" w:rsidRDefault="00B801F4" w:rsidP="00B801F4">
            <w:pPr>
              <w:tabs>
                <w:tab w:val="left" w:pos="1080"/>
              </w:tabs>
              <w:spacing w:after="80"/>
              <w:jc w:val="right"/>
              <w:rPr>
                <w:rFonts w:ascii="Arial" w:hAnsi="Arial" w:cs="Arial"/>
                <w:b/>
              </w:rPr>
            </w:pPr>
          </w:p>
        </w:tc>
        <w:tc>
          <w:tcPr>
            <w:tcW w:w="2835" w:type="dxa"/>
            <w:shd w:val="clear" w:color="auto" w:fill="E2EFD9" w:themeFill="accent6" w:themeFillTint="33"/>
          </w:tcPr>
          <w:p w14:paraId="571D268E" w14:textId="77777777" w:rsidR="00B801F4" w:rsidRPr="00B801F4" w:rsidRDefault="00B801F4" w:rsidP="00B801F4">
            <w:pPr>
              <w:tabs>
                <w:tab w:val="left" w:pos="1080"/>
              </w:tabs>
              <w:spacing w:after="80"/>
              <w:jc w:val="right"/>
              <w:rPr>
                <w:rFonts w:ascii="Arial" w:hAnsi="Arial" w:cs="Arial"/>
                <w:b/>
              </w:rPr>
            </w:pPr>
          </w:p>
        </w:tc>
        <w:tc>
          <w:tcPr>
            <w:tcW w:w="1785" w:type="dxa"/>
            <w:shd w:val="clear" w:color="auto" w:fill="E2EFD9" w:themeFill="accent6" w:themeFillTint="33"/>
          </w:tcPr>
          <w:p w14:paraId="145CFCFD" w14:textId="77777777" w:rsidR="00B801F4" w:rsidRPr="00B801F4" w:rsidRDefault="00B801F4" w:rsidP="00B801F4">
            <w:pPr>
              <w:tabs>
                <w:tab w:val="left" w:pos="1080"/>
              </w:tabs>
              <w:spacing w:after="80"/>
              <w:jc w:val="right"/>
              <w:rPr>
                <w:rFonts w:ascii="Arial" w:hAnsi="Arial" w:cs="Arial"/>
                <w:b/>
              </w:rPr>
            </w:pPr>
          </w:p>
        </w:tc>
      </w:tr>
      <w:tr w:rsidR="00B801F4" w:rsidRPr="00B801F4" w14:paraId="70BBD5D8" w14:textId="77777777" w:rsidTr="00B801F4">
        <w:tc>
          <w:tcPr>
            <w:tcW w:w="8502" w:type="dxa"/>
          </w:tcPr>
          <w:p w14:paraId="2AABE0AB" w14:textId="77777777" w:rsidR="00B801F4" w:rsidRPr="00B801F4" w:rsidRDefault="00B801F4" w:rsidP="00B801F4">
            <w:pPr>
              <w:tabs>
                <w:tab w:val="left" w:pos="1080"/>
              </w:tabs>
              <w:spacing w:after="80"/>
              <w:jc w:val="left"/>
              <w:rPr>
                <w:rFonts w:cs="Arial"/>
              </w:rPr>
            </w:pPr>
            <w:r w:rsidRPr="00B801F4">
              <w:rPr>
                <w:rFonts w:ascii="Arial" w:hAnsi="Arial" w:cs="Arial"/>
              </w:rPr>
              <w:t>Derivative contracts</w:t>
            </w:r>
          </w:p>
        </w:tc>
        <w:tc>
          <w:tcPr>
            <w:tcW w:w="2268" w:type="dxa"/>
          </w:tcPr>
          <w:p w14:paraId="1ED6C56F"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21.3</w:t>
            </w:r>
          </w:p>
        </w:tc>
        <w:tc>
          <w:tcPr>
            <w:tcW w:w="2835" w:type="dxa"/>
          </w:tcPr>
          <w:p w14:paraId="3060E77A"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109CF6FC"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r>
      <w:tr w:rsidR="00B801F4" w:rsidRPr="00B801F4" w14:paraId="09BC2DA1" w14:textId="77777777" w:rsidTr="00B801F4">
        <w:tc>
          <w:tcPr>
            <w:tcW w:w="8502" w:type="dxa"/>
          </w:tcPr>
          <w:p w14:paraId="7107B76D" w14:textId="77777777" w:rsidR="00B801F4" w:rsidRPr="00B801F4" w:rsidRDefault="00B801F4" w:rsidP="00B801F4">
            <w:pPr>
              <w:tabs>
                <w:tab w:val="left" w:pos="1080"/>
              </w:tabs>
              <w:spacing w:after="80"/>
              <w:jc w:val="left"/>
              <w:rPr>
                <w:rFonts w:ascii="Arial" w:hAnsi="Arial" w:cs="Arial"/>
              </w:rPr>
            </w:pPr>
            <w:r w:rsidRPr="00B801F4">
              <w:rPr>
                <w:rFonts w:ascii="Arial" w:hAnsi="Arial" w:cs="Arial"/>
              </w:rPr>
              <w:t>Creditors</w:t>
            </w:r>
          </w:p>
        </w:tc>
        <w:tc>
          <w:tcPr>
            <w:tcW w:w="2268" w:type="dxa"/>
          </w:tcPr>
          <w:p w14:paraId="5014C975"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2835" w:type="dxa"/>
          </w:tcPr>
          <w:p w14:paraId="488166E5"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w:t>
            </w:r>
          </w:p>
        </w:tc>
        <w:tc>
          <w:tcPr>
            <w:tcW w:w="1785" w:type="dxa"/>
          </w:tcPr>
          <w:p w14:paraId="27552D6B" w14:textId="77777777" w:rsidR="00B801F4" w:rsidRPr="00B801F4" w:rsidRDefault="00B801F4" w:rsidP="00B801F4">
            <w:pPr>
              <w:tabs>
                <w:tab w:val="left" w:pos="1080"/>
              </w:tabs>
              <w:spacing w:after="80"/>
              <w:jc w:val="right"/>
              <w:rPr>
                <w:rFonts w:ascii="Arial" w:hAnsi="Arial" w:cs="Arial"/>
              </w:rPr>
            </w:pPr>
            <w:r w:rsidRPr="00B801F4">
              <w:rPr>
                <w:rFonts w:ascii="Arial" w:hAnsi="Arial" w:cs="Arial"/>
              </w:rPr>
              <w:t>11.7</w:t>
            </w:r>
          </w:p>
        </w:tc>
      </w:tr>
      <w:tr w:rsidR="00B801F4" w:rsidRPr="00B801F4" w14:paraId="3D13C216" w14:textId="77777777" w:rsidTr="00B801F4">
        <w:tc>
          <w:tcPr>
            <w:tcW w:w="8502" w:type="dxa"/>
            <w:shd w:val="clear" w:color="auto" w:fill="C5E0B3" w:themeFill="accent6" w:themeFillTint="66"/>
          </w:tcPr>
          <w:p w14:paraId="132F1F1B" w14:textId="77777777" w:rsidR="00B801F4" w:rsidRPr="00B801F4" w:rsidRDefault="00B801F4" w:rsidP="00B801F4">
            <w:pPr>
              <w:tabs>
                <w:tab w:val="left" w:pos="1080"/>
              </w:tabs>
              <w:spacing w:after="80"/>
              <w:jc w:val="left"/>
              <w:rPr>
                <w:rFonts w:ascii="Arial" w:hAnsi="Arial" w:cs="Arial"/>
                <w:b/>
              </w:rPr>
            </w:pPr>
            <w:r w:rsidRPr="00B801F4">
              <w:rPr>
                <w:rFonts w:ascii="Arial" w:hAnsi="Arial" w:cs="Arial"/>
                <w:b/>
              </w:rPr>
              <w:t>Total financial liabilities</w:t>
            </w:r>
          </w:p>
        </w:tc>
        <w:tc>
          <w:tcPr>
            <w:tcW w:w="2268" w:type="dxa"/>
            <w:shd w:val="clear" w:color="auto" w:fill="C5E0B3" w:themeFill="accent6" w:themeFillTint="66"/>
          </w:tcPr>
          <w:p w14:paraId="11C90955"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21.3</w:t>
            </w:r>
          </w:p>
        </w:tc>
        <w:tc>
          <w:tcPr>
            <w:tcW w:w="2835" w:type="dxa"/>
            <w:shd w:val="clear" w:color="auto" w:fill="C5E0B3" w:themeFill="accent6" w:themeFillTint="66"/>
          </w:tcPr>
          <w:p w14:paraId="6877B008"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w:t>
            </w:r>
          </w:p>
        </w:tc>
        <w:tc>
          <w:tcPr>
            <w:tcW w:w="1785" w:type="dxa"/>
            <w:shd w:val="clear" w:color="auto" w:fill="C5E0B3" w:themeFill="accent6" w:themeFillTint="66"/>
          </w:tcPr>
          <w:p w14:paraId="52A91EE9" w14:textId="77777777" w:rsidR="00B801F4" w:rsidRPr="00B801F4" w:rsidRDefault="00B801F4" w:rsidP="00B801F4">
            <w:pPr>
              <w:tabs>
                <w:tab w:val="left" w:pos="1080"/>
              </w:tabs>
              <w:spacing w:after="80"/>
              <w:jc w:val="right"/>
              <w:rPr>
                <w:rFonts w:ascii="Arial" w:hAnsi="Arial" w:cs="Arial"/>
                <w:b/>
              </w:rPr>
            </w:pPr>
            <w:r w:rsidRPr="00B801F4">
              <w:rPr>
                <w:rFonts w:ascii="Arial" w:hAnsi="Arial" w:cs="Arial"/>
                <w:b/>
              </w:rPr>
              <w:t>11.7</w:t>
            </w:r>
          </w:p>
        </w:tc>
      </w:tr>
    </w:tbl>
    <w:p w14:paraId="3A099FFB" w14:textId="77777777" w:rsidR="00B801F4" w:rsidRPr="00B801F4" w:rsidRDefault="00B801F4" w:rsidP="00B801F4">
      <w:pPr>
        <w:tabs>
          <w:tab w:val="left" w:pos="1080"/>
        </w:tabs>
        <w:spacing w:after="80"/>
        <w:ind w:left="709"/>
      </w:pPr>
    </w:p>
    <w:p w14:paraId="1E4B3FCB" w14:textId="77777777" w:rsidR="00B801F4" w:rsidRPr="00B801F4" w:rsidRDefault="00B801F4" w:rsidP="00B801F4">
      <w:pPr>
        <w:tabs>
          <w:tab w:val="left" w:pos="1080"/>
        </w:tabs>
        <w:spacing w:after="80"/>
        <w:ind w:left="709"/>
      </w:pPr>
    </w:p>
    <w:p w14:paraId="47DB1FE5" w14:textId="77777777" w:rsidR="00B801F4" w:rsidRPr="00B801F4" w:rsidRDefault="00B801F4" w:rsidP="00B801F4">
      <w:pPr>
        <w:tabs>
          <w:tab w:val="left" w:pos="1080"/>
        </w:tabs>
        <w:spacing w:after="80"/>
        <w:ind w:left="709"/>
        <w:sectPr w:rsidR="00B801F4" w:rsidRPr="00B801F4" w:rsidSect="00B801F4">
          <w:pgSz w:w="16840" w:h="11900" w:orient="landscape" w:code="9"/>
          <w:pgMar w:top="720" w:right="720" w:bottom="720" w:left="720" w:header="284" w:footer="284" w:gutter="0"/>
          <w:cols w:space="292"/>
          <w:docGrid w:linePitch="326"/>
        </w:sectPr>
      </w:pPr>
    </w:p>
    <w:p w14:paraId="3C63632B" w14:textId="77777777" w:rsidR="00B801F4" w:rsidRPr="00B801F4" w:rsidRDefault="00B801F4" w:rsidP="00717919">
      <w:pPr>
        <w:numPr>
          <w:ilvl w:val="0"/>
          <w:numId w:val="74"/>
        </w:numPr>
        <w:autoSpaceDE/>
        <w:autoSpaceDN/>
        <w:adjustRightInd/>
        <w:spacing w:after="0"/>
        <w:contextualSpacing/>
        <w:jc w:val="left"/>
        <w:rPr>
          <w:rFonts w:cs="Arial"/>
          <w:b/>
          <w:bCs/>
          <w:sz w:val="32"/>
          <w:szCs w:val="32"/>
        </w:rPr>
      </w:pPr>
      <w:r w:rsidRPr="00B801F4">
        <w:rPr>
          <w:rFonts w:cs="Arial"/>
          <w:b/>
          <w:bCs/>
          <w:sz w:val="32"/>
          <w:szCs w:val="32"/>
        </w:rPr>
        <w:t>Net gains and losses on financial instruments</w:t>
      </w:r>
    </w:p>
    <w:p w14:paraId="4BE02D54" w14:textId="77777777" w:rsidR="00B801F4" w:rsidRPr="00B801F4" w:rsidRDefault="00B801F4" w:rsidP="00B801F4">
      <w:pPr>
        <w:ind w:left="862"/>
        <w:rPr>
          <w:rFonts w:cs="Arial"/>
          <w:b/>
          <w:bCs/>
        </w:rPr>
      </w:pPr>
    </w:p>
    <w:p w14:paraId="7237DF02" w14:textId="77777777" w:rsidR="00B801F4" w:rsidRPr="00B801F4" w:rsidRDefault="00B801F4" w:rsidP="00B801F4">
      <w:pPr>
        <w:ind w:left="709"/>
        <w:jc w:val="left"/>
        <w:rPr>
          <w:rFonts w:cs="Arial"/>
          <w:bCs/>
        </w:rPr>
      </w:pPr>
      <w:r w:rsidRPr="00B801F4">
        <w:rPr>
          <w:rFonts w:cs="Arial"/>
          <w:b/>
          <w:bCs/>
        </w:rPr>
        <w:t xml:space="preserve"> </w:t>
      </w:r>
      <w:r w:rsidRPr="00B801F4">
        <w:rPr>
          <w:rFonts w:cs="Arial"/>
          <w:bCs/>
        </w:rPr>
        <w:t>The net gain on financial assets at fair value through profit and loss is £634.1m</w:t>
      </w:r>
    </w:p>
    <w:p w14:paraId="6473345A" w14:textId="77777777" w:rsidR="00B801F4" w:rsidRPr="00B801F4" w:rsidRDefault="00B801F4" w:rsidP="00B801F4">
      <w:pPr>
        <w:ind w:left="709"/>
        <w:jc w:val="left"/>
        <w:rPr>
          <w:rFonts w:cs="Arial"/>
          <w:bCs/>
        </w:rPr>
      </w:pPr>
      <w:r w:rsidRPr="00B801F4">
        <w:rPr>
          <w:rFonts w:cs="Arial"/>
          <w:bCs/>
        </w:rPr>
        <w:t xml:space="preserve"> (2013/14: £59m)</w:t>
      </w:r>
      <w:r w:rsidRPr="00B801F4" w:rsidDel="00227930">
        <w:rPr>
          <w:rFonts w:cs="Arial"/>
          <w:bCs/>
        </w:rPr>
        <w:t xml:space="preserve"> </w:t>
      </w:r>
    </w:p>
    <w:p w14:paraId="32AC5ECD" w14:textId="77777777" w:rsidR="00B801F4" w:rsidRPr="00B801F4" w:rsidRDefault="00B801F4" w:rsidP="00B801F4">
      <w:pPr>
        <w:ind w:left="709"/>
        <w:rPr>
          <w:rFonts w:cs="Arial"/>
          <w:b/>
          <w:bCs/>
        </w:rPr>
      </w:pPr>
    </w:p>
    <w:p w14:paraId="19BDACDA" w14:textId="77777777" w:rsidR="00B801F4" w:rsidRPr="00B801F4" w:rsidRDefault="00B801F4" w:rsidP="00717919">
      <w:pPr>
        <w:numPr>
          <w:ilvl w:val="0"/>
          <w:numId w:val="74"/>
        </w:numPr>
        <w:autoSpaceDE/>
        <w:autoSpaceDN/>
        <w:adjustRightInd/>
        <w:spacing w:after="0"/>
        <w:ind w:left="862"/>
        <w:contextualSpacing/>
        <w:jc w:val="left"/>
        <w:rPr>
          <w:b/>
          <w:sz w:val="32"/>
          <w:szCs w:val="32"/>
        </w:rPr>
      </w:pPr>
      <w:r w:rsidRPr="00B801F4">
        <w:rPr>
          <w:b/>
          <w:sz w:val="32"/>
          <w:szCs w:val="32"/>
        </w:rPr>
        <w:t xml:space="preserve">Financial instruments – valuation </w:t>
      </w:r>
    </w:p>
    <w:p w14:paraId="1C9CDA86" w14:textId="77777777" w:rsidR="00B801F4" w:rsidRPr="00B801F4" w:rsidRDefault="00B801F4" w:rsidP="00B801F4">
      <w:pPr>
        <w:ind w:left="720"/>
        <w:contextualSpacing/>
        <w:rPr>
          <w:b/>
        </w:rPr>
      </w:pPr>
    </w:p>
    <w:p w14:paraId="48780A6A" w14:textId="77777777" w:rsidR="00B801F4" w:rsidRPr="00B801F4" w:rsidRDefault="00B801F4" w:rsidP="00B801F4">
      <w:pPr>
        <w:spacing w:after="0"/>
        <w:ind w:left="720"/>
        <w:jc w:val="left"/>
        <w:rPr>
          <w:b/>
        </w:rPr>
      </w:pPr>
      <w:r w:rsidRPr="00B801F4">
        <w:rPr>
          <w:b/>
        </w:rPr>
        <w:t>17.1 Valuation of financial instruments carried at fair value</w:t>
      </w:r>
    </w:p>
    <w:p w14:paraId="40346624" w14:textId="77777777" w:rsidR="00B801F4" w:rsidRPr="00B801F4" w:rsidRDefault="00B801F4" w:rsidP="00B801F4">
      <w:pPr>
        <w:spacing w:after="0"/>
        <w:ind w:left="720"/>
        <w:jc w:val="left"/>
      </w:pPr>
      <w:r w:rsidRPr="00B801F4">
        <w:t>The valuation of financial instruments carried at fair value has been classified into three levels according to quality and reliability of information used to determine fair values.</w:t>
      </w:r>
    </w:p>
    <w:p w14:paraId="353F408E" w14:textId="77777777" w:rsidR="00B801F4" w:rsidRPr="00B801F4" w:rsidRDefault="00B801F4" w:rsidP="00B801F4">
      <w:pPr>
        <w:spacing w:after="0"/>
        <w:ind w:left="720"/>
        <w:jc w:val="left"/>
      </w:pPr>
      <w:r w:rsidRPr="00B801F4">
        <w:t xml:space="preserve"> </w:t>
      </w:r>
    </w:p>
    <w:p w14:paraId="569C5A61" w14:textId="77777777" w:rsidR="00B801F4" w:rsidRPr="00B801F4" w:rsidRDefault="00B801F4" w:rsidP="00B801F4">
      <w:pPr>
        <w:spacing w:after="0"/>
        <w:ind w:left="720"/>
        <w:jc w:val="left"/>
        <w:rPr>
          <w:b/>
          <w:sz w:val="22"/>
          <w:szCs w:val="22"/>
        </w:rPr>
      </w:pPr>
      <w:r w:rsidRPr="00B801F4">
        <w:rPr>
          <w:b/>
          <w:sz w:val="22"/>
          <w:szCs w:val="22"/>
        </w:rPr>
        <w:t>17.1.1 Level 1</w:t>
      </w:r>
    </w:p>
    <w:p w14:paraId="4744306D" w14:textId="77777777" w:rsidR="00B801F4" w:rsidRPr="00B801F4" w:rsidRDefault="00B801F4" w:rsidP="00B801F4">
      <w:pPr>
        <w:spacing w:after="0"/>
        <w:ind w:left="720"/>
        <w:jc w:val="left"/>
      </w:pPr>
      <w:r w:rsidRPr="00B801F4">
        <w:t>Level 1 fair value measurements are those derived from unadjusted quoted prices in active markets for identical assets or liabilities.  Examples include quoted equity investments, unit trusts, UK pooled fixed income funds, overseas pooled fixed income funds, UK and overseas quoted fixed interest securities.  Listed investments are shown at bid prices.  The bid value of the investment is based on the bid market quotation of the relevant stock exchange.</w:t>
      </w:r>
    </w:p>
    <w:p w14:paraId="1E02A2BC" w14:textId="77777777" w:rsidR="00B801F4" w:rsidRPr="00B801F4" w:rsidRDefault="00B801F4" w:rsidP="00B801F4">
      <w:pPr>
        <w:spacing w:after="0"/>
        <w:ind w:left="720"/>
        <w:jc w:val="left"/>
        <w:rPr>
          <w:b/>
          <w:sz w:val="22"/>
          <w:szCs w:val="22"/>
        </w:rPr>
      </w:pPr>
    </w:p>
    <w:p w14:paraId="6629D7AB" w14:textId="77777777" w:rsidR="00B801F4" w:rsidRPr="00B801F4" w:rsidRDefault="00B801F4" w:rsidP="00B801F4">
      <w:pPr>
        <w:spacing w:after="0"/>
        <w:ind w:left="720"/>
        <w:jc w:val="left"/>
        <w:rPr>
          <w:b/>
          <w:sz w:val="22"/>
          <w:szCs w:val="22"/>
        </w:rPr>
      </w:pPr>
      <w:r w:rsidRPr="00B801F4">
        <w:rPr>
          <w:b/>
          <w:sz w:val="22"/>
          <w:szCs w:val="22"/>
        </w:rPr>
        <w:t>17.1.2 Level 2</w:t>
      </w:r>
    </w:p>
    <w:p w14:paraId="6E439EFF" w14:textId="77777777" w:rsidR="00B801F4" w:rsidRPr="00B801F4" w:rsidRDefault="00B801F4" w:rsidP="00B801F4">
      <w:pPr>
        <w:spacing w:after="0"/>
        <w:ind w:left="720"/>
        <w:jc w:val="left"/>
      </w:pPr>
      <w:r w:rsidRPr="00B801F4">
        <w:t xml:space="preserve">Level 2 investments are those where quoted market prices are not available, for example where an instrument is traded in a market that is not considered to be active or valuation </w:t>
      </w:r>
    </w:p>
    <w:p w14:paraId="3337A1B6" w14:textId="77777777" w:rsidR="00B801F4" w:rsidRPr="00B801F4" w:rsidRDefault="00B801F4" w:rsidP="00B801F4">
      <w:pPr>
        <w:spacing w:after="0"/>
        <w:ind w:left="720"/>
        <w:jc w:val="left"/>
      </w:pPr>
      <w:r w:rsidRPr="00B801F4">
        <w:t>techniques are used to determine fair value and where these techniques use inputs that are based significantly on observable market data. Such instruments include bonds secured on affordable housing assets.  The technique for valuing these assets is independently verified.</w:t>
      </w:r>
    </w:p>
    <w:p w14:paraId="78438D5E" w14:textId="77777777" w:rsidR="00B801F4" w:rsidRPr="00B801F4" w:rsidRDefault="00B801F4" w:rsidP="00B801F4">
      <w:pPr>
        <w:spacing w:after="0"/>
        <w:ind w:left="720"/>
        <w:jc w:val="left"/>
      </w:pPr>
    </w:p>
    <w:p w14:paraId="52934F93" w14:textId="77777777" w:rsidR="00B801F4" w:rsidRPr="00B801F4" w:rsidRDefault="00B801F4" w:rsidP="00B801F4">
      <w:pPr>
        <w:spacing w:after="0"/>
        <w:ind w:left="720"/>
        <w:jc w:val="left"/>
      </w:pPr>
      <w:r w:rsidRPr="00B801F4">
        <w:t>The bonds secured on affordable housing assets are based on long term expectations of interest rates, inflation and credit spreads in the housing association sector.</w:t>
      </w:r>
    </w:p>
    <w:p w14:paraId="7860A120" w14:textId="77777777" w:rsidR="00B801F4" w:rsidRPr="00B801F4" w:rsidRDefault="00B801F4" w:rsidP="00B801F4">
      <w:pPr>
        <w:spacing w:after="0"/>
        <w:ind w:left="720"/>
        <w:jc w:val="left"/>
      </w:pPr>
    </w:p>
    <w:p w14:paraId="2E1249F4" w14:textId="77777777" w:rsidR="00B801F4" w:rsidRPr="00B801F4" w:rsidRDefault="00B801F4" w:rsidP="00B801F4">
      <w:pPr>
        <w:spacing w:after="0"/>
        <w:ind w:left="720"/>
        <w:jc w:val="left"/>
        <w:rPr>
          <w:b/>
          <w:sz w:val="22"/>
          <w:szCs w:val="22"/>
        </w:rPr>
      </w:pPr>
      <w:r w:rsidRPr="00B801F4">
        <w:rPr>
          <w:b/>
          <w:sz w:val="22"/>
          <w:szCs w:val="22"/>
        </w:rPr>
        <w:t>17.1.3 Level 3</w:t>
      </w:r>
    </w:p>
    <w:p w14:paraId="0EABDCE7" w14:textId="77777777" w:rsidR="00B801F4" w:rsidRPr="00B801F4" w:rsidRDefault="00B801F4" w:rsidP="00B801F4">
      <w:pPr>
        <w:spacing w:after="0"/>
        <w:ind w:left="720"/>
        <w:jc w:val="left"/>
      </w:pPr>
      <w:r w:rsidRPr="00B801F4">
        <w:t>Level 3 portfolios are those where at least one input which could have a significant effect on the instrument's valuation is not based on observable market data.  Such instruments include internally managed overseas equity funds, overseas quoted fixed income investments, pooled UK fixed income investments, private equity, infrastructure and indirect overseas property investments, which are valued using various valuation techniques that require significant management judgement in determining appropriate assumptions, including earnings, public market comparatives and estimated future cash flows.</w:t>
      </w:r>
    </w:p>
    <w:p w14:paraId="7246336D" w14:textId="77777777" w:rsidR="00B801F4" w:rsidRPr="00B801F4" w:rsidRDefault="00B801F4" w:rsidP="00B801F4">
      <w:pPr>
        <w:spacing w:after="0"/>
        <w:ind w:left="720"/>
        <w:jc w:val="left"/>
      </w:pPr>
    </w:p>
    <w:p w14:paraId="0A2FCE91" w14:textId="77777777" w:rsidR="00B801F4" w:rsidRPr="00B801F4" w:rsidRDefault="00B801F4" w:rsidP="00B801F4">
      <w:pPr>
        <w:ind w:left="720"/>
        <w:jc w:val="left"/>
      </w:pPr>
      <w:r w:rsidRPr="00B801F4">
        <w:t>The values of the investment in private equity and infrastructure are based on valuations provided to the private equity and infrastructure funds in which Lancashire County Pension Fund has invested.  These valuations are prepared in accordance with the International Private Equity and Venture Capital Valuation Guidelines or equivalent, which follow the valuation principles of IFRS and US GAAP.  Valuations are performed annually mainly, and at the end of December.  Cash flow adjustments are used to roll forward the valuations to 31 March as appropriate.</w:t>
      </w:r>
    </w:p>
    <w:p w14:paraId="67144ECA" w14:textId="77777777" w:rsidR="00B801F4" w:rsidRPr="00B801F4" w:rsidRDefault="00B801F4" w:rsidP="00B801F4">
      <w:pPr>
        <w:spacing w:after="0"/>
        <w:ind w:left="720"/>
        <w:jc w:val="left"/>
      </w:pPr>
      <w:r w:rsidRPr="00B801F4">
        <w:t>The value of the overseas indirect property fund investment is based on valuations provided to the overseas indirect property fund in which Lancashire County Pension Fund has invested.  These valuations are at the current open market value, as defined by the RICS Appraisal and Valuation Standards.  These valuations are performed monthly.</w:t>
      </w:r>
    </w:p>
    <w:p w14:paraId="111F8B7B" w14:textId="77777777" w:rsidR="00B801F4" w:rsidRPr="00B801F4" w:rsidRDefault="00B801F4" w:rsidP="00B801F4">
      <w:pPr>
        <w:spacing w:after="0"/>
        <w:ind w:left="720"/>
        <w:jc w:val="left"/>
      </w:pPr>
    </w:p>
    <w:p w14:paraId="023696F9" w14:textId="77777777" w:rsidR="00B801F4" w:rsidRPr="00B801F4" w:rsidRDefault="00B801F4" w:rsidP="00B801F4">
      <w:pPr>
        <w:ind w:left="720"/>
        <w:jc w:val="left"/>
        <w:sectPr w:rsidR="00B801F4" w:rsidRPr="00B801F4" w:rsidSect="00B801F4">
          <w:pgSz w:w="11900" w:h="16840" w:code="9"/>
          <w:pgMar w:top="720" w:right="720" w:bottom="720" w:left="720" w:header="284" w:footer="284" w:gutter="0"/>
          <w:cols w:space="292"/>
          <w:docGrid w:linePitch="326"/>
        </w:sectPr>
      </w:pPr>
    </w:p>
    <w:p w14:paraId="034A8529" w14:textId="77777777" w:rsidR="00B801F4" w:rsidRPr="00B801F4" w:rsidRDefault="00B801F4" w:rsidP="00B801F4">
      <w:pPr>
        <w:ind w:left="720"/>
      </w:pPr>
    </w:p>
    <w:p w14:paraId="5CE319F0" w14:textId="4519EB63" w:rsidR="00B801F4" w:rsidRPr="00B801F4" w:rsidRDefault="00B801F4" w:rsidP="00B801F4">
      <w:pPr>
        <w:ind w:left="720"/>
        <w:jc w:val="left"/>
      </w:pPr>
      <w:r w:rsidRPr="00B801F4">
        <w:t>The following table provides an analysis of the financial assets and liabilities (excluding direct property and cash) of the Pension Fund grouped into level 1 to 3 based on the level of which the fair value is observable.</w:t>
      </w:r>
      <w:r w:rsidR="00F56451">
        <w:t xml:space="preserve"> Loans and receivables are excluded from this table as they are held at amortised cost.</w:t>
      </w:r>
    </w:p>
    <w:p w14:paraId="0F66E4D4" w14:textId="77777777" w:rsidR="00B801F4" w:rsidRPr="00B801F4" w:rsidRDefault="00B801F4" w:rsidP="00B801F4">
      <w:pPr>
        <w:ind w:left="720"/>
      </w:pPr>
    </w:p>
    <w:tbl>
      <w:tblPr>
        <w:tblStyle w:val="TableGrid1"/>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644"/>
        <w:gridCol w:w="1417"/>
        <w:gridCol w:w="1701"/>
        <w:gridCol w:w="1560"/>
        <w:gridCol w:w="1363"/>
      </w:tblGrid>
      <w:tr w:rsidR="00B801F4" w:rsidRPr="00B801F4" w14:paraId="0A24041C" w14:textId="77777777" w:rsidTr="00B801F4">
        <w:tc>
          <w:tcPr>
            <w:tcW w:w="8644" w:type="dxa"/>
            <w:tcBorders>
              <w:top w:val="single" w:sz="2" w:space="0" w:color="auto"/>
              <w:bottom w:val="nil"/>
            </w:tcBorders>
            <w:shd w:val="clear" w:color="auto" w:fill="A8D08D" w:themeFill="accent6" w:themeFillTint="99"/>
          </w:tcPr>
          <w:p w14:paraId="79654046" w14:textId="77777777" w:rsidR="00B801F4" w:rsidRPr="00B801F4" w:rsidRDefault="00B801F4" w:rsidP="00B801F4">
            <w:pPr>
              <w:tabs>
                <w:tab w:val="left" w:pos="1080"/>
              </w:tabs>
              <w:spacing w:after="80"/>
              <w:rPr>
                <w:b/>
              </w:rPr>
            </w:pPr>
            <w:r w:rsidRPr="00B801F4">
              <w:rPr>
                <w:b/>
              </w:rPr>
              <w:t>31/03/15</w:t>
            </w:r>
          </w:p>
        </w:tc>
        <w:tc>
          <w:tcPr>
            <w:tcW w:w="1417" w:type="dxa"/>
            <w:tcBorders>
              <w:top w:val="single" w:sz="2" w:space="0" w:color="auto"/>
              <w:bottom w:val="nil"/>
            </w:tcBorders>
            <w:shd w:val="clear" w:color="auto" w:fill="A8D08D" w:themeFill="accent6" w:themeFillTint="99"/>
          </w:tcPr>
          <w:p w14:paraId="3C5FC487" w14:textId="77777777" w:rsidR="00B801F4" w:rsidRPr="00B801F4" w:rsidRDefault="00B801F4" w:rsidP="00B801F4">
            <w:pPr>
              <w:tabs>
                <w:tab w:val="left" w:pos="1080"/>
              </w:tabs>
              <w:spacing w:after="80"/>
              <w:jc w:val="right"/>
              <w:rPr>
                <w:b/>
              </w:rPr>
            </w:pPr>
            <w:r w:rsidRPr="00B801F4">
              <w:rPr>
                <w:b/>
              </w:rPr>
              <w:t>Level 1</w:t>
            </w:r>
          </w:p>
        </w:tc>
        <w:tc>
          <w:tcPr>
            <w:tcW w:w="1701" w:type="dxa"/>
            <w:tcBorders>
              <w:top w:val="single" w:sz="2" w:space="0" w:color="auto"/>
              <w:bottom w:val="nil"/>
            </w:tcBorders>
            <w:shd w:val="clear" w:color="auto" w:fill="A8D08D" w:themeFill="accent6" w:themeFillTint="99"/>
          </w:tcPr>
          <w:p w14:paraId="410335B3" w14:textId="77777777" w:rsidR="00B801F4" w:rsidRPr="00B801F4" w:rsidRDefault="00B801F4" w:rsidP="00B801F4">
            <w:pPr>
              <w:tabs>
                <w:tab w:val="left" w:pos="1080"/>
              </w:tabs>
              <w:spacing w:after="80"/>
              <w:jc w:val="right"/>
              <w:rPr>
                <w:b/>
              </w:rPr>
            </w:pPr>
            <w:r w:rsidRPr="00B801F4">
              <w:rPr>
                <w:b/>
              </w:rPr>
              <w:t>Level 2</w:t>
            </w:r>
          </w:p>
        </w:tc>
        <w:tc>
          <w:tcPr>
            <w:tcW w:w="1560" w:type="dxa"/>
            <w:tcBorders>
              <w:top w:val="single" w:sz="2" w:space="0" w:color="auto"/>
              <w:bottom w:val="nil"/>
            </w:tcBorders>
            <w:shd w:val="clear" w:color="auto" w:fill="A8D08D" w:themeFill="accent6" w:themeFillTint="99"/>
          </w:tcPr>
          <w:p w14:paraId="332FF8E2" w14:textId="77777777" w:rsidR="00B801F4" w:rsidRPr="00B801F4" w:rsidRDefault="00B801F4" w:rsidP="00B801F4">
            <w:pPr>
              <w:tabs>
                <w:tab w:val="left" w:pos="1080"/>
              </w:tabs>
              <w:spacing w:after="80"/>
              <w:jc w:val="right"/>
              <w:rPr>
                <w:b/>
              </w:rPr>
            </w:pPr>
            <w:r w:rsidRPr="00B801F4">
              <w:rPr>
                <w:b/>
              </w:rPr>
              <w:t>Level 3</w:t>
            </w:r>
          </w:p>
        </w:tc>
        <w:tc>
          <w:tcPr>
            <w:tcW w:w="1363" w:type="dxa"/>
            <w:tcBorders>
              <w:top w:val="single" w:sz="2" w:space="0" w:color="auto"/>
              <w:bottom w:val="nil"/>
            </w:tcBorders>
            <w:shd w:val="clear" w:color="auto" w:fill="A8D08D" w:themeFill="accent6" w:themeFillTint="99"/>
          </w:tcPr>
          <w:p w14:paraId="526BBC4F" w14:textId="77777777" w:rsidR="00B801F4" w:rsidRPr="00B801F4" w:rsidRDefault="00B801F4" w:rsidP="00B801F4">
            <w:pPr>
              <w:tabs>
                <w:tab w:val="left" w:pos="1080"/>
              </w:tabs>
              <w:spacing w:after="80"/>
              <w:jc w:val="right"/>
              <w:rPr>
                <w:b/>
              </w:rPr>
            </w:pPr>
            <w:r w:rsidRPr="00B801F4">
              <w:rPr>
                <w:b/>
              </w:rPr>
              <w:t>Total</w:t>
            </w:r>
          </w:p>
        </w:tc>
      </w:tr>
      <w:tr w:rsidR="00B801F4" w:rsidRPr="00B801F4" w14:paraId="0FAF0B37" w14:textId="77777777" w:rsidTr="00B801F4">
        <w:tc>
          <w:tcPr>
            <w:tcW w:w="8644" w:type="dxa"/>
            <w:tcBorders>
              <w:top w:val="nil"/>
              <w:bottom w:val="single" w:sz="2" w:space="0" w:color="auto"/>
            </w:tcBorders>
            <w:shd w:val="clear" w:color="auto" w:fill="A8D08D" w:themeFill="accent6" w:themeFillTint="99"/>
          </w:tcPr>
          <w:p w14:paraId="22BE5EBF" w14:textId="77777777" w:rsidR="00B801F4" w:rsidRPr="00B801F4" w:rsidRDefault="00B801F4" w:rsidP="00B801F4">
            <w:pPr>
              <w:tabs>
                <w:tab w:val="left" w:pos="1080"/>
              </w:tabs>
              <w:spacing w:after="80"/>
              <w:rPr>
                <w:b/>
              </w:rPr>
            </w:pPr>
          </w:p>
        </w:tc>
        <w:tc>
          <w:tcPr>
            <w:tcW w:w="1417" w:type="dxa"/>
            <w:tcBorders>
              <w:top w:val="nil"/>
              <w:bottom w:val="single" w:sz="2" w:space="0" w:color="auto"/>
            </w:tcBorders>
            <w:shd w:val="clear" w:color="auto" w:fill="A8D08D" w:themeFill="accent6" w:themeFillTint="99"/>
          </w:tcPr>
          <w:p w14:paraId="7C457E2E" w14:textId="77777777" w:rsidR="00B801F4" w:rsidRPr="00B801F4" w:rsidRDefault="00B801F4" w:rsidP="00B801F4">
            <w:pPr>
              <w:tabs>
                <w:tab w:val="left" w:pos="1080"/>
              </w:tabs>
              <w:spacing w:after="80"/>
              <w:jc w:val="right"/>
              <w:rPr>
                <w:b/>
              </w:rPr>
            </w:pPr>
            <w:r w:rsidRPr="00B801F4">
              <w:rPr>
                <w:b/>
              </w:rPr>
              <w:t>£m</w:t>
            </w:r>
          </w:p>
        </w:tc>
        <w:tc>
          <w:tcPr>
            <w:tcW w:w="1701" w:type="dxa"/>
            <w:tcBorders>
              <w:top w:val="nil"/>
              <w:bottom w:val="single" w:sz="2" w:space="0" w:color="auto"/>
            </w:tcBorders>
            <w:shd w:val="clear" w:color="auto" w:fill="A8D08D" w:themeFill="accent6" w:themeFillTint="99"/>
          </w:tcPr>
          <w:p w14:paraId="11069EC7" w14:textId="77777777" w:rsidR="00B801F4" w:rsidRPr="00B801F4" w:rsidRDefault="00B801F4" w:rsidP="00B801F4">
            <w:pPr>
              <w:tabs>
                <w:tab w:val="left" w:pos="1080"/>
              </w:tabs>
              <w:spacing w:after="80"/>
              <w:jc w:val="right"/>
              <w:rPr>
                <w:b/>
              </w:rPr>
            </w:pPr>
            <w:r w:rsidRPr="00B801F4">
              <w:rPr>
                <w:b/>
              </w:rPr>
              <w:t>£m</w:t>
            </w:r>
          </w:p>
        </w:tc>
        <w:tc>
          <w:tcPr>
            <w:tcW w:w="1560" w:type="dxa"/>
            <w:tcBorders>
              <w:top w:val="nil"/>
              <w:bottom w:val="single" w:sz="2" w:space="0" w:color="auto"/>
            </w:tcBorders>
            <w:shd w:val="clear" w:color="auto" w:fill="A8D08D" w:themeFill="accent6" w:themeFillTint="99"/>
          </w:tcPr>
          <w:p w14:paraId="4605F9B5" w14:textId="77777777" w:rsidR="00B801F4" w:rsidRPr="00B801F4" w:rsidRDefault="00B801F4" w:rsidP="00B801F4">
            <w:pPr>
              <w:tabs>
                <w:tab w:val="left" w:pos="1080"/>
              </w:tabs>
              <w:spacing w:after="80"/>
              <w:jc w:val="right"/>
              <w:rPr>
                <w:b/>
              </w:rPr>
            </w:pPr>
            <w:r w:rsidRPr="00B801F4">
              <w:rPr>
                <w:b/>
              </w:rPr>
              <w:t>£m</w:t>
            </w:r>
          </w:p>
        </w:tc>
        <w:tc>
          <w:tcPr>
            <w:tcW w:w="1363" w:type="dxa"/>
            <w:tcBorders>
              <w:top w:val="nil"/>
              <w:bottom w:val="single" w:sz="2" w:space="0" w:color="auto"/>
            </w:tcBorders>
            <w:shd w:val="clear" w:color="auto" w:fill="A8D08D" w:themeFill="accent6" w:themeFillTint="99"/>
          </w:tcPr>
          <w:p w14:paraId="6E495E2E" w14:textId="77777777" w:rsidR="00B801F4" w:rsidRPr="00B801F4" w:rsidRDefault="00B801F4" w:rsidP="00B801F4">
            <w:pPr>
              <w:tabs>
                <w:tab w:val="left" w:pos="1080"/>
              </w:tabs>
              <w:spacing w:after="80"/>
              <w:jc w:val="right"/>
              <w:rPr>
                <w:b/>
              </w:rPr>
            </w:pPr>
            <w:r w:rsidRPr="00B801F4">
              <w:rPr>
                <w:b/>
              </w:rPr>
              <w:t>£m</w:t>
            </w:r>
          </w:p>
        </w:tc>
      </w:tr>
      <w:tr w:rsidR="00B801F4" w:rsidRPr="00B801F4" w14:paraId="45147C9F" w14:textId="77777777" w:rsidTr="00B801F4">
        <w:tc>
          <w:tcPr>
            <w:tcW w:w="8644" w:type="dxa"/>
            <w:tcBorders>
              <w:top w:val="single" w:sz="2" w:space="0" w:color="auto"/>
            </w:tcBorders>
            <w:shd w:val="clear" w:color="auto" w:fill="E2EFD9" w:themeFill="accent6" w:themeFillTint="33"/>
          </w:tcPr>
          <w:p w14:paraId="494E043D" w14:textId="77777777" w:rsidR="00B801F4" w:rsidRPr="00B801F4" w:rsidRDefault="00B801F4" w:rsidP="00B801F4">
            <w:pPr>
              <w:tabs>
                <w:tab w:val="left" w:pos="1080"/>
              </w:tabs>
              <w:spacing w:after="80"/>
              <w:rPr>
                <w:b/>
              </w:rPr>
            </w:pPr>
            <w:r w:rsidRPr="00B801F4">
              <w:rPr>
                <w:b/>
              </w:rPr>
              <w:t>Financial assets</w:t>
            </w:r>
          </w:p>
        </w:tc>
        <w:tc>
          <w:tcPr>
            <w:tcW w:w="1417" w:type="dxa"/>
            <w:tcBorders>
              <w:top w:val="single" w:sz="2" w:space="0" w:color="auto"/>
            </w:tcBorders>
            <w:shd w:val="clear" w:color="auto" w:fill="E2EFD9" w:themeFill="accent6" w:themeFillTint="33"/>
          </w:tcPr>
          <w:p w14:paraId="51056808" w14:textId="77777777" w:rsidR="00B801F4" w:rsidRPr="00B801F4" w:rsidRDefault="00B801F4" w:rsidP="00B801F4">
            <w:pPr>
              <w:tabs>
                <w:tab w:val="left" w:pos="1080"/>
              </w:tabs>
              <w:spacing w:after="80"/>
            </w:pPr>
          </w:p>
        </w:tc>
        <w:tc>
          <w:tcPr>
            <w:tcW w:w="1701" w:type="dxa"/>
            <w:tcBorders>
              <w:top w:val="single" w:sz="2" w:space="0" w:color="auto"/>
            </w:tcBorders>
            <w:shd w:val="clear" w:color="auto" w:fill="E2EFD9" w:themeFill="accent6" w:themeFillTint="33"/>
          </w:tcPr>
          <w:p w14:paraId="5774ECDF" w14:textId="77777777" w:rsidR="00B801F4" w:rsidRPr="00B801F4" w:rsidRDefault="00B801F4" w:rsidP="00B801F4">
            <w:pPr>
              <w:tabs>
                <w:tab w:val="left" w:pos="1080"/>
              </w:tabs>
              <w:spacing w:after="80"/>
            </w:pPr>
          </w:p>
        </w:tc>
        <w:tc>
          <w:tcPr>
            <w:tcW w:w="1560" w:type="dxa"/>
            <w:tcBorders>
              <w:top w:val="single" w:sz="2" w:space="0" w:color="auto"/>
            </w:tcBorders>
            <w:shd w:val="clear" w:color="auto" w:fill="E2EFD9" w:themeFill="accent6" w:themeFillTint="33"/>
          </w:tcPr>
          <w:p w14:paraId="3BB00B6B" w14:textId="77777777" w:rsidR="00B801F4" w:rsidRPr="00B801F4" w:rsidRDefault="00B801F4" w:rsidP="00B801F4">
            <w:pPr>
              <w:tabs>
                <w:tab w:val="left" w:pos="1080"/>
              </w:tabs>
              <w:spacing w:after="80"/>
            </w:pPr>
          </w:p>
        </w:tc>
        <w:tc>
          <w:tcPr>
            <w:tcW w:w="1363" w:type="dxa"/>
            <w:tcBorders>
              <w:top w:val="single" w:sz="2" w:space="0" w:color="auto"/>
            </w:tcBorders>
            <w:shd w:val="clear" w:color="auto" w:fill="E2EFD9" w:themeFill="accent6" w:themeFillTint="33"/>
          </w:tcPr>
          <w:p w14:paraId="6BB2CAA1" w14:textId="77777777" w:rsidR="00B801F4" w:rsidRPr="00B801F4" w:rsidRDefault="00B801F4" w:rsidP="00B801F4">
            <w:pPr>
              <w:tabs>
                <w:tab w:val="left" w:pos="1080"/>
              </w:tabs>
              <w:spacing w:after="80"/>
            </w:pPr>
          </w:p>
        </w:tc>
      </w:tr>
      <w:tr w:rsidR="00B801F4" w:rsidRPr="00B801F4" w14:paraId="263454E9" w14:textId="77777777" w:rsidTr="00B801F4">
        <w:tc>
          <w:tcPr>
            <w:tcW w:w="8644" w:type="dxa"/>
          </w:tcPr>
          <w:p w14:paraId="3DFDBC99" w14:textId="77777777" w:rsidR="00B801F4" w:rsidRPr="00B801F4" w:rsidRDefault="00B801F4" w:rsidP="00B801F4">
            <w:pPr>
              <w:tabs>
                <w:tab w:val="left" w:pos="1080"/>
              </w:tabs>
              <w:spacing w:after="80"/>
            </w:pPr>
            <w:r w:rsidRPr="00B801F4">
              <w:t>Financial assets at fair value through profit and loss</w:t>
            </w:r>
          </w:p>
        </w:tc>
        <w:tc>
          <w:tcPr>
            <w:tcW w:w="1417" w:type="dxa"/>
          </w:tcPr>
          <w:p w14:paraId="4A391572" w14:textId="77777777" w:rsidR="00B801F4" w:rsidRPr="00B801F4" w:rsidRDefault="00B801F4" w:rsidP="00B801F4">
            <w:pPr>
              <w:tabs>
                <w:tab w:val="left" w:pos="1080"/>
              </w:tabs>
              <w:spacing w:after="80"/>
              <w:jc w:val="right"/>
            </w:pPr>
            <w:r w:rsidRPr="00B801F4">
              <w:t>4,047.9</w:t>
            </w:r>
          </w:p>
        </w:tc>
        <w:tc>
          <w:tcPr>
            <w:tcW w:w="1701" w:type="dxa"/>
          </w:tcPr>
          <w:p w14:paraId="0AF8846B" w14:textId="77777777" w:rsidR="00B801F4" w:rsidRPr="00B801F4" w:rsidRDefault="00B801F4" w:rsidP="00B801F4">
            <w:pPr>
              <w:tabs>
                <w:tab w:val="left" w:pos="1080"/>
              </w:tabs>
              <w:spacing w:after="80"/>
              <w:jc w:val="right"/>
            </w:pPr>
            <w:r w:rsidRPr="00B801F4">
              <w:t>368.8</w:t>
            </w:r>
          </w:p>
        </w:tc>
        <w:tc>
          <w:tcPr>
            <w:tcW w:w="1560" w:type="dxa"/>
          </w:tcPr>
          <w:p w14:paraId="7AFCB3B7" w14:textId="77777777" w:rsidR="00B801F4" w:rsidRPr="00B801F4" w:rsidRDefault="00B801F4" w:rsidP="00B801F4">
            <w:pPr>
              <w:tabs>
                <w:tab w:val="left" w:pos="1080"/>
              </w:tabs>
              <w:spacing w:after="80"/>
              <w:jc w:val="right"/>
            </w:pPr>
            <w:r w:rsidRPr="00B801F4">
              <w:t>1,420.5</w:t>
            </w:r>
          </w:p>
        </w:tc>
        <w:tc>
          <w:tcPr>
            <w:tcW w:w="1363" w:type="dxa"/>
          </w:tcPr>
          <w:p w14:paraId="4B87722F" w14:textId="77777777" w:rsidR="00B801F4" w:rsidRPr="00B801F4" w:rsidRDefault="00B801F4" w:rsidP="00B801F4">
            <w:pPr>
              <w:tabs>
                <w:tab w:val="left" w:pos="1080"/>
              </w:tabs>
              <w:spacing w:after="80"/>
              <w:jc w:val="right"/>
            </w:pPr>
            <w:r w:rsidRPr="00B801F4">
              <w:t>5,837.2</w:t>
            </w:r>
          </w:p>
        </w:tc>
      </w:tr>
      <w:tr w:rsidR="00B801F4" w:rsidRPr="00B801F4" w14:paraId="551DC953" w14:textId="77777777" w:rsidTr="00B801F4">
        <w:tc>
          <w:tcPr>
            <w:tcW w:w="8644" w:type="dxa"/>
            <w:shd w:val="clear" w:color="auto" w:fill="C5E0B3" w:themeFill="accent6" w:themeFillTint="66"/>
          </w:tcPr>
          <w:p w14:paraId="40AA2E55" w14:textId="77777777" w:rsidR="00B801F4" w:rsidRPr="00B801F4" w:rsidRDefault="00B801F4" w:rsidP="00B801F4">
            <w:pPr>
              <w:tabs>
                <w:tab w:val="left" w:pos="1080"/>
              </w:tabs>
              <w:spacing w:after="80"/>
              <w:rPr>
                <w:b/>
              </w:rPr>
            </w:pPr>
            <w:r w:rsidRPr="00B801F4">
              <w:rPr>
                <w:b/>
              </w:rPr>
              <w:t>Total financial assets</w:t>
            </w:r>
          </w:p>
        </w:tc>
        <w:tc>
          <w:tcPr>
            <w:tcW w:w="1417" w:type="dxa"/>
            <w:shd w:val="clear" w:color="auto" w:fill="C5E0B3" w:themeFill="accent6" w:themeFillTint="66"/>
          </w:tcPr>
          <w:p w14:paraId="5BC05BDA" w14:textId="77777777" w:rsidR="00B801F4" w:rsidRPr="00B801F4" w:rsidRDefault="00B801F4" w:rsidP="00B801F4">
            <w:pPr>
              <w:tabs>
                <w:tab w:val="left" w:pos="1080"/>
              </w:tabs>
              <w:spacing w:after="80"/>
              <w:jc w:val="right"/>
              <w:rPr>
                <w:b/>
              </w:rPr>
            </w:pPr>
          </w:p>
        </w:tc>
        <w:tc>
          <w:tcPr>
            <w:tcW w:w="1701" w:type="dxa"/>
            <w:shd w:val="clear" w:color="auto" w:fill="C5E0B3" w:themeFill="accent6" w:themeFillTint="66"/>
          </w:tcPr>
          <w:p w14:paraId="7D90A663" w14:textId="77777777" w:rsidR="00B801F4" w:rsidRPr="00B801F4" w:rsidRDefault="00B801F4" w:rsidP="00B801F4">
            <w:pPr>
              <w:tabs>
                <w:tab w:val="left" w:pos="1080"/>
              </w:tabs>
              <w:spacing w:after="80"/>
              <w:jc w:val="right"/>
              <w:rPr>
                <w:b/>
              </w:rPr>
            </w:pPr>
          </w:p>
        </w:tc>
        <w:tc>
          <w:tcPr>
            <w:tcW w:w="1560" w:type="dxa"/>
            <w:shd w:val="clear" w:color="auto" w:fill="C5E0B3" w:themeFill="accent6" w:themeFillTint="66"/>
          </w:tcPr>
          <w:p w14:paraId="314C2F42" w14:textId="77777777" w:rsidR="00B801F4" w:rsidRPr="00B801F4" w:rsidRDefault="00B801F4" w:rsidP="00B801F4">
            <w:pPr>
              <w:tabs>
                <w:tab w:val="left" w:pos="1080"/>
              </w:tabs>
              <w:spacing w:after="80"/>
              <w:jc w:val="right"/>
              <w:rPr>
                <w:b/>
              </w:rPr>
            </w:pPr>
          </w:p>
        </w:tc>
        <w:tc>
          <w:tcPr>
            <w:tcW w:w="1363" w:type="dxa"/>
            <w:shd w:val="clear" w:color="auto" w:fill="C5E0B3" w:themeFill="accent6" w:themeFillTint="66"/>
          </w:tcPr>
          <w:p w14:paraId="52BDC43A" w14:textId="77777777" w:rsidR="00B801F4" w:rsidRPr="00B801F4" w:rsidRDefault="00B801F4" w:rsidP="00B801F4">
            <w:pPr>
              <w:tabs>
                <w:tab w:val="left" w:pos="1080"/>
              </w:tabs>
              <w:spacing w:after="80"/>
              <w:jc w:val="right"/>
              <w:rPr>
                <w:b/>
              </w:rPr>
            </w:pPr>
          </w:p>
        </w:tc>
      </w:tr>
      <w:tr w:rsidR="00B801F4" w:rsidRPr="00B801F4" w14:paraId="446FBC5C" w14:textId="77777777" w:rsidTr="00B801F4">
        <w:tc>
          <w:tcPr>
            <w:tcW w:w="8644" w:type="dxa"/>
            <w:shd w:val="clear" w:color="auto" w:fill="E2EFD9" w:themeFill="accent6" w:themeFillTint="33"/>
          </w:tcPr>
          <w:p w14:paraId="72C15056" w14:textId="77777777" w:rsidR="00B801F4" w:rsidRPr="00B801F4" w:rsidRDefault="00B801F4" w:rsidP="00B801F4">
            <w:pPr>
              <w:tabs>
                <w:tab w:val="left" w:pos="1080"/>
              </w:tabs>
              <w:spacing w:after="80"/>
              <w:rPr>
                <w:b/>
              </w:rPr>
            </w:pPr>
            <w:r w:rsidRPr="00B801F4">
              <w:rPr>
                <w:b/>
              </w:rPr>
              <w:t>Financial liabilities</w:t>
            </w:r>
          </w:p>
        </w:tc>
        <w:tc>
          <w:tcPr>
            <w:tcW w:w="1417" w:type="dxa"/>
            <w:shd w:val="clear" w:color="auto" w:fill="E2EFD9" w:themeFill="accent6" w:themeFillTint="33"/>
          </w:tcPr>
          <w:p w14:paraId="7D33F59D" w14:textId="77777777" w:rsidR="00B801F4" w:rsidRPr="00B801F4" w:rsidRDefault="00B801F4" w:rsidP="00B801F4">
            <w:pPr>
              <w:tabs>
                <w:tab w:val="left" w:pos="1080"/>
              </w:tabs>
              <w:spacing w:after="80"/>
              <w:jc w:val="right"/>
            </w:pPr>
          </w:p>
        </w:tc>
        <w:tc>
          <w:tcPr>
            <w:tcW w:w="1701" w:type="dxa"/>
            <w:shd w:val="clear" w:color="auto" w:fill="E2EFD9" w:themeFill="accent6" w:themeFillTint="33"/>
          </w:tcPr>
          <w:p w14:paraId="4D628A56" w14:textId="77777777" w:rsidR="00B801F4" w:rsidRPr="00B801F4" w:rsidRDefault="00B801F4" w:rsidP="00B801F4">
            <w:pPr>
              <w:tabs>
                <w:tab w:val="left" w:pos="1080"/>
              </w:tabs>
              <w:spacing w:after="80"/>
              <w:jc w:val="right"/>
            </w:pPr>
          </w:p>
        </w:tc>
        <w:tc>
          <w:tcPr>
            <w:tcW w:w="1560" w:type="dxa"/>
            <w:shd w:val="clear" w:color="auto" w:fill="E2EFD9" w:themeFill="accent6" w:themeFillTint="33"/>
          </w:tcPr>
          <w:p w14:paraId="5861DA49" w14:textId="77777777" w:rsidR="00B801F4" w:rsidRPr="00B801F4" w:rsidRDefault="00B801F4" w:rsidP="00B801F4">
            <w:pPr>
              <w:tabs>
                <w:tab w:val="left" w:pos="1080"/>
              </w:tabs>
              <w:spacing w:after="80"/>
              <w:jc w:val="right"/>
            </w:pPr>
          </w:p>
        </w:tc>
        <w:tc>
          <w:tcPr>
            <w:tcW w:w="1363" w:type="dxa"/>
            <w:shd w:val="clear" w:color="auto" w:fill="E2EFD9" w:themeFill="accent6" w:themeFillTint="33"/>
          </w:tcPr>
          <w:p w14:paraId="3D000294" w14:textId="77777777" w:rsidR="00B801F4" w:rsidRPr="00B801F4" w:rsidRDefault="00B801F4" w:rsidP="00B801F4">
            <w:pPr>
              <w:tabs>
                <w:tab w:val="left" w:pos="1080"/>
              </w:tabs>
              <w:spacing w:after="80"/>
              <w:jc w:val="right"/>
            </w:pPr>
          </w:p>
        </w:tc>
      </w:tr>
      <w:tr w:rsidR="00B801F4" w:rsidRPr="00B801F4" w14:paraId="19E83572" w14:textId="77777777" w:rsidTr="00B801F4">
        <w:tc>
          <w:tcPr>
            <w:tcW w:w="8644" w:type="dxa"/>
          </w:tcPr>
          <w:p w14:paraId="0D99F209" w14:textId="77777777" w:rsidR="00B801F4" w:rsidRPr="00B801F4" w:rsidRDefault="00B801F4" w:rsidP="00B801F4">
            <w:pPr>
              <w:tabs>
                <w:tab w:val="left" w:pos="1080"/>
              </w:tabs>
              <w:spacing w:after="80"/>
            </w:pPr>
            <w:r w:rsidRPr="00B801F4">
              <w:t>Financial liabilities at fair value through profit and loss</w:t>
            </w:r>
          </w:p>
        </w:tc>
        <w:tc>
          <w:tcPr>
            <w:tcW w:w="1417" w:type="dxa"/>
          </w:tcPr>
          <w:p w14:paraId="65E70A3A" w14:textId="77777777" w:rsidR="00B801F4" w:rsidRPr="00B801F4" w:rsidRDefault="00B801F4" w:rsidP="00B801F4">
            <w:pPr>
              <w:tabs>
                <w:tab w:val="left" w:pos="1080"/>
              </w:tabs>
              <w:spacing w:after="80"/>
              <w:jc w:val="right"/>
            </w:pPr>
            <w:r w:rsidRPr="00B801F4">
              <w:t>629.6</w:t>
            </w:r>
          </w:p>
        </w:tc>
        <w:tc>
          <w:tcPr>
            <w:tcW w:w="1701" w:type="dxa"/>
          </w:tcPr>
          <w:p w14:paraId="6B802D6E" w14:textId="77777777" w:rsidR="00B801F4" w:rsidRPr="00B801F4" w:rsidRDefault="00B801F4" w:rsidP="00B801F4">
            <w:pPr>
              <w:tabs>
                <w:tab w:val="left" w:pos="1080"/>
              </w:tabs>
              <w:spacing w:after="80"/>
              <w:jc w:val="right"/>
            </w:pPr>
            <w:r w:rsidRPr="00B801F4">
              <w:t>-</w:t>
            </w:r>
          </w:p>
        </w:tc>
        <w:tc>
          <w:tcPr>
            <w:tcW w:w="1560" w:type="dxa"/>
          </w:tcPr>
          <w:p w14:paraId="2F5BD76A" w14:textId="77777777" w:rsidR="00B801F4" w:rsidRPr="00B801F4" w:rsidRDefault="00B801F4" w:rsidP="00B801F4">
            <w:pPr>
              <w:tabs>
                <w:tab w:val="left" w:pos="1080"/>
              </w:tabs>
              <w:spacing w:after="80"/>
              <w:jc w:val="right"/>
            </w:pPr>
            <w:r w:rsidRPr="00B801F4">
              <w:t>-</w:t>
            </w:r>
          </w:p>
        </w:tc>
        <w:tc>
          <w:tcPr>
            <w:tcW w:w="1363" w:type="dxa"/>
          </w:tcPr>
          <w:p w14:paraId="7163BA1F" w14:textId="77777777" w:rsidR="00B801F4" w:rsidRPr="00B801F4" w:rsidRDefault="00B801F4" w:rsidP="00B801F4">
            <w:pPr>
              <w:tabs>
                <w:tab w:val="left" w:pos="1080"/>
              </w:tabs>
              <w:spacing w:after="80"/>
              <w:jc w:val="right"/>
            </w:pPr>
            <w:r w:rsidRPr="00B801F4">
              <w:t>629.6</w:t>
            </w:r>
          </w:p>
        </w:tc>
      </w:tr>
      <w:tr w:rsidR="00B801F4" w:rsidRPr="00B801F4" w14:paraId="10CC7F1B" w14:textId="77777777" w:rsidTr="00B801F4">
        <w:tc>
          <w:tcPr>
            <w:tcW w:w="8644" w:type="dxa"/>
            <w:shd w:val="clear" w:color="auto" w:fill="C5E0B3" w:themeFill="accent6" w:themeFillTint="66"/>
          </w:tcPr>
          <w:p w14:paraId="7C570564" w14:textId="77777777" w:rsidR="00B801F4" w:rsidRPr="00B801F4" w:rsidRDefault="00B801F4" w:rsidP="00B801F4">
            <w:pPr>
              <w:tabs>
                <w:tab w:val="left" w:pos="1080"/>
              </w:tabs>
              <w:spacing w:after="80"/>
              <w:rPr>
                <w:b/>
              </w:rPr>
            </w:pPr>
            <w:r w:rsidRPr="00B801F4">
              <w:rPr>
                <w:b/>
              </w:rPr>
              <w:t>Total financial liabilities</w:t>
            </w:r>
          </w:p>
        </w:tc>
        <w:tc>
          <w:tcPr>
            <w:tcW w:w="1417" w:type="dxa"/>
            <w:shd w:val="clear" w:color="auto" w:fill="C5E0B3" w:themeFill="accent6" w:themeFillTint="66"/>
          </w:tcPr>
          <w:p w14:paraId="3176C943" w14:textId="77777777" w:rsidR="00B801F4" w:rsidRPr="00B801F4" w:rsidRDefault="00B801F4" w:rsidP="00B801F4">
            <w:pPr>
              <w:tabs>
                <w:tab w:val="left" w:pos="1080"/>
              </w:tabs>
              <w:spacing w:after="80"/>
              <w:jc w:val="right"/>
              <w:rPr>
                <w:b/>
              </w:rPr>
            </w:pPr>
            <w:r w:rsidRPr="00B801F4">
              <w:rPr>
                <w:b/>
              </w:rPr>
              <w:t>629.6</w:t>
            </w:r>
          </w:p>
        </w:tc>
        <w:tc>
          <w:tcPr>
            <w:tcW w:w="1701" w:type="dxa"/>
            <w:shd w:val="clear" w:color="auto" w:fill="C5E0B3" w:themeFill="accent6" w:themeFillTint="66"/>
          </w:tcPr>
          <w:p w14:paraId="3513D39A" w14:textId="77777777" w:rsidR="00B801F4" w:rsidRPr="00B801F4" w:rsidRDefault="00B801F4" w:rsidP="00B801F4">
            <w:pPr>
              <w:tabs>
                <w:tab w:val="left" w:pos="1080"/>
              </w:tabs>
              <w:spacing w:after="80"/>
              <w:jc w:val="right"/>
              <w:rPr>
                <w:b/>
              </w:rPr>
            </w:pPr>
          </w:p>
        </w:tc>
        <w:tc>
          <w:tcPr>
            <w:tcW w:w="1560" w:type="dxa"/>
            <w:shd w:val="clear" w:color="auto" w:fill="C5E0B3" w:themeFill="accent6" w:themeFillTint="66"/>
          </w:tcPr>
          <w:p w14:paraId="54A980A1" w14:textId="77777777" w:rsidR="00B801F4" w:rsidRPr="00B801F4" w:rsidRDefault="00B801F4" w:rsidP="00B801F4">
            <w:pPr>
              <w:tabs>
                <w:tab w:val="left" w:pos="1080"/>
              </w:tabs>
              <w:spacing w:after="80"/>
              <w:jc w:val="right"/>
              <w:rPr>
                <w:b/>
              </w:rPr>
            </w:pPr>
          </w:p>
        </w:tc>
        <w:tc>
          <w:tcPr>
            <w:tcW w:w="1363" w:type="dxa"/>
            <w:shd w:val="clear" w:color="auto" w:fill="C5E0B3" w:themeFill="accent6" w:themeFillTint="66"/>
          </w:tcPr>
          <w:p w14:paraId="05B8777C" w14:textId="77777777" w:rsidR="00B801F4" w:rsidRPr="00B801F4" w:rsidRDefault="00B801F4" w:rsidP="00B801F4">
            <w:pPr>
              <w:tabs>
                <w:tab w:val="left" w:pos="1080"/>
              </w:tabs>
              <w:spacing w:after="80"/>
              <w:jc w:val="right"/>
              <w:rPr>
                <w:b/>
              </w:rPr>
            </w:pPr>
            <w:r w:rsidRPr="00B801F4">
              <w:rPr>
                <w:b/>
              </w:rPr>
              <w:t>629.6</w:t>
            </w:r>
          </w:p>
        </w:tc>
      </w:tr>
    </w:tbl>
    <w:p w14:paraId="1034E4FC" w14:textId="77777777" w:rsidR="00B801F4" w:rsidRPr="00B801F4" w:rsidRDefault="00B801F4" w:rsidP="00B801F4">
      <w:pPr>
        <w:tabs>
          <w:tab w:val="left" w:pos="1080"/>
        </w:tabs>
        <w:spacing w:after="80"/>
        <w:ind w:left="709"/>
      </w:pPr>
    </w:p>
    <w:p w14:paraId="58415789" w14:textId="77777777" w:rsidR="00B801F4" w:rsidRPr="00B801F4" w:rsidRDefault="00B801F4" w:rsidP="00B801F4">
      <w:pPr>
        <w:tabs>
          <w:tab w:val="left" w:pos="1080"/>
        </w:tabs>
        <w:spacing w:after="80"/>
        <w:ind w:left="709"/>
      </w:pPr>
    </w:p>
    <w:tbl>
      <w:tblPr>
        <w:tblStyle w:val="TableGrid1"/>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219"/>
        <w:gridCol w:w="1842"/>
        <w:gridCol w:w="1701"/>
        <w:gridCol w:w="1560"/>
        <w:gridCol w:w="1363"/>
      </w:tblGrid>
      <w:tr w:rsidR="00B801F4" w:rsidRPr="00B801F4" w14:paraId="63CF95A0" w14:textId="77777777" w:rsidTr="00B801F4">
        <w:tc>
          <w:tcPr>
            <w:tcW w:w="8219" w:type="dxa"/>
            <w:tcBorders>
              <w:top w:val="single" w:sz="2" w:space="0" w:color="auto"/>
              <w:bottom w:val="nil"/>
            </w:tcBorders>
            <w:shd w:val="clear" w:color="auto" w:fill="A8D08D" w:themeFill="accent6" w:themeFillTint="99"/>
          </w:tcPr>
          <w:p w14:paraId="5DC80141" w14:textId="77777777" w:rsidR="00B801F4" w:rsidRPr="00B801F4" w:rsidRDefault="00B801F4" w:rsidP="00B801F4">
            <w:pPr>
              <w:tabs>
                <w:tab w:val="left" w:pos="1080"/>
              </w:tabs>
              <w:spacing w:after="80"/>
              <w:rPr>
                <w:b/>
              </w:rPr>
            </w:pPr>
            <w:r w:rsidRPr="00B801F4">
              <w:rPr>
                <w:b/>
              </w:rPr>
              <w:t>31/03/14</w:t>
            </w:r>
          </w:p>
        </w:tc>
        <w:tc>
          <w:tcPr>
            <w:tcW w:w="1842" w:type="dxa"/>
            <w:tcBorders>
              <w:top w:val="single" w:sz="2" w:space="0" w:color="auto"/>
              <w:bottom w:val="nil"/>
            </w:tcBorders>
            <w:shd w:val="clear" w:color="auto" w:fill="A8D08D" w:themeFill="accent6" w:themeFillTint="99"/>
          </w:tcPr>
          <w:p w14:paraId="5CE4F653" w14:textId="77777777" w:rsidR="00B801F4" w:rsidRPr="00B801F4" w:rsidRDefault="00B801F4" w:rsidP="00B801F4">
            <w:pPr>
              <w:tabs>
                <w:tab w:val="left" w:pos="1080"/>
              </w:tabs>
              <w:spacing w:after="80"/>
              <w:jc w:val="right"/>
              <w:rPr>
                <w:b/>
              </w:rPr>
            </w:pPr>
            <w:r w:rsidRPr="00B801F4">
              <w:rPr>
                <w:b/>
              </w:rPr>
              <w:t>Level 1</w:t>
            </w:r>
          </w:p>
        </w:tc>
        <w:tc>
          <w:tcPr>
            <w:tcW w:w="1701" w:type="dxa"/>
            <w:tcBorders>
              <w:top w:val="single" w:sz="2" w:space="0" w:color="auto"/>
              <w:bottom w:val="nil"/>
            </w:tcBorders>
            <w:shd w:val="clear" w:color="auto" w:fill="A8D08D" w:themeFill="accent6" w:themeFillTint="99"/>
          </w:tcPr>
          <w:p w14:paraId="56CAB494" w14:textId="77777777" w:rsidR="00B801F4" w:rsidRPr="00B801F4" w:rsidRDefault="00B801F4" w:rsidP="00B801F4">
            <w:pPr>
              <w:tabs>
                <w:tab w:val="left" w:pos="1080"/>
              </w:tabs>
              <w:spacing w:after="80"/>
              <w:jc w:val="right"/>
              <w:rPr>
                <w:b/>
              </w:rPr>
            </w:pPr>
            <w:r w:rsidRPr="00B801F4">
              <w:rPr>
                <w:b/>
              </w:rPr>
              <w:t>Level 2</w:t>
            </w:r>
          </w:p>
        </w:tc>
        <w:tc>
          <w:tcPr>
            <w:tcW w:w="1560" w:type="dxa"/>
            <w:tcBorders>
              <w:top w:val="single" w:sz="2" w:space="0" w:color="auto"/>
              <w:bottom w:val="nil"/>
            </w:tcBorders>
            <w:shd w:val="clear" w:color="auto" w:fill="A8D08D" w:themeFill="accent6" w:themeFillTint="99"/>
          </w:tcPr>
          <w:p w14:paraId="397E7738" w14:textId="77777777" w:rsidR="00B801F4" w:rsidRPr="00B801F4" w:rsidRDefault="00B801F4" w:rsidP="00B801F4">
            <w:pPr>
              <w:tabs>
                <w:tab w:val="left" w:pos="1080"/>
              </w:tabs>
              <w:spacing w:after="80"/>
              <w:jc w:val="right"/>
              <w:rPr>
                <w:b/>
              </w:rPr>
            </w:pPr>
            <w:r w:rsidRPr="00B801F4">
              <w:rPr>
                <w:b/>
              </w:rPr>
              <w:t>Level 3</w:t>
            </w:r>
          </w:p>
        </w:tc>
        <w:tc>
          <w:tcPr>
            <w:tcW w:w="1363" w:type="dxa"/>
            <w:tcBorders>
              <w:top w:val="single" w:sz="2" w:space="0" w:color="auto"/>
              <w:bottom w:val="nil"/>
            </w:tcBorders>
            <w:shd w:val="clear" w:color="auto" w:fill="A8D08D" w:themeFill="accent6" w:themeFillTint="99"/>
          </w:tcPr>
          <w:p w14:paraId="43B076EF" w14:textId="77777777" w:rsidR="00B801F4" w:rsidRPr="00B801F4" w:rsidRDefault="00B801F4" w:rsidP="00B801F4">
            <w:pPr>
              <w:tabs>
                <w:tab w:val="left" w:pos="1080"/>
              </w:tabs>
              <w:spacing w:after="80"/>
              <w:jc w:val="right"/>
              <w:rPr>
                <w:b/>
              </w:rPr>
            </w:pPr>
            <w:r w:rsidRPr="00B801F4">
              <w:rPr>
                <w:b/>
              </w:rPr>
              <w:t>Total</w:t>
            </w:r>
          </w:p>
        </w:tc>
      </w:tr>
      <w:tr w:rsidR="00B801F4" w:rsidRPr="00B801F4" w14:paraId="2F795BA5" w14:textId="77777777" w:rsidTr="00B801F4">
        <w:tc>
          <w:tcPr>
            <w:tcW w:w="8219" w:type="dxa"/>
            <w:tcBorders>
              <w:top w:val="nil"/>
              <w:bottom w:val="single" w:sz="2" w:space="0" w:color="auto"/>
            </w:tcBorders>
            <w:shd w:val="clear" w:color="auto" w:fill="A8D08D" w:themeFill="accent6" w:themeFillTint="99"/>
          </w:tcPr>
          <w:p w14:paraId="2DABFD0F" w14:textId="77777777" w:rsidR="00B801F4" w:rsidRPr="00B801F4" w:rsidRDefault="00B801F4" w:rsidP="00B801F4">
            <w:pPr>
              <w:tabs>
                <w:tab w:val="left" w:pos="1080"/>
              </w:tabs>
              <w:spacing w:after="80"/>
              <w:rPr>
                <w:b/>
              </w:rPr>
            </w:pPr>
          </w:p>
        </w:tc>
        <w:tc>
          <w:tcPr>
            <w:tcW w:w="1842" w:type="dxa"/>
            <w:tcBorders>
              <w:top w:val="nil"/>
              <w:bottom w:val="single" w:sz="2" w:space="0" w:color="auto"/>
            </w:tcBorders>
            <w:shd w:val="clear" w:color="auto" w:fill="A8D08D" w:themeFill="accent6" w:themeFillTint="99"/>
          </w:tcPr>
          <w:p w14:paraId="3A17EB70" w14:textId="77777777" w:rsidR="00B801F4" w:rsidRPr="00B801F4" w:rsidRDefault="00B801F4" w:rsidP="00B801F4">
            <w:pPr>
              <w:tabs>
                <w:tab w:val="left" w:pos="1080"/>
              </w:tabs>
              <w:spacing w:after="80"/>
              <w:jc w:val="right"/>
              <w:rPr>
                <w:b/>
              </w:rPr>
            </w:pPr>
            <w:r w:rsidRPr="00B801F4">
              <w:rPr>
                <w:b/>
              </w:rPr>
              <w:t>£m</w:t>
            </w:r>
          </w:p>
        </w:tc>
        <w:tc>
          <w:tcPr>
            <w:tcW w:w="1701" w:type="dxa"/>
            <w:tcBorders>
              <w:top w:val="nil"/>
              <w:bottom w:val="single" w:sz="2" w:space="0" w:color="auto"/>
            </w:tcBorders>
            <w:shd w:val="clear" w:color="auto" w:fill="A8D08D" w:themeFill="accent6" w:themeFillTint="99"/>
          </w:tcPr>
          <w:p w14:paraId="42AFEA00" w14:textId="77777777" w:rsidR="00B801F4" w:rsidRPr="00B801F4" w:rsidRDefault="00B801F4" w:rsidP="00B801F4">
            <w:pPr>
              <w:tabs>
                <w:tab w:val="left" w:pos="1080"/>
              </w:tabs>
              <w:spacing w:after="80"/>
              <w:jc w:val="right"/>
              <w:rPr>
                <w:b/>
              </w:rPr>
            </w:pPr>
            <w:r w:rsidRPr="00B801F4">
              <w:rPr>
                <w:b/>
              </w:rPr>
              <w:t>£m</w:t>
            </w:r>
          </w:p>
        </w:tc>
        <w:tc>
          <w:tcPr>
            <w:tcW w:w="1560" w:type="dxa"/>
            <w:tcBorders>
              <w:top w:val="nil"/>
              <w:bottom w:val="single" w:sz="2" w:space="0" w:color="auto"/>
            </w:tcBorders>
            <w:shd w:val="clear" w:color="auto" w:fill="A8D08D" w:themeFill="accent6" w:themeFillTint="99"/>
          </w:tcPr>
          <w:p w14:paraId="71B0D252" w14:textId="77777777" w:rsidR="00B801F4" w:rsidRPr="00B801F4" w:rsidRDefault="00B801F4" w:rsidP="00B801F4">
            <w:pPr>
              <w:tabs>
                <w:tab w:val="left" w:pos="1080"/>
              </w:tabs>
              <w:spacing w:after="80"/>
              <w:jc w:val="right"/>
              <w:rPr>
                <w:b/>
              </w:rPr>
            </w:pPr>
            <w:r w:rsidRPr="00B801F4">
              <w:rPr>
                <w:b/>
              </w:rPr>
              <w:t>£m</w:t>
            </w:r>
          </w:p>
        </w:tc>
        <w:tc>
          <w:tcPr>
            <w:tcW w:w="1363" w:type="dxa"/>
            <w:tcBorders>
              <w:top w:val="nil"/>
              <w:bottom w:val="single" w:sz="2" w:space="0" w:color="auto"/>
            </w:tcBorders>
            <w:shd w:val="clear" w:color="auto" w:fill="A8D08D" w:themeFill="accent6" w:themeFillTint="99"/>
          </w:tcPr>
          <w:p w14:paraId="27818934" w14:textId="77777777" w:rsidR="00B801F4" w:rsidRPr="00B801F4" w:rsidRDefault="00B801F4" w:rsidP="00B801F4">
            <w:pPr>
              <w:tabs>
                <w:tab w:val="left" w:pos="1080"/>
              </w:tabs>
              <w:spacing w:after="80"/>
              <w:jc w:val="right"/>
              <w:rPr>
                <w:b/>
              </w:rPr>
            </w:pPr>
            <w:r w:rsidRPr="00B801F4">
              <w:rPr>
                <w:b/>
              </w:rPr>
              <w:t>£m</w:t>
            </w:r>
          </w:p>
        </w:tc>
      </w:tr>
      <w:tr w:rsidR="00B801F4" w:rsidRPr="00B801F4" w14:paraId="03802EA0" w14:textId="77777777" w:rsidTr="00B801F4">
        <w:tc>
          <w:tcPr>
            <w:tcW w:w="8219" w:type="dxa"/>
            <w:tcBorders>
              <w:top w:val="single" w:sz="2" w:space="0" w:color="auto"/>
            </w:tcBorders>
            <w:shd w:val="clear" w:color="auto" w:fill="E2EFD9" w:themeFill="accent6" w:themeFillTint="33"/>
          </w:tcPr>
          <w:p w14:paraId="5DBD94EB" w14:textId="77777777" w:rsidR="00B801F4" w:rsidRPr="00B801F4" w:rsidRDefault="00B801F4" w:rsidP="00B801F4">
            <w:pPr>
              <w:tabs>
                <w:tab w:val="left" w:pos="1080"/>
              </w:tabs>
              <w:spacing w:after="80"/>
              <w:rPr>
                <w:b/>
              </w:rPr>
            </w:pPr>
            <w:r w:rsidRPr="00B801F4">
              <w:rPr>
                <w:b/>
              </w:rPr>
              <w:t>Financial assets</w:t>
            </w:r>
          </w:p>
        </w:tc>
        <w:tc>
          <w:tcPr>
            <w:tcW w:w="1842" w:type="dxa"/>
            <w:tcBorders>
              <w:top w:val="single" w:sz="2" w:space="0" w:color="auto"/>
            </w:tcBorders>
            <w:shd w:val="clear" w:color="auto" w:fill="E2EFD9" w:themeFill="accent6" w:themeFillTint="33"/>
          </w:tcPr>
          <w:p w14:paraId="4D06DC41" w14:textId="77777777" w:rsidR="00B801F4" w:rsidRPr="00B801F4" w:rsidRDefault="00B801F4" w:rsidP="00B801F4">
            <w:pPr>
              <w:tabs>
                <w:tab w:val="left" w:pos="1080"/>
              </w:tabs>
              <w:spacing w:after="80"/>
            </w:pPr>
          </w:p>
        </w:tc>
        <w:tc>
          <w:tcPr>
            <w:tcW w:w="1701" w:type="dxa"/>
            <w:tcBorders>
              <w:top w:val="single" w:sz="2" w:space="0" w:color="auto"/>
            </w:tcBorders>
            <w:shd w:val="clear" w:color="auto" w:fill="E2EFD9" w:themeFill="accent6" w:themeFillTint="33"/>
          </w:tcPr>
          <w:p w14:paraId="1B3C7E23" w14:textId="77777777" w:rsidR="00B801F4" w:rsidRPr="00B801F4" w:rsidRDefault="00B801F4" w:rsidP="00B801F4">
            <w:pPr>
              <w:tabs>
                <w:tab w:val="left" w:pos="1080"/>
              </w:tabs>
              <w:spacing w:after="80"/>
            </w:pPr>
          </w:p>
        </w:tc>
        <w:tc>
          <w:tcPr>
            <w:tcW w:w="1560" w:type="dxa"/>
            <w:tcBorders>
              <w:top w:val="single" w:sz="2" w:space="0" w:color="auto"/>
            </w:tcBorders>
            <w:shd w:val="clear" w:color="auto" w:fill="E2EFD9" w:themeFill="accent6" w:themeFillTint="33"/>
          </w:tcPr>
          <w:p w14:paraId="7ABFB3FE" w14:textId="77777777" w:rsidR="00B801F4" w:rsidRPr="00B801F4" w:rsidRDefault="00B801F4" w:rsidP="00B801F4">
            <w:pPr>
              <w:tabs>
                <w:tab w:val="left" w:pos="1080"/>
              </w:tabs>
              <w:spacing w:after="80"/>
            </w:pPr>
          </w:p>
        </w:tc>
        <w:tc>
          <w:tcPr>
            <w:tcW w:w="1363" w:type="dxa"/>
            <w:tcBorders>
              <w:top w:val="single" w:sz="2" w:space="0" w:color="auto"/>
            </w:tcBorders>
            <w:shd w:val="clear" w:color="auto" w:fill="E2EFD9" w:themeFill="accent6" w:themeFillTint="33"/>
          </w:tcPr>
          <w:p w14:paraId="276908B7" w14:textId="77777777" w:rsidR="00B801F4" w:rsidRPr="00B801F4" w:rsidRDefault="00B801F4" w:rsidP="00B801F4">
            <w:pPr>
              <w:tabs>
                <w:tab w:val="left" w:pos="1080"/>
              </w:tabs>
              <w:spacing w:after="80"/>
            </w:pPr>
          </w:p>
        </w:tc>
      </w:tr>
      <w:tr w:rsidR="00B801F4" w:rsidRPr="00B801F4" w14:paraId="7DE72EDE" w14:textId="77777777" w:rsidTr="00B801F4">
        <w:tc>
          <w:tcPr>
            <w:tcW w:w="8219" w:type="dxa"/>
          </w:tcPr>
          <w:p w14:paraId="678950F1" w14:textId="77777777" w:rsidR="00B801F4" w:rsidRPr="00B801F4" w:rsidRDefault="00B801F4" w:rsidP="00B801F4">
            <w:pPr>
              <w:tabs>
                <w:tab w:val="left" w:pos="1080"/>
              </w:tabs>
              <w:spacing w:after="80"/>
            </w:pPr>
            <w:r w:rsidRPr="00B801F4">
              <w:t>Financial assets at fair value through profit and loss</w:t>
            </w:r>
          </w:p>
        </w:tc>
        <w:tc>
          <w:tcPr>
            <w:tcW w:w="1842" w:type="dxa"/>
          </w:tcPr>
          <w:p w14:paraId="19F31CD2" w14:textId="77777777" w:rsidR="00B801F4" w:rsidRPr="00B801F4" w:rsidRDefault="00B801F4" w:rsidP="00B801F4">
            <w:pPr>
              <w:tabs>
                <w:tab w:val="left" w:pos="1080"/>
              </w:tabs>
              <w:spacing w:after="80"/>
              <w:jc w:val="right"/>
            </w:pPr>
            <w:r w:rsidRPr="00B801F4">
              <w:t>3,314.6</w:t>
            </w:r>
          </w:p>
        </w:tc>
        <w:tc>
          <w:tcPr>
            <w:tcW w:w="1701" w:type="dxa"/>
          </w:tcPr>
          <w:p w14:paraId="1EA57404" w14:textId="77777777" w:rsidR="00B801F4" w:rsidRPr="00B801F4" w:rsidRDefault="00B801F4" w:rsidP="00B801F4">
            <w:pPr>
              <w:tabs>
                <w:tab w:val="left" w:pos="1080"/>
              </w:tabs>
              <w:spacing w:after="80"/>
              <w:jc w:val="right"/>
            </w:pPr>
            <w:r w:rsidRPr="00B801F4">
              <w:t>179.9</w:t>
            </w:r>
          </w:p>
        </w:tc>
        <w:tc>
          <w:tcPr>
            <w:tcW w:w="1560" w:type="dxa"/>
          </w:tcPr>
          <w:p w14:paraId="4C607B1E" w14:textId="77777777" w:rsidR="00B801F4" w:rsidRPr="00B801F4" w:rsidRDefault="00B801F4" w:rsidP="00B801F4">
            <w:pPr>
              <w:tabs>
                <w:tab w:val="left" w:pos="1080"/>
              </w:tabs>
              <w:spacing w:after="80"/>
              <w:jc w:val="right"/>
            </w:pPr>
            <w:r w:rsidRPr="00B801F4">
              <w:t>929.9</w:t>
            </w:r>
          </w:p>
        </w:tc>
        <w:tc>
          <w:tcPr>
            <w:tcW w:w="1363" w:type="dxa"/>
          </w:tcPr>
          <w:p w14:paraId="2C601A8C" w14:textId="77777777" w:rsidR="00B801F4" w:rsidRPr="00B801F4" w:rsidRDefault="00B801F4" w:rsidP="00B801F4">
            <w:pPr>
              <w:tabs>
                <w:tab w:val="left" w:pos="1080"/>
              </w:tabs>
              <w:spacing w:after="80"/>
              <w:jc w:val="right"/>
            </w:pPr>
            <w:r w:rsidRPr="00B801F4">
              <w:t>4,424.4</w:t>
            </w:r>
          </w:p>
        </w:tc>
      </w:tr>
      <w:tr w:rsidR="00B801F4" w:rsidRPr="00B801F4" w14:paraId="5C12AE9B" w14:textId="77777777" w:rsidTr="00B801F4">
        <w:tc>
          <w:tcPr>
            <w:tcW w:w="8219" w:type="dxa"/>
            <w:shd w:val="clear" w:color="auto" w:fill="C5E0B3" w:themeFill="accent6" w:themeFillTint="66"/>
          </w:tcPr>
          <w:p w14:paraId="28FDFBD4" w14:textId="77777777" w:rsidR="00B801F4" w:rsidRPr="00B801F4" w:rsidRDefault="00B801F4" w:rsidP="00B801F4">
            <w:pPr>
              <w:tabs>
                <w:tab w:val="left" w:pos="1080"/>
              </w:tabs>
              <w:spacing w:after="80"/>
              <w:rPr>
                <w:b/>
              </w:rPr>
            </w:pPr>
            <w:r w:rsidRPr="00B801F4">
              <w:rPr>
                <w:b/>
              </w:rPr>
              <w:t>Total financial assets</w:t>
            </w:r>
          </w:p>
        </w:tc>
        <w:tc>
          <w:tcPr>
            <w:tcW w:w="1842" w:type="dxa"/>
            <w:shd w:val="clear" w:color="auto" w:fill="C5E0B3" w:themeFill="accent6" w:themeFillTint="66"/>
          </w:tcPr>
          <w:p w14:paraId="32B2AD30" w14:textId="77777777" w:rsidR="00B801F4" w:rsidRPr="00B801F4" w:rsidRDefault="00B801F4" w:rsidP="00B801F4">
            <w:pPr>
              <w:tabs>
                <w:tab w:val="left" w:pos="1080"/>
              </w:tabs>
              <w:spacing w:after="80"/>
              <w:jc w:val="right"/>
              <w:rPr>
                <w:b/>
              </w:rPr>
            </w:pPr>
            <w:r w:rsidRPr="00B801F4">
              <w:rPr>
                <w:b/>
              </w:rPr>
              <w:t>3,314.6</w:t>
            </w:r>
          </w:p>
        </w:tc>
        <w:tc>
          <w:tcPr>
            <w:tcW w:w="1701" w:type="dxa"/>
            <w:shd w:val="clear" w:color="auto" w:fill="C5E0B3" w:themeFill="accent6" w:themeFillTint="66"/>
          </w:tcPr>
          <w:p w14:paraId="0BAAD49F" w14:textId="77777777" w:rsidR="00B801F4" w:rsidRPr="00B801F4" w:rsidRDefault="00B801F4" w:rsidP="00B801F4">
            <w:pPr>
              <w:tabs>
                <w:tab w:val="left" w:pos="1080"/>
              </w:tabs>
              <w:spacing w:after="80"/>
              <w:jc w:val="right"/>
              <w:rPr>
                <w:b/>
              </w:rPr>
            </w:pPr>
            <w:r w:rsidRPr="00B801F4">
              <w:rPr>
                <w:b/>
              </w:rPr>
              <w:t>179.9</w:t>
            </w:r>
          </w:p>
        </w:tc>
        <w:tc>
          <w:tcPr>
            <w:tcW w:w="1560" w:type="dxa"/>
            <w:shd w:val="clear" w:color="auto" w:fill="C5E0B3" w:themeFill="accent6" w:themeFillTint="66"/>
          </w:tcPr>
          <w:p w14:paraId="33AB847F" w14:textId="77777777" w:rsidR="00B801F4" w:rsidRPr="00B801F4" w:rsidRDefault="00B801F4" w:rsidP="00B801F4">
            <w:pPr>
              <w:tabs>
                <w:tab w:val="left" w:pos="1080"/>
              </w:tabs>
              <w:spacing w:after="80"/>
              <w:jc w:val="right"/>
              <w:rPr>
                <w:b/>
              </w:rPr>
            </w:pPr>
            <w:r w:rsidRPr="00B801F4">
              <w:rPr>
                <w:b/>
              </w:rPr>
              <w:t>929.9</w:t>
            </w:r>
          </w:p>
        </w:tc>
        <w:tc>
          <w:tcPr>
            <w:tcW w:w="1363" w:type="dxa"/>
            <w:shd w:val="clear" w:color="auto" w:fill="C5E0B3" w:themeFill="accent6" w:themeFillTint="66"/>
          </w:tcPr>
          <w:p w14:paraId="5606C078" w14:textId="77777777" w:rsidR="00B801F4" w:rsidRPr="00B801F4" w:rsidRDefault="00B801F4" w:rsidP="00B801F4">
            <w:pPr>
              <w:tabs>
                <w:tab w:val="left" w:pos="1080"/>
              </w:tabs>
              <w:spacing w:after="80"/>
              <w:jc w:val="right"/>
              <w:rPr>
                <w:b/>
              </w:rPr>
            </w:pPr>
            <w:r w:rsidRPr="00B801F4">
              <w:rPr>
                <w:b/>
              </w:rPr>
              <w:t>4,424.4</w:t>
            </w:r>
          </w:p>
        </w:tc>
      </w:tr>
      <w:tr w:rsidR="00B801F4" w:rsidRPr="00B801F4" w14:paraId="64F503FB" w14:textId="77777777" w:rsidTr="00B801F4">
        <w:tc>
          <w:tcPr>
            <w:tcW w:w="8219" w:type="dxa"/>
            <w:shd w:val="clear" w:color="auto" w:fill="E2EFD9" w:themeFill="accent6" w:themeFillTint="33"/>
          </w:tcPr>
          <w:p w14:paraId="53C1698B" w14:textId="77777777" w:rsidR="00B801F4" w:rsidRPr="00B801F4" w:rsidRDefault="00B801F4" w:rsidP="00B801F4">
            <w:pPr>
              <w:tabs>
                <w:tab w:val="left" w:pos="1080"/>
              </w:tabs>
              <w:spacing w:after="80"/>
              <w:rPr>
                <w:b/>
              </w:rPr>
            </w:pPr>
            <w:r w:rsidRPr="00B801F4">
              <w:rPr>
                <w:b/>
              </w:rPr>
              <w:t>Financial liabilities</w:t>
            </w:r>
          </w:p>
        </w:tc>
        <w:tc>
          <w:tcPr>
            <w:tcW w:w="1842" w:type="dxa"/>
            <w:shd w:val="clear" w:color="auto" w:fill="E2EFD9" w:themeFill="accent6" w:themeFillTint="33"/>
          </w:tcPr>
          <w:p w14:paraId="3DFACF4A" w14:textId="77777777" w:rsidR="00B801F4" w:rsidRPr="00B801F4" w:rsidRDefault="00B801F4" w:rsidP="00B801F4">
            <w:pPr>
              <w:tabs>
                <w:tab w:val="left" w:pos="1080"/>
              </w:tabs>
              <w:spacing w:after="80"/>
              <w:jc w:val="right"/>
            </w:pPr>
          </w:p>
        </w:tc>
        <w:tc>
          <w:tcPr>
            <w:tcW w:w="1701" w:type="dxa"/>
            <w:shd w:val="clear" w:color="auto" w:fill="E2EFD9" w:themeFill="accent6" w:themeFillTint="33"/>
          </w:tcPr>
          <w:p w14:paraId="59EF22E5" w14:textId="77777777" w:rsidR="00B801F4" w:rsidRPr="00B801F4" w:rsidRDefault="00B801F4" w:rsidP="00B801F4">
            <w:pPr>
              <w:tabs>
                <w:tab w:val="left" w:pos="1080"/>
              </w:tabs>
              <w:spacing w:after="80"/>
              <w:jc w:val="right"/>
            </w:pPr>
          </w:p>
        </w:tc>
        <w:tc>
          <w:tcPr>
            <w:tcW w:w="1560" w:type="dxa"/>
            <w:shd w:val="clear" w:color="auto" w:fill="E2EFD9" w:themeFill="accent6" w:themeFillTint="33"/>
          </w:tcPr>
          <w:p w14:paraId="461AA34D" w14:textId="77777777" w:rsidR="00B801F4" w:rsidRPr="00B801F4" w:rsidRDefault="00B801F4" w:rsidP="00B801F4">
            <w:pPr>
              <w:tabs>
                <w:tab w:val="left" w:pos="1080"/>
              </w:tabs>
              <w:spacing w:after="80"/>
              <w:jc w:val="right"/>
            </w:pPr>
          </w:p>
        </w:tc>
        <w:tc>
          <w:tcPr>
            <w:tcW w:w="1363" w:type="dxa"/>
            <w:shd w:val="clear" w:color="auto" w:fill="E2EFD9" w:themeFill="accent6" w:themeFillTint="33"/>
          </w:tcPr>
          <w:p w14:paraId="06F7A156" w14:textId="77777777" w:rsidR="00B801F4" w:rsidRPr="00B801F4" w:rsidRDefault="00B801F4" w:rsidP="00B801F4">
            <w:pPr>
              <w:tabs>
                <w:tab w:val="left" w:pos="1080"/>
              </w:tabs>
              <w:spacing w:after="80"/>
              <w:jc w:val="right"/>
            </w:pPr>
          </w:p>
        </w:tc>
      </w:tr>
      <w:tr w:rsidR="00B801F4" w:rsidRPr="00B801F4" w14:paraId="0F5CB4A7" w14:textId="77777777" w:rsidTr="008D0533">
        <w:tc>
          <w:tcPr>
            <w:tcW w:w="8219" w:type="dxa"/>
            <w:tcBorders>
              <w:bottom w:val="nil"/>
            </w:tcBorders>
          </w:tcPr>
          <w:p w14:paraId="26A6A6AD" w14:textId="77777777" w:rsidR="00B801F4" w:rsidRPr="00B801F4" w:rsidRDefault="00B801F4" w:rsidP="00B801F4">
            <w:pPr>
              <w:tabs>
                <w:tab w:val="left" w:pos="1080"/>
              </w:tabs>
              <w:spacing w:after="80"/>
            </w:pPr>
            <w:r w:rsidRPr="00B801F4">
              <w:t>Financial liabilities at fair value through profit and loss</w:t>
            </w:r>
          </w:p>
        </w:tc>
        <w:tc>
          <w:tcPr>
            <w:tcW w:w="1842" w:type="dxa"/>
            <w:tcBorders>
              <w:bottom w:val="nil"/>
            </w:tcBorders>
          </w:tcPr>
          <w:p w14:paraId="6255034D" w14:textId="77777777" w:rsidR="00B801F4" w:rsidRPr="00B801F4" w:rsidRDefault="00B801F4" w:rsidP="00B801F4">
            <w:pPr>
              <w:tabs>
                <w:tab w:val="left" w:pos="1080"/>
              </w:tabs>
              <w:spacing w:after="80"/>
              <w:jc w:val="right"/>
            </w:pPr>
            <w:r w:rsidRPr="00B801F4">
              <w:t>21.3</w:t>
            </w:r>
          </w:p>
        </w:tc>
        <w:tc>
          <w:tcPr>
            <w:tcW w:w="1701" w:type="dxa"/>
            <w:tcBorders>
              <w:bottom w:val="nil"/>
            </w:tcBorders>
          </w:tcPr>
          <w:p w14:paraId="726C939C" w14:textId="77777777" w:rsidR="00B801F4" w:rsidRPr="00B801F4" w:rsidRDefault="00B801F4" w:rsidP="00B801F4">
            <w:pPr>
              <w:tabs>
                <w:tab w:val="left" w:pos="1080"/>
              </w:tabs>
              <w:spacing w:after="80"/>
              <w:jc w:val="right"/>
            </w:pPr>
            <w:r w:rsidRPr="00B801F4">
              <w:t>-</w:t>
            </w:r>
          </w:p>
        </w:tc>
        <w:tc>
          <w:tcPr>
            <w:tcW w:w="1560" w:type="dxa"/>
            <w:tcBorders>
              <w:bottom w:val="nil"/>
            </w:tcBorders>
          </w:tcPr>
          <w:p w14:paraId="4A67C46D" w14:textId="77777777" w:rsidR="00B801F4" w:rsidRPr="00B801F4" w:rsidRDefault="00B801F4" w:rsidP="00B801F4">
            <w:pPr>
              <w:tabs>
                <w:tab w:val="left" w:pos="1080"/>
              </w:tabs>
              <w:spacing w:after="80"/>
              <w:jc w:val="right"/>
            </w:pPr>
            <w:r w:rsidRPr="00B801F4">
              <w:t>-</w:t>
            </w:r>
          </w:p>
        </w:tc>
        <w:tc>
          <w:tcPr>
            <w:tcW w:w="1363" w:type="dxa"/>
            <w:tcBorders>
              <w:bottom w:val="nil"/>
            </w:tcBorders>
          </w:tcPr>
          <w:p w14:paraId="09E77413" w14:textId="77777777" w:rsidR="00B801F4" w:rsidRPr="00B801F4" w:rsidRDefault="00B801F4" w:rsidP="00B801F4">
            <w:pPr>
              <w:tabs>
                <w:tab w:val="left" w:pos="1080"/>
              </w:tabs>
              <w:spacing w:after="80"/>
              <w:jc w:val="right"/>
            </w:pPr>
            <w:r w:rsidRPr="00B801F4">
              <w:t>21.3</w:t>
            </w:r>
          </w:p>
        </w:tc>
      </w:tr>
      <w:tr w:rsidR="00B801F4" w:rsidRPr="00B801F4" w14:paraId="57CB7AED" w14:textId="77777777" w:rsidTr="008D0533">
        <w:tc>
          <w:tcPr>
            <w:tcW w:w="8219" w:type="dxa"/>
            <w:tcBorders>
              <w:top w:val="nil"/>
              <w:bottom w:val="single" w:sz="8" w:space="0" w:color="auto"/>
            </w:tcBorders>
            <w:shd w:val="clear" w:color="auto" w:fill="C5E0B3" w:themeFill="accent6" w:themeFillTint="66"/>
          </w:tcPr>
          <w:p w14:paraId="728B2389" w14:textId="77777777" w:rsidR="00B801F4" w:rsidRPr="00B801F4" w:rsidRDefault="00B801F4" w:rsidP="00B801F4">
            <w:pPr>
              <w:tabs>
                <w:tab w:val="left" w:pos="1080"/>
              </w:tabs>
              <w:spacing w:after="80"/>
              <w:rPr>
                <w:b/>
              </w:rPr>
            </w:pPr>
            <w:r w:rsidRPr="00B801F4">
              <w:rPr>
                <w:b/>
              </w:rPr>
              <w:t>Total financial liabilities</w:t>
            </w:r>
          </w:p>
        </w:tc>
        <w:tc>
          <w:tcPr>
            <w:tcW w:w="1842" w:type="dxa"/>
            <w:tcBorders>
              <w:top w:val="nil"/>
              <w:bottom w:val="single" w:sz="8" w:space="0" w:color="auto"/>
            </w:tcBorders>
            <w:shd w:val="clear" w:color="auto" w:fill="C5E0B3" w:themeFill="accent6" w:themeFillTint="66"/>
          </w:tcPr>
          <w:p w14:paraId="5EDF39CD" w14:textId="77777777" w:rsidR="00B801F4" w:rsidRPr="00B801F4" w:rsidRDefault="00B801F4" w:rsidP="00B801F4">
            <w:pPr>
              <w:tabs>
                <w:tab w:val="left" w:pos="1080"/>
              </w:tabs>
              <w:spacing w:after="80"/>
              <w:jc w:val="right"/>
              <w:rPr>
                <w:b/>
              </w:rPr>
            </w:pPr>
            <w:r w:rsidRPr="00B801F4">
              <w:rPr>
                <w:b/>
              </w:rPr>
              <w:t>21.3</w:t>
            </w:r>
          </w:p>
        </w:tc>
        <w:tc>
          <w:tcPr>
            <w:tcW w:w="1701" w:type="dxa"/>
            <w:tcBorders>
              <w:top w:val="nil"/>
              <w:bottom w:val="single" w:sz="8" w:space="0" w:color="auto"/>
            </w:tcBorders>
            <w:shd w:val="clear" w:color="auto" w:fill="C5E0B3" w:themeFill="accent6" w:themeFillTint="66"/>
          </w:tcPr>
          <w:p w14:paraId="34B95134" w14:textId="77777777" w:rsidR="00B801F4" w:rsidRPr="00B801F4" w:rsidRDefault="00B801F4" w:rsidP="00B801F4">
            <w:pPr>
              <w:tabs>
                <w:tab w:val="left" w:pos="1080"/>
              </w:tabs>
              <w:spacing w:after="80"/>
              <w:jc w:val="right"/>
              <w:rPr>
                <w:b/>
              </w:rPr>
            </w:pPr>
          </w:p>
        </w:tc>
        <w:tc>
          <w:tcPr>
            <w:tcW w:w="1560" w:type="dxa"/>
            <w:tcBorders>
              <w:top w:val="nil"/>
              <w:bottom w:val="single" w:sz="8" w:space="0" w:color="auto"/>
            </w:tcBorders>
            <w:shd w:val="clear" w:color="auto" w:fill="C5E0B3" w:themeFill="accent6" w:themeFillTint="66"/>
          </w:tcPr>
          <w:p w14:paraId="446D08AA" w14:textId="77777777" w:rsidR="00B801F4" w:rsidRPr="00B801F4" w:rsidRDefault="00B801F4" w:rsidP="00B801F4">
            <w:pPr>
              <w:tabs>
                <w:tab w:val="left" w:pos="1080"/>
              </w:tabs>
              <w:spacing w:after="80"/>
              <w:jc w:val="right"/>
              <w:rPr>
                <w:b/>
              </w:rPr>
            </w:pPr>
          </w:p>
        </w:tc>
        <w:tc>
          <w:tcPr>
            <w:tcW w:w="1363" w:type="dxa"/>
            <w:tcBorders>
              <w:top w:val="nil"/>
              <w:bottom w:val="single" w:sz="8" w:space="0" w:color="auto"/>
            </w:tcBorders>
            <w:shd w:val="clear" w:color="auto" w:fill="C5E0B3" w:themeFill="accent6" w:themeFillTint="66"/>
          </w:tcPr>
          <w:p w14:paraId="25F23441" w14:textId="77777777" w:rsidR="00B801F4" w:rsidRPr="00B801F4" w:rsidRDefault="00B801F4" w:rsidP="00B801F4">
            <w:pPr>
              <w:tabs>
                <w:tab w:val="left" w:pos="1080"/>
              </w:tabs>
              <w:spacing w:after="80"/>
              <w:jc w:val="right"/>
              <w:rPr>
                <w:b/>
              </w:rPr>
            </w:pPr>
            <w:r w:rsidRPr="00B801F4">
              <w:rPr>
                <w:b/>
              </w:rPr>
              <w:t>21.3</w:t>
            </w:r>
          </w:p>
        </w:tc>
      </w:tr>
    </w:tbl>
    <w:p w14:paraId="3437C3B8" w14:textId="77777777" w:rsidR="00B801F4" w:rsidRPr="00B801F4" w:rsidRDefault="00B801F4" w:rsidP="00B801F4">
      <w:pPr>
        <w:tabs>
          <w:tab w:val="left" w:pos="1080"/>
        </w:tabs>
        <w:spacing w:after="80"/>
        <w:ind w:left="709"/>
      </w:pPr>
    </w:p>
    <w:p w14:paraId="5A5C39B7" w14:textId="77777777" w:rsidR="00B801F4" w:rsidRPr="00B801F4" w:rsidRDefault="00B801F4" w:rsidP="00B801F4">
      <w:pPr>
        <w:tabs>
          <w:tab w:val="left" w:pos="1080"/>
        </w:tabs>
        <w:spacing w:after="80"/>
        <w:ind w:left="709"/>
      </w:pPr>
    </w:p>
    <w:p w14:paraId="1F1F1373" w14:textId="77777777" w:rsidR="00B801F4" w:rsidRPr="00B801F4" w:rsidRDefault="00B801F4" w:rsidP="00B801F4">
      <w:pPr>
        <w:tabs>
          <w:tab w:val="left" w:pos="1080"/>
        </w:tabs>
        <w:spacing w:after="80"/>
        <w:ind w:left="709"/>
      </w:pPr>
    </w:p>
    <w:p w14:paraId="0639E0D2" w14:textId="77777777" w:rsidR="00B801F4" w:rsidRPr="00B801F4" w:rsidRDefault="00B801F4" w:rsidP="00B801F4">
      <w:pPr>
        <w:tabs>
          <w:tab w:val="left" w:pos="1080"/>
        </w:tabs>
        <w:spacing w:after="80"/>
        <w:ind w:left="709"/>
      </w:pPr>
    </w:p>
    <w:p w14:paraId="75729B0C" w14:textId="77777777" w:rsidR="00B801F4" w:rsidRPr="00B801F4" w:rsidRDefault="00B801F4" w:rsidP="00B801F4">
      <w:pPr>
        <w:tabs>
          <w:tab w:val="left" w:pos="1080"/>
        </w:tabs>
        <w:spacing w:after="80"/>
        <w:ind w:left="709"/>
        <w:sectPr w:rsidR="00B801F4" w:rsidRPr="00B801F4" w:rsidSect="00B801F4">
          <w:pgSz w:w="16840" w:h="11900" w:orient="landscape" w:code="9"/>
          <w:pgMar w:top="720" w:right="720" w:bottom="720" w:left="720" w:header="284" w:footer="284" w:gutter="0"/>
          <w:cols w:space="292"/>
          <w:docGrid w:linePitch="326"/>
        </w:sectPr>
      </w:pPr>
    </w:p>
    <w:p w14:paraId="48B3157E" w14:textId="77777777" w:rsidR="00B801F4" w:rsidRPr="00B801F4" w:rsidRDefault="00B801F4" w:rsidP="00B801F4">
      <w:pPr>
        <w:tabs>
          <w:tab w:val="left" w:pos="1080"/>
        </w:tabs>
        <w:spacing w:after="80"/>
        <w:ind w:left="709"/>
      </w:pPr>
    </w:p>
    <w:p w14:paraId="194C5F9D" w14:textId="77777777" w:rsidR="00B801F4" w:rsidRPr="00B801F4" w:rsidRDefault="00B801F4" w:rsidP="00717919">
      <w:pPr>
        <w:numPr>
          <w:ilvl w:val="0"/>
          <w:numId w:val="74"/>
        </w:numPr>
        <w:autoSpaceDE/>
        <w:autoSpaceDN/>
        <w:adjustRightInd/>
        <w:jc w:val="left"/>
        <w:rPr>
          <w:b/>
          <w:sz w:val="32"/>
          <w:szCs w:val="32"/>
        </w:rPr>
      </w:pPr>
      <w:r w:rsidRPr="00B801F4">
        <w:rPr>
          <w:b/>
          <w:sz w:val="32"/>
          <w:szCs w:val="32"/>
        </w:rPr>
        <w:t>Nature and extent of risks arising from financial instruments</w:t>
      </w:r>
    </w:p>
    <w:p w14:paraId="21FCBF89" w14:textId="77777777" w:rsidR="00B801F4" w:rsidRPr="00B801F4" w:rsidRDefault="00B801F4" w:rsidP="00B801F4">
      <w:pPr>
        <w:ind w:firstLine="720"/>
      </w:pPr>
    </w:p>
    <w:p w14:paraId="784CB8C4" w14:textId="77777777" w:rsidR="00B801F4" w:rsidRPr="00B801F4" w:rsidRDefault="00B801F4" w:rsidP="00B801F4">
      <w:pPr>
        <w:spacing w:after="0"/>
        <w:ind w:firstLine="720"/>
        <w:jc w:val="left"/>
        <w:rPr>
          <w:b/>
        </w:rPr>
      </w:pPr>
      <w:r w:rsidRPr="00B801F4">
        <w:rPr>
          <w:b/>
        </w:rPr>
        <w:t xml:space="preserve">18.1 Risk and risk management </w:t>
      </w:r>
    </w:p>
    <w:p w14:paraId="32593AC7" w14:textId="77777777" w:rsidR="00B801F4" w:rsidRPr="00B801F4" w:rsidRDefault="00B801F4" w:rsidP="00B801F4">
      <w:pPr>
        <w:ind w:left="720"/>
        <w:jc w:val="left"/>
      </w:pPr>
      <w:r w:rsidRPr="00B801F4">
        <w:t xml:space="preserve">The Fund's primary long-term risk is that the Fund's assets will fall short of its liabilities (i.e. promised benefits payable to members).  The aim of investment risk management is to balance the minimisation of the risk of an overall reduction in the value of the Fund with maximising the opportunity for gains across the whole Fund portfolio.  The Fund achieves this through asset diversification to reduce exposure to market risk (price risk, currency risk and interest rate risk) and keep credit risk to an acceptable level.  In addition, the Fund manages its liquidity risk to ensure there is sufficient liquidity to meet the Fund's forecast cash flow.  </w:t>
      </w:r>
    </w:p>
    <w:p w14:paraId="2430BCA3" w14:textId="77777777" w:rsidR="00B801F4" w:rsidRPr="00B801F4" w:rsidRDefault="00B801F4" w:rsidP="00B801F4">
      <w:pPr>
        <w:spacing w:after="0"/>
        <w:ind w:left="720"/>
        <w:jc w:val="left"/>
      </w:pPr>
      <w:r w:rsidRPr="00B801F4">
        <w:t>Responsibility for the Fund's risk management strategy rests with the Pension Fund Committee.  Risk management policies are established to identify and analyse the risks faced by the Fund's operations.  Policies are reviewed regularly to reflect change in activity and in market conditions.</w:t>
      </w:r>
    </w:p>
    <w:p w14:paraId="7CC1729B" w14:textId="77777777" w:rsidR="00B801F4" w:rsidRPr="00B801F4" w:rsidRDefault="00B801F4" w:rsidP="00B801F4">
      <w:pPr>
        <w:tabs>
          <w:tab w:val="left" w:pos="1080"/>
        </w:tabs>
        <w:spacing w:after="0"/>
        <w:ind w:left="709"/>
        <w:jc w:val="left"/>
      </w:pPr>
    </w:p>
    <w:p w14:paraId="2456A9C2" w14:textId="77777777" w:rsidR="00B801F4" w:rsidRPr="00B801F4" w:rsidRDefault="00B801F4" w:rsidP="00B801F4">
      <w:pPr>
        <w:spacing w:after="0"/>
        <w:ind w:firstLine="709"/>
        <w:jc w:val="left"/>
      </w:pPr>
      <w:r w:rsidRPr="00B801F4">
        <w:rPr>
          <w:b/>
        </w:rPr>
        <w:t xml:space="preserve">18.2 Market risk </w:t>
      </w:r>
    </w:p>
    <w:p w14:paraId="2BBB3E49" w14:textId="77777777" w:rsidR="00B801F4" w:rsidRPr="00B801F4" w:rsidRDefault="00B801F4" w:rsidP="00B801F4">
      <w:pPr>
        <w:spacing w:after="0"/>
        <w:ind w:left="709"/>
        <w:jc w:val="left"/>
      </w:pPr>
      <w:r w:rsidRPr="00B801F4">
        <w:t xml:space="preserve">Market risk is risk of loss from fluctuations in equity and commodity prices, interest and foreign exchange rates and credit spreads.  The Fund is exposed to market risk from its investment activities, particularly through its equity holdings.  </w:t>
      </w:r>
    </w:p>
    <w:p w14:paraId="495142F2" w14:textId="77777777" w:rsidR="00B801F4" w:rsidRPr="00B801F4" w:rsidRDefault="00B801F4" w:rsidP="00B801F4">
      <w:pPr>
        <w:spacing w:after="0"/>
        <w:ind w:left="709"/>
        <w:jc w:val="left"/>
      </w:pPr>
    </w:p>
    <w:p w14:paraId="4D82223E" w14:textId="77777777" w:rsidR="00B801F4" w:rsidRPr="00B801F4" w:rsidRDefault="00B801F4" w:rsidP="00B801F4">
      <w:pPr>
        <w:spacing w:after="0"/>
        <w:ind w:left="709"/>
        <w:jc w:val="left"/>
      </w:pPr>
      <w:r w:rsidRPr="00B801F4">
        <w:t>The objective of the Fund's risk management strategy is to identify, manage and keep market risk exposure within acceptable parameters, whilst optimising the return on risk.</w:t>
      </w:r>
    </w:p>
    <w:p w14:paraId="146886AF" w14:textId="77777777" w:rsidR="00B801F4" w:rsidRPr="00B801F4" w:rsidRDefault="00B801F4" w:rsidP="00B801F4">
      <w:pPr>
        <w:spacing w:after="0"/>
        <w:ind w:left="709"/>
        <w:jc w:val="left"/>
      </w:pPr>
    </w:p>
    <w:p w14:paraId="0903991B" w14:textId="77777777" w:rsidR="00B801F4" w:rsidRPr="00B801F4" w:rsidRDefault="00B801F4" w:rsidP="00B801F4">
      <w:pPr>
        <w:spacing w:after="0"/>
        <w:ind w:left="709"/>
        <w:jc w:val="left"/>
      </w:pPr>
      <w:r w:rsidRPr="00B801F4">
        <w:t xml:space="preserve">In general, excessive volatility in market risk is managed through the diversification of the portfolio in terms of geographical and industry sectors and individual securities.  To mitigate market risk, the Fund and its investment advisors undertake appropriate monitoring of market conditions and benchmarking analysis. </w:t>
      </w:r>
    </w:p>
    <w:p w14:paraId="6A1556C1" w14:textId="77777777" w:rsidR="00B801F4" w:rsidRPr="00B801F4" w:rsidRDefault="00B801F4" w:rsidP="00B801F4">
      <w:pPr>
        <w:spacing w:after="0"/>
        <w:ind w:left="720"/>
        <w:jc w:val="left"/>
        <w:rPr>
          <w:b/>
        </w:rPr>
      </w:pPr>
    </w:p>
    <w:p w14:paraId="4FAE21EC" w14:textId="77777777" w:rsidR="00B801F4" w:rsidRPr="00B801F4" w:rsidRDefault="00B801F4" w:rsidP="00B801F4">
      <w:pPr>
        <w:spacing w:after="0"/>
        <w:ind w:left="720"/>
        <w:jc w:val="left"/>
      </w:pPr>
      <w:r w:rsidRPr="00B801F4">
        <w:rPr>
          <w:b/>
        </w:rPr>
        <w:t xml:space="preserve">18.3 Other price risk </w:t>
      </w:r>
      <w:r w:rsidRPr="00B801F4">
        <w:t xml:space="preserve"> </w:t>
      </w:r>
    </w:p>
    <w:p w14:paraId="66584595" w14:textId="77777777" w:rsidR="00B801F4" w:rsidRPr="00B801F4" w:rsidRDefault="00B801F4" w:rsidP="00B801F4">
      <w:pPr>
        <w:spacing w:after="0"/>
        <w:ind w:left="720"/>
        <w:jc w:val="left"/>
      </w:pPr>
      <w:r w:rsidRPr="00B801F4">
        <w:t xml:space="preserve">Other price risk represents the risk that the value of a financial instrument will fluctuate as a result of changes in market prices (other than those arising from interest rate risk or foreign exchange risk), whether those changes are caused by factors specific to the individual instrument or its issuer or factors affecting all such instruments in the market.     </w:t>
      </w:r>
    </w:p>
    <w:p w14:paraId="63723FB7" w14:textId="77777777" w:rsidR="00B801F4" w:rsidRPr="00B801F4" w:rsidRDefault="00B801F4" w:rsidP="00B801F4">
      <w:pPr>
        <w:spacing w:after="0"/>
        <w:ind w:left="720"/>
        <w:jc w:val="left"/>
      </w:pPr>
    </w:p>
    <w:p w14:paraId="31034079" w14:textId="77777777" w:rsidR="00B801F4" w:rsidRPr="00B801F4" w:rsidRDefault="00B801F4" w:rsidP="00B801F4">
      <w:pPr>
        <w:spacing w:after="0"/>
        <w:ind w:left="720"/>
        <w:jc w:val="left"/>
      </w:pPr>
      <w:r w:rsidRPr="00B801F4">
        <w:t xml:space="preserve">The Fund is exposed to share and derivatives price risk.  This arises from investments held by the Fund for which the future price is uncertain.  All securities investments present a risk of loss of capital.  Except for shares sold short, the maximum risk resulting from financial instruments is determined by the fair value of the financial instruments.  Possible losses from shares sold short is unlimited. </w:t>
      </w:r>
    </w:p>
    <w:p w14:paraId="64CD387F" w14:textId="77777777" w:rsidR="00B801F4" w:rsidRPr="00B801F4" w:rsidRDefault="00B801F4" w:rsidP="00B801F4">
      <w:pPr>
        <w:spacing w:after="0"/>
        <w:ind w:left="720"/>
        <w:jc w:val="left"/>
      </w:pPr>
    </w:p>
    <w:p w14:paraId="2FFD5879" w14:textId="77777777" w:rsidR="00B801F4" w:rsidRPr="00B801F4" w:rsidRDefault="00B801F4" w:rsidP="00B801F4">
      <w:pPr>
        <w:spacing w:after="0"/>
        <w:ind w:left="720"/>
        <w:jc w:val="left"/>
      </w:pPr>
      <w:r w:rsidRPr="00B801F4">
        <w:t>The Fund's investment managers mitigate this price risk through diversification.  The selection of securities and other financial instruments is monitored by the Fund to ensure it is within limits specified in the fund investment strategy.</w:t>
      </w:r>
    </w:p>
    <w:p w14:paraId="2537E8DC" w14:textId="77777777" w:rsidR="00B801F4" w:rsidRPr="00B801F4" w:rsidRDefault="00B801F4" w:rsidP="00B801F4">
      <w:pPr>
        <w:spacing w:after="0"/>
        <w:ind w:left="720"/>
        <w:jc w:val="left"/>
      </w:pPr>
      <w:r w:rsidRPr="00B801F4">
        <w:t xml:space="preserve"> </w:t>
      </w:r>
    </w:p>
    <w:p w14:paraId="6CECFDA9" w14:textId="77777777" w:rsidR="00B801F4" w:rsidRPr="00B801F4" w:rsidRDefault="00B801F4" w:rsidP="00B801F4">
      <w:pPr>
        <w:spacing w:after="0"/>
        <w:ind w:left="720"/>
        <w:jc w:val="left"/>
        <w:rPr>
          <w:b/>
        </w:rPr>
      </w:pPr>
      <w:r w:rsidRPr="00B801F4">
        <w:rPr>
          <w:b/>
        </w:rPr>
        <w:t>18.3.1 Other price risk – sensitivity analysis</w:t>
      </w:r>
    </w:p>
    <w:p w14:paraId="5ACC3002" w14:textId="77777777" w:rsidR="00B801F4" w:rsidRPr="00B801F4" w:rsidRDefault="00B801F4" w:rsidP="00B801F4">
      <w:pPr>
        <w:spacing w:after="0"/>
        <w:ind w:left="720"/>
        <w:jc w:val="left"/>
      </w:pPr>
      <w:r w:rsidRPr="00B801F4">
        <w:t xml:space="preserve">Following analysis of historical data and expected investment return movement during the financial year, in consultation with the Fund's investment advisors, the Fund has determined that the following movements in market price risks are reasonably possible for the 2014/15 reporting period. </w:t>
      </w:r>
    </w:p>
    <w:p w14:paraId="665AA10E" w14:textId="77777777" w:rsidR="00B801F4" w:rsidRPr="00B801F4" w:rsidRDefault="00B801F4" w:rsidP="00B801F4">
      <w:pPr>
        <w:tabs>
          <w:tab w:val="left" w:pos="1080"/>
        </w:tabs>
        <w:spacing w:after="80"/>
        <w:ind w:left="709"/>
      </w:pPr>
    </w:p>
    <w:tbl>
      <w:tblPr>
        <w:tblStyle w:val="TableGrid1"/>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951"/>
        <w:gridCol w:w="3402"/>
      </w:tblGrid>
      <w:tr w:rsidR="00B801F4" w:rsidRPr="00B801F4" w14:paraId="65466C25" w14:textId="77777777" w:rsidTr="00B801F4">
        <w:trPr>
          <w:trHeight w:val="632"/>
        </w:trPr>
        <w:tc>
          <w:tcPr>
            <w:tcW w:w="5951" w:type="dxa"/>
            <w:tcBorders>
              <w:top w:val="single" w:sz="2" w:space="0" w:color="auto"/>
              <w:bottom w:val="single" w:sz="2" w:space="0" w:color="auto"/>
            </w:tcBorders>
            <w:shd w:val="clear" w:color="auto" w:fill="A8D08D" w:themeFill="accent6" w:themeFillTint="99"/>
          </w:tcPr>
          <w:p w14:paraId="4ED250D2" w14:textId="77777777" w:rsidR="00B801F4" w:rsidRPr="00B801F4" w:rsidRDefault="00B801F4" w:rsidP="00B801F4">
            <w:pPr>
              <w:tabs>
                <w:tab w:val="left" w:pos="1080"/>
              </w:tabs>
              <w:spacing w:after="80"/>
              <w:rPr>
                <w:b/>
              </w:rPr>
            </w:pPr>
            <w:r w:rsidRPr="00B801F4">
              <w:rPr>
                <w:b/>
              </w:rPr>
              <w:t>Asset type</w:t>
            </w:r>
          </w:p>
        </w:tc>
        <w:tc>
          <w:tcPr>
            <w:tcW w:w="3402" w:type="dxa"/>
            <w:tcBorders>
              <w:top w:val="single" w:sz="2" w:space="0" w:color="auto"/>
              <w:bottom w:val="single" w:sz="2" w:space="0" w:color="auto"/>
            </w:tcBorders>
            <w:shd w:val="clear" w:color="auto" w:fill="A8D08D" w:themeFill="accent6" w:themeFillTint="99"/>
          </w:tcPr>
          <w:p w14:paraId="757359BC" w14:textId="77777777" w:rsidR="00B801F4" w:rsidRPr="00B801F4" w:rsidRDefault="00B801F4" w:rsidP="00B801F4">
            <w:pPr>
              <w:tabs>
                <w:tab w:val="left" w:pos="1080"/>
              </w:tabs>
              <w:spacing w:after="80"/>
              <w:jc w:val="right"/>
              <w:rPr>
                <w:b/>
              </w:rPr>
            </w:pPr>
            <w:r w:rsidRPr="00B801F4">
              <w:rPr>
                <w:b/>
              </w:rPr>
              <w:t>Potential market movements (+/-)</w:t>
            </w:r>
          </w:p>
        </w:tc>
      </w:tr>
      <w:tr w:rsidR="00B801F4" w:rsidRPr="00B801F4" w14:paraId="52D14D18" w14:textId="77777777" w:rsidTr="00B801F4">
        <w:trPr>
          <w:trHeight w:val="285"/>
        </w:trPr>
        <w:tc>
          <w:tcPr>
            <w:tcW w:w="5951" w:type="dxa"/>
            <w:shd w:val="clear" w:color="auto" w:fill="E2EFD9" w:themeFill="accent6" w:themeFillTint="33"/>
          </w:tcPr>
          <w:p w14:paraId="59AFA22E" w14:textId="77777777" w:rsidR="00B801F4" w:rsidRPr="00B801F4" w:rsidRDefault="00B801F4" w:rsidP="00B801F4">
            <w:pPr>
              <w:tabs>
                <w:tab w:val="left" w:pos="1080"/>
              </w:tabs>
              <w:spacing w:after="80"/>
            </w:pPr>
            <w:r w:rsidRPr="00B801F4">
              <w:t>Total bonds (including index linked)</w:t>
            </w:r>
          </w:p>
        </w:tc>
        <w:tc>
          <w:tcPr>
            <w:tcW w:w="3402" w:type="dxa"/>
            <w:shd w:val="clear" w:color="auto" w:fill="E2EFD9" w:themeFill="accent6" w:themeFillTint="33"/>
          </w:tcPr>
          <w:p w14:paraId="41ED9747" w14:textId="77777777" w:rsidR="00B801F4" w:rsidRPr="00B801F4" w:rsidRDefault="00B801F4" w:rsidP="00B801F4">
            <w:pPr>
              <w:tabs>
                <w:tab w:val="left" w:pos="1080"/>
              </w:tabs>
              <w:spacing w:after="80"/>
              <w:ind w:left="2129" w:hanging="142"/>
            </w:pPr>
            <w:r w:rsidRPr="00B801F4">
              <w:t>6.0%</w:t>
            </w:r>
          </w:p>
        </w:tc>
      </w:tr>
      <w:tr w:rsidR="00B801F4" w:rsidRPr="00B801F4" w14:paraId="2B20478A" w14:textId="77777777" w:rsidTr="00B801F4">
        <w:trPr>
          <w:trHeight w:val="272"/>
        </w:trPr>
        <w:tc>
          <w:tcPr>
            <w:tcW w:w="5951" w:type="dxa"/>
            <w:shd w:val="clear" w:color="auto" w:fill="E2EFD9" w:themeFill="accent6" w:themeFillTint="33"/>
          </w:tcPr>
          <w:p w14:paraId="42876471" w14:textId="77777777" w:rsidR="00B801F4" w:rsidRPr="00B801F4" w:rsidRDefault="00B801F4" w:rsidP="00B801F4">
            <w:pPr>
              <w:tabs>
                <w:tab w:val="left" w:pos="1080"/>
              </w:tabs>
              <w:spacing w:after="80"/>
            </w:pPr>
            <w:r w:rsidRPr="00B801F4">
              <w:t>Total equities</w:t>
            </w:r>
          </w:p>
        </w:tc>
        <w:tc>
          <w:tcPr>
            <w:tcW w:w="3402" w:type="dxa"/>
            <w:shd w:val="clear" w:color="auto" w:fill="E2EFD9" w:themeFill="accent6" w:themeFillTint="33"/>
          </w:tcPr>
          <w:p w14:paraId="5F250AE8" w14:textId="77777777" w:rsidR="00B801F4" w:rsidRPr="00B801F4" w:rsidRDefault="00B801F4" w:rsidP="00B801F4">
            <w:pPr>
              <w:tabs>
                <w:tab w:val="left" w:pos="1080"/>
              </w:tabs>
              <w:spacing w:after="80"/>
              <w:ind w:left="1987"/>
            </w:pPr>
            <w:r w:rsidRPr="00B801F4">
              <w:t>9.6%</w:t>
            </w:r>
          </w:p>
        </w:tc>
      </w:tr>
      <w:tr w:rsidR="00B801F4" w:rsidRPr="00B801F4" w14:paraId="73F6B847" w14:textId="77777777" w:rsidTr="00B801F4">
        <w:trPr>
          <w:trHeight w:val="344"/>
        </w:trPr>
        <w:tc>
          <w:tcPr>
            <w:tcW w:w="5951" w:type="dxa"/>
            <w:shd w:val="clear" w:color="auto" w:fill="E2EFD9" w:themeFill="accent6" w:themeFillTint="33"/>
          </w:tcPr>
          <w:p w14:paraId="10654A22" w14:textId="77777777" w:rsidR="00B801F4" w:rsidRPr="00B801F4" w:rsidRDefault="00B801F4" w:rsidP="00B801F4">
            <w:pPr>
              <w:tabs>
                <w:tab w:val="left" w:pos="1080"/>
              </w:tabs>
              <w:spacing w:after="80"/>
            </w:pPr>
            <w:r w:rsidRPr="00B801F4">
              <w:t>Alternatives</w:t>
            </w:r>
          </w:p>
        </w:tc>
        <w:tc>
          <w:tcPr>
            <w:tcW w:w="3402" w:type="dxa"/>
            <w:shd w:val="clear" w:color="auto" w:fill="E2EFD9" w:themeFill="accent6" w:themeFillTint="33"/>
          </w:tcPr>
          <w:p w14:paraId="18D9BB64" w14:textId="77777777" w:rsidR="00B801F4" w:rsidRPr="00B801F4" w:rsidRDefault="00B801F4" w:rsidP="00B801F4">
            <w:pPr>
              <w:tabs>
                <w:tab w:val="left" w:pos="1080"/>
              </w:tabs>
              <w:spacing w:after="80"/>
              <w:ind w:left="1987"/>
            </w:pPr>
            <w:r w:rsidRPr="00B801F4">
              <w:t>9.6%</w:t>
            </w:r>
          </w:p>
        </w:tc>
      </w:tr>
      <w:tr w:rsidR="00B801F4" w:rsidRPr="00B801F4" w14:paraId="33398A4E" w14:textId="77777777" w:rsidTr="00B801F4">
        <w:trPr>
          <w:trHeight w:val="264"/>
        </w:trPr>
        <w:tc>
          <w:tcPr>
            <w:tcW w:w="5951" w:type="dxa"/>
            <w:shd w:val="clear" w:color="auto" w:fill="E2EFD9" w:themeFill="accent6" w:themeFillTint="33"/>
          </w:tcPr>
          <w:p w14:paraId="5B086A89" w14:textId="77777777" w:rsidR="00B801F4" w:rsidRPr="00B801F4" w:rsidRDefault="00B801F4" w:rsidP="00B801F4">
            <w:pPr>
              <w:tabs>
                <w:tab w:val="left" w:pos="1080"/>
              </w:tabs>
              <w:spacing w:after="80"/>
            </w:pPr>
            <w:r w:rsidRPr="00B801F4">
              <w:t>Total property</w:t>
            </w:r>
          </w:p>
        </w:tc>
        <w:tc>
          <w:tcPr>
            <w:tcW w:w="3402" w:type="dxa"/>
            <w:shd w:val="clear" w:color="auto" w:fill="E2EFD9" w:themeFill="accent6" w:themeFillTint="33"/>
          </w:tcPr>
          <w:p w14:paraId="6CEBF597" w14:textId="77777777" w:rsidR="00B801F4" w:rsidRPr="00B801F4" w:rsidRDefault="00B801F4" w:rsidP="00B801F4">
            <w:pPr>
              <w:tabs>
                <w:tab w:val="left" w:pos="1080"/>
              </w:tabs>
              <w:spacing w:after="80"/>
              <w:ind w:left="1987"/>
            </w:pPr>
            <w:r w:rsidRPr="00B801F4">
              <w:t>2.1%</w:t>
            </w:r>
          </w:p>
        </w:tc>
      </w:tr>
    </w:tbl>
    <w:p w14:paraId="417BB444" w14:textId="77777777" w:rsidR="00B801F4" w:rsidRPr="00B801F4" w:rsidRDefault="00B801F4" w:rsidP="00B801F4">
      <w:pPr>
        <w:tabs>
          <w:tab w:val="left" w:pos="1080"/>
        </w:tabs>
        <w:spacing w:after="80"/>
        <w:ind w:left="709"/>
      </w:pPr>
    </w:p>
    <w:p w14:paraId="41BF7E0D" w14:textId="77777777" w:rsidR="00B801F4" w:rsidRPr="00B801F4" w:rsidRDefault="00B801F4" w:rsidP="00B801F4">
      <w:pPr>
        <w:ind w:left="720"/>
        <w:jc w:val="left"/>
      </w:pPr>
      <w:r w:rsidRPr="00B801F4">
        <w:t>The potential price changes disclosed above are broadly consistent with a one-standard deviation movement in value of the asset.  The sensitivities are consistent with the assumption contained in the investment advisors' most recent review.  This analysis assumes that all other variables, in particular foreign currency exchange rates and interest rates, remain the same.  Had the market of the Fund's investments increased/decreased in line with the above, the change in the net assets available to pay benefits in the market place would have been as follows (the prior year comparator is also shown):</w:t>
      </w:r>
    </w:p>
    <w:p w14:paraId="6A53A165" w14:textId="77777777" w:rsidR="00B801F4" w:rsidRPr="00B801F4" w:rsidRDefault="00B801F4" w:rsidP="00B801F4">
      <w:pPr>
        <w:tabs>
          <w:tab w:val="left" w:pos="1080"/>
        </w:tabs>
        <w:spacing w:after="80"/>
        <w:ind w:left="709"/>
      </w:pPr>
    </w:p>
    <w:tbl>
      <w:tblPr>
        <w:tblStyle w:val="TableGrid1"/>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374"/>
        <w:gridCol w:w="1151"/>
        <w:gridCol w:w="1701"/>
        <w:gridCol w:w="1262"/>
        <w:gridCol w:w="1257"/>
      </w:tblGrid>
      <w:tr w:rsidR="00B801F4" w:rsidRPr="00B801F4" w14:paraId="687ACAAB" w14:textId="77777777" w:rsidTr="00B801F4">
        <w:tc>
          <w:tcPr>
            <w:tcW w:w="4374" w:type="dxa"/>
            <w:tcBorders>
              <w:top w:val="single" w:sz="2" w:space="0" w:color="auto"/>
              <w:bottom w:val="nil"/>
            </w:tcBorders>
            <w:shd w:val="clear" w:color="auto" w:fill="A8D08D" w:themeFill="accent6" w:themeFillTint="99"/>
          </w:tcPr>
          <w:p w14:paraId="25639661" w14:textId="77777777" w:rsidR="00B801F4" w:rsidRPr="00B801F4" w:rsidRDefault="00B801F4" w:rsidP="00B801F4">
            <w:pPr>
              <w:tabs>
                <w:tab w:val="left" w:pos="1080"/>
              </w:tabs>
              <w:spacing w:after="80"/>
              <w:rPr>
                <w:b/>
              </w:rPr>
            </w:pPr>
            <w:r w:rsidRPr="00B801F4">
              <w:rPr>
                <w:b/>
              </w:rPr>
              <w:t>Asset type</w:t>
            </w:r>
          </w:p>
        </w:tc>
        <w:tc>
          <w:tcPr>
            <w:tcW w:w="1151" w:type="dxa"/>
            <w:tcBorders>
              <w:top w:val="single" w:sz="2" w:space="0" w:color="auto"/>
              <w:bottom w:val="nil"/>
            </w:tcBorders>
            <w:shd w:val="clear" w:color="auto" w:fill="A8D08D" w:themeFill="accent6" w:themeFillTint="99"/>
          </w:tcPr>
          <w:p w14:paraId="788CD649" w14:textId="77777777" w:rsidR="00B801F4" w:rsidRPr="00B801F4" w:rsidRDefault="00B801F4" w:rsidP="00B801F4">
            <w:pPr>
              <w:tabs>
                <w:tab w:val="left" w:pos="1080"/>
              </w:tabs>
              <w:spacing w:after="80"/>
              <w:jc w:val="right"/>
              <w:rPr>
                <w:b/>
              </w:rPr>
            </w:pPr>
            <w:r w:rsidRPr="00B801F4">
              <w:rPr>
                <w:b/>
              </w:rPr>
              <w:t>31/03/15</w:t>
            </w:r>
          </w:p>
        </w:tc>
        <w:tc>
          <w:tcPr>
            <w:tcW w:w="1701" w:type="dxa"/>
            <w:tcBorders>
              <w:top w:val="single" w:sz="2" w:space="0" w:color="auto"/>
              <w:bottom w:val="nil"/>
            </w:tcBorders>
            <w:shd w:val="clear" w:color="auto" w:fill="A8D08D" w:themeFill="accent6" w:themeFillTint="99"/>
          </w:tcPr>
          <w:p w14:paraId="4E05A08F" w14:textId="77777777" w:rsidR="00B801F4" w:rsidRPr="00B801F4" w:rsidRDefault="00B801F4" w:rsidP="00B801F4">
            <w:pPr>
              <w:tabs>
                <w:tab w:val="left" w:pos="1080"/>
              </w:tabs>
              <w:spacing w:after="80"/>
              <w:jc w:val="right"/>
              <w:rPr>
                <w:b/>
              </w:rPr>
            </w:pPr>
            <w:r w:rsidRPr="00B801F4">
              <w:rPr>
                <w:b/>
              </w:rPr>
              <w:t>Percentage change</w:t>
            </w:r>
          </w:p>
        </w:tc>
        <w:tc>
          <w:tcPr>
            <w:tcW w:w="1262" w:type="dxa"/>
            <w:tcBorders>
              <w:top w:val="single" w:sz="2" w:space="0" w:color="auto"/>
              <w:bottom w:val="nil"/>
            </w:tcBorders>
            <w:shd w:val="clear" w:color="auto" w:fill="A8D08D" w:themeFill="accent6" w:themeFillTint="99"/>
          </w:tcPr>
          <w:p w14:paraId="48ED7979" w14:textId="77777777" w:rsidR="00B801F4" w:rsidRPr="00B801F4" w:rsidRDefault="00B801F4" w:rsidP="00B801F4">
            <w:pPr>
              <w:tabs>
                <w:tab w:val="left" w:pos="1080"/>
              </w:tabs>
              <w:spacing w:after="80"/>
              <w:jc w:val="right"/>
              <w:rPr>
                <w:b/>
              </w:rPr>
            </w:pPr>
            <w:r w:rsidRPr="00B801F4">
              <w:rPr>
                <w:b/>
              </w:rPr>
              <w:t>Value on increase</w:t>
            </w:r>
          </w:p>
        </w:tc>
        <w:tc>
          <w:tcPr>
            <w:tcW w:w="1257" w:type="dxa"/>
            <w:tcBorders>
              <w:top w:val="single" w:sz="2" w:space="0" w:color="auto"/>
              <w:bottom w:val="nil"/>
            </w:tcBorders>
            <w:shd w:val="clear" w:color="auto" w:fill="A8D08D" w:themeFill="accent6" w:themeFillTint="99"/>
          </w:tcPr>
          <w:p w14:paraId="5959E388" w14:textId="77777777" w:rsidR="00B801F4" w:rsidRPr="00B801F4" w:rsidRDefault="00B801F4" w:rsidP="00B801F4">
            <w:pPr>
              <w:tabs>
                <w:tab w:val="left" w:pos="1080"/>
              </w:tabs>
              <w:spacing w:after="80"/>
              <w:jc w:val="right"/>
              <w:rPr>
                <w:b/>
              </w:rPr>
            </w:pPr>
            <w:r w:rsidRPr="00B801F4">
              <w:rPr>
                <w:b/>
              </w:rPr>
              <w:t>Value on decrease</w:t>
            </w:r>
          </w:p>
        </w:tc>
      </w:tr>
      <w:tr w:rsidR="00B801F4" w:rsidRPr="00B801F4" w14:paraId="1BC952C1" w14:textId="77777777" w:rsidTr="00B801F4">
        <w:tc>
          <w:tcPr>
            <w:tcW w:w="4374" w:type="dxa"/>
            <w:tcBorders>
              <w:top w:val="nil"/>
              <w:bottom w:val="single" w:sz="2" w:space="0" w:color="auto"/>
            </w:tcBorders>
            <w:shd w:val="clear" w:color="auto" w:fill="A8D08D" w:themeFill="accent6" w:themeFillTint="99"/>
          </w:tcPr>
          <w:p w14:paraId="49BE0266" w14:textId="77777777" w:rsidR="00B801F4" w:rsidRPr="00B801F4" w:rsidRDefault="00B801F4" w:rsidP="00B801F4">
            <w:pPr>
              <w:tabs>
                <w:tab w:val="left" w:pos="1080"/>
              </w:tabs>
              <w:spacing w:after="80"/>
              <w:rPr>
                <w:b/>
              </w:rPr>
            </w:pPr>
          </w:p>
        </w:tc>
        <w:tc>
          <w:tcPr>
            <w:tcW w:w="1151" w:type="dxa"/>
            <w:tcBorders>
              <w:top w:val="nil"/>
              <w:bottom w:val="single" w:sz="2" w:space="0" w:color="auto"/>
            </w:tcBorders>
            <w:shd w:val="clear" w:color="auto" w:fill="A8D08D" w:themeFill="accent6" w:themeFillTint="99"/>
          </w:tcPr>
          <w:p w14:paraId="196EDBB3" w14:textId="77777777" w:rsidR="00B801F4" w:rsidRPr="00B801F4" w:rsidRDefault="00B801F4" w:rsidP="00B801F4">
            <w:pPr>
              <w:tabs>
                <w:tab w:val="left" w:pos="1080"/>
              </w:tabs>
              <w:spacing w:after="80"/>
              <w:jc w:val="right"/>
              <w:rPr>
                <w:b/>
              </w:rPr>
            </w:pPr>
            <w:r w:rsidRPr="00B801F4">
              <w:rPr>
                <w:b/>
              </w:rPr>
              <w:t>£m</w:t>
            </w:r>
          </w:p>
        </w:tc>
        <w:tc>
          <w:tcPr>
            <w:tcW w:w="1701" w:type="dxa"/>
            <w:tcBorders>
              <w:top w:val="nil"/>
              <w:bottom w:val="single" w:sz="2" w:space="0" w:color="auto"/>
            </w:tcBorders>
            <w:shd w:val="clear" w:color="auto" w:fill="A8D08D" w:themeFill="accent6" w:themeFillTint="99"/>
          </w:tcPr>
          <w:p w14:paraId="4CEF10EF" w14:textId="77777777" w:rsidR="00B801F4" w:rsidRPr="00B801F4" w:rsidRDefault="00B801F4" w:rsidP="00B801F4">
            <w:pPr>
              <w:tabs>
                <w:tab w:val="left" w:pos="1080"/>
              </w:tabs>
              <w:spacing w:after="80"/>
              <w:jc w:val="right"/>
              <w:rPr>
                <w:b/>
              </w:rPr>
            </w:pPr>
            <w:r w:rsidRPr="00B801F4">
              <w:rPr>
                <w:b/>
              </w:rPr>
              <w:t>%</w:t>
            </w:r>
          </w:p>
        </w:tc>
        <w:tc>
          <w:tcPr>
            <w:tcW w:w="1262" w:type="dxa"/>
            <w:tcBorders>
              <w:top w:val="nil"/>
              <w:bottom w:val="single" w:sz="2" w:space="0" w:color="auto"/>
            </w:tcBorders>
            <w:shd w:val="clear" w:color="auto" w:fill="A8D08D" w:themeFill="accent6" w:themeFillTint="99"/>
          </w:tcPr>
          <w:p w14:paraId="0A696F6D" w14:textId="77777777" w:rsidR="00B801F4" w:rsidRPr="00B801F4" w:rsidRDefault="00B801F4" w:rsidP="00B801F4">
            <w:pPr>
              <w:tabs>
                <w:tab w:val="left" w:pos="1080"/>
              </w:tabs>
              <w:spacing w:after="80"/>
              <w:jc w:val="right"/>
              <w:rPr>
                <w:b/>
              </w:rPr>
            </w:pPr>
            <w:r w:rsidRPr="00B801F4">
              <w:rPr>
                <w:b/>
              </w:rPr>
              <w:t>£m</w:t>
            </w:r>
          </w:p>
        </w:tc>
        <w:tc>
          <w:tcPr>
            <w:tcW w:w="1257" w:type="dxa"/>
            <w:tcBorders>
              <w:top w:val="nil"/>
              <w:bottom w:val="single" w:sz="2" w:space="0" w:color="auto"/>
            </w:tcBorders>
            <w:shd w:val="clear" w:color="auto" w:fill="A8D08D" w:themeFill="accent6" w:themeFillTint="99"/>
          </w:tcPr>
          <w:p w14:paraId="09E470D5" w14:textId="77777777" w:rsidR="00B801F4" w:rsidRPr="00B801F4" w:rsidRDefault="00B801F4" w:rsidP="00B801F4">
            <w:pPr>
              <w:tabs>
                <w:tab w:val="left" w:pos="1080"/>
              </w:tabs>
              <w:spacing w:after="80"/>
              <w:jc w:val="right"/>
              <w:rPr>
                <w:b/>
              </w:rPr>
            </w:pPr>
            <w:r w:rsidRPr="00B801F4">
              <w:rPr>
                <w:b/>
              </w:rPr>
              <w:t>£m</w:t>
            </w:r>
          </w:p>
        </w:tc>
      </w:tr>
      <w:tr w:rsidR="00B801F4" w:rsidRPr="00B801F4" w14:paraId="6E8BB3D0" w14:textId="77777777" w:rsidTr="00B801F4">
        <w:tc>
          <w:tcPr>
            <w:tcW w:w="4374" w:type="dxa"/>
            <w:tcBorders>
              <w:top w:val="single" w:sz="2" w:space="0" w:color="auto"/>
            </w:tcBorders>
            <w:shd w:val="clear" w:color="auto" w:fill="E2EFD9" w:themeFill="accent6" w:themeFillTint="33"/>
          </w:tcPr>
          <w:p w14:paraId="15787282" w14:textId="77777777" w:rsidR="00B801F4" w:rsidRPr="00B801F4" w:rsidRDefault="00B801F4" w:rsidP="00B801F4">
            <w:pPr>
              <w:tabs>
                <w:tab w:val="left" w:pos="1080"/>
              </w:tabs>
              <w:spacing w:after="80"/>
            </w:pPr>
            <w:r w:rsidRPr="00B801F4">
              <w:t>Investment portfolio assets:</w:t>
            </w:r>
          </w:p>
        </w:tc>
        <w:tc>
          <w:tcPr>
            <w:tcW w:w="1151" w:type="dxa"/>
            <w:tcBorders>
              <w:top w:val="single" w:sz="2" w:space="0" w:color="auto"/>
            </w:tcBorders>
            <w:shd w:val="clear" w:color="auto" w:fill="E2EFD9" w:themeFill="accent6" w:themeFillTint="33"/>
          </w:tcPr>
          <w:p w14:paraId="48CDA823" w14:textId="77777777" w:rsidR="00B801F4" w:rsidRPr="00B801F4" w:rsidRDefault="00B801F4" w:rsidP="00B801F4">
            <w:pPr>
              <w:tabs>
                <w:tab w:val="left" w:pos="1080"/>
              </w:tabs>
              <w:spacing w:after="80"/>
              <w:jc w:val="right"/>
            </w:pPr>
          </w:p>
        </w:tc>
        <w:tc>
          <w:tcPr>
            <w:tcW w:w="1701" w:type="dxa"/>
            <w:tcBorders>
              <w:top w:val="single" w:sz="2" w:space="0" w:color="auto"/>
            </w:tcBorders>
            <w:shd w:val="clear" w:color="auto" w:fill="E2EFD9" w:themeFill="accent6" w:themeFillTint="33"/>
          </w:tcPr>
          <w:p w14:paraId="14B8286D" w14:textId="77777777" w:rsidR="00B801F4" w:rsidRPr="00B801F4" w:rsidRDefault="00B801F4" w:rsidP="00B801F4">
            <w:pPr>
              <w:tabs>
                <w:tab w:val="left" w:pos="1080"/>
              </w:tabs>
              <w:spacing w:after="80"/>
              <w:jc w:val="right"/>
            </w:pPr>
          </w:p>
        </w:tc>
        <w:tc>
          <w:tcPr>
            <w:tcW w:w="1262" w:type="dxa"/>
            <w:tcBorders>
              <w:top w:val="single" w:sz="2" w:space="0" w:color="auto"/>
            </w:tcBorders>
            <w:shd w:val="clear" w:color="auto" w:fill="E2EFD9" w:themeFill="accent6" w:themeFillTint="33"/>
          </w:tcPr>
          <w:p w14:paraId="77F38BAD" w14:textId="77777777" w:rsidR="00B801F4" w:rsidRPr="00B801F4" w:rsidRDefault="00B801F4" w:rsidP="00B801F4">
            <w:pPr>
              <w:tabs>
                <w:tab w:val="left" w:pos="1080"/>
              </w:tabs>
              <w:spacing w:after="80"/>
              <w:jc w:val="right"/>
            </w:pPr>
          </w:p>
        </w:tc>
        <w:tc>
          <w:tcPr>
            <w:tcW w:w="1257" w:type="dxa"/>
            <w:tcBorders>
              <w:top w:val="single" w:sz="2" w:space="0" w:color="auto"/>
            </w:tcBorders>
            <w:shd w:val="clear" w:color="auto" w:fill="E2EFD9" w:themeFill="accent6" w:themeFillTint="33"/>
          </w:tcPr>
          <w:p w14:paraId="554260E2" w14:textId="77777777" w:rsidR="00B801F4" w:rsidRPr="00B801F4" w:rsidRDefault="00B801F4" w:rsidP="00B801F4">
            <w:pPr>
              <w:tabs>
                <w:tab w:val="left" w:pos="1080"/>
              </w:tabs>
              <w:spacing w:after="80"/>
              <w:jc w:val="right"/>
            </w:pPr>
          </w:p>
        </w:tc>
      </w:tr>
      <w:tr w:rsidR="00B801F4" w:rsidRPr="00B801F4" w14:paraId="624E0CD5" w14:textId="77777777" w:rsidTr="00B801F4">
        <w:tc>
          <w:tcPr>
            <w:tcW w:w="4374" w:type="dxa"/>
          </w:tcPr>
          <w:p w14:paraId="007E1A1E" w14:textId="77777777" w:rsidR="00B801F4" w:rsidRPr="00B801F4" w:rsidRDefault="00B801F4" w:rsidP="00B801F4">
            <w:pPr>
              <w:tabs>
                <w:tab w:val="left" w:pos="1080"/>
              </w:tabs>
              <w:spacing w:after="80"/>
            </w:pPr>
            <w:r w:rsidRPr="00B801F4">
              <w:t>Total bonds (including index linked)</w:t>
            </w:r>
          </w:p>
        </w:tc>
        <w:tc>
          <w:tcPr>
            <w:tcW w:w="1151" w:type="dxa"/>
          </w:tcPr>
          <w:p w14:paraId="00BCA594" w14:textId="77777777" w:rsidR="00B801F4" w:rsidRPr="00B801F4" w:rsidRDefault="00B801F4" w:rsidP="00B801F4">
            <w:pPr>
              <w:tabs>
                <w:tab w:val="left" w:pos="1080"/>
              </w:tabs>
              <w:spacing w:after="80"/>
              <w:jc w:val="right"/>
            </w:pPr>
            <w:r w:rsidRPr="00B801F4">
              <w:t>1,968.6</w:t>
            </w:r>
          </w:p>
        </w:tc>
        <w:tc>
          <w:tcPr>
            <w:tcW w:w="1701" w:type="dxa"/>
          </w:tcPr>
          <w:p w14:paraId="6028C67A" w14:textId="77777777" w:rsidR="00B801F4" w:rsidRPr="00B801F4" w:rsidRDefault="00B801F4" w:rsidP="00B801F4">
            <w:pPr>
              <w:tabs>
                <w:tab w:val="left" w:pos="1080"/>
              </w:tabs>
              <w:spacing w:after="80"/>
              <w:jc w:val="right"/>
            </w:pPr>
            <w:r w:rsidRPr="00B801F4">
              <w:t>6.0%</w:t>
            </w:r>
          </w:p>
        </w:tc>
        <w:tc>
          <w:tcPr>
            <w:tcW w:w="1262" w:type="dxa"/>
          </w:tcPr>
          <w:p w14:paraId="17532600" w14:textId="77777777" w:rsidR="00B801F4" w:rsidRPr="00B801F4" w:rsidRDefault="00B801F4" w:rsidP="00B801F4">
            <w:pPr>
              <w:tabs>
                <w:tab w:val="left" w:pos="1080"/>
              </w:tabs>
              <w:spacing w:after="80"/>
              <w:jc w:val="right"/>
            </w:pPr>
            <w:r w:rsidRPr="00B801F4">
              <w:t>2,086.7</w:t>
            </w:r>
          </w:p>
        </w:tc>
        <w:tc>
          <w:tcPr>
            <w:tcW w:w="1257" w:type="dxa"/>
          </w:tcPr>
          <w:p w14:paraId="6BE599E6" w14:textId="77777777" w:rsidR="00B801F4" w:rsidRPr="00B801F4" w:rsidRDefault="00B801F4" w:rsidP="00B801F4">
            <w:pPr>
              <w:tabs>
                <w:tab w:val="left" w:pos="1080"/>
              </w:tabs>
              <w:spacing w:after="80"/>
              <w:jc w:val="right"/>
            </w:pPr>
            <w:r w:rsidRPr="00B801F4">
              <w:t>1,850.5</w:t>
            </w:r>
          </w:p>
        </w:tc>
      </w:tr>
      <w:tr w:rsidR="00B801F4" w:rsidRPr="00B801F4" w14:paraId="63AEA76B" w14:textId="77777777" w:rsidTr="00B801F4">
        <w:tc>
          <w:tcPr>
            <w:tcW w:w="4374" w:type="dxa"/>
          </w:tcPr>
          <w:p w14:paraId="674F2004" w14:textId="77777777" w:rsidR="00B801F4" w:rsidRPr="00B801F4" w:rsidRDefault="00B801F4" w:rsidP="00B801F4">
            <w:pPr>
              <w:tabs>
                <w:tab w:val="left" w:pos="1080"/>
              </w:tabs>
              <w:spacing w:after="80"/>
            </w:pPr>
            <w:r w:rsidRPr="00B801F4">
              <w:t>Total equities</w:t>
            </w:r>
          </w:p>
        </w:tc>
        <w:tc>
          <w:tcPr>
            <w:tcW w:w="1151" w:type="dxa"/>
          </w:tcPr>
          <w:p w14:paraId="618C3515" w14:textId="77777777" w:rsidR="00B801F4" w:rsidRPr="00B801F4" w:rsidRDefault="00B801F4" w:rsidP="00B801F4">
            <w:pPr>
              <w:tabs>
                <w:tab w:val="left" w:pos="1080"/>
              </w:tabs>
              <w:spacing w:after="80"/>
              <w:jc w:val="right"/>
            </w:pPr>
            <w:r w:rsidRPr="00B801F4">
              <w:t>2,871.7</w:t>
            </w:r>
          </w:p>
        </w:tc>
        <w:tc>
          <w:tcPr>
            <w:tcW w:w="1701" w:type="dxa"/>
          </w:tcPr>
          <w:p w14:paraId="5ADD5B97" w14:textId="77777777" w:rsidR="00B801F4" w:rsidRPr="00B801F4" w:rsidRDefault="00B801F4" w:rsidP="00B801F4">
            <w:pPr>
              <w:tabs>
                <w:tab w:val="left" w:pos="1080"/>
              </w:tabs>
              <w:spacing w:after="80"/>
              <w:jc w:val="right"/>
            </w:pPr>
            <w:r w:rsidRPr="00B801F4">
              <w:t>9.6%</w:t>
            </w:r>
          </w:p>
        </w:tc>
        <w:tc>
          <w:tcPr>
            <w:tcW w:w="1262" w:type="dxa"/>
          </w:tcPr>
          <w:p w14:paraId="790F9E72" w14:textId="77777777" w:rsidR="00B801F4" w:rsidRPr="00B801F4" w:rsidRDefault="00B801F4" w:rsidP="00B801F4">
            <w:pPr>
              <w:tabs>
                <w:tab w:val="left" w:pos="1080"/>
              </w:tabs>
              <w:spacing w:after="80"/>
              <w:jc w:val="right"/>
            </w:pPr>
            <w:r w:rsidRPr="00B801F4">
              <w:t>3,147.4</w:t>
            </w:r>
          </w:p>
        </w:tc>
        <w:tc>
          <w:tcPr>
            <w:tcW w:w="1257" w:type="dxa"/>
          </w:tcPr>
          <w:p w14:paraId="673E7F83" w14:textId="77777777" w:rsidR="00B801F4" w:rsidRPr="00B801F4" w:rsidRDefault="00B801F4" w:rsidP="00B801F4">
            <w:pPr>
              <w:tabs>
                <w:tab w:val="left" w:pos="1080"/>
              </w:tabs>
              <w:spacing w:after="80"/>
              <w:jc w:val="right"/>
            </w:pPr>
            <w:r w:rsidRPr="00B801F4">
              <w:t>2,596.0</w:t>
            </w:r>
          </w:p>
        </w:tc>
      </w:tr>
      <w:tr w:rsidR="00B801F4" w:rsidRPr="00B801F4" w14:paraId="717CD364" w14:textId="77777777" w:rsidTr="00B801F4">
        <w:tc>
          <w:tcPr>
            <w:tcW w:w="4374" w:type="dxa"/>
          </w:tcPr>
          <w:p w14:paraId="3E59A41D" w14:textId="77777777" w:rsidR="00B801F4" w:rsidRPr="00B801F4" w:rsidRDefault="00B801F4" w:rsidP="00B801F4">
            <w:pPr>
              <w:tabs>
                <w:tab w:val="left" w:pos="1080"/>
              </w:tabs>
              <w:spacing w:after="80"/>
            </w:pPr>
            <w:r w:rsidRPr="00B801F4">
              <w:t>Alternatives</w:t>
            </w:r>
          </w:p>
        </w:tc>
        <w:tc>
          <w:tcPr>
            <w:tcW w:w="1151" w:type="dxa"/>
          </w:tcPr>
          <w:p w14:paraId="0FF9CA20" w14:textId="77777777" w:rsidR="00B801F4" w:rsidRPr="00B801F4" w:rsidRDefault="00B801F4" w:rsidP="00B801F4">
            <w:pPr>
              <w:tabs>
                <w:tab w:val="left" w:pos="1080"/>
              </w:tabs>
              <w:spacing w:after="80"/>
              <w:jc w:val="right"/>
            </w:pPr>
            <w:r w:rsidRPr="00B801F4">
              <w:t>324.3</w:t>
            </w:r>
          </w:p>
        </w:tc>
        <w:tc>
          <w:tcPr>
            <w:tcW w:w="1701" w:type="dxa"/>
          </w:tcPr>
          <w:p w14:paraId="7CCBDC14" w14:textId="77777777" w:rsidR="00B801F4" w:rsidRPr="00B801F4" w:rsidRDefault="00B801F4" w:rsidP="00B801F4">
            <w:pPr>
              <w:tabs>
                <w:tab w:val="left" w:pos="1080"/>
              </w:tabs>
              <w:spacing w:after="80"/>
              <w:jc w:val="right"/>
            </w:pPr>
            <w:r w:rsidRPr="00B801F4">
              <w:t>9.6%</w:t>
            </w:r>
          </w:p>
        </w:tc>
        <w:tc>
          <w:tcPr>
            <w:tcW w:w="1262" w:type="dxa"/>
          </w:tcPr>
          <w:p w14:paraId="33C6DCC8" w14:textId="77777777" w:rsidR="00B801F4" w:rsidRPr="00B801F4" w:rsidRDefault="00B801F4" w:rsidP="00B801F4">
            <w:pPr>
              <w:tabs>
                <w:tab w:val="left" w:pos="1080"/>
              </w:tabs>
              <w:spacing w:after="80"/>
              <w:jc w:val="right"/>
            </w:pPr>
            <w:r w:rsidRPr="00B801F4">
              <w:t>355.4</w:t>
            </w:r>
          </w:p>
        </w:tc>
        <w:tc>
          <w:tcPr>
            <w:tcW w:w="1257" w:type="dxa"/>
          </w:tcPr>
          <w:p w14:paraId="6F10C5B0" w14:textId="77777777" w:rsidR="00B801F4" w:rsidRPr="00B801F4" w:rsidRDefault="00B801F4" w:rsidP="00B801F4">
            <w:pPr>
              <w:tabs>
                <w:tab w:val="left" w:pos="1080"/>
              </w:tabs>
              <w:spacing w:after="80"/>
              <w:jc w:val="right"/>
            </w:pPr>
            <w:r w:rsidRPr="00B801F4">
              <w:t>293.2</w:t>
            </w:r>
          </w:p>
        </w:tc>
      </w:tr>
      <w:tr w:rsidR="00B801F4" w:rsidRPr="00B801F4" w14:paraId="74E7349F" w14:textId="77777777" w:rsidTr="00B801F4">
        <w:tc>
          <w:tcPr>
            <w:tcW w:w="4374" w:type="dxa"/>
          </w:tcPr>
          <w:p w14:paraId="5CC6973E" w14:textId="77777777" w:rsidR="00B801F4" w:rsidRPr="00B801F4" w:rsidRDefault="00B801F4" w:rsidP="00B801F4">
            <w:pPr>
              <w:tabs>
                <w:tab w:val="left" w:pos="1080"/>
              </w:tabs>
              <w:spacing w:after="80"/>
            </w:pPr>
            <w:r w:rsidRPr="00B801F4">
              <w:t>Total property</w:t>
            </w:r>
          </w:p>
        </w:tc>
        <w:tc>
          <w:tcPr>
            <w:tcW w:w="1151" w:type="dxa"/>
          </w:tcPr>
          <w:p w14:paraId="49A4FF5D" w14:textId="77777777" w:rsidR="00B801F4" w:rsidRPr="00B801F4" w:rsidRDefault="00B801F4" w:rsidP="00B801F4">
            <w:pPr>
              <w:tabs>
                <w:tab w:val="left" w:pos="1080"/>
              </w:tabs>
              <w:spacing w:after="80"/>
              <w:jc w:val="right"/>
            </w:pPr>
            <w:r w:rsidRPr="00B801F4">
              <w:t>574.4</w:t>
            </w:r>
          </w:p>
        </w:tc>
        <w:tc>
          <w:tcPr>
            <w:tcW w:w="1701" w:type="dxa"/>
          </w:tcPr>
          <w:p w14:paraId="59E56475" w14:textId="77777777" w:rsidR="00B801F4" w:rsidRPr="00B801F4" w:rsidRDefault="00B801F4" w:rsidP="00B801F4">
            <w:pPr>
              <w:tabs>
                <w:tab w:val="left" w:pos="1080"/>
              </w:tabs>
              <w:spacing w:after="80"/>
              <w:jc w:val="right"/>
            </w:pPr>
            <w:r w:rsidRPr="00B801F4">
              <w:t>2.1%</w:t>
            </w:r>
          </w:p>
        </w:tc>
        <w:tc>
          <w:tcPr>
            <w:tcW w:w="1262" w:type="dxa"/>
          </w:tcPr>
          <w:p w14:paraId="504BB5E5" w14:textId="77777777" w:rsidR="00B801F4" w:rsidRPr="00B801F4" w:rsidRDefault="00B801F4" w:rsidP="00B801F4">
            <w:pPr>
              <w:tabs>
                <w:tab w:val="left" w:pos="1080"/>
              </w:tabs>
              <w:spacing w:after="80"/>
              <w:jc w:val="right"/>
            </w:pPr>
            <w:r w:rsidRPr="00B801F4">
              <w:t>586.4</w:t>
            </w:r>
          </w:p>
        </w:tc>
        <w:tc>
          <w:tcPr>
            <w:tcW w:w="1257" w:type="dxa"/>
          </w:tcPr>
          <w:p w14:paraId="038DE06C" w14:textId="77777777" w:rsidR="00B801F4" w:rsidRPr="00B801F4" w:rsidRDefault="00B801F4" w:rsidP="00B801F4">
            <w:pPr>
              <w:tabs>
                <w:tab w:val="left" w:pos="1080"/>
              </w:tabs>
              <w:spacing w:after="80"/>
              <w:jc w:val="right"/>
            </w:pPr>
            <w:r w:rsidRPr="00B801F4">
              <w:t>562.3</w:t>
            </w:r>
          </w:p>
        </w:tc>
      </w:tr>
      <w:tr w:rsidR="00B801F4" w:rsidRPr="00B801F4" w14:paraId="572EFDB8" w14:textId="77777777" w:rsidTr="00B801F4">
        <w:tc>
          <w:tcPr>
            <w:tcW w:w="4374" w:type="dxa"/>
            <w:shd w:val="clear" w:color="auto" w:fill="C5E0B3" w:themeFill="accent6" w:themeFillTint="66"/>
          </w:tcPr>
          <w:p w14:paraId="64DAAA1A" w14:textId="77777777" w:rsidR="00B801F4" w:rsidRPr="00B801F4" w:rsidRDefault="00B801F4" w:rsidP="00B801F4">
            <w:pPr>
              <w:tabs>
                <w:tab w:val="left" w:pos="1080"/>
              </w:tabs>
              <w:spacing w:after="80"/>
              <w:rPr>
                <w:b/>
              </w:rPr>
            </w:pPr>
            <w:r w:rsidRPr="00B801F4">
              <w:rPr>
                <w:b/>
              </w:rPr>
              <w:t>Total assets available to pay benefits</w:t>
            </w:r>
          </w:p>
        </w:tc>
        <w:tc>
          <w:tcPr>
            <w:tcW w:w="1151" w:type="dxa"/>
            <w:shd w:val="clear" w:color="auto" w:fill="C5E0B3" w:themeFill="accent6" w:themeFillTint="66"/>
          </w:tcPr>
          <w:p w14:paraId="33BC887B" w14:textId="77777777" w:rsidR="00B801F4" w:rsidRPr="00B801F4" w:rsidRDefault="00B801F4" w:rsidP="00B801F4">
            <w:pPr>
              <w:tabs>
                <w:tab w:val="left" w:pos="1080"/>
              </w:tabs>
              <w:spacing w:after="80"/>
              <w:jc w:val="right"/>
              <w:rPr>
                <w:b/>
              </w:rPr>
            </w:pPr>
            <w:r w:rsidRPr="00B801F4">
              <w:rPr>
                <w:b/>
              </w:rPr>
              <w:t>5,739.0</w:t>
            </w:r>
          </w:p>
        </w:tc>
        <w:tc>
          <w:tcPr>
            <w:tcW w:w="1701" w:type="dxa"/>
            <w:shd w:val="clear" w:color="auto" w:fill="C5E0B3" w:themeFill="accent6" w:themeFillTint="66"/>
          </w:tcPr>
          <w:p w14:paraId="62CC92C6" w14:textId="77777777" w:rsidR="00B801F4" w:rsidRPr="00B801F4" w:rsidRDefault="00B801F4" w:rsidP="00B801F4">
            <w:pPr>
              <w:tabs>
                <w:tab w:val="left" w:pos="1080"/>
              </w:tabs>
              <w:spacing w:after="80"/>
              <w:jc w:val="right"/>
              <w:rPr>
                <w:b/>
              </w:rPr>
            </w:pPr>
          </w:p>
        </w:tc>
        <w:tc>
          <w:tcPr>
            <w:tcW w:w="1262" w:type="dxa"/>
            <w:shd w:val="clear" w:color="auto" w:fill="C5E0B3" w:themeFill="accent6" w:themeFillTint="66"/>
          </w:tcPr>
          <w:p w14:paraId="5D27A9B1" w14:textId="77777777" w:rsidR="00B801F4" w:rsidRPr="00B801F4" w:rsidRDefault="00B801F4" w:rsidP="00B801F4">
            <w:pPr>
              <w:tabs>
                <w:tab w:val="left" w:pos="1080"/>
              </w:tabs>
              <w:spacing w:after="80"/>
              <w:jc w:val="right"/>
              <w:rPr>
                <w:b/>
              </w:rPr>
            </w:pPr>
            <w:r w:rsidRPr="00B801F4">
              <w:rPr>
                <w:b/>
              </w:rPr>
              <w:t>6,175.9</w:t>
            </w:r>
          </w:p>
        </w:tc>
        <w:tc>
          <w:tcPr>
            <w:tcW w:w="1257" w:type="dxa"/>
            <w:shd w:val="clear" w:color="auto" w:fill="C5E0B3" w:themeFill="accent6" w:themeFillTint="66"/>
          </w:tcPr>
          <w:p w14:paraId="55A5DD7E" w14:textId="77777777" w:rsidR="00B801F4" w:rsidRPr="00B801F4" w:rsidRDefault="00B801F4" w:rsidP="00B801F4">
            <w:pPr>
              <w:tabs>
                <w:tab w:val="left" w:pos="1080"/>
              </w:tabs>
              <w:spacing w:after="80"/>
              <w:jc w:val="right"/>
              <w:rPr>
                <w:b/>
              </w:rPr>
            </w:pPr>
            <w:r w:rsidRPr="00B801F4">
              <w:rPr>
                <w:b/>
              </w:rPr>
              <w:t>5,302.0</w:t>
            </w:r>
          </w:p>
        </w:tc>
      </w:tr>
    </w:tbl>
    <w:p w14:paraId="40C8589B" w14:textId="77777777" w:rsidR="00B801F4" w:rsidRPr="00B801F4" w:rsidRDefault="00B801F4" w:rsidP="00B801F4">
      <w:pPr>
        <w:tabs>
          <w:tab w:val="left" w:pos="1080"/>
        </w:tabs>
        <w:spacing w:after="80"/>
        <w:ind w:left="709"/>
      </w:pPr>
    </w:p>
    <w:tbl>
      <w:tblPr>
        <w:tblStyle w:val="TableGrid1"/>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1275"/>
        <w:gridCol w:w="1701"/>
        <w:gridCol w:w="1262"/>
        <w:gridCol w:w="1257"/>
      </w:tblGrid>
      <w:tr w:rsidR="00B801F4" w:rsidRPr="00B801F4" w14:paraId="7D1B9C19" w14:textId="77777777" w:rsidTr="00B801F4">
        <w:tc>
          <w:tcPr>
            <w:tcW w:w="4250" w:type="dxa"/>
            <w:tcBorders>
              <w:top w:val="single" w:sz="2" w:space="0" w:color="auto"/>
              <w:bottom w:val="nil"/>
            </w:tcBorders>
            <w:shd w:val="clear" w:color="auto" w:fill="A8D08D" w:themeFill="accent6" w:themeFillTint="99"/>
          </w:tcPr>
          <w:p w14:paraId="60FC0733" w14:textId="77777777" w:rsidR="00B801F4" w:rsidRPr="00B801F4" w:rsidRDefault="00B801F4" w:rsidP="00B801F4">
            <w:pPr>
              <w:tabs>
                <w:tab w:val="left" w:pos="1080"/>
              </w:tabs>
              <w:spacing w:after="80"/>
              <w:rPr>
                <w:b/>
              </w:rPr>
            </w:pPr>
            <w:r w:rsidRPr="00B801F4">
              <w:rPr>
                <w:b/>
              </w:rPr>
              <w:t>Asset type</w:t>
            </w:r>
          </w:p>
        </w:tc>
        <w:tc>
          <w:tcPr>
            <w:tcW w:w="1275" w:type="dxa"/>
            <w:tcBorders>
              <w:top w:val="single" w:sz="2" w:space="0" w:color="auto"/>
              <w:bottom w:val="nil"/>
            </w:tcBorders>
            <w:shd w:val="clear" w:color="auto" w:fill="A8D08D" w:themeFill="accent6" w:themeFillTint="99"/>
          </w:tcPr>
          <w:p w14:paraId="3FAD2803" w14:textId="77777777" w:rsidR="00B801F4" w:rsidRPr="00B801F4" w:rsidRDefault="00B801F4" w:rsidP="00B801F4">
            <w:pPr>
              <w:tabs>
                <w:tab w:val="left" w:pos="1080"/>
              </w:tabs>
              <w:spacing w:after="80"/>
              <w:jc w:val="right"/>
              <w:rPr>
                <w:b/>
              </w:rPr>
            </w:pPr>
            <w:r w:rsidRPr="00B801F4">
              <w:rPr>
                <w:b/>
              </w:rPr>
              <w:t>31/03/14</w:t>
            </w:r>
          </w:p>
        </w:tc>
        <w:tc>
          <w:tcPr>
            <w:tcW w:w="1701" w:type="dxa"/>
            <w:tcBorders>
              <w:top w:val="single" w:sz="2" w:space="0" w:color="auto"/>
              <w:bottom w:val="nil"/>
            </w:tcBorders>
            <w:shd w:val="clear" w:color="auto" w:fill="A8D08D" w:themeFill="accent6" w:themeFillTint="99"/>
          </w:tcPr>
          <w:p w14:paraId="70E4D7EC" w14:textId="77777777" w:rsidR="00B801F4" w:rsidRPr="00B801F4" w:rsidRDefault="00B801F4" w:rsidP="00B801F4">
            <w:pPr>
              <w:tabs>
                <w:tab w:val="left" w:pos="1080"/>
              </w:tabs>
              <w:spacing w:after="80"/>
              <w:jc w:val="right"/>
              <w:rPr>
                <w:b/>
              </w:rPr>
            </w:pPr>
            <w:r w:rsidRPr="00B801F4">
              <w:rPr>
                <w:b/>
              </w:rPr>
              <w:t>Percentage change</w:t>
            </w:r>
          </w:p>
        </w:tc>
        <w:tc>
          <w:tcPr>
            <w:tcW w:w="1262" w:type="dxa"/>
            <w:tcBorders>
              <w:top w:val="single" w:sz="2" w:space="0" w:color="auto"/>
              <w:bottom w:val="nil"/>
            </w:tcBorders>
            <w:shd w:val="clear" w:color="auto" w:fill="A8D08D" w:themeFill="accent6" w:themeFillTint="99"/>
          </w:tcPr>
          <w:p w14:paraId="163C7AF6" w14:textId="77777777" w:rsidR="00B801F4" w:rsidRPr="00B801F4" w:rsidRDefault="00B801F4" w:rsidP="00B801F4">
            <w:pPr>
              <w:tabs>
                <w:tab w:val="left" w:pos="1080"/>
              </w:tabs>
              <w:spacing w:after="80"/>
              <w:jc w:val="right"/>
              <w:rPr>
                <w:b/>
              </w:rPr>
            </w:pPr>
            <w:r w:rsidRPr="00B801F4">
              <w:rPr>
                <w:b/>
              </w:rPr>
              <w:t>Value on increase</w:t>
            </w:r>
          </w:p>
        </w:tc>
        <w:tc>
          <w:tcPr>
            <w:tcW w:w="1257" w:type="dxa"/>
            <w:tcBorders>
              <w:top w:val="single" w:sz="2" w:space="0" w:color="auto"/>
              <w:bottom w:val="nil"/>
            </w:tcBorders>
            <w:shd w:val="clear" w:color="auto" w:fill="A8D08D" w:themeFill="accent6" w:themeFillTint="99"/>
          </w:tcPr>
          <w:p w14:paraId="2945FD85" w14:textId="77777777" w:rsidR="00B801F4" w:rsidRPr="00B801F4" w:rsidRDefault="00B801F4" w:rsidP="00B801F4">
            <w:pPr>
              <w:tabs>
                <w:tab w:val="left" w:pos="1080"/>
              </w:tabs>
              <w:spacing w:after="80"/>
              <w:jc w:val="right"/>
              <w:rPr>
                <w:b/>
              </w:rPr>
            </w:pPr>
            <w:r w:rsidRPr="00B801F4">
              <w:rPr>
                <w:b/>
              </w:rPr>
              <w:t>Value on decrease</w:t>
            </w:r>
          </w:p>
        </w:tc>
      </w:tr>
      <w:tr w:rsidR="00B801F4" w:rsidRPr="00B801F4" w14:paraId="3A19C11E" w14:textId="77777777" w:rsidTr="00B801F4">
        <w:tc>
          <w:tcPr>
            <w:tcW w:w="4250" w:type="dxa"/>
            <w:tcBorders>
              <w:top w:val="nil"/>
              <w:bottom w:val="single" w:sz="2" w:space="0" w:color="auto"/>
            </w:tcBorders>
            <w:shd w:val="clear" w:color="auto" w:fill="A8D08D" w:themeFill="accent6" w:themeFillTint="99"/>
          </w:tcPr>
          <w:p w14:paraId="2740618C" w14:textId="77777777" w:rsidR="00B801F4" w:rsidRPr="00B801F4" w:rsidRDefault="00B801F4" w:rsidP="00B801F4">
            <w:pPr>
              <w:tabs>
                <w:tab w:val="left" w:pos="1080"/>
              </w:tabs>
              <w:spacing w:after="80"/>
              <w:rPr>
                <w:b/>
              </w:rPr>
            </w:pPr>
          </w:p>
        </w:tc>
        <w:tc>
          <w:tcPr>
            <w:tcW w:w="1275" w:type="dxa"/>
            <w:tcBorders>
              <w:top w:val="nil"/>
              <w:bottom w:val="single" w:sz="2" w:space="0" w:color="auto"/>
            </w:tcBorders>
            <w:shd w:val="clear" w:color="auto" w:fill="A8D08D" w:themeFill="accent6" w:themeFillTint="99"/>
          </w:tcPr>
          <w:p w14:paraId="6BEAF214" w14:textId="77777777" w:rsidR="00B801F4" w:rsidRPr="00B801F4" w:rsidRDefault="00B801F4" w:rsidP="00B801F4">
            <w:pPr>
              <w:tabs>
                <w:tab w:val="left" w:pos="1080"/>
              </w:tabs>
              <w:spacing w:after="80"/>
              <w:jc w:val="right"/>
              <w:rPr>
                <w:b/>
              </w:rPr>
            </w:pPr>
            <w:r w:rsidRPr="00B801F4">
              <w:rPr>
                <w:b/>
              </w:rPr>
              <w:t>£m</w:t>
            </w:r>
          </w:p>
        </w:tc>
        <w:tc>
          <w:tcPr>
            <w:tcW w:w="1701" w:type="dxa"/>
            <w:tcBorders>
              <w:top w:val="nil"/>
              <w:bottom w:val="single" w:sz="2" w:space="0" w:color="auto"/>
            </w:tcBorders>
            <w:shd w:val="clear" w:color="auto" w:fill="A8D08D" w:themeFill="accent6" w:themeFillTint="99"/>
          </w:tcPr>
          <w:p w14:paraId="2F55C847" w14:textId="77777777" w:rsidR="00B801F4" w:rsidRPr="00B801F4" w:rsidRDefault="00B801F4" w:rsidP="00B801F4">
            <w:pPr>
              <w:tabs>
                <w:tab w:val="left" w:pos="1080"/>
              </w:tabs>
              <w:spacing w:after="80"/>
              <w:jc w:val="right"/>
              <w:rPr>
                <w:b/>
              </w:rPr>
            </w:pPr>
            <w:r w:rsidRPr="00B801F4">
              <w:rPr>
                <w:b/>
              </w:rPr>
              <w:t>%</w:t>
            </w:r>
          </w:p>
        </w:tc>
        <w:tc>
          <w:tcPr>
            <w:tcW w:w="1262" w:type="dxa"/>
            <w:tcBorders>
              <w:top w:val="nil"/>
              <w:bottom w:val="single" w:sz="2" w:space="0" w:color="auto"/>
            </w:tcBorders>
            <w:shd w:val="clear" w:color="auto" w:fill="A8D08D" w:themeFill="accent6" w:themeFillTint="99"/>
          </w:tcPr>
          <w:p w14:paraId="08F10B90" w14:textId="77777777" w:rsidR="00B801F4" w:rsidRPr="00B801F4" w:rsidRDefault="00B801F4" w:rsidP="00B801F4">
            <w:pPr>
              <w:tabs>
                <w:tab w:val="left" w:pos="1080"/>
              </w:tabs>
              <w:spacing w:after="80"/>
              <w:jc w:val="right"/>
              <w:rPr>
                <w:b/>
              </w:rPr>
            </w:pPr>
            <w:r w:rsidRPr="00B801F4">
              <w:rPr>
                <w:b/>
              </w:rPr>
              <w:t>£m</w:t>
            </w:r>
          </w:p>
        </w:tc>
        <w:tc>
          <w:tcPr>
            <w:tcW w:w="1257" w:type="dxa"/>
            <w:tcBorders>
              <w:top w:val="nil"/>
              <w:bottom w:val="single" w:sz="2" w:space="0" w:color="auto"/>
            </w:tcBorders>
            <w:shd w:val="clear" w:color="auto" w:fill="A8D08D" w:themeFill="accent6" w:themeFillTint="99"/>
          </w:tcPr>
          <w:p w14:paraId="22553688" w14:textId="77777777" w:rsidR="00B801F4" w:rsidRPr="00B801F4" w:rsidRDefault="00B801F4" w:rsidP="00B801F4">
            <w:pPr>
              <w:tabs>
                <w:tab w:val="left" w:pos="1080"/>
              </w:tabs>
              <w:spacing w:after="80"/>
              <w:jc w:val="right"/>
              <w:rPr>
                <w:b/>
              </w:rPr>
            </w:pPr>
            <w:r w:rsidRPr="00B801F4">
              <w:rPr>
                <w:b/>
              </w:rPr>
              <w:t>£m</w:t>
            </w:r>
          </w:p>
        </w:tc>
      </w:tr>
      <w:tr w:rsidR="00B801F4" w:rsidRPr="00B801F4" w14:paraId="1A7DBDAA" w14:textId="77777777" w:rsidTr="00B801F4">
        <w:tc>
          <w:tcPr>
            <w:tcW w:w="4250" w:type="dxa"/>
            <w:tcBorders>
              <w:top w:val="single" w:sz="2" w:space="0" w:color="auto"/>
            </w:tcBorders>
            <w:shd w:val="clear" w:color="auto" w:fill="E2EFD9" w:themeFill="accent6" w:themeFillTint="33"/>
          </w:tcPr>
          <w:p w14:paraId="09128135" w14:textId="77777777" w:rsidR="00B801F4" w:rsidRPr="00B801F4" w:rsidRDefault="00B801F4" w:rsidP="00B801F4">
            <w:pPr>
              <w:tabs>
                <w:tab w:val="left" w:pos="1080"/>
              </w:tabs>
              <w:spacing w:after="80"/>
            </w:pPr>
            <w:r w:rsidRPr="00B801F4">
              <w:t>Investment portfolio assets:</w:t>
            </w:r>
          </w:p>
        </w:tc>
        <w:tc>
          <w:tcPr>
            <w:tcW w:w="1275" w:type="dxa"/>
            <w:tcBorders>
              <w:top w:val="single" w:sz="2" w:space="0" w:color="auto"/>
            </w:tcBorders>
            <w:shd w:val="clear" w:color="auto" w:fill="E2EFD9" w:themeFill="accent6" w:themeFillTint="33"/>
          </w:tcPr>
          <w:p w14:paraId="25F3718C" w14:textId="77777777" w:rsidR="00B801F4" w:rsidRPr="00B801F4" w:rsidRDefault="00B801F4" w:rsidP="00B801F4">
            <w:pPr>
              <w:tabs>
                <w:tab w:val="left" w:pos="1080"/>
              </w:tabs>
              <w:spacing w:after="80"/>
              <w:jc w:val="right"/>
            </w:pPr>
          </w:p>
        </w:tc>
        <w:tc>
          <w:tcPr>
            <w:tcW w:w="1701" w:type="dxa"/>
            <w:tcBorders>
              <w:top w:val="single" w:sz="2" w:space="0" w:color="auto"/>
            </w:tcBorders>
            <w:shd w:val="clear" w:color="auto" w:fill="E2EFD9" w:themeFill="accent6" w:themeFillTint="33"/>
          </w:tcPr>
          <w:p w14:paraId="0757D08B" w14:textId="77777777" w:rsidR="00B801F4" w:rsidRPr="00B801F4" w:rsidRDefault="00B801F4" w:rsidP="00B801F4">
            <w:pPr>
              <w:tabs>
                <w:tab w:val="left" w:pos="1080"/>
              </w:tabs>
              <w:spacing w:after="80"/>
              <w:jc w:val="right"/>
            </w:pPr>
          </w:p>
        </w:tc>
        <w:tc>
          <w:tcPr>
            <w:tcW w:w="1262" w:type="dxa"/>
            <w:tcBorders>
              <w:top w:val="single" w:sz="2" w:space="0" w:color="auto"/>
            </w:tcBorders>
            <w:shd w:val="clear" w:color="auto" w:fill="E2EFD9" w:themeFill="accent6" w:themeFillTint="33"/>
          </w:tcPr>
          <w:p w14:paraId="4EE81F50" w14:textId="77777777" w:rsidR="00B801F4" w:rsidRPr="00B801F4" w:rsidRDefault="00B801F4" w:rsidP="00B801F4">
            <w:pPr>
              <w:tabs>
                <w:tab w:val="left" w:pos="1080"/>
              </w:tabs>
              <w:spacing w:after="80"/>
              <w:jc w:val="right"/>
            </w:pPr>
          </w:p>
        </w:tc>
        <w:tc>
          <w:tcPr>
            <w:tcW w:w="1257" w:type="dxa"/>
            <w:tcBorders>
              <w:top w:val="single" w:sz="2" w:space="0" w:color="auto"/>
            </w:tcBorders>
            <w:shd w:val="clear" w:color="auto" w:fill="E2EFD9" w:themeFill="accent6" w:themeFillTint="33"/>
          </w:tcPr>
          <w:p w14:paraId="3A063075" w14:textId="77777777" w:rsidR="00B801F4" w:rsidRPr="00B801F4" w:rsidRDefault="00B801F4" w:rsidP="00B801F4">
            <w:pPr>
              <w:tabs>
                <w:tab w:val="left" w:pos="1080"/>
              </w:tabs>
              <w:spacing w:after="80"/>
              <w:jc w:val="right"/>
            </w:pPr>
          </w:p>
        </w:tc>
      </w:tr>
      <w:tr w:rsidR="00B801F4" w:rsidRPr="00B801F4" w14:paraId="325CE85C" w14:textId="77777777" w:rsidTr="00B801F4">
        <w:tc>
          <w:tcPr>
            <w:tcW w:w="4250" w:type="dxa"/>
          </w:tcPr>
          <w:p w14:paraId="64E1EF55" w14:textId="77777777" w:rsidR="00B801F4" w:rsidRPr="00B801F4" w:rsidRDefault="00B801F4" w:rsidP="00B801F4">
            <w:pPr>
              <w:tabs>
                <w:tab w:val="left" w:pos="1080"/>
              </w:tabs>
              <w:spacing w:after="80"/>
            </w:pPr>
            <w:r w:rsidRPr="00B801F4">
              <w:t>Total bonds (including index linked)</w:t>
            </w:r>
          </w:p>
        </w:tc>
        <w:tc>
          <w:tcPr>
            <w:tcW w:w="1275" w:type="dxa"/>
          </w:tcPr>
          <w:p w14:paraId="4AA78225" w14:textId="77777777" w:rsidR="00B801F4" w:rsidRPr="00B801F4" w:rsidRDefault="00B801F4" w:rsidP="00B801F4">
            <w:pPr>
              <w:tabs>
                <w:tab w:val="left" w:pos="1080"/>
              </w:tabs>
              <w:spacing w:after="80"/>
              <w:jc w:val="right"/>
            </w:pPr>
            <w:r w:rsidRPr="00B801F4">
              <w:t>1,250.3</w:t>
            </w:r>
          </w:p>
        </w:tc>
        <w:tc>
          <w:tcPr>
            <w:tcW w:w="1701" w:type="dxa"/>
          </w:tcPr>
          <w:p w14:paraId="17389F5C" w14:textId="77777777" w:rsidR="00B801F4" w:rsidRPr="00B801F4" w:rsidRDefault="00B801F4" w:rsidP="00B801F4">
            <w:pPr>
              <w:tabs>
                <w:tab w:val="left" w:pos="1080"/>
              </w:tabs>
              <w:spacing w:after="80"/>
              <w:jc w:val="right"/>
            </w:pPr>
            <w:r w:rsidRPr="00B801F4">
              <w:t>4.8%</w:t>
            </w:r>
          </w:p>
        </w:tc>
        <w:tc>
          <w:tcPr>
            <w:tcW w:w="1262" w:type="dxa"/>
          </w:tcPr>
          <w:p w14:paraId="72463EB2" w14:textId="77777777" w:rsidR="00B801F4" w:rsidRPr="00B801F4" w:rsidRDefault="00B801F4" w:rsidP="00B801F4">
            <w:pPr>
              <w:tabs>
                <w:tab w:val="left" w:pos="1080"/>
              </w:tabs>
              <w:spacing w:after="80"/>
              <w:jc w:val="right"/>
            </w:pPr>
            <w:r w:rsidRPr="00B801F4">
              <w:t>1,310.3</w:t>
            </w:r>
          </w:p>
        </w:tc>
        <w:tc>
          <w:tcPr>
            <w:tcW w:w="1257" w:type="dxa"/>
          </w:tcPr>
          <w:p w14:paraId="0BE02E4D" w14:textId="77777777" w:rsidR="00B801F4" w:rsidRPr="00B801F4" w:rsidRDefault="00B801F4" w:rsidP="00B801F4">
            <w:pPr>
              <w:tabs>
                <w:tab w:val="left" w:pos="1080"/>
              </w:tabs>
              <w:spacing w:after="80"/>
              <w:jc w:val="right"/>
            </w:pPr>
            <w:r w:rsidRPr="00B801F4">
              <w:t>1,190.3</w:t>
            </w:r>
          </w:p>
        </w:tc>
      </w:tr>
      <w:tr w:rsidR="00B801F4" w:rsidRPr="00B801F4" w14:paraId="1374279F" w14:textId="77777777" w:rsidTr="00B801F4">
        <w:tc>
          <w:tcPr>
            <w:tcW w:w="4250" w:type="dxa"/>
          </w:tcPr>
          <w:p w14:paraId="314AE797" w14:textId="77777777" w:rsidR="00B801F4" w:rsidRPr="00B801F4" w:rsidRDefault="00B801F4" w:rsidP="00B801F4">
            <w:pPr>
              <w:tabs>
                <w:tab w:val="left" w:pos="1080"/>
              </w:tabs>
              <w:spacing w:after="80"/>
            </w:pPr>
            <w:r w:rsidRPr="00B801F4">
              <w:t>Total equities</w:t>
            </w:r>
          </w:p>
        </w:tc>
        <w:tc>
          <w:tcPr>
            <w:tcW w:w="1275" w:type="dxa"/>
          </w:tcPr>
          <w:p w14:paraId="21A3615A" w14:textId="77777777" w:rsidR="00B801F4" w:rsidRPr="00B801F4" w:rsidRDefault="00B801F4" w:rsidP="00B801F4">
            <w:pPr>
              <w:tabs>
                <w:tab w:val="left" w:pos="1080"/>
              </w:tabs>
              <w:spacing w:after="80"/>
              <w:jc w:val="right"/>
            </w:pPr>
            <w:r w:rsidRPr="00B801F4">
              <w:t>2,826.5</w:t>
            </w:r>
          </w:p>
        </w:tc>
        <w:tc>
          <w:tcPr>
            <w:tcW w:w="1701" w:type="dxa"/>
          </w:tcPr>
          <w:p w14:paraId="13DA76D7" w14:textId="77777777" w:rsidR="00B801F4" w:rsidRPr="00B801F4" w:rsidRDefault="00B801F4" w:rsidP="00B801F4">
            <w:pPr>
              <w:tabs>
                <w:tab w:val="left" w:pos="1080"/>
              </w:tabs>
              <w:spacing w:after="80"/>
              <w:jc w:val="right"/>
            </w:pPr>
            <w:r w:rsidRPr="00B801F4">
              <w:t>11.9%</w:t>
            </w:r>
          </w:p>
        </w:tc>
        <w:tc>
          <w:tcPr>
            <w:tcW w:w="1262" w:type="dxa"/>
          </w:tcPr>
          <w:p w14:paraId="3F0DD1F9" w14:textId="77777777" w:rsidR="00B801F4" w:rsidRPr="00B801F4" w:rsidRDefault="00B801F4" w:rsidP="00B801F4">
            <w:pPr>
              <w:tabs>
                <w:tab w:val="left" w:pos="1080"/>
              </w:tabs>
              <w:spacing w:after="80"/>
              <w:jc w:val="right"/>
            </w:pPr>
            <w:r w:rsidRPr="00B801F4">
              <w:t>3,162.8</w:t>
            </w:r>
          </w:p>
        </w:tc>
        <w:tc>
          <w:tcPr>
            <w:tcW w:w="1257" w:type="dxa"/>
          </w:tcPr>
          <w:p w14:paraId="103D1C52" w14:textId="77777777" w:rsidR="00B801F4" w:rsidRPr="00B801F4" w:rsidRDefault="00B801F4" w:rsidP="00B801F4">
            <w:pPr>
              <w:tabs>
                <w:tab w:val="left" w:pos="1080"/>
              </w:tabs>
              <w:spacing w:after="80"/>
              <w:jc w:val="right"/>
            </w:pPr>
            <w:r w:rsidRPr="00B801F4">
              <w:t>2,490.1</w:t>
            </w:r>
          </w:p>
        </w:tc>
      </w:tr>
      <w:tr w:rsidR="00B801F4" w:rsidRPr="00B801F4" w14:paraId="03B044CA" w14:textId="77777777" w:rsidTr="00B801F4">
        <w:tc>
          <w:tcPr>
            <w:tcW w:w="4250" w:type="dxa"/>
          </w:tcPr>
          <w:p w14:paraId="6A20AA38" w14:textId="77777777" w:rsidR="00B801F4" w:rsidRPr="00B801F4" w:rsidRDefault="00B801F4" w:rsidP="00B801F4">
            <w:pPr>
              <w:tabs>
                <w:tab w:val="left" w:pos="1080"/>
              </w:tabs>
              <w:spacing w:after="80"/>
            </w:pPr>
            <w:r w:rsidRPr="00B801F4">
              <w:t>Alternatives</w:t>
            </w:r>
          </w:p>
        </w:tc>
        <w:tc>
          <w:tcPr>
            <w:tcW w:w="1275" w:type="dxa"/>
          </w:tcPr>
          <w:p w14:paraId="022F0DAD" w14:textId="77777777" w:rsidR="00B801F4" w:rsidRPr="00B801F4" w:rsidRDefault="00B801F4" w:rsidP="00B801F4">
            <w:pPr>
              <w:tabs>
                <w:tab w:val="left" w:pos="1080"/>
              </w:tabs>
              <w:spacing w:after="80"/>
              <w:jc w:val="right"/>
            </w:pPr>
            <w:r w:rsidRPr="00B801F4">
              <w:t>291.2</w:t>
            </w:r>
          </w:p>
        </w:tc>
        <w:tc>
          <w:tcPr>
            <w:tcW w:w="1701" w:type="dxa"/>
          </w:tcPr>
          <w:p w14:paraId="622C4577" w14:textId="77777777" w:rsidR="00B801F4" w:rsidRPr="00B801F4" w:rsidRDefault="00B801F4" w:rsidP="00B801F4">
            <w:pPr>
              <w:tabs>
                <w:tab w:val="left" w:pos="1080"/>
              </w:tabs>
              <w:spacing w:after="80"/>
              <w:jc w:val="right"/>
            </w:pPr>
            <w:r w:rsidRPr="00B801F4">
              <w:t>3.8%</w:t>
            </w:r>
          </w:p>
        </w:tc>
        <w:tc>
          <w:tcPr>
            <w:tcW w:w="1262" w:type="dxa"/>
          </w:tcPr>
          <w:p w14:paraId="5771D919" w14:textId="77777777" w:rsidR="00B801F4" w:rsidRPr="00B801F4" w:rsidRDefault="00B801F4" w:rsidP="00B801F4">
            <w:pPr>
              <w:tabs>
                <w:tab w:val="left" w:pos="1080"/>
              </w:tabs>
              <w:spacing w:after="80"/>
              <w:jc w:val="right"/>
            </w:pPr>
            <w:r w:rsidRPr="00B801F4">
              <w:t>302.3</w:t>
            </w:r>
          </w:p>
        </w:tc>
        <w:tc>
          <w:tcPr>
            <w:tcW w:w="1257" w:type="dxa"/>
          </w:tcPr>
          <w:p w14:paraId="45A27005" w14:textId="77777777" w:rsidR="00B801F4" w:rsidRPr="00B801F4" w:rsidRDefault="00B801F4" w:rsidP="00B801F4">
            <w:pPr>
              <w:tabs>
                <w:tab w:val="left" w:pos="1080"/>
              </w:tabs>
              <w:spacing w:after="80"/>
              <w:jc w:val="right"/>
            </w:pPr>
            <w:r w:rsidRPr="00B801F4">
              <w:t>280.1</w:t>
            </w:r>
          </w:p>
        </w:tc>
      </w:tr>
      <w:tr w:rsidR="00B801F4" w:rsidRPr="00B801F4" w14:paraId="27E5EF9D" w14:textId="77777777" w:rsidTr="00B801F4">
        <w:tc>
          <w:tcPr>
            <w:tcW w:w="4250" w:type="dxa"/>
          </w:tcPr>
          <w:p w14:paraId="1C4BAC1D" w14:textId="77777777" w:rsidR="00B801F4" w:rsidRPr="00B801F4" w:rsidRDefault="00B801F4" w:rsidP="00B801F4">
            <w:pPr>
              <w:tabs>
                <w:tab w:val="left" w:pos="1080"/>
              </w:tabs>
              <w:spacing w:after="80"/>
            </w:pPr>
            <w:r w:rsidRPr="00B801F4">
              <w:t>Total property</w:t>
            </w:r>
          </w:p>
        </w:tc>
        <w:tc>
          <w:tcPr>
            <w:tcW w:w="1275" w:type="dxa"/>
          </w:tcPr>
          <w:p w14:paraId="1E1686E4" w14:textId="77777777" w:rsidR="00B801F4" w:rsidRPr="00B801F4" w:rsidRDefault="00B801F4" w:rsidP="00B801F4">
            <w:pPr>
              <w:tabs>
                <w:tab w:val="left" w:pos="1080"/>
              </w:tabs>
              <w:spacing w:after="80"/>
              <w:jc w:val="right"/>
            </w:pPr>
            <w:r w:rsidRPr="00B801F4">
              <w:t>475.5</w:t>
            </w:r>
          </w:p>
        </w:tc>
        <w:tc>
          <w:tcPr>
            <w:tcW w:w="1701" w:type="dxa"/>
          </w:tcPr>
          <w:p w14:paraId="61418EB3" w14:textId="77777777" w:rsidR="00B801F4" w:rsidRPr="00B801F4" w:rsidRDefault="00B801F4" w:rsidP="00B801F4">
            <w:pPr>
              <w:tabs>
                <w:tab w:val="left" w:pos="1080"/>
              </w:tabs>
              <w:spacing w:after="80"/>
              <w:jc w:val="right"/>
            </w:pPr>
            <w:r w:rsidRPr="00B801F4">
              <w:t>2.7%</w:t>
            </w:r>
          </w:p>
        </w:tc>
        <w:tc>
          <w:tcPr>
            <w:tcW w:w="1262" w:type="dxa"/>
          </w:tcPr>
          <w:p w14:paraId="2B0C59DF" w14:textId="77777777" w:rsidR="00B801F4" w:rsidRPr="00B801F4" w:rsidRDefault="00B801F4" w:rsidP="00B801F4">
            <w:pPr>
              <w:tabs>
                <w:tab w:val="left" w:pos="1080"/>
              </w:tabs>
              <w:spacing w:after="80"/>
              <w:jc w:val="right"/>
            </w:pPr>
            <w:r w:rsidRPr="00B801F4">
              <w:t>488.3</w:t>
            </w:r>
          </w:p>
        </w:tc>
        <w:tc>
          <w:tcPr>
            <w:tcW w:w="1257" w:type="dxa"/>
          </w:tcPr>
          <w:p w14:paraId="13E0889F" w14:textId="77777777" w:rsidR="00B801F4" w:rsidRPr="00B801F4" w:rsidRDefault="00B801F4" w:rsidP="00B801F4">
            <w:pPr>
              <w:tabs>
                <w:tab w:val="left" w:pos="1080"/>
              </w:tabs>
              <w:spacing w:after="80"/>
              <w:jc w:val="right"/>
            </w:pPr>
            <w:r w:rsidRPr="00B801F4">
              <w:t>462.7</w:t>
            </w:r>
          </w:p>
        </w:tc>
      </w:tr>
      <w:tr w:rsidR="00B801F4" w:rsidRPr="00B801F4" w14:paraId="31C1B5FA" w14:textId="77777777" w:rsidTr="00B801F4">
        <w:tc>
          <w:tcPr>
            <w:tcW w:w="4250" w:type="dxa"/>
            <w:shd w:val="clear" w:color="auto" w:fill="C5E0B3" w:themeFill="accent6" w:themeFillTint="66"/>
          </w:tcPr>
          <w:p w14:paraId="3B262830" w14:textId="77777777" w:rsidR="00B801F4" w:rsidRPr="00B801F4" w:rsidRDefault="00B801F4" w:rsidP="00B801F4">
            <w:pPr>
              <w:tabs>
                <w:tab w:val="left" w:pos="1080"/>
              </w:tabs>
              <w:spacing w:after="80"/>
              <w:rPr>
                <w:b/>
              </w:rPr>
            </w:pPr>
            <w:r w:rsidRPr="00B801F4">
              <w:rPr>
                <w:b/>
              </w:rPr>
              <w:t>Total assets available to pay benefits</w:t>
            </w:r>
          </w:p>
        </w:tc>
        <w:tc>
          <w:tcPr>
            <w:tcW w:w="1275" w:type="dxa"/>
            <w:shd w:val="clear" w:color="auto" w:fill="C5E0B3" w:themeFill="accent6" w:themeFillTint="66"/>
          </w:tcPr>
          <w:p w14:paraId="41E07E39" w14:textId="77777777" w:rsidR="00B801F4" w:rsidRPr="00B801F4" w:rsidRDefault="00B801F4" w:rsidP="00B801F4">
            <w:pPr>
              <w:tabs>
                <w:tab w:val="left" w:pos="1080"/>
              </w:tabs>
              <w:spacing w:after="80"/>
              <w:jc w:val="right"/>
              <w:rPr>
                <w:b/>
              </w:rPr>
            </w:pPr>
            <w:r w:rsidRPr="00B801F4">
              <w:rPr>
                <w:b/>
              </w:rPr>
              <w:t>4,843.5</w:t>
            </w:r>
          </w:p>
        </w:tc>
        <w:tc>
          <w:tcPr>
            <w:tcW w:w="1701" w:type="dxa"/>
            <w:shd w:val="clear" w:color="auto" w:fill="C5E0B3" w:themeFill="accent6" w:themeFillTint="66"/>
          </w:tcPr>
          <w:p w14:paraId="5C5720CE" w14:textId="77777777" w:rsidR="00B801F4" w:rsidRPr="00B801F4" w:rsidRDefault="00B801F4" w:rsidP="00B801F4">
            <w:pPr>
              <w:tabs>
                <w:tab w:val="left" w:pos="1080"/>
              </w:tabs>
              <w:spacing w:after="80"/>
              <w:jc w:val="right"/>
              <w:rPr>
                <w:b/>
              </w:rPr>
            </w:pPr>
          </w:p>
        </w:tc>
        <w:tc>
          <w:tcPr>
            <w:tcW w:w="1262" w:type="dxa"/>
            <w:shd w:val="clear" w:color="auto" w:fill="C5E0B3" w:themeFill="accent6" w:themeFillTint="66"/>
          </w:tcPr>
          <w:p w14:paraId="15925F59" w14:textId="77777777" w:rsidR="00B801F4" w:rsidRPr="00B801F4" w:rsidRDefault="00B801F4" w:rsidP="00B801F4">
            <w:pPr>
              <w:tabs>
                <w:tab w:val="left" w:pos="1080"/>
              </w:tabs>
              <w:spacing w:after="80"/>
              <w:jc w:val="right"/>
              <w:rPr>
                <w:b/>
              </w:rPr>
            </w:pPr>
            <w:r w:rsidRPr="00B801F4">
              <w:rPr>
                <w:b/>
              </w:rPr>
              <w:t>5,263.7</w:t>
            </w:r>
          </w:p>
        </w:tc>
        <w:tc>
          <w:tcPr>
            <w:tcW w:w="1257" w:type="dxa"/>
            <w:shd w:val="clear" w:color="auto" w:fill="C5E0B3" w:themeFill="accent6" w:themeFillTint="66"/>
          </w:tcPr>
          <w:p w14:paraId="2B608B03" w14:textId="77777777" w:rsidR="00B801F4" w:rsidRPr="00B801F4" w:rsidRDefault="00B801F4" w:rsidP="00B801F4">
            <w:pPr>
              <w:tabs>
                <w:tab w:val="left" w:pos="1080"/>
              </w:tabs>
              <w:spacing w:after="80"/>
              <w:jc w:val="right"/>
              <w:rPr>
                <w:b/>
              </w:rPr>
            </w:pPr>
            <w:r w:rsidRPr="00B801F4">
              <w:rPr>
                <w:b/>
              </w:rPr>
              <w:t>4,423.2</w:t>
            </w:r>
          </w:p>
        </w:tc>
      </w:tr>
    </w:tbl>
    <w:p w14:paraId="6F6F0106" w14:textId="77777777" w:rsidR="00B801F4" w:rsidRPr="00B801F4" w:rsidRDefault="00B801F4" w:rsidP="00B801F4">
      <w:pPr>
        <w:tabs>
          <w:tab w:val="left" w:pos="1080"/>
        </w:tabs>
        <w:spacing w:after="80"/>
        <w:ind w:left="709"/>
      </w:pPr>
    </w:p>
    <w:p w14:paraId="10872EC8" w14:textId="77777777" w:rsidR="00B801F4" w:rsidRPr="00B801F4" w:rsidRDefault="00B801F4" w:rsidP="00B801F4">
      <w:pPr>
        <w:spacing w:after="0"/>
        <w:ind w:firstLine="709"/>
        <w:rPr>
          <w:b/>
        </w:rPr>
      </w:pPr>
      <w:r w:rsidRPr="00B801F4">
        <w:rPr>
          <w:b/>
        </w:rPr>
        <w:t>18.4 Interest Rate Risk</w:t>
      </w:r>
    </w:p>
    <w:p w14:paraId="2D1A5BD7" w14:textId="77777777" w:rsidR="00B801F4" w:rsidRPr="00B801F4" w:rsidRDefault="00B801F4" w:rsidP="00B801F4">
      <w:pPr>
        <w:ind w:left="720"/>
        <w:jc w:val="left"/>
      </w:pPr>
      <w:r w:rsidRPr="00B801F4">
        <w:t xml:space="preserve">The Fund invests in financial assets for the primary purpose of obtaining a return on investments.  These investments are subject to interest rate risks, which represent the risks that the fair value of future cash flow of a financial instrument will fluctuate because of changes in market interest rates.  </w:t>
      </w:r>
    </w:p>
    <w:p w14:paraId="67420EE2" w14:textId="77777777" w:rsidR="00B801F4" w:rsidRPr="00B801F4" w:rsidRDefault="00B801F4" w:rsidP="00B801F4">
      <w:pPr>
        <w:ind w:left="720"/>
        <w:jc w:val="left"/>
      </w:pPr>
      <w:r w:rsidRPr="00B801F4">
        <w:t>The Fund's interest rate risk is routinely monitored by the Investment Panel and its investment advisors.  The Fund's direct exposure to interest rate movements as at 31 March 2015 and 31 March 2014 is set out below.  These disclosures present interest rate risk based on the underlying financial assets at fair value.</w:t>
      </w:r>
    </w:p>
    <w:p w14:paraId="6C41F4C0" w14:textId="77777777" w:rsidR="00B801F4" w:rsidRPr="00B801F4" w:rsidRDefault="00B801F4" w:rsidP="00B801F4">
      <w:pPr>
        <w:ind w:left="720"/>
      </w:pPr>
    </w:p>
    <w:tbl>
      <w:tblPr>
        <w:tblStyle w:val="TableGrid1"/>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5100"/>
        <w:gridCol w:w="2410"/>
        <w:gridCol w:w="2235"/>
      </w:tblGrid>
      <w:tr w:rsidR="00B801F4" w:rsidRPr="00B801F4" w14:paraId="33FD3098" w14:textId="77777777" w:rsidTr="00B801F4">
        <w:tc>
          <w:tcPr>
            <w:tcW w:w="5100" w:type="dxa"/>
            <w:tcBorders>
              <w:top w:val="single" w:sz="2" w:space="0" w:color="auto"/>
              <w:bottom w:val="nil"/>
            </w:tcBorders>
            <w:shd w:val="clear" w:color="auto" w:fill="A8D08D" w:themeFill="accent6" w:themeFillTint="99"/>
          </w:tcPr>
          <w:p w14:paraId="3957653C" w14:textId="77777777" w:rsidR="00B801F4" w:rsidRPr="00B801F4" w:rsidRDefault="00B801F4" w:rsidP="00B801F4">
            <w:pPr>
              <w:tabs>
                <w:tab w:val="left" w:pos="1080"/>
              </w:tabs>
              <w:spacing w:after="80"/>
              <w:jc w:val="left"/>
              <w:rPr>
                <w:b/>
              </w:rPr>
            </w:pPr>
            <w:r w:rsidRPr="00B801F4">
              <w:rPr>
                <w:b/>
              </w:rPr>
              <w:t>Asset Type</w:t>
            </w:r>
          </w:p>
        </w:tc>
        <w:tc>
          <w:tcPr>
            <w:tcW w:w="2410" w:type="dxa"/>
            <w:tcBorders>
              <w:top w:val="single" w:sz="2" w:space="0" w:color="auto"/>
              <w:bottom w:val="nil"/>
            </w:tcBorders>
            <w:shd w:val="clear" w:color="auto" w:fill="A8D08D" w:themeFill="accent6" w:themeFillTint="99"/>
          </w:tcPr>
          <w:p w14:paraId="68D36F75" w14:textId="77777777" w:rsidR="00B801F4" w:rsidRPr="00B801F4" w:rsidRDefault="00B801F4" w:rsidP="00B801F4">
            <w:pPr>
              <w:tabs>
                <w:tab w:val="left" w:pos="1080"/>
              </w:tabs>
              <w:spacing w:after="80"/>
              <w:jc w:val="right"/>
              <w:rPr>
                <w:b/>
              </w:rPr>
            </w:pPr>
            <w:r w:rsidRPr="00B801F4">
              <w:rPr>
                <w:b/>
              </w:rPr>
              <w:t>31/03/15</w:t>
            </w:r>
          </w:p>
        </w:tc>
        <w:tc>
          <w:tcPr>
            <w:tcW w:w="2235" w:type="dxa"/>
            <w:tcBorders>
              <w:top w:val="single" w:sz="2" w:space="0" w:color="auto"/>
              <w:bottom w:val="nil"/>
            </w:tcBorders>
            <w:shd w:val="clear" w:color="auto" w:fill="A8D08D" w:themeFill="accent6" w:themeFillTint="99"/>
          </w:tcPr>
          <w:p w14:paraId="1267D258" w14:textId="77777777" w:rsidR="00B801F4" w:rsidRPr="00B801F4" w:rsidRDefault="00B801F4" w:rsidP="00B801F4">
            <w:pPr>
              <w:tabs>
                <w:tab w:val="left" w:pos="1080"/>
              </w:tabs>
              <w:spacing w:after="80"/>
              <w:jc w:val="right"/>
              <w:rPr>
                <w:b/>
              </w:rPr>
            </w:pPr>
            <w:r w:rsidRPr="00B801F4">
              <w:rPr>
                <w:b/>
              </w:rPr>
              <w:t>31/03/14</w:t>
            </w:r>
          </w:p>
        </w:tc>
      </w:tr>
      <w:tr w:rsidR="00B801F4" w:rsidRPr="00B801F4" w14:paraId="1CF29C45" w14:textId="77777777" w:rsidTr="00B801F4">
        <w:tc>
          <w:tcPr>
            <w:tcW w:w="5100" w:type="dxa"/>
            <w:tcBorders>
              <w:top w:val="nil"/>
              <w:bottom w:val="single" w:sz="2" w:space="0" w:color="auto"/>
            </w:tcBorders>
            <w:shd w:val="clear" w:color="auto" w:fill="A8D08D" w:themeFill="accent6" w:themeFillTint="99"/>
          </w:tcPr>
          <w:p w14:paraId="133DFAA8" w14:textId="77777777" w:rsidR="00B801F4" w:rsidRPr="00B801F4" w:rsidRDefault="00B801F4" w:rsidP="00B801F4">
            <w:pPr>
              <w:tabs>
                <w:tab w:val="left" w:pos="1080"/>
              </w:tabs>
              <w:spacing w:after="80"/>
            </w:pPr>
          </w:p>
        </w:tc>
        <w:tc>
          <w:tcPr>
            <w:tcW w:w="2410" w:type="dxa"/>
            <w:tcBorders>
              <w:top w:val="nil"/>
              <w:bottom w:val="single" w:sz="2" w:space="0" w:color="auto"/>
            </w:tcBorders>
            <w:shd w:val="clear" w:color="auto" w:fill="A8D08D" w:themeFill="accent6" w:themeFillTint="99"/>
          </w:tcPr>
          <w:p w14:paraId="4BC5C4CA" w14:textId="77777777" w:rsidR="00B801F4" w:rsidRPr="00B801F4" w:rsidRDefault="00B801F4" w:rsidP="00B801F4">
            <w:pPr>
              <w:tabs>
                <w:tab w:val="left" w:pos="1080"/>
              </w:tabs>
              <w:spacing w:after="80"/>
              <w:jc w:val="right"/>
              <w:rPr>
                <w:b/>
              </w:rPr>
            </w:pPr>
            <w:r w:rsidRPr="00B801F4">
              <w:rPr>
                <w:b/>
              </w:rPr>
              <w:t>£m</w:t>
            </w:r>
          </w:p>
        </w:tc>
        <w:tc>
          <w:tcPr>
            <w:tcW w:w="2235" w:type="dxa"/>
            <w:tcBorders>
              <w:top w:val="nil"/>
              <w:bottom w:val="single" w:sz="2" w:space="0" w:color="auto"/>
            </w:tcBorders>
            <w:shd w:val="clear" w:color="auto" w:fill="A8D08D" w:themeFill="accent6" w:themeFillTint="99"/>
          </w:tcPr>
          <w:p w14:paraId="7D1B5757" w14:textId="77777777" w:rsidR="00B801F4" w:rsidRPr="00B801F4" w:rsidRDefault="00B801F4" w:rsidP="00B801F4">
            <w:pPr>
              <w:tabs>
                <w:tab w:val="left" w:pos="1080"/>
              </w:tabs>
              <w:spacing w:after="80"/>
              <w:jc w:val="right"/>
              <w:rPr>
                <w:b/>
              </w:rPr>
            </w:pPr>
            <w:r w:rsidRPr="00B801F4">
              <w:rPr>
                <w:b/>
              </w:rPr>
              <w:t>£m</w:t>
            </w:r>
          </w:p>
        </w:tc>
      </w:tr>
      <w:tr w:rsidR="00B801F4" w:rsidRPr="00B801F4" w14:paraId="5BC88CD4" w14:textId="77777777" w:rsidTr="00B801F4">
        <w:tc>
          <w:tcPr>
            <w:tcW w:w="5100" w:type="dxa"/>
            <w:tcBorders>
              <w:top w:val="single" w:sz="2" w:space="0" w:color="auto"/>
            </w:tcBorders>
          </w:tcPr>
          <w:p w14:paraId="2261B9B1" w14:textId="77777777" w:rsidR="00B801F4" w:rsidRPr="00B801F4" w:rsidRDefault="00B801F4" w:rsidP="00B801F4">
            <w:pPr>
              <w:tabs>
                <w:tab w:val="left" w:pos="1080"/>
              </w:tabs>
              <w:spacing w:after="80"/>
            </w:pPr>
            <w:r w:rsidRPr="00B801F4">
              <w:t>Cash and cash equivalents</w:t>
            </w:r>
          </w:p>
        </w:tc>
        <w:tc>
          <w:tcPr>
            <w:tcW w:w="2410" w:type="dxa"/>
            <w:tcBorders>
              <w:top w:val="single" w:sz="2" w:space="0" w:color="auto"/>
            </w:tcBorders>
          </w:tcPr>
          <w:p w14:paraId="1A1D7EBD" w14:textId="77777777" w:rsidR="00B801F4" w:rsidRPr="00B801F4" w:rsidRDefault="00B801F4" w:rsidP="00B801F4">
            <w:pPr>
              <w:tabs>
                <w:tab w:val="left" w:pos="1080"/>
              </w:tabs>
              <w:spacing w:after="80"/>
              <w:jc w:val="right"/>
            </w:pPr>
            <w:r w:rsidRPr="00B801F4">
              <w:t>60.0</w:t>
            </w:r>
          </w:p>
        </w:tc>
        <w:tc>
          <w:tcPr>
            <w:tcW w:w="2235" w:type="dxa"/>
            <w:tcBorders>
              <w:top w:val="single" w:sz="2" w:space="0" w:color="auto"/>
            </w:tcBorders>
          </w:tcPr>
          <w:p w14:paraId="7893DE6A" w14:textId="77777777" w:rsidR="00B801F4" w:rsidRPr="00B801F4" w:rsidRDefault="00B801F4" w:rsidP="00B801F4">
            <w:pPr>
              <w:tabs>
                <w:tab w:val="left" w:pos="1080"/>
              </w:tabs>
              <w:spacing w:after="80"/>
              <w:jc w:val="right"/>
            </w:pPr>
            <w:r w:rsidRPr="00B801F4">
              <w:t>315.5</w:t>
            </w:r>
          </w:p>
        </w:tc>
      </w:tr>
      <w:tr w:rsidR="00B801F4" w:rsidRPr="00B801F4" w14:paraId="32F40AFC" w14:textId="77777777" w:rsidTr="00B801F4">
        <w:tc>
          <w:tcPr>
            <w:tcW w:w="5100" w:type="dxa"/>
          </w:tcPr>
          <w:p w14:paraId="37CF98D4" w14:textId="77777777" w:rsidR="00B801F4" w:rsidRPr="00B801F4" w:rsidRDefault="00B801F4" w:rsidP="00B801F4">
            <w:pPr>
              <w:tabs>
                <w:tab w:val="left" w:pos="1080"/>
              </w:tabs>
              <w:spacing w:after="80"/>
            </w:pPr>
            <w:r w:rsidRPr="00B801F4">
              <w:t>Fixed interest securities</w:t>
            </w:r>
          </w:p>
        </w:tc>
        <w:tc>
          <w:tcPr>
            <w:tcW w:w="2410" w:type="dxa"/>
          </w:tcPr>
          <w:p w14:paraId="3226C180" w14:textId="77777777" w:rsidR="00B801F4" w:rsidRPr="00B801F4" w:rsidRDefault="00B801F4" w:rsidP="00B801F4">
            <w:pPr>
              <w:tabs>
                <w:tab w:val="left" w:pos="1080"/>
              </w:tabs>
              <w:spacing w:after="80"/>
              <w:jc w:val="right"/>
            </w:pPr>
            <w:r w:rsidRPr="00B801F4">
              <w:t>1,650.8</w:t>
            </w:r>
          </w:p>
        </w:tc>
        <w:tc>
          <w:tcPr>
            <w:tcW w:w="2235" w:type="dxa"/>
          </w:tcPr>
          <w:p w14:paraId="13DA2617" w14:textId="77777777" w:rsidR="00B801F4" w:rsidRPr="00B801F4" w:rsidRDefault="00B801F4" w:rsidP="00B801F4">
            <w:pPr>
              <w:tabs>
                <w:tab w:val="left" w:pos="1080"/>
              </w:tabs>
              <w:spacing w:after="80"/>
              <w:jc w:val="right"/>
            </w:pPr>
            <w:r w:rsidRPr="00B801F4">
              <w:t>1,250.3</w:t>
            </w:r>
          </w:p>
        </w:tc>
      </w:tr>
      <w:tr w:rsidR="00B801F4" w:rsidRPr="00B801F4" w14:paraId="3DDD079D" w14:textId="77777777" w:rsidTr="00B801F4">
        <w:tc>
          <w:tcPr>
            <w:tcW w:w="5100" w:type="dxa"/>
            <w:shd w:val="clear" w:color="auto" w:fill="C5E0B3" w:themeFill="accent6" w:themeFillTint="66"/>
          </w:tcPr>
          <w:p w14:paraId="57563C17" w14:textId="77777777" w:rsidR="00B801F4" w:rsidRPr="00B801F4" w:rsidRDefault="00B801F4" w:rsidP="00B801F4">
            <w:pPr>
              <w:tabs>
                <w:tab w:val="left" w:pos="1080"/>
              </w:tabs>
              <w:spacing w:after="80"/>
              <w:rPr>
                <w:b/>
              </w:rPr>
            </w:pPr>
            <w:r w:rsidRPr="00B801F4">
              <w:rPr>
                <w:b/>
              </w:rPr>
              <w:t>Total</w:t>
            </w:r>
          </w:p>
        </w:tc>
        <w:tc>
          <w:tcPr>
            <w:tcW w:w="2410" w:type="dxa"/>
            <w:shd w:val="clear" w:color="auto" w:fill="C5E0B3" w:themeFill="accent6" w:themeFillTint="66"/>
          </w:tcPr>
          <w:p w14:paraId="224C1054" w14:textId="77777777" w:rsidR="00B801F4" w:rsidRPr="00B801F4" w:rsidRDefault="00B801F4" w:rsidP="00B801F4">
            <w:pPr>
              <w:tabs>
                <w:tab w:val="left" w:pos="1080"/>
              </w:tabs>
              <w:spacing w:after="80"/>
              <w:jc w:val="right"/>
              <w:rPr>
                <w:b/>
              </w:rPr>
            </w:pPr>
            <w:r w:rsidRPr="00B801F4">
              <w:rPr>
                <w:b/>
              </w:rPr>
              <w:t>1,710.8</w:t>
            </w:r>
          </w:p>
        </w:tc>
        <w:tc>
          <w:tcPr>
            <w:tcW w:w="2235" w:type="dxa"/>
            <w:shd w:val="clear" w:color="auto" w:fill="C5E0B3" w:themeFill="accent6" w:themeFillTint="66"/>
          </w:tcPr>
          <w:p w14:paraId="5B1B356A" w14:textId="77777777" w:rsidR="00B801F4" w:rsidRPr="00B801F4" w:rsidRDefault="00B801F4" w:rsidP="00B801F4">
            <w:pPr>
              <w:tabs>
                <w:tab w:val="left" w:pos="1080"/>
              </w:tabs>
              <w:spacing w:after="80"/>
              <w:jc w:val="right"/>
              <w:rPr>
                <w:b/>
              </w:rPr>
            </w:pPr>
            <w:r w:rsidRPr="00B801F4">
              <w:rPr>
                <w:b/>
              </w:rPr>
              <w:t>1,565.8</w:t>
            </w:r>
          </w:p>
        </w:tc>
      </w:tr>
    </w:tbl>
    <w:p w14:paraId="6379DF49" w14:textId="77777777" w:rsidR="00B801F4" w:rsidRPr="00B801F4" w:rsidRDefault="00B801F4" w:rsidP="00B801F4">
      <w:pPr>
        <w:ind w:left="720"/>
        <w:rPr>
          <w:b/>
        </w:rPr>
      </w:pPr>
    </w:p>
    <w:p w14:paraId="5577D7C6" w14:textId="77777777" w:rsidR="00B801F4" w:rsidRPr="00B801F4" w:rsidRDefault="00B801F4" w:rsidP="00B801F4">
      <w:pPr>
        <w:spacing w:after="0"/>
        <w:ind w:left="720"/>
        <w:rPr>
          <w:b/>
        </w:rPr>
      </w:pPr>
      <w:r w:rsidRPr="00B801F4">
        <w:rPr>
          <w:b/>
        </w:rPr>
        <w:t xml:space="preserve">18.4.1 Interest rate risk - sensitivity analysis </w:t>
      </w:r>
    </w:p>
    <w:p w14:paraId="719DA21D" w14:textId="77777777" w:rsidR="00B801F4" w:rsidRPr="00B801F4" w:rsidRDefault="00B801F4" w:rsidP="00B801F4">
      <w:pPr>
        <w:ind w:left="720"/>
        <w:jc w:val="left"/>
      </w:pPr>
      <w:r w:rsidRPr="00B801F4">
        <w:t xml:space="preserve">The Fund has recognised that interest rates can vary and can affect both income to the Fund and the value of the net assets available to pay benefits. A 110 basis point (BPS) movement in interest rates is consistent with the level of sensitivity applied as part of the Fund's risk management strategy (1BPS = 0.01%).  The Fund's investment advisor has advised that long–term average rates are expected to move less than 110 basis point for one year to the next and experience suggests that such movements are likely. </w:t>
      </w:r>
    </w:p>
    <w:p w14:paraId="476134E9" w14:textId="77777777" w:rsidR="00B801F4" w:rsidRPr="00B801F4" w:rsidRDefault="00B801F4" w:rsidP="00B801F4">
      <w:pPr>
        <w:ind w:left="720"/>
        <w:jc w:val="left"/>
      </w:pPr>
      <w:r w:rsidRPr="00B801F4">
        <w:t xml:space="preserve">The analysis that follows assumes that all other variables, in particular exchange rates, remain constant, and shows the effect in the year on the net assets available to pay benefits of a +/- 100 BPS change in interest rates: </w:t>
      </w:r>
    </w:p>
    <w:tbl>
      <w:tblPr>
        <w:tblStyle w:val="TableGrid1"/>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1134"/>
        <w:gridCol w:w="425"/>
        <w:gridCol w:w="2126"/>
        <w:gridCol w:w="992"/>
        <w:gridCol w:w="818"/>
      </w:tblGrid>
      <w:tr w:rsidR="00B801F4" w:rsidRPr="00B801F4" w14:paraId="5D33220B" w14:textId="77777777" w:rsidTr="00B801F4">
        <w:tc>
          <w:tcPr>
            <w:tcW w:w="4250" w:type="dxa"/>
            <w:tcBorders>
              <w:top w:val="single" w:sz="2" w:space="0" w:color="auto"/>
              <w:bottom w:val="nil"/>
            </w:tcBorders>
            <w:shd w:val="clear" w:color="auto" w:fill="A8D08D" w:themeFill="accent6" w:themeFillTint="99"/>
          </w:tcPr>
          <w:p w14:paraId="7737AA94" w14:textId="77777777" w:rsidR="00B801F4" w:rsidRPr="00B801F4" w:rsidRDefault="00B801F4" w:rsidP="00B801F4">
            <w:pPr>
              <w:tabs>
                <w:tab w:val="left" w:pos="1080"/>
              </w:tabs>
              <w:spacing w:after="80"/>
              <w:rPr>
                <w:b/>
              </w:rPr>
            </w:pPr>
            <w:r w:rsidRPr="00B801F4">
              <w:rPr>
                <w:b/>
              </w:rPr>
              <w:t>Asset type</w:t>
            </w:r>
          </w:p>
        </w:tc>
        <w:tc>
          <w:tcPr>
            <w:tcW w:w="1134" w:type="dxa"/>
            <w:tcBorders>
              <w:top w:val="single" w:sz="2" w:space="0" w:color="auto"/>
              <w:bottom w:val="nil"/>
            </w:tcBorders>
            <w:shd w:val="clear" w:color="auto" w:fill="A8D08D" w:themeFill="accent6" w:themeFillTint="99"/>
          </w:tcPr>
          <w:p w14:paraId="2D97EB19" w14:textId="77777777" w:rsidR="00B801F4" w:rsidRPr="00B801F4" w:rsidRDefault="00B801F4" w:rsidP="00B801F4">
            <w:pPr>
              <w:tabs>
                <w:tab w:val="left" w:pos="1080"/>
              </w:tabs>
              <w:spacing w:after="80"/>
            </w:pPr>
          </w:p>
        </w:tc>
        <w:tc>
          <w:tcPr>
            <w:tcW w:w="3543" w:type="dxa"/>
            <w:gridSpan w:val="3"/>
            <w:tcBorders>
              <w:top w:val="single" w:sz="2" w:space="0" w:color="auto"/>
              <w:bottom w:val="nil"/>
            </w:tcBorders>
            <w:shd w:val="clear" w:color="auto" w:fill="A8D08D" w:themeFill="accent6" w:themeFillTint="99"/>
          </w:tcPr>
          <w:p w14:paraId="3822F753" w14:textId="77777777" w:rsidR="00B801F4" w:rsidRPr="00B801F4" w:rsidRDefault="00B801F4" w:rsidP="00B801F4">
            <w:pPr>
              <w:tabs>
                <w:tab w:val="left" w:pos="1080"/>
              </w:tabs>
              <w:spacing w:after="80"/>
              <w:rPr>
                <w:b/>
              </w:rPr>
            </w:pPr>
            <w:r w:rsidRPr="00B801F4">
              <w:rPr>
                <w:b/>
              </w:rPr>
              <w:t>Change in year in net assets available to pay benefits</w:t>
            </w:r>
          </w:p>
        </w:tc>
        <w:tc>
          <w:tcPr>
            <w:tcW w:w="818" w:type="dxa"/>
            <w:tcBorders>
              <w:top w:val="single" w:sz="2" w:space="0" w:color="auto"/>
              <w:bottom w:val="nil"/>
            </w:tcBorders>
            <w:shd w:val="clear" w:color="auto" w:fill="A8D08D" w:themeFill="accent6" w:themeFillTint="99"/>
          </w:tcPr>
          <w:p w14:paraId="3076EB71" w14:textId="77777777" w:rsidR="00B801F4" w:rsidRPr="00B801F4" w:rsidRDefault="00B801F4" w:rsidP="00B801F4">
            <w:pPr>
              <w:tabs>
                <w:tab w:val="left" w:pos="1080"/>
              </w:tabs>
              <w:spacing w:after="80"/>
              <w:rPr>
                <w:b/>
              </w:rPr>
            </w:pPr>
          </w:p>
        </w:tc>
      </w:tr>
      <w:tr w:rsidR="00B801F4" w:rsidRPr="00B801F4" w14:paraId="28D2F062" w14:textId="77777777" w:rsidTr="00B801F4">
        <w:tc>
          <w:tcPr>
            <w:tcW w:w="4250" w:type="dxa"/>
            <w:tcBorders>
              <w:top w:val="nil"/>
              <w:bottom w:val="nil"/>
            </w:tcBorders>
            <w:shd w:val="clear" w:color="auto" w:fill="A8D08D" w:themeFill="accent6" w:themeFillTint="99"/>
          </w:tcPr>
          <w:p w14:paraId="0DADF197" w14:textId="77777777" w:rsidR="00B801F4" w:rsidRPr="00B801F4" w:rsidRDefault="00B801F4" w:rsidP="00B801F4">
            <w:pPr>
              <w:tabs>
                <w:tab w:val="left" w:pos="1080"/>
              </w:tabs>
              <w:spacing w:after="80"/>
            </w:pPr>
          </w:p>
        </w:tc>
        <w:tc>
          <w:tcPr>
            <w:tcW w:w="1559" w:type="dxa"/>
            <w:gridSpan w:val="2"/>
            <w:tcBorders>
              <w:top w:val="nil"/>
              <w:bottom w:val="nil"/>
            </w:tcBorders>
            <w:shd w:val="clear" w:color="auto" w:fill="A8D08D" w:themeFill="accent6" w:themeFillTint="99"/>
          </w:tcPr>
          <w:p w14:paraId="6519EF6A" w14:textId="77777777" w:rsidR="00B801F4" w:rsidRPr="00B801F4" w:rsidRDefault="00B801F4" w:rsidP="00B801F4">
            <w:pPr>
              <w:tabs>
                <w:tab w:val="left" w:pos="1080"/>
              </w:tabs>
              <w:spacing w:after="80"/>
              <w:jc w:val="right"/>
              <w:rPr>
                <w:b/>
              </w:rPr>
            </w:pPr>
            <w:r w:rsidRPr="00B801F4">
              <w:rPr>
                <w:b/>
              </w:rPr>
              <w:t>31/03/15</w:t>
            </w:r>
          </w:p>
        </w:tc>
        <w:tc>
          <w:tcPr>
            <w:tcW w:w="2126" w:type="dxa"/>
            <w:tcBorders>
              <w:top w:val="nil"/>
              <w:bottom w:val="nil"/>
            </w:tcBorders>
            <w:shd w:val="clear" w:color="auto" w:fill="A8D08D" w:themeFill="accent6" w:themeFillTint="99"/>
          </w:tcPr>
          <w:p w14:paraId="2F02B33D" w14:textId="77777777" w:rsidR="00B801F4" w:rsidRPr="00B801F4" w:rsidRDefault="00B801F4" w:rsidP="00B801F4">
            <w:pPr>
              <w:tabs>
                <w:tab w:val="left" w:pos="1080"/>
              </w:tabs>
              <w:spacing w:after="80"/>
              <w:jc w:val="right"/>
              <w:rPr>
                <w:b/>
              </w:rPr>
            </w:pPr>
            <w:r w:rsidRPr="00B801F4">
              <w:rPr>
                <w:b/>
              </w:rPr>
              <w:t>+100BPS</w:t>
            </w:r>
          </w:p>
        </w:tc>
        <w:tc>
          <w:tcPr>
            <w:tcW w:w="1810" w:type="dxa"/>
            <w:gridSpan w:val="2"/>
            <w:tcBorders>
              <w:top w:val="nil"/>
              <w:bottom w:val="nil"/>
            </w:tcBorders>
            <w:shd w:val="clear" w:color="auto" w:fill="A8D08D" w:themeFill="accent6" w:themeFillTint="99"/>
          </w:tcPr>
          <w:p w14:paraId="15A2FD0F" w14:textId="77777777" w:rsidR="00B801F4" w:rsidRPr="00B801F4" w:rsidRDefault="00B801F4" w:rsidP="00B801F4">
            <w:pPr>
              <w:tabs>
                <w:tab w:val="left" w:pos="1080"/>
              </w:tabs>
              <w:spacing w:after="80"/>
              <w:jc w:val="right"/>
              <w:rPr>
                <w:b/>
              </w:rPr>
            </w:pPr>
            <w:r w:rsidRPr="00B801F4">
              <w:rPr>
                <w:b/>
              </w:rPr>
              <w:t>-100BPS</w:t>
            </w:r>
          </w:p>
        </w:tc>
      </w:tr>
      <w:tr w:rsidR="00B801F4" w:rsidRPr="00B801F4" w14:paraId="5F36F4DF" w14:textId="77777777" w:rsidTr="00B801F4">
        <w:tc>
          <w:tcPr>
            <w:tcW w:w="4250" w:type="dxa"/>
            <w:tcBorders>
              <w:top w:val="nil"/>
              <w:bottom w:val="single" w:sz="2" w:space="0" w:color="auto"/>
            </w:tcBorders>
            <w:shd w:val="clear" w:color="auto" w:fill="A8D08D" w:themeFill="accent6" w:themeFillTint="99"/>
          </w:tcPr>
          <w:p w14:paraId="3F5CA177" w14:textId="77777777" w:rsidR="00B801F4" w:rsidRPr="00B801F4" w:rsidRDefault="00B801F4" w:rsidP="00B801F4">
            <w:pPr>
              <w:tabs>
                <w:tab w:val="left" w:pos="1080"/>
              </w:tabs>
              <w:spacing w:after="80"/>
            </w:pPr>
          </w:p>
        </w:tc>
        <w:tc>
          <w:tcPr>
            <w:tcW w:w="1559" w:type="dxa"/>
            <w:gridSpan w:val="2"/>
            <w:tcBorders>
              <w:top w:val="nil"/>
              <w:bottom w:val="single" w:sz="2" w:space="0" w:color="auto"/>
            </w:tcBorders>
            <w:shd w:val="clear" w:color="auto" w:fill="A8D08D" w:themeFill="accent6" w:themeFillTint="99"/>
          </w:tcPr>
          <w:p w14:paraId="5FAB1F1B" w14:textId="77777777" w:rsidR="00B801F4" w:rsidRPr="00B801F4" w:rsidRDefault="00B801F4" w:rsidP="00B801F4">
            <w:pPr>
              <w:tabs>
                <w:tab w:val="left" w:pos="1080"/>
              </w:tabs>
              <w:spacing w:after="80"/>
              <w:jc w:val="right"/>
              <w:rPr>
                <w:b/>
              </w:rPr>
            </w:pPr>
            <w:r w:rsidRPr="00B801F4">
              <w:rPr>
                <w:b/>
              </w:rPr>
              <w:t>£m</w:t>
            </w:r>
          </w:p>
        </w:tc>
        <w:tc>
          <w:tcPr>
            <w:tcW w:w="2126" w:type="dxa"/>
            <w:tcBorders>
              <w:top w:val="nil"/>
              <w:bottom w:val="single" w:sz="2" w:space="0" w:color="auto"/>
            </w:tcBorders>
            <w:shd w:val="clear" w:color="auto" w:fill="A8D08D" w:themeFill="accent6" w:themeFillTint="99"/>
          </w:tcPr>
          <w:p w14:paraId="42D53696" w14:textId="77777777" w:rsidR="00B801F4" w:rsidRPr="00B801F4" w:rsidRDefault="00B801F4" w:rsidP="00B801F4">
            <w:pPr>
              <w:tabs>
                <w:tab w:val="left" w:pos="1080"/>
              </w:tabs>
              <w:spacing w:after="80"/>
              <w:jc w:val="right"/>
              <w:rPr>
                <w:b/>
              </w:rPr>
            </w:pPr>
            <w:r w:rsidRPr="00B801F4">
              <w:rPr>
                <w:b/>
              </w:rPr>
              <w:t>£m</w:t>
            </w:r>
          </w:p>
        </w:tc>
        <w:tc>
          <w:tcPr>
            <w:tcW w:w="1810" w:type="dxa"/>
            <w:gridSpan w:val="2"/>
            <w:tcBorders>
              <w:top w:val="nil"/>
              <w:bottom w:val="single" w:sz="2" w:space="0" w:color="auto"/>
            </w:tcBorders>
            <w:shd w:val="clear" w:color="auto" w:fill="A8D08D" w:themeFill="accent6" w:themeFillTint="99"/>
          </w:tcPr>
          <w:p w14:paraId="089BE1ED" w14:textId="77777777" w:rsidR="00B801F4" w:rsidRPr="00B801F4" w:rsidRDefault="00B801F4" w:rsidP="00B801F4">
            <w:pPr>
              <w:tabs>
                <w:tab w:val="left" w:pos="1080"/>
              </w:tabs>
              <w:spacing w:after="80"/>
              <w:jc w:val="right"/>
              <w:rPr>
                <w:b/>
              </w:rPr>
            </w:pPr>
            <w:r w:rsidRPr="00B801F4">
              <w:rPr>
                <w:b/>
              </w:rPr>
              <w:t>£m</w:t>
            </w:r>
          </w:p>
        </w:tc>
      </w:tr>
      <w:tr w:rsidR="00B801F4" w:rsidRPr="00B801F4" w14:paraId="0F5B60B9" w14:textId="77777777" w:rsidTr="00B801F4">
        <w:tc>
          <w:tcPr>
            <w:tcW w:w="4250" w:type="dxa"/>
            <w:tcBorders>
              <w:top w:val="single" w:sz="2" w:space="0" w:color="auto"/>
            </w:tcBorders>
          </w:tcPr>
          <w:p w14:paraId="5A5CFC8E" w14:textId="77777777" w:rsidR="00B801F4" w:rsidRPr="00B801F4" w:rsidRDefault="00B801F4" w:rsidP="00B801F4">
            <w:pPr>
              <w:tabs>
                <w:tab w:val="left" w:pos="1080"/>
              </w:tabs>
              <w:spacing w:after="80"/>
            </w:pPr>
            <w:r w:rsidRPr="00B801F4">
              <w:t>Cash and cash equivalents</w:t>
            </w:r>
          </w:p>
        </w:tc>
        <w:tc>
          <w:tcPr>
            <w:tcW w:w="1559" w:type="dxa"/>
            <w:gridSpan w:val="2"/>
            <w:tcBorders>
              <w:top w:val="single" w:sz="2" w:space="0" w:color="auto"/>
            </w:tcBorders>
          </w:tcPr>
          <w:p w14:paraId="3C51C2DB" w14:textId="77777777" w:rsidR="00B801F4" w:rsidRPr="00B801F4" w:rsidRDefault="00B801F4" w:rsidP="00B801F4">
            <w:pPr>
              <w:tabs>
                <w:tab w:val="left" w:pos="1080"/>
              </w:tabs>
              <w:spacing w:after="80"/>
              <w:jc w:val="right"/>
            </w:pPr>
            <w:r w:rsidRPr="00B801F4">
              <w:t>60.0</w:t>
            </w:r>
          </w:p>
        </w:tc>
        <w:tc>
          <w:tcPr>
            <w:tcW w:w="2126" w:type="dxa"/>
            <w:tcBorders>
              <w:top w:val="single" w:sz="2" w:space="0" w:color="auto"/>
            </w:tcBorders>
          </w:tcPr>
          <w:p w14:paraId="27AD1B49" w14:textId="77777777" w:rsidR="00B801F4" w:rsidRPr="00B801F4" w:rsidRDefault="00B801F4" w:rsidP="00B801F4">
            <w:pPr>
              <w:tabs>
                <w:tab w:val="left" w:pos="1080"/>
              </w:tabs>
              <w:spacing w:after="80"/>
              <w:jc w:val="right"/>
            </w:pPr>
            <w:r w:rsidRPr="00B801F4">
              <w:t>0.6</w:t>
            </w:r>
          </w:p>
        </w:tc>
        <w:tc>
          <w:tcPr>
            <w:tcW w:w="1810" w:type="dxa"/>
            <w:gridSpan w:val="2"/>
            <w:tcBorders>
              <w:top w:val="single" w:sz="2" w:space="0" w:color="auto"/>
            </w:tcBorders>
          </w:tcPr>
          <w:p w14:paraId="36FC7D30" w14:textId="77777777" w:rsidR="00B801F4" w:rsidRPr="00B801F4" w:rsidRDefault="00B801F4" w:rsidP="00B801F4">
            <w:pPr>
              <w:tabs>
                <w:tab w:val="left" w:pos="1080"/>
              </w:tabs>
              <w:spacing w:after="80"/>
              <w:jc w:val="right"/>
            </w:pPr>
            <w:r w:rsidRPr="00B801F4">
              <w:t>(0.6)</w:t>
            </w:r>
          </w:p>
        </w:tc>
      </w:tr>
      <w:tr w:rsidR="00B801F4" w:rsidRPr="00B801F4" w14:paraId="7D6A8827" w14:textId="77777777" w:rsidTr="00B801F4">
        <w:tc>
          <w:tcPr>
            <w:tcW w:w="4250" w:type="dxa"/>
          </w:tcPr>
          <w:p w14:paraId="3F9A5B38" w14:textId="77777777" w:rsidR="00B801F4" w:rsidRPr="00B801F4" w:rsidRDefault="00B801F4" w:rsidP="00B801F4">
            <w:pPr>
              <w:tabs>
                <w:tab w:val="left" w:pos="1080"/>
              </w:tabs>
              <w:spacing w:after="80"/>
            </w:pPr>
            <w:r w:rsidRPr="00B801F4">
              <w:t>Fixed interest securities</w:t>
            </w:r>
          </w:p>
        </w:tc>
        <w:tc>
          <w:tcPr>
            <w:tcW w:w="1559" w:type="dxa"/>
            <w:gridSpan w:val="2"/>
          </w:tcPr>
          <w:p w14:paraId="1FAA4E29" w14:textId="77777777" w:rsidR="00B801F4" w:rsidRPr="00B801F4" w:rsidRDefault="00B801F4" w:rsidP="00B801F4">
            <w:pPr>
              <w:tabs>
                <w:tab w:val="left" w:pos="1080"/>
              </w:tabs>
              <w:spacing w:after="80"/>
              <w:jc w:val="right"/>
            </w:pPr>
            <w:r w:rsidRPr="00B801F4">
              <w:t>1,650.8</w:t>
            </w:r>
          </w:p>
        </w:tc>
        <w:tc>
          <w:tcPr>
            <w:tcW w:w="2126" w:type="dxa"/>
          </w:tcPr>
          <w:p w14:paraId="63853410" w14:textId="77777777" w:rsidR="00B801F4" w:rsidRPr="00B801F4" w:rsidRDefault="00B801F4" w:rsidP="00B801F4">
            <w:pPr>
              <w:tabs>
                <w:tab w:val="left" w:pos="1080"/>
              </w:tabs>
              <w:spacing w:after="80"/>
              <w:jc w:val="right"/>
            </w:pPr>
            <w:r w:rsidRPr="00B801F4">
              <w:t>16.5</w:t>
            </w:r>
          </w:p>
        </w:tc>
        <w:tc>
          <w:tcPr>
            <w:tcW w:w="1810" w:type="dxa"/>
            <w:gridSpan w:val="2"/>
          </w:tcPr>
          <w:p w14:paraId="082B3A5C" w14:textId="77777777" w:rsidR="00B801F4" w:rsidRPr="00B801F4" w:rsidRDefault="00B801F4" w:rsidP="00B801F4">
            <w:pPr>
              <w:tabs>
                <w:tab w:val="left" w:pos="1080"/>
              </w:tabs>
              <w:spacing w:after="80"/>
              <w:jc w:val="right"/>
            </w:pPr>
            <w:r w:rsidRPr="00B801F4">
              <w:t>(16.5)</w:t>
            </w:r>
          </w:p>
        </w:tc>
      </w:tr>
      <w:tr w:rsidR="00B801F4" w:rsidRPr="00B801F4" w14:paraId="3A9A0C65" w14:textId="77777777" w:rsidTr="00B801F4">
        <w:tc>
          <w:tcPr>
            <w:tcW w:w="4250" w:type="dxa"/>
            <w:shd w:val="clear" w:color="auto" w:fill="C5E0B3" w:themeFill="accent6" w:themeFillTint="66"/>
          </w:tcPr>
          <w:p w14:paraId="7AF62ADD" w14:textId="77777777" w:rsidR="00B801F4" w:rsidRPr="00B801F4" w:rsidRDefault="00B801F4" w:rsidP="00B801F4">
            <w:pPr>
              <w:tabs>
                <w:tab w:val="left" w:pos="1080"/>
              </w:tabs>
              <w:spacing w:after="80"/>
              <w:rPr>
                <w:b/>
              </w:rPr>
            </w:pPr>
            <w:r w:rsidRPr="00B801F4">
              <w:rPr>
                <w:b/>
              </w:rPr>
              <w:t>Total change in assets available</w:t>
            </w:r>
          </w:p>
        </w:tc>
        <w:tc>
          <w:tcPr>
            <w:tcW w:w="1559" w:type="dxa"/>
            <w:gridSpan w:val="2"/>
            <w:shd w:val="clear" w:color="auto" w:fill="C5E0B3" w:themeFill="accent6" w:themeFillTint="66"/>
          </w:tcPr>
          <w:p w14:paraId="50D7534D" w14:textId="77777777" w:rsidR="00B801F4" w:rsidRPr="00B801F4" w:rsidRDefault="00B801F4" w:rsidP="00B801F4">
            <w:pPr>
              <w:tabs>
                <w:tab w:val="left" w:pos="1080"/>
              </w:tabs>
              <w:spacing w:after="80"/>
              <w:jc w:val="right"/>
              <w:rPr>
                <w:b/>
              </w:rPr>
            </w:pPr>
            <w:r w:rsidRPr="00B801F4">
              <w:rPr>
                <w:b/>
              </w:rPr>
              <w:t>1,710.8</w:t>
            </w:r>
          </w:p>
        </w:tc>
        <w:tc>
          <w:tcPr>
            <w:tcW w:w="2126" w:type="dxa"/>
            <w:shd w:val="clear" w:color="auto" w:fill="C5E0B3" w:themeFill="accent6" w:themeFillTint="66"/>
          </w:tcPr>
          <w:p w14:paraId="6FA383EA" w14:textId="77777777" w:rsidR="00B801F4" w:rsidRPr="00B801F4" w:rsidRDefault="00B801F4" w:rsidP="00B801F4">
            <w:pPr>
              <w:tabs>
                <w:tab w:val="left" w:pos="1080"/>
              </w:tabs>
              <w:spacing w:after="80"/>
              <w:jc w:val="right"/>
              <w:rPr>
                <w:b/>
              </w:rPr>
            </w:pPr>
            <w:r w:rsidRPr="00B801F4">
              <w:rPr>
                <w:b/>
              </w:rPr>
              <w:t>17.1</w:t>
            </w:r>
          </w:p>
        </w:tc>
        <w:tc>
          <w:tcPr>
            <w:tcW w:w="1810" w:type="dxa"/>
            <w:gridSpan w:val="2"/>
            <w:shd w:val="clear" w:color="auto" w:fill="C5E0B3" w:themeFill="accent6" w:themeFillTint="66"/>
          </w:tcPr>
          <w:p w14:paraId="6F08AB21" w14:textId="77777777" w:rsidR="00B801F4" w:rsidRPr="00B801F4" w:rsidRDefault="00B801F4" w:rsidP="00B801F4">
            <w:pPr>
              <w:tabs>
                <w:tab w:val="left" w:pos="1080"/>
              </w:tabs>
              <w:spacing w:after="80"/>
              <w:jc w:val="right"/>
              <w:rPr>
                <w:b/>
              </w:rPr>
            </w:pPr>
            <w:r w:rsidRPr="00B801F4">
              <w:rPr>
                <w:b/>
              </w:rPr>
              <w:t>(17.1)</w:t>
            </w:r>
          </w:p>
        </w:tc>
      </w:tr>
    </w:tbl>
    <w:p w14:paraId="42DA5ED3" w14:textId="77777777" w:rsidR="00B801F4" w:rsidRPr="00B801F4" w:rsidRDefault="00B801F4" w:rsidP="00B801F4">
      <w:pPr>
        <w:tabs>
          <w:tab w:val="left" w:pos="1080"/>
        </w:tabs>
        <w:spacing w:after="80"/>
        <w:ind w:left="709"/>
      </w:pPr>
    </w:p>
    <w:tbl>
      <w:tblPr>
        <w:tblStyle w:val="TableGrid1"/>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1134"/>
        <w:gridCol w:w="425"/>
        <w:gridCol w:w="2126"/>
        <w:gridCol w:w="992"/>
        <w:gridCol w:w="818"/>
      </w:tblGrid>
      <w:tr w:rsidR="00B801F4" w:rsidRPr="00B801F4" w14:paraId="1081BF0E" w14:textId="77777777" w:rsidTr="00B801F4">
        <w:tc>
          <w:tcPr>
            <w:tcW w:w="4250" w:type="dxa"/>
            <w:tcBorders>
              <w:top w:val="single" w:sz="2" w:space="0" w:color="auto"/>
              <w:bottom w:val="nil"/>
            </w:tcBorders>
            <w:shd w:val="clear" w:color="auto" w:fill="A8D08D" w:themeFill="accent6" w:themeFillTint="99"/>
          </w:tcPr>
          <w:p w14:paraId="4E74A037" w14:textId="77777777" w:rsidR="00B801F4" w:rsidRPr="00B801F4" w:rsidRDefault="00B801F4" w:rsidP="00B801F4">
            <w:pPr>
              <w:tabs>
                <w:tab w:val="left" w:pos="1080"/>
              </w:tabs>
              <w:spacing w:after="80"/>
              <w:rPr>
                <w:b/>
              </w:rPr>
            </w:pPr>
            <w:r w:rsidRPr="00B801F4">
              <w:rPr>
                <w:b/>
              </w:rPr>
              <w:t>Asset type</w:t>
            </w:r>
          </w:p>
        </w:tc>
        <w:tc>
          <w:tcPr>
            <w:tcW w:w="1134" w:type="dxa"/>
            <w:tcBorders>
              <w:top w:val="single" w:sz="2" w:space="0" w:color="auto"/>
              <w:bottom w:val="nil"/>
            </w:tcBorders>
            <w:shd w:val="clear" w:color="auto" w:fill="A8D08D" w:themeFill="accent6" w:themeFillTint="99"/>
          </w:tcPr>
          <w:p w14:paraId="6B333678" w14:textId="77777777" w:rsidR="00B801F4" w:rsidRPr="00B801F4" w:rsidRDefault="00B801F4" w:rsidP="00B801F4">
            <w:pPr>
              <w:tabs>
                <w:tab w:val="left" w:pos="1080"/>
              </w:tabs>
              <w:spacing w:after="80"/>
            </w:pPr>
          </w:p>
        </w:tc>
        <w:tc>
          <w:tcPr>
            <w:tcW w:w="3543" w:type="dxa"/>
            <w:gridSpan w:val="3"/>
            <w:tcBorders>
              <w:top w:val="single" w:sz="2" w:space="0" w:color="auto"/>
              <w:bottom w:val="nil"/>
            </w:tcBorders>
            <w:shd w:val="clear" w:color="auto" w:fill="A8D08D" w:themeFill="accent6" w:themeFillTint="99"/>
          </w:tcPr>
          <w:p w14:paraId="26BD874A" w14:textId="77777777" w:rsidR="00B801F4" w:rsidRPr="00B801F4" w:rsidRDefault="00B801F4" w:rsidP="00B801F4">
            <w:pPr>
              <w:tabs>
                <w:tab w:val="left" w:pos="1080"/>
              </w:tabs>
              <w:spacing w:after="80"/>
              <w:rPr>
                <w:b/>
              </w:rPr>
            </w:pPr>
            <w:r w:rsidRPr="00B801F4">
              <w:rPr>
                <w:b/>
              </w:rPr>
              <w:t>Change in year in net assets available to pay benefits</w:t>
            </w:r>
          </w:p>
        </w:tc>
        <w:tc>
          <w:tcPr>
            <w:tcW w:w="818" w:type="dxa"/>
            <w:tcBorders>
              <w:top w:val="single" w:sz="2" w:space="0" w:color="auto"/>
              <w:bottom w:val="nil"/>
            </w:tcBorders>
            <w:shd w:val="clear" w:color="auto" w:fill="A8D08D" w:themeFill="accent6" w:themeFillTint="99"/>
          </w:tcPr>
          <w:p w14:paraId="4FFBF8B9" w14:textId="77777777" w:rsidR="00B801F4" w:rsidRPr="00B801F4" w:rsidRDefault="00B801F4" w:rsidP="00B801F4">
            <w:pPr>
              <w:tabs>
                <w:tab w:val="left" w:pos="1080"/>
              </w:tabs>
              <w:spacing w:after="80"/>
              <w:rPr>
                <w:b/>
              </w:rPr>
            </w:pPr>
          </w:p>
        </w:tc>
      </w:tr>
      <w:tr w:rsidR="00B801F4" w:rsidRPr="00B801F4" w14:paraId="2FD3E749" w14:textId="77777777" w:rsidTr="00B801F4">
        <w:tc>
          <w:tcPr>
            <w:tcW w:w="4250" w:type="dxa"/>
            <w:tcBorders>
              <w:top w:val="nil"/>
              <w:bottom w:val="nil"/>
            </w:tcBorders>
            <w:shd w:val="clear" w:color="auto" w:fill="A8D08D" w:themeFill="accent6" w:themeFillTint="99"/>
          </w:tcPr>
          <w:p w14:paraId="5C8B3A80" w14:textId="77777777" w:rsidR="00B801F4" w:rsidRPr="00B801F4" w:rsidRDefault="00B801F4" w:rsidP="00B801F4">
            <w:pPr>
              <w:tabs>
                <w:tab w:val="left" w:pos="1080"/>
              </w:tabs>
              <w:spacing w:after="80"/>
            </w:pPr>
          </w:p>
        </w:tc>
        <w:tc>
          <w:tcPr>
            <w:tcW w:w="1559" w:type="dxa"/>
            <w:gridSpan w:val="2"/>
            <w:tcBorders>
              <w:top w:val="nil"/>
              <w:bottom w:val="nil"/>
            </w:tcBorders>
            <w:shd w:val="clear" w:color="auto" w:fill="A8D08D" w:themeFill="accent6" w:themeFillTint="99"/>
          </w:tcPr>
          <w:p w14:paraId="6450261A" w14:textId="77777777" w:rsidR="00B801F4" w:rsidRPr="00B801F4" w:rsidRDefault="00B801F4" w:rsidP="00B801F4">
            <w:pPr>
              <w:tabs>
                <w:tab w:val="left" w:pos="1080"/>
              </w:tabs>
              <w:spacing w:after="80"/>
              <w:jc w:val="right"/>
              <w:rPr>
                <w:b/>
              </w:rPr>
            </w:pPr>
            <w:r w:rsidRPr="00B801F4">
              <w:rPr>
                <w:b/>
              </w:rPr>
              <w:t>31/03/14</w:t>
            </w:r>
          </w:p>
        </w:tc>
        <w:tc>
          <w:tcPr>
            <w:tcW w:w="2126" w:type="dxa"/>
            <w:tcBorders>
              <w:top w:val="nil"/>
              <w:bottom w:val="nil"/>
            </w:tcBorders>
            <w:shd w:val="clear" w:color="auto" w:fill="A8D08D" w:themeFill="accent6" w:themeFillTint="99"/>
          </w:tcPr>
          <w:p w14:paraId="71D298F8" w14:textId="77777777" w:rsidR="00B801F4" w:rsidRPr="00B801F4" w:rsidRDefault="00B801F4" w:rsidP="00B801F4">
            <w:pPr>
              <w:tabs>
                <w:tab w:val="left" w:pos="1080"/>
              </w:tabs>
              <w:spacing w:after="80"/>
              <w:jc w:val="right"/>
              <w:rPr>
                <w:b/>
              </w:rPr>
            </w:pPr>
            <w:r w:rsidRPr="00B801F4">
              <w:rPr>
                <w:b/>
              </w:rPr>
              <w:t>+100BPS</w:t>
            </w:r>
          </w:p>
        </w:tc>
        <w:tc>
          <w:tcPr>
            <w:tcW w:w="1810" w:type="dxa"/>
            <w:gridSpan w:val="2"/>
            <w:tcBorders>
              <w:top w:val="nil"/>
              <w:bottom w:val="nil"/>
            </w:tcBorders>
            <w:shd w:val="clear" w:color="auto" w:fill="A8D08D" w:themeFill="accent6" w:themeFillTint="99"/>
          </w:tcPr>
          <w:p w14:paraId="37436704" w14:textId="77777777" w:rsidR="00B801F4" w:rsidRPr="00B801F4" w:rsidRDefault="00B801F4" w:rsidP="00B801F4">
            <w:pPr>
              <w:tabs>
                <w:tab w:val="left" w:pos="1080"/>
              </w:tabs>
              <w:spacing w:after="80"/>
              <w:jc w:val="right"/>
              <w:rPr>
                <w:b/>
              </w:rPr>
            </w:pPr>
            <w:r w:rsidRPr="00B801F4">
              <w:rPr>
                <w:b/>
              </w:rPr>
              <w:t>-100BPS</w:t>
            </w:r>
          </w:p>
        </w:tc>
      </w:tr>
      <w:tr w:rsidR="00B801F4" w:rsidRPr="00B801F4" w14:paraId="3BEF9B1A" w14:textId="77777777" w:rsidTr="00B801F4">
        <w:tc>
          <w:tcPr>
            <w:tcW w:w="4250" w:type="dxa"/>
            <w:tcBorders>
              <w:top w:val="nil"/>
              <w:bottom w:val="single" w:sz="2" w:space="0" w:color="auto"/>
            </w:tcBorders>
            <w:shd w:val="clear" w:color="auto" w:fill="A8D08D" w:themeFill="accent6" w:themeFillTint="99"/>
          </w:tcPr>
          <w:p w14:paraId="6F5CA565" w14:textId="77777777" w:rsidR="00B801F4" w:rsidRPr="00B801F4" w:rsidRDefault="00B801F4" w:rsidP="00B801F4">
            <w:pPr>
              <w:tabs>
                <w:tab w:val="left" w:pos="1080"/>
              </w:tabs>
              <w:spacing w:after="80"/>
            </w:pPr>
          </w:p>
        </w:tc>
        <w:tc>
          <w:tcPr>
            <w:tcW w:w="1559" w:type="dxa"/>
            <w:gridSpan w:val="2"/>
            <w:tcBorders>
              <w:top w:val="nil"/>
              <w:bottom w:val="single" w:sz="2" w:space="0" w:color="auto"/>
            </w:tcBorders>
            <w:shd w:val="clear" w:color="auto" w:fill="A8D08D" w:themeFill="accent6" w:themeFillTint="99"/>
          </w:tcPr>
          <w:p w14:paraId="504217A4" w14:textId="77777777" w:rsidR="00B801F4" w:rsidRPr="00B801F4" w:rsidRDefault="00B801F4" w:rsidP="00B801F4">
            <w:pPr>
              <w:tabs>
                <w:tab w:val="left" w:pos="1080"/>
              </w:tabs>
              <w:spacing w:after="80"/>
              <w:jc w:val="right"/>
              <w:rPr>
                <w:b/>
              </w:rPr>
            </w:pPr>
            <w:r w:rsidRPr="00B801F4">
              <w:rPr>
                <w:b/>
              </w:rPr>
              <w:t>£m</w:t>
            </w:r>
          </w:p>
        </w:tc>
        <w:tc>
          <w:tcPr>
            <w:tcW w:w="2126" w:type="dxa"/>
            <w:tcBorders>
              <w:top w:val="nil"/>
              <w:bottom w:val="single" w:sz="2" w:space="0" w:color="auto"/>
            </w:tcBorders>
            <w:shd w:val="clear" w:color="auto" w:fill="A8D08D" w:themeFill="accent6" w:themeFillTint="99"/>
          </w:tcPr>
          <w:p w14:paraId="1291C37A" w14:textId="77777777" w:rsidR="00B801F4" w:rsidRPr="00B801F4" w:rsidRDefault="00B801F4" w:rsidP="00B801F4">
            <w:pPr>
              <w:tabs>
                <w:tab w:val="left" w:pos="1080"/>
              </w:tabs>
              <w:spacing w:after="80"/>
              <w:jc w:val="right"/>
              <w:rPr>
                <w:b/>
              </w:rPr>
            </w:pPr>
            <w:r w:rsidRPr="00B801F4">
              <w:rPr>
                <w:b/>
              </w:rPr>
              <w:t>£m</w:t>
            </w:r>
          </w:p>
        </w:tc>
        <w:tc>
          <w:tcPr>
            <w:tcW w:w="1810" w:type="dxa"/>
            <w:gridSpan w:val="2"/>
            <w:tcBorders>
              <w:top w:val="nil"/>
              <w:bottom w:val="single" w:sz="2" w:space="0" w:color="auto"/>
            </w:tcBorders>
            <w:shd w:val="clear" w:color="auto" w:fill="A8D08D" w:themeFill="accent6" w:themeFillTint="99"/>
          </w:tcPr>
          <w:p w14:paraId="7D04CB13" w14:textId="77777777" w:rsidR="00B801F4" w:rsidRPr="00B801F4" w:rsidRDefault="00B801F4" w:rsidP="00B801F4">
            <w:pPr>
              <w:tabs>
                <w:tab w:val="left" w:pos="1080"/>
              </w:tabs>
              <w:spacing w:after="80"/>
              <w:jc w:val="right"/>
              <w:rPr>
                <w:b/>
              </w:rPr>
            </w:pPr>
            <w:r w:rsidRPr="00B801F4">
              <w:rPr>
                <w:b/>
              </w:rPr>
              <w:t>£m</w:t>
            </w:r>
          </w:p>
        </w:tc>
      </w:tr>
      <w:tr w:rsidR="00B801F4" w:rsidRPr="00B801F4" w14:paraId="3E61B969" w14:textId="77777777" w:rsidTr="00B801F4">
        <w:tc>
          <w:tcPr>
            <w:tcW w:w="4250" w:type="dxa"/>
            <w:tcBorders>
              <w:top w:val="single" w:sz="2" w:space="0" w:color="auto"/>
            </w:tcBorders>
          </w:tcPr>
          <w:p w14:paraId="721E1061" w14:textId="77777777" w:rsidR="00B801F4" w:rsidRPr="00B801F4" w:rsidRDefault="00B801F4" w:rsidP="00B801F4">
            <w:pPr>
              <w:tabs>
                <w:tab w:val="left" w:pos="1080"/>
              </w:tabs>
              <w:spacing w:after="80"/>
              <w:jc w:val="left"/>
            </w:pPr>
            <w:r w:rsidRPr="00B801F4">
              <w:t>Cash and cash equivalents</w:t>
            </w:r>
          </w:p>
        </w:tc>
        <w:tc>
          <w:tcPr>
            <w:tcW w:w="1559" w:type="dxa"/>
            <w:gridSpan w:val="2"/>
            <w:tcBorders>
              <w:top w:val="single" w:sz="2" w:space="0" w:color="auto"/>
            </w:tcBorders>
          </w:tcPr>
          <w:p w14:paraId="06675493" w14:textId="77777777" w:rsidR="00B801F4" w:rsidRPr="00B801F4" w:rsidRDefault="00B801F4" w:rsidP="00B801F4">
            <w:pPr>
              <w:tabs>
                <w:tab w:val="left" w:pos="1080"/>
              </w:tabs>
              <w:spacing w:after="80"/>
              <w:jc w:val="right"/>
            </w:pPr>
            <w:r w:rsidRPr="00B801F4">
              <w:t>315.5</w:t>
            </w:r>
          </w:p>
        </w:tc>
        <w:tc>
          <w:tcPr>
            <w:tcW w:w="2126" w:type="dxa"/>
            <w:tcBorders>
              <w:top w:val="single" w:sz="2" w:space="0" w:color="auto"/>
            </w:tcBorders>
          </w:tcPr>
          <w:p w14:paraId="45243E47" w14:textId="77777777" w:rsidR="00B801F4" w:rsidRPr="00B801F4" w:rsidRDefault="00B801F4" w:rsidP="00B801F4">
            <w:pPr>
              <w:tabs>
                <w:tab w:val="left" w:pos="1080"/>
              </w:tabs>
              <w:spacing w:after="80"/>
              <w:jc w:val="right"/>
            </w:pPr>
            <w:r w:rsidRPr="00B801F4">
              <w:t>3.1</w:t>
            </w:r>
          </w:p>
        </w:tc>
        <w:tc>
          <w:tcPr>
            <w:tcW w:w="1810" w:type="dxa"/>
            <w:gridSpan w:val="2"/>
            <w:tcBorders>
              <w:top w:val="single" w:sz="2" w:space="0" w:color="auto"/>
            </w:tcBorders>
          </w:tcPr>
          <w:p w14:paraId="1A761073" w14:textId="77777777" w:rsidR="00B801F4" w:rsidRPr="00B801F4" w:rsidRDefault="00B801F4" w:rsidP="00B801F4">
            <w:pPr>
              <w:tabs>
                <w:tab w:val="left" w:pos="1080"/>
              </w:tabs>
              <w:spacing w:after="80"/>
              <w:jc w:val="right"/>
            </w:pPr>
            <w:r w:rsidRPr="00B801F4">
              <w:t>(3.1)</w:t>
            </w:r>
          </w:p>
        </w:tc>
      </w:tr>
      <w:tr w:rsidR="00B801F4" w:rsidRPr="00B801F4" w14:paraId="56535D7A" w14:textId="77777777" w:rsidTr="00B801F4">
        <w:tc>
          <w:tcPr>
            <w:tcW w:w="4250" w:type="dxa"/>
          </w:tcPr>
          <w:p w14:paraId="4612BC5F" w14:textId="77777777" w:rsidR="00B801F4" w:rsidRPr="00B801F4" w:rsidRDefault="00B801F4" w:rsidP="00B801F4">
            <w:pPr>
              <w:tabs>
                <w:tab w:val="left" w:pos="1080"/>
              </w:tabs>
              <w:spacing w:after="80"/>
            </w:pPr>
            <w:r w:rsidRPr="00B801F4">
              <w:t>Fixed interest securities</w:t>
            </w:r>
          </w:p>
        </w:tc>
        <w:tc>
          <w:tcPr>
            <w:tcW w:w="1559" w:type="dxa"/>
            <w:gridSpan w:val="2"/>
          </w:tcPr>
          <w:p w14:paraId="57D17070" w14:textId="77777777" w:rsidR="00B801F4" w:rsidRPr="00B801F4" w:rsidRDefault="00B801F4" w:rsidP="00B801F4">
            <w:pPr>
              <w:tabs>
                <w:tab w:val="left" w:pos="1080"/>
              </w:tabs>
              <w:spacing w:after="80"/>
              <w:jc w:val="right"/>
            </w:pPr>
            <w:r w:rsidRPr="00B801F4">
              <w:t>1,250.3</w:t>
            </w:r>
          </w:p>
        </w:tc>
        <w:tc>
          <w:tcPr>
            <w:tcW w:w="2126" w:type="dxa"/>
          </w:tcPr>
          <w:p w14:paraId="18D3500E" w14:textId="77777777" w:rsidR="00B801F4" w:rsidRPr="00B801F4" w:rsidRDefault="00B801F4" w:rsidP="00B801F4">
            <w:pPr>
              <w:tabs>
                <w:tab w:val="left" w:pos="1080"/>
              </w:tabs>
              <w:spacing w:after="80"/>
              <w:jc w:val="right"/>
            </w:pPr>
            <w:r w:rsidRPr="00B801F4">
              <w:t>12.5</w:t>
            </w:r>
          </w:p>
        </w:tc>
        <w:tc>
          <w:tcPr>
            <w:tcW w:w="1810" w:type="dxa"/>
            <w:gridSpan w:val="2"/>
          </w:tcPr>
          <w:p w14:paraId="7DB2FAFB" w14:textId="77777777" w:rsidR="00B801F4" w:rsidRPr="00B801F4" w:rsidRDefault="00B801F4" w:rsidP="00B801F4">
            <w:pPr>
              <w:tabs>
                <w:tab w:val="left" w:pos="1080"/>
              </w:tabs>
              <w:spacing w:after="80"/>
              <w:jc w:val="right"/>
            </w:pPr>
            <w:r w:rsidRPr="00B801F4">
              <w:t>(12.5)</w:t>
            </w:r>
          </w:p>
        </w:tc>
      </w:tr>
      <w:tr w:rsidR="00B801F4" w:rsidRPr="00B801F4" w14:paraId="4F385104" w14:textId="77777777" w:rsidTr="00B801F4">
        <w:tc>
          <w:tcPr>
            <w:tcW w:w="4250" w:type="dxa"/>
            <w:shd w:val="clear" w:color="auto" w:fill="C5E0B3" w:themeFill="accent6" w:themeFillTint="66"/>
          </w:tcPr>
          <w:p w14:paraId="5735F98B" w14:textId="77777777" w:rsidR="00B801F4" w:rsidRPr="00B801F4" w:rsidRDefault="00B801F4" w:rsidP="00B801F4">
            <w:pPr>
              <w:tabs>
                <w:tab w:val="left" w:pos="1080"/>
              </w:tabs>
              <w:spacing w:after="80"/>
              <w:rPr>
                <w:b/>
              </w:rPr>
            </w:pPr>
            <w:r w:rsidRPr="00B801F4">
              <w:rPr>
                <w:b/>
              </w:rPr>
              <w:t>Total change in assets available</w:t>
            </w:r>
          </w:p>
        </w:tc>
        <w:tc>
          <w:tcPr>
            <w:tcW w:w="1559" w:type="dxa"/>
            <w:gridSpan w:val="2"/>
            <w:shd w:val="clear" w:color="auto" w:fill="C5E0B3" w:themeFill="accent6" w:themeFillTint="66"/>
          </w:tcPr>
          <w:p w14:paraId="4CB33CBC" w14:textId="77777777" w:rsidR="00B801F4" w:rsidRPr="00B801F4" w:rsidRDefault="00B801F4" w:rsidP="00B801F4">
            <w:pPr>
              <w:tabs>
                <w:tab w:val="left" w:pos="1080"/>
              </w:tabs>
              <w:spacing w:after="80"/>
              <w:jc w:val="right"/>
              <w:rPr>
                <w:b/>
              </w:rPr>
            </w:pPr>
            <w:r w:rsidRPr="00B801F4">
              <w:rPr>
                <w:b/>
              </w:rPr>
              <w:t>1,565.8</w:t>
            </w:r>
          </w:p>
        </w:tc>
        <w:tc>
          <w:tcPr>
            <w:tcW w:w="2126" w:type="dxa"/>
            <w:shd w:val="clear" w:color="auto" w:fill="C5E0B3" w:themeFill="accent6" w:themeFillTint="66"/>
          </w:tcPr>
          <w:p w14:paraId="132DE013" w14:textId="77777777" w:rsidR="00B801F4" w:rsidRPr="00B801F4" w:rsidRDefault="00B801F4" w:rsidP="00B801F4">
            <w:pPr>
              <w:tabs>
                <w:tab w:val="left" w:pos="1080"/>
              </w:tabs>
              <w:spacing w:after="80"/>
              <w:jc w:val="right"/>
              <w:rPr>
                <w:b/>
              </w:rPr>
            </w:pPr>
            <w:r w:rsidRPr="00B801F4">
              <w:rPr>
                <w:b/>
              </w:rPr>
              <w:t>15.6</w:t>
            </w:r>
          </w:p>
        </w:tc>
        <w:tc>
          <w:tcPr>
            <w:tcW w:w="1810" w:type="dxa"/>
            <w:gridSpan w:val="2"/>
            <w:shd w:val="clear" w:color="auto" w:fill="C5E0B3" w:themeFill="accent6" w:themeFillTint="66"/>
          </w:tcPr>
          <w:p w14:paraId="61FA0255" w14:textId="77777777" w:rsidR="00B801F4" w:rsidRPr="00B801F4" w:rsidRDefault="00B801F4" w:rsidP="00B801F4">
            <w:pPr>
              <w:tabs>
                <w:tab w:val="left" w:pos="1080"/>
              </w:tabs>
              <w:spacing w:after="80"/>
              <w:jc w:val="right"/>
              <w:rPr>
                <w:b/>
              </w:rPr>
            </w:pPr>
            <w:r w:rsidRPr="00B801F4">
              <w:rPr>
                <w:b/>
              </w:rPr>
              <w:t>(15.6)</w:t>
            </w:r>
          </w:p>
        </w:tc>
      </w:tr>
    </w:tbl>
    <w:p w14:paraId="3E88F400" w14:textId="77777777" w:rsidR="00B801F4" w:rsidRPr="00B801F4" w:rsidRDefault="00B801F4" w:rsidP="00B801F4">
      <w:pPr>
        <w:spacing w:after="0"/>
        <w:ind w:left="720"/>
        <w:rPr>
          <w:b/>
        </w:rPr>
      </w:pPr>
    </w:p>
    <w:p w14:paraId="27056CE8" w14:textId="77777777" w:rsidR="00B801F4" w:rsidRPr="00B801F4" w:rsidRDefault="00B801F4" w:rsidP="00B801F4">
      <w:pPr>
        <w:spacing w:after="0"/>
        <w:ind w:left="720"/>
      </w:pPr>
      <w:r w:rsidRPr="00B801F4">
        <w:rPr>
          <w:b/>
        </w:rPr>
        <w:t>18.5 Currency risk</w:t>
      </w:r>
    </w:p>
    <w:p w14:paraId="162FD002" w14:textId="77777777" w:rsidR="00B801F4" w:rsidRPr="00B801F4" w:rsidRDefault="00B801F4" w:rsidP="00B801F4">
      <w:pPr>
        <w:ind w:left="720"/>
        <w:jc w:val="left"/>
      </w:pPr>
      <w:r w:rsidRPr="00B801F4">
        <w:t xml:space="preserve">Currency risk represents the risk that the fair value cash flow of a financial instrument will fluctuate because of changes in foreign exchange rates. The Fund is exposed to currency risk on financial instruments that are denominated in any currency other than the functional currency of the Fund (£).  The Fund holds both monetary and non-monetary assets denominated in currencies other than £. </w:t>
      </w:r>
    </w:p>
    <w:p w14:paraId="434B9A65" w14:textId="77777777" w:rsidR="00B801F4" w:rsidRPr="00B801F4" w:rsidRDefault="00B801F4" w:rsidP="00B801F4">
      <w:pPr>
        <w:ind w:left="720"/>
        <w:jc w:val="left"/>
      </w:pPr>
      <w:r w:rsidRPr="00B801F4">
        <w:t xml:space="preserve">The Fund's currency rate risk is routinely monitored by the Fund and its investment advisors in accordance with the Fund's risk management strategy. </w:t>
      </w:r>
    </w:p>
    <w:p w14:paraId="466EDAF9" w14:textId="77777777" w:rsidR="00B801F4" w:rsidRPr="00B801F4" w:rsidRDefault="00B801F4" w:rsidP="00B801F4">
      <w:pPr>
        <w:ind w:left="720"/>
        <w:jc w:val="left"/>
      </w:pPr>
      <w:r w:rsidRPr="00B801F4">
        <w:t xml:space="preserve">The following table summarises the Fund's currency exposure as at 31 March 2015 and as at the previous year end:    </w:t>
      </w:r>
    </w:p>
    <w:p w14:paraId="25D36AD6" w14:textId="77777777" w:rsidR="00B801F4" w:rsidRPr="00B801F4" w:rsidRDefault="00B801F4" w:rsidP="00B801F4">
      <w:pPr>
        <w:ind w:left="720"/>
      </w:pPr>
    </w:p>
    <w:p w14:paraId="3AB64831" w14:textId="77777777" w:rsidR="00B801F4" w:rsidRPr="00B801F4" w:rsidRDefault="00B801F4" w:rsidP="00B801F4">
      <w:pPr>
        <w:ind w:left="720"/>
      </w:pPr>
    </w:p>
    <w:p w14:paraId="7DFC5F55" w14:textId="77777777" w:rsidR="00B801F4" w:rsidRPr="00B801F4" w:rsidRDefault="00B801F4" w:rsidP="00B801F4">
      <w:pPr>
        <w:ind w:left="720"/>
      </w:pPr>
    </w:p>
    <w:tbl>
      <w:tblPr>
        <w:tblStyle w:val="TableGrid1"/>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391"/>
        <w:gridCol w:w="426"/>
        <w:gridCol w:w="2409"/>
        <w:gridCol w:w="2519"/>
      </w:tblGrid>
      <w:tr w:rsidR="00B801F4" w:rsidRPr="00B801F4" w14:paraId="3E373D6A" w14:textId="77777777" w:rsidTr="00B801F4">
        <w:trPr>
          <w:trHeight w:val="207"/>
        </w:trPr>
        <w:tc>
          <w:tcPr>
            <w:tcW w:w="4391" w:type="dxa"/>
            <w:tcBorders>
              <w:top w:val="single" w:sz="2" w:space="0" w:color="auto"/>
              <w:bottom w:val="nil"/>
            </w:tcBorders>
            <w:shd w:val="clear" w:color="auto" w:fill="A8D08D" w:themeFill="accent6" w:themeFillTint="99"/>
          </w:tcPr>
          <w:p w14:paraId="55E2306C" w14:textId="77777777" w:rsidR="00B801F4" w:rsidRPr="00B801F4" w:rsidRDefault="00B801F4" w:rsidP="00B801F4">
            <w:pPr>
              <w:tabs>
                <w:tab w:val="left" w:pos="1080"/>
              </w:tabs>
              <w:spacing w:after="80"/>
              <w:jc w:val="left"/>
              <w:rPr>
                <w:b/>
              </w:rPr>
            </w:pPr>
            <w:r w:rsidRPr="00B801F4">
              <w:rPr>
                <w:b/>
              </w:rPr>
              <w:t>Currency exposure – asset type</w:t>
            </w:r>
          </w:p>
        </w:tc>
        <w:tc>
          <w:tcPr>
            <w:tcW w:w="2835" w:type="dxa"/>
            <w:gridSpan w:val="2"/>
            <w:tcBorders>
              <w:top w:val="single" w:sz="2" w:space="0" w:color="auto"/>
              <w:bottom w:val="nil"/>
            </w:tcBorders>
            <w:shd w:val="clear" w:color="auto" w:fill="A8D08D" w:themeFill="accent6" w:themeFillTint="99"/>
          </w:tcPr>
          <w:p w14:paraId="6168727A" w14:textId="77777777" w:rsidR="00B801F4" w:rsidRPr="00B801F4" w:rsidRDefault="00B801F4" w:rsidP="00B801F4">
            <w:pPr>
              <w:tabs>
                <w:tab w:val="left" w:pos="1080"/>
              </w:tabs>
              <w:spacing w:after="80"/>
              <w:jc w:val="right"/>
              <w:rPr>
                <w:b/>
              </w:rPr>
            </w:pPr>
          </w:p>
        </w:tc>
        <w:tc>
          <w:tcPr>
            <w:tcW w:w="2519" w:type="dxa"/>
            <w:tcBorders>
              <w:top w:val="single" w:sz="2" w:space="0" w:color="auto"/>
              <w:bottom w:val="nil"/>
            </w:tcBorders>
            <w:shd w:val="clear" w:color="auto" w:fill="A8D08D" w:themeFill="accent6" w:themeFillTint="99"/>
          </w:tcPr>
          <w:p w14:paraId="7EFCAAF4" w14:textId="77777777" w:rsidR="00B801F4" w:rsidRPr="00B801F4" w:rsidRDefault="00B801F4" w:rsidP="00B801F4">
            <w:pPr>
              <w:tabs>
                <w:tab w:val="left" w:pos="1080"/>
              </w:tabs>
              <w:spacing w:after="80"/>
              <w:jc w:val="right"/>
              <w:rPr>
                <w:b/>
              </w:rPr>
            </w:pPr>
          </w:p>
        </w:tc>
      </w:tr>
      <w:tr w:rsidR="00B801F4" w:rsidRPr="00B801F4" w14:paraId="506F8DB6" w14:textId="77777777" w:rsidTr="00B801F4">
        <w:tc>
          <w:tcPr>
            <w:tcW w:w="4391" w:type="dxa"/>
            <w:tcBorders>
              <w:top w:val="nil"/>
              <w:bottom w:val="nil"/>
            </w:tcBorders>
            <w:shd w:val="clear" w:color="auto" w:fill="A8D08D" w:themeFill="accent6" w:themeFillTint="99"/>
          </w:tcPr>
          <w:p w14:paraId="683BDF33" w14:textId="77777777" w:rsidR="00B801F4" w:rsidRPr="00B801F4" w:rsidRDefault="00B801F4" w:rsidP="00B801F4">
            <w:pPr>
              <w:tabs>
                <w:tab w:val="left" w:pos="1080"/>
              </w:tabs>
              <w:spacing w:after="80"/>
              <w:jc w:val="left"/>
              <w:rPr>
                <w:b/>
              </w:rPr>
            </w:pPr>
          </w:p>
        </w:tc>
        <w:tc>
          <w:tcPr>
            <w:tcW w:w="2835" w:type="dxa"/>
            <w:gridSpan w:val="2"/>
            <w:tcBorders>
              <w:top w:val="nil"/>
              <w:bottom w:val="nil"/>
            </w:tcBorders>
            <w:shd w:val="clear" w:color="auto" w:fill="A8D08D" w:themeFill="accent6" w:themeFillTint="99"/>
          </w:tcPr>
          <w:p w14:paraId="5BEEA39B" w14:textId="77777777" w:rsidR="00B801F4" w:rsidRPr="00B801F4" w:rsidRDefault="00B801F4" w:rsidP="00B801F4">
            <w:pPr>
              <w:tabs>
                <w:tab w:val="left" w:pos="1080"/>
              </w:tabs>
              <w:spacing w:after="80"/>
              <w:jc w:val="right"/>
              <w:rPr>
                <w:b/>
              </w:rPr>
            </w:pPr>
            <w:r w:rsidRPr="00B801F4">
              <w:rPr>
                <w:b/>
              </w:rPr>
              <w:t>31/03/15</w:t>
            </w:r>
          </w:p>
        </w:tc>
        <w:tc>
          <w:tcPr>
            <w:tcW w:w="2519" w:type="dxa"/>
            <w:tcBorders>
              <w:top w:val="nil"/>
              <w:bottom w:val="nil"/>
            </w:tcBorders>
            <w:shd w:val="clear" w:color="auto" w:fill="A8D08D" w:themeFill="accent6" w:themeFillTint="99"/>
          </w:tcPr>
          <w:p w14:paraId="6D0769B7" w14:textId="77777777" w:rsidR="00B801F4" w:rsidRPr="00B801F4" w:rsidRDefault="00B801F4" w:rsidP="00B801F4">
            <w:pPr>
              <w:tabs>
                <w:tab w:val="left" w:pos="1080"/>
              </w:tabs>
              <w:spacing w:after="80"/>
              <w:jc w:val="right"/>
              <w:rPr>
                <w:b/>
              </w:rPr>
            </w:pPr>
            <w:r w:rsidRPr="00B801F4">
              <w:rPr>
                <w:b/>
              </w:rPr>
              <w:t>31/03/14</w:t>
            </w:r>
          </w:p>
        </w:tc>
      </w:tr>
      <w:tr w:rsidR="00B801F4" w:rsidRPr="00B801F4" w14:paraId="4BB3B16B" w14:textId="77777777" w:rsidTr="00B801F4">
        <w:tc>
          <w:tcPr>
            <w:tcW w:w="4391" w:type="dxa"/>
            <w:tcBorders>
              <w:top w:val="nil"/>
              <w:bottom w:val="single" w:sz="2" w:space="0" w:color="auto"/>
            </w:tcBorders>
            <w:shd w:val="clear" w:color="auto" w:fill="A8D08D" w:themeFill="accent6" w:themeFillTint="99"/>
          </w:tcPr>
          <w:p w14:paraId="629C5F40" w14:textId="77777777" w:rsidR="00B801F4" w:rsidRPr="00B801F4" w:rsidRDefault="00B801F4" w:rsidP="00B801F4">
            <w:pPr>
              <w:tabs>
                <w:tab w:val="left" w:pos="1080"/>
              </w:tabs>
              <w:spacing w:after="80"/>
              <w:jc w:val="left"/>
              <w:rPr>
                <w:b/>
              </w:rPr>
            </w:pPr>
          </w:p>
        </w:tc>
        <w:tc>
          <w:tcPr>
            <w:tcW w:w="2835" w:type="dxa"/>
            <w:gridSpan w:val="2"/>
            <w:tcBorders>
              <w:top w:val="nil"/>
              <w:bottom w:val="single" w:sz="2" w:space="0" w:color="auto"/>
            </w:tcBorders>
            <w:shd w:val="clear" w:color="auto" w:fill="A8D08D" w:themeFill="accent6" w:themeFillTint="99"/>
          </w:tcPr>
          <w:p w14:paraId="23FEF5D0" w14:textId="77777777" w:rsidR="00B801F4" w:rsidRPr="00B801F4" w:rsidRDefault="00B801F4" w:rsidP="00B801F4">
            <w:pPr>
              <w:tabs>
                <w:tab w:val="left" w:pos="1080"/>
              </w:tabs>
              <w:spacing w:after="80"/>
              <w:jc w:val="right"/>
              <w:rPr>
                <w:b/>
              </w:rPr>
            </w:pPr>
            <w:r w:rsidRPr="00B801F4">
              <w:rPr>
                <w:b/>
              </w:rPr>
              <w:t>£m</w:t>
            </w:r>
          </w:p>
        </w:tc>
        <w:tc>
          <w:tcPr>
            <w:tcW w:w="2519" w:type="dxa"/>
            <w:tcBorders>
              <w:top w:val="nil"/>
              <w:bottom w:val="single" w:sz="2" w:space="0" w:color="auto"/>
            </w:tcBorders>
            <w:shd w:val="clear" w:color="auto" w:fill="A8D08D" w:themeFill="accent6" w:themeFillTint="99"/>
          </w:tcPr>
          <w:p w14:paraId="0729050E" w14:textId="77777777" w:rsidR="00B801F4" w:rsidRPr="00B801F4" w:rsidRDefault="00B801F4" w:rsidP="00B801F4">
            <w:pPr>
              <w:tabs>
                <w:tab w:val="left" w:pos="1080"/>
              </w:tabs>
              <w:spacing w:after="80"/>
              <w:jc w:val="right"/>
              <w:rPr>
                <w:b/>
              </w:rPr>
            </w:pPr>
            <w:r w:rsidRPr="00B801F4">
              <w:rPr>
                <w:b/>
              </w:rPr>
              <w:t>£m</w:t>
            </w:r>
          </w:p>
        </w:tc>
      </w:tr>
      <w:tr w:rsidR="00B801F4" w:rsidRPr="00B801F4" w14:paraId="08DBD20C" w14:textId="77777777" w:rsidTr="00B801F4">
        <w:tc>
          <w:tcPr>
            <w:tcW w:w="4817" w:type="dxa"/>
            <w:gridSpan w:val="2"/>
            <w:tcBorders>
              <w:top w:val="single" w:sz="2" w:space="0" w:color="auto"/>
            </w:tcBorders>
          </w:tcPr>
          <w:p w14:paraId="47AA2CB6" w14:textId="77777777" w:rsidR="00B801F4" w:rsidRPr="00B801F4" w:rsidRDefault="00B801F4" w:rsidP="00B801F4">
            <w:pPr>
              <w:tabs>
                <w:tab w:val="left" w:pos="1080"/>
              </w:tabs>
              <w:spacing w:after="80"/>
              <w:jc w:val="left"/>
            </w:pPr>
            <w:r w:rsidRPr="00B801F4">
              <w:t>Overseas bonds (including index linked)</w:t>
            </w:r>
          </w:p>
        </w:tc>
        <w:tc>
          <w:tcPr>
            <w:tcW w:w="2409" w:type="dxa"/>
            <w:tcBorders>
              <w:top w:val="single" w:sz="2" w:space="0" w:color="auto"/>
            </w:tcBorders>
          </w:tcPr>
          <w:p w14:paraId="66822FF6" w14:textId="77777777" w:rsidR="00B801F4" w:rsidRPr="00B801F4" w:rsidRDefault="00B801F4" w:rsidP="00B801F4">
            <w:pPr>
              <w:tabs>
                <w:tab w:val="left" w:pos="1080"/>
              </w:tabs>
              <w:spacing w:after="80"/>
              <w:jc w:val="right"/>
            </w:pPr>
            <w:r w:rsidRPr="00B801F4">
              <w:t>1,498.3</w:t>
            </w:r>
          </w:p>
        </w:tc>
        <w:tc>
          <w:tcPr>
            <w:tcW w:w="2519" w:type="dxa"/>
            <w:tcBorders>
              <w:top w:val="single" w:sz="2" w:space="0" w:color="auto"/>
            </w:tcBorders>
          </w:tcPr>
          <w:p w14:paraId="2B76D526" w14:textId="77777777" w:rsidR="00B801F4" w:rsidRPr="00B801F4" w:rsidRDefault="00B801F4" w:rsidP="00B801F4">
            <w:pPr>
              <w:tabs>
                <w:tab w:val="left" w:pos="1080"/>
              </w:tabs>
              <w:spacing w:after="80"/>
              <w:jc w:val="right"/>
            </w:pPr>
            <w:r w:rsidRPr="00B801F4">
              <w:t>1,127.3</w:t>
            </w:r>
          </w:p>
        </w:tc>
      </w:tr>
      <w:tr w:rsidR="00B801F4" w:rsidRPr="00B801F4" w14:paraId="0631FC28" w14:textId="77777777" w:rsidTr="00B801F4">
        <w:tc>
          <w:tcPr>
            <w:tcW w:w="4817" w:type="dxa"/>
            <w:gridSpan w:val="2"/>
          </w:tcPr>
          <w:p w14:paraId="7415D585" w14:textId="77777777" w:rsidR="00B801F4" w:rsidRPr="00B801F4" w:rsidRDefault="00B801F4" w:rsidP="00B801F4">
            <w:pPr>
              <w:tabs>
                <w:tab w:val="left" w:pos="1080"/>
              </w:tabs>
              <w:spacing w:after="80"/>
              <w:jc w:val="left"/>
            </w:pPr>
            <w:r w:rsidRPr="00B801F4">
              <w:t>Overseas equities</w:t>
            </w:r>
          </w:p>
        </w:tc>
        <w:tc>
          <w:tcPr>
            <w:tcW w:w="2409" w:type="dxa"/>
          </w:tcPr>
          <w:p w14:paraId="04AD543E" w14:textId="77777777" w:rsidR="00B801F4" w:rsidRPr="00B801F4" w:rsidRDefault="00B801F4" w:rsidP="00B801F4">
            <w:pPr>
              <w:tabs>
                <w:tab w:val="left" w:pos="1080"/>
              </w:tabs>
              <w:spacing w:after="80"/>
              <w:jc w:val="right"/>
            </w:pPr>
            <w:r w:rsidRPr="00B801F4">
              <w:t>2,513.8</w:t>
            </w:r>
          </w:p>
        </w:tc>
        <w:tc>
          <w:tcPr>
            <w:tcW w:w="2519" w:type="dxa"/>
          </w:tcPr>
          <w:p w14:paraId="08858AFF" w14:textId="77777777" w:rsidR="00B801F4" w:rsidRPr="00B801F4" w:rsidRDefault="00B801F4" w:rsidP="00B801F4">
            <w:pPr>
              <w:tabs>
                <w:tab w:val="left" w:pos="1080"/>
              </w:tabs>
              <w:spacing w:after="80"/>
              <w:jc w:val="right"/>
            </w:pPr>
            <w:r w:rsidRPr="00B801F4">
              <w:t>2,466.3</w:t>
            </w:r>
          </w:p>
        </w:tc>
      </w:tr>
      <w:tr w:rsidR="00B801F4" w:rsidRPr="00B801F4" w14:paraId="185CABC8" w14:textId="77777777" w:rsidTr="00B801F4">
        <w:tc>
          <w:tcPr>
            <w:tcW w:w="4817" w:type="dxa"/>
            <w:gridSpan w:val="2"/>
          </w:tcPr>
          <w:p w14:paraId="46A341C1" w14:textId="1DC602BA" w:rsidR="00B801F4" w:rsidRPr="00B801F4" w:rsidRDefault="00B801F4" w:rsidP="00F3615F">
            <w:pPr>
              <w:tabs>
                <w:tab w:val="left" w:pos="1080"/>
              </w:tabs>
              <w:spacing w:after="80"/>
              <w:jc w:val="left"/>
            </w:pPr>
            <w:r w:rsidRPr="00B801F4">
              <w:t xml:space="preserve">Overseas </w:t>
            </w:r>
            <w:r w:rsidR="00F3615F">
              <w:t>a</w:t>
            </w:r>
            <w:r w:rsidRPr="00B801F4">
              <w:t xml:space="preserve">lternatives </w:t>
            </w:r>
          </w:p>
        </w:tc>
        <w:tc>
          <w:tcPr>
            <w:tcW w:w="2409" w:type="dxa"/>
          </w:tcPr>
          <w:p w14:paraId="001E5DF0" w14:textId="77777777" w:rsidR="00B801F4" w:rsidRPr="00B801F4" w:rsidRDefault="00B801F4" w:rsidP="00B801F4">
            <w:pPr>
              <w:tabs>
                <w:tab w:val="left" w:pos="1080"/>
              </w:tabs>
              <w:spacing w:after="80"/>
              <w:jc w:val="right"/>
            </w:pPr>
            <w:r w:rsidRPr="00B801F4">
              <w:t>191.4</w:t>
            </w:r>
          </w:p>
        </w:tc>
        <w:tc>
          <w:tcPr>
            <w:tcW w:w="2519" w:type="dxa"/>
          </w:tcPr>
          <w:p w14:paraId="280664FB" w14:textId="77777777" w:rsidR="00B801F4" w:rsidRPr="00B801F4" w:rsidRDefault="00B801F4" w:rsidP="00B801F4">
            <w:pPr>
              <w:tabs>
                <w:tab w:val="left" w:pos="1080"/>
              </w:tabs>
              <w:spacing w:after="80"/>
              <w:jc w:val="right"/>
            </w:pPr>
            <w:r w:rsidRPr="00B801F4">
              <w:t>155.2</w:t>
            </w:r>
          </w:p>
        </w:tc>
      </w:tr>
      <w:tr w:rsidR="00B801F4" w:rsidRPr="00B801F4" w14:paraId="7AC2CEBA" w14:textId="77777777" w:rsidTr="00B801F4">
        <w:tc>
          <w:tcPr>
            <w:tcW w:w="4817" w:type="dxa"/>
            <w:gridSpan w:val="2"/>
          </w:tcPr>
          <w:p w14:paraId="3636DB2B" w14:textId="77777777" w:rsidR="00B801F4" w:rsidRPr="00B801F4" w:rsidRDefault="00B801F4" w:rsidP="00B801F4">
            <w:pPr>
              <w:tabs>
                <w:tab w:val="left" w:pos="1080"/>
              </w:tabs>
              <w:spacing w:after="80"/>
              <w:jc w:val="left"/>
            </w:pPr>
            <w:r w:rsidRPr="00B801F4">
              <w:t>Overseas property</w:t>
            </w:r>
          </w:p>
        </w:tc>
        <w:tc>
          <w:tcPr>
            <w:tcW w:w="2409" w:type="dxa"/>
          </w:tcPr>
          <w:p w14:paraId="7182CD58" w14:textId="77777777" w:rsidR="00B801F4" w:rsidRPr="00B801F4" w:rsidRDefault="00B801F4" w:rsidP="00B801F4">
            <w:pPr>
              <w:tabs>
                <w:tab w:val="left" w:pos="1080"/>
              </w:tabs>
              <w:spacing w:after="80"/>
              <w:jc w:val="right"/>
            </w:pPr>
            <w:r w:rsidRPr="00B801F4">
              <w:t>30.1</w:t>
            </w:r>
          </w:p>
        </w:tc>
        <w:tc>
          <w:tcPr>
            <w:tcW w:w="2519" w:type="dxa"/>
          </w:tcPr>
          <w:p w14:paraId="420CA92C" w14:textId="77777777" w:rsidR="00B801F4" w:rsidRPr="00B801F4" w:rsidRDefault="00B801F4" w:rsidP="00B801F4">
            <w:pPr>
              <w:tabs>
                <w:tab w:val="left" w:pos="1080"/>
              </w:tabs>
              <w:spacing w:after="80"/>
              <w:jc w:val="right"/>
            </w:pPr>
            <w:r w:rsidRPr="00B801F4">
              <w:t>25.1</w:t>
            </w:r>
          </w:p>
        </w:tc>
      </w:tr>
      <w:tr w:rsidR="00B801F4" w:rsidRPr="00B801F4" w14:paraId="5A668E0A" w14:textId="77777777" w:rsidTr="00B801F4">
        <w:tc>
          <w:tcPr>
            <w:tcW w:w="4817" w:type="dxa"/>
            <w:gridSpan w:val="2"/>
            <w:shd w:val="clear" w:color="auto" w:fill="C5E0B3" w:themeFill="accent6" w:themeFillTint="66"/>
          </w:tcPr>
          <w:p w14:paraId="1E81BC4B" w14:textId="77777777" w:rsidR="00B801F4" w:rsidRPr="00B801F4" w:rsidRDefault="00B801F4" w:rsidP="00B801F4">
            <w:pPr>
              <w:tabs>
                <w:tab w:val="left" w:pos="1080"/>
              </w:tabs>
              <w:spacing w:after="80"/>
              <w:jc w:val="left"/>
              <w:rPr>
                <w:b/>
              </w:rPr>
            </w:pPr>
            <w:r w:rsidRPr="00B801F4">
              <w:rPr>
                <w:b/>
              </w:rPr>
              <w:t>Total overseas assets</w:t>
            </w:r>
          </w:p>
        </w:tc>
        <w:tc>
          <w:tcPr>
            <w:tcW w:w="2409" w:type="dxa"/>
            <w:shd w:val="clear" w:color="auto" w:fill="C5E0B3" w:themeFill="accent6" w:themeFillTint="66"/>
          </w:tcPr>
          <w:p w14:paraId="7221537F" w14:textId="77777777" w:rsidR="00B801F4" w:rsidRPr="00B801F4" w:rsidRDefault="00B801F4" w:rsidP="00B801F4">
            <w:pPr>
              <w:tabs>
                <w:tab w:val="left" w:pos="1080"/>
              </w:tabs>
              <w:spacing w:after="80"/>
              <w:jc w:val="right"/>
              <w:rPr>
                <w:b/>
              </w:rPr>
            </w:pPr>
            <w:r w:rsidRPr="00B801F4">
              <w:rPr>
                <w:b/>
              </w:rPr>
              <w:t>4,233.6</w:t>
            </w:r>
          </w:p>
        </w:tc>
        <w:tc>
          <w:tcPr>
            <w:tcW w:w="2519" w:type="dxa"/>
            <w:shd w:val="clear" w:color="auto" w:fill="C5E0B3" w:themeFill="accent6" w:themeFillTint="66"/>
          </w:tcPr>
          <w:p w14:paraId="038D2F91" w14:textId="77777777" w:rsidR="00B801F4" w:rsidRPr="00B801F4" w:rsidRDefault="00B801F4" w:rsidP="00B801F4">
            <w:pPr>
              <w:tabs>
                <w:tab w:val="left" w:pos="1080"/>
              </w:tabs>
              <w:spacing w:after="80"/>
              <w:jc w:val="right"/>
              <w:rPr>
                <w:b/>
              </w:rPr>
            </w:pPr>
            <w:r w:rsidRPr="00B801F4">
              <w:rPr>
                <w:b/>
              </w:rPr>
              <w:t>3,773.9</w:t>
            </w:r>
          </w:p>
        </w:tc>
      </w:tr>
    </w:tbl>
    <w:p w14:paraId="2B63F099" w14:textId="77777777" w:rsidR="00B801F4" w:rsidRPr="00B801F4" w:rsidRDefault="00B801F4" w:rsidP="00B801F4">
      <w:pPr>
        <w:tabs>
          <w:tab w:val="left" w:pos="1080"/>
        </w:tabs>
        <w:spacing w:after="80"/>
        <w:ind w:left="709"/>
      </w:pPr>
    </w:p>
    <w:p w14:paraId="3411E4B1" w14:textId="77777777" w:rsidR="00B801F4" w:rsidRPr="00B801F4" w:rsidRDefault="00B801F4" w:rsidP="00B801F4">
      <w:pPr>
        <w:spacing w:after="0"/>
        <w:ind w:left="720"/>
      </w:pPr>
      <w:r w:rsidRPr="00B801F4">
        <w:rPr>
          <w:b/>
        </w:rPr>
        <w:t xml:space="preserve">18.5.1 Currency risk – sensitivity analysis </w:t>
      </w:r>
    </w:p>
    <w:p w14:paraId="2D7F1C3D" w14:textId="77777777" w:rsidR="00B801F4" w:rsidRPr="00B801F4" w:rsidRDefault="00B801F4" w:rsidP="00B801F4">
      <w:pPr>
        <w:ind w:left="720"/>
        <w:jc w:val="left"/>
      </w:pPr>
      <w:r w:rsidRPr="00B801F4">
        <w:t xml:space="preserve">Following analysis of historical data in consultation with the Fund's investment advisors, the Fund considers the likely volatility associated with foreign exchange rate movement to be 6.2% (as measured by one standard deviation). </w:t>
      </w:r>
    </w:p>
    <w:p w14:paraId="006B2402" w14:textId="77777777" w:rsidR="00B801F4" w:rsidRPr="00B801F4" w:rsidRDefault="00B801F4" w:rsidP="00B801F4">
      <w:pPr>
        <w:ind w:left="709"/>
        <w:jc w:val="left"/>
      </w:pPr>
      <w:r w:rsidRPr="00B801F4">
        <w:t>A 6.2% fluctuation in the currency is considered reasonable based on the Fund advisor's analysis of long-term historical movements in the month-end exchange rates over a rolling 36-month period.  This analysis assumes that all other variables, in particular interest rates, remain constant (previous year = 6%).</w:t>
      </w:r>
    </w:p>
    <w:p w14:paraId="29511E05" w14:textId="77777777" w:rsidR="00B801F4" w:rsidRPr="00B801F4" w:rsidRDefault="00B801F4" w:rsidP="00B801F4">
      <w:pPr>
        <w:ind w:left="709"/>
        <w:jc w:val="left"/>
      </w:pPr>
      <w:r w:rsidRPr="00B801F4">
        <w:t>A 6.2% strengthening/weakening of the pound against the various currencies in which the Fund holds investments would increase/decrease the net assets available to pay benefits as follows:</w:t>
      </w:r>
    </w:p>
    <w:tbl>
      <w:tblPr>
        <w:tblStyle w:val="TableGrid1"/>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394"/>
        <w:gridCol w:w="740"/>
        <w:gridCol w:w="425"/>
        <w:gridCol w:w="2126"/>
        <w:gridCol w:w="992"/>
        <w:gridCol w:w="818"/>
      </w:tblGrid>
      <w:tr w:rsidR="00B801F4" w:rsidRPr="00B801F4" w14:paraId="5E302CFA" w14:textId="77777777" w:rsidTr="00B801F4">
        <w:tc>
          <w:tcPr>
            <w:tcW w:w="4250" w:type="dxa"/>
            <w:tcBorders>
              <w:top w:val="single" w:sz="2" w:space="0" w:color="auto"/>
              <w:bottom w:val="nil"/>
            </w:tcBorders>
            <w:shd w:val="clear" w:color="auto" w:fill="A8D08D" w:themeFill="accent6" w:themeFillTint="99"/>
          </w:tcPr>
          <w:p w14:paraId="27F96FA0" w14:textId="77777777" w:rsidR="00B801F4" w:rsidRPr="00B801F4" w:rsidRDefault="00B801F4" w:rsidP="00B801F4">
            <w:pPr>
              <w:tabs>
                <w:tab w:val="left" w:pos="1080"/>
              </w:tabs>
              <w:spacing w:after="80"/>
              <w:rPr>
                <w:b/>
              </w:rPr>
            </w:pPr>
            <w:r w:rsidRPr="00B801F4">
              <w:rPr>
                <w:b/>
              </w:rPr>
              <w:t>Currency exposure - asset type</w:t>
            </w:r>
          </w:p>
        </w:tc>
        <w:tc>
          <w:tcPr>
            <w:tcW w:w="1134" w:type="dxa"/>
            <w:gridSpan w:val="2"/>
            <w:tcBorders>
              <w:top w:val="single" w:sz="2" w:space="0" w:color="auto"/>
              <w:bottom w:val="nil"/>
            </w:tcBorders>
            <w:shd w:val="clear" w:color="auto" w:fill="A8D08D" w:themeFill="accent6" w:themeFillTint="99"/>
          </w:tcPr>
          <w:p w14:paraId="273C08E2" w14:textId="77777777" w:rsidR="00B801F4" w:rsidRPr="00B801F4" w:rsidRDefault="00B801F4" w:rsidP="00B801F4">
            <w:pPr>
              <w:tabs>
                <w:tab w:val="left" w:pos="1080"/>
              </w:tabs>
              <w:spacing w:after="80"/>
            </w:pPr>
          </w:p>
        </w:tc>
        <w:tc>
          <w:tcPr>
            <w:tcW w:w="3543" w:type="dxa"/>
            <w:gridSpan w:val="3"/>
            <w:tcBorders>
              <w:top w:val="single" w:sz="2" w:space="0" w:color="auto"/>
              <w:bottom w:val="nil"/>
            </w:tcBorders>
            <w:shd w:val="clear" w:color="auto" w:fill="A8D08D" w:themeFill="accent6" w:themeFillTint="99"/>
          </w:tcPr>
          <w:p w14:paraId="452D8754" w14:textId="77777777" w:rsidR="00B801F4" w:rsidRPr="00B801F4" w:rsidRDefault="00B801F4" w:rsidP="00B801F4">
            <w:pPr>
              <w:tabs>
                <w:tab w:val="left" w:pos="1080"/>
              </w:tabs>
              <w:spacing w:after="80"/>
              <w:rPr>
                <w:b/>
              </w:rPr>
            </w:pPr>
            <w:r w:rsidRPr="00B801F4">
              <w:rPr>
                <w:b/>
              </w:rPr>
              <w:t>Change in year in net assets available to pay benefits</w:t>
            </w:r>
          </w:p>
        </w:tc>
        <w:tc>
          <w:tcPr>
            <w:tcW w:w="818" w:type="dxa"/>
            <w:tcBorders>
              <w:top w:val="single" w:sz="2" w:space="0" w:color="auto"/>
              <w:bottom w:val="nil"/>
            </w:tcBorders>
            <w:shd w:val="clear" w:color="auto" w:fill="A8D08D" w:themeFill="accent6" w:themeFillTint="99"/>
          </w:tcPr>
          <w:p w14:paraId="7EAD6CB4" w14:textId="77777777" w:rsidR="00B801F4" w:rsidRPr="00B801F4" w:rsidRDefault="00B801F4" w:rsidP="00B801F4">
            <w:pPr>
              <w:tabs>
                <w:tab w:val="left" w:pos="1080"/>
              </w:tabs>
              <w:spacing w:after="80"/>
              <w:rPr>
                <w:b/>
              </w:rPr>
            </w:pPr>
          </w:p>
        </w:tc>
      </w:tr>
      <w:tr w:rsidR="00B801F4" w:rsidRPr="00B801F4" w14:paraId="5345F843" w14:textId="77777777" w:rsidTr="00B801F4">
        <w:tc>
          <w:tcPr>
            <w:tcW w:w="4250" w:type="dxa"/>
            <w:tcBorders>
              <w:top w:val="nil"/>
              <w:bottom w:val="nil"/>
            </w:tcBorders>
            <w:shd w:val="clear" w:color="auto" w:fill="A8D08D" w:themeFill="accent6" w:themeFillTint="99"/>
          </w:tcPr>
          <w:p w14:paraId="793A48C3" w14:textId="77777777" w:rsidR="00B801F4" w:rsidRPr="00B801F4" w:rsidRDefault="00B801F4" w:rsidP="00B801F4">
            <w:pPr>
              <w:tabs>
                <w:tab w:val="left" w:pos="1080"/>
              </w:tabs>
              <w:spacing w:after="80"/>
            </w:pPr>
          </w:p>
        </w:tc>
        <w:tc>
          <w:tcPr>
            <w:tcW w:w="1559" w:type="dxa"/>
            <w:gridSpan w:val="3"/>
            <w:tcBorders>
              <w:top w:val="nil"/>
              <w:bottom w:val="nil"/>
            </w:tcBorders>
            <w:shd w:val="clear" w:color="auto" w:fill="A8D08D" w:themeFill="accent6" w:themeFillTint="99"/>
          </w:tcPr>
          <w:p w14:paraId="4C0647CA" w14:textId="77777777" w:rsidR="00B801F4" w:rsidRPr="00B801F4" w:rsidRDefault="00B801F4" w:rsidP="00B801F4">
            <w:pPr>
              <w:tabs>
                <w:tab w:val="left" w:pos="1080"/>
              </w:tabs>
              <w:spacing w:after="80"/>
              <w:jc w:val="right"/>
              <w:rPr>
                <w:b/>
              </w:rPr>
            </w:pPr>
            <w:r w:rsidRPr="00B801F4">
              <w:rPr>
                <w:b/>
              </w:rPr>
              <w:t>31/03/15</w:t>
            </w:r>
          </w:p>
        </w:tc>
        <w:tc>
          <w:tcPr>
            <w:tcW w:w="2126" w:type="dxa"/>
            <w:tcBorders>
              <w:top w:val="nil"/>
              <w:bottom w:val="nil"/>
            </w:tcBorders>
            <w:shd w:val="clear" w:color="auto" w:fill="A8D08D" w:themeFill="accent6" w:themeFillTint="99"/>
          </w:tcPr>
          <w:p w14:paraId="27FD0067" w14:textId="77777777" w:rsidR="00B801F4" w:rsidRPr="00B801F4" w:rsidRDefault="00B801F4" w:rsidP="00B801F4">
            <w:pPr>
              <w:tabs>
                <w:tab w:val="left" w:pos="1080"/>
              </w:tabs>
              <w:spacing w:after="80"/>
              <w:jc w:val="right"/>
              <w:rPr>
                <w:b/>
              </w:rPr>
            </w:pPr>
            <w:r w:rsidRPr="00B801F4">
              <w:rPr>
                <w:b/>
              </w:rPr>
              <w:t>+</w:t>
            </w:r>
            <w:r w:rsidRPr="00B801F4">
              <w:rPr>
                <w:b/>
                <w:shd w:val="clear" w:color="auto" w:fill="A8D08D" w:themeFill="accent6" w:themeFillTint="99"/>
              </w:rPr>
              <w:t>6.2%</w:t>
            </w:r>
          </w:p>
        </w:tc>
        <w:tc>
          <w:tcPr>
            <w:tcW w:w="1810" w:type="dxa"/>
            <w:gridSpan w:val="2"/>
            <w:tcBorders>
              <w:top w:val="nil"/>
              <w:bottom w:val="nil"/>
            </w:tcBorders>
            <w:shd w:val="clear" w:color="auto" w:fill="A8D08D" w:themeFill="accent6" w:themeFillTint="99"/>
          </w:tcPr>
          <w:p w14:paraId="3005381A" w14:textId="77777777" w:rsidR="00B801F4" w:rsidRPr="00B801F4" w:rsidRDefault="00B801F4" w:rsidP="00B801F4">
            <w:pPr>
              <w:tabs>
                <w:tab w:val="left" w:pos="1080"/>
              </w:tabs>
              <w:spacing w:after="80"/>
              <w:jc w:val="right"/>
              <w:rPr>
                <w:b/>
              </w:rPr>
            </w:pPr>
            <w:r w:rsidRPr="00B801F4">
              <w:rPr>
                <w:b/>
              </w:rPr>
              <w:t>-</w:t>
            </w:r>
            <w:r w:rsidRPr="00B801F4">
              <w:rPr>
                <w:b/>
                <w:shd w:val="clear" w:color="auto" w:fill="A8D08D" w:themeFill="accent6" w:themeFillTint="99"/>
              </w:rPr>
              <w:t>6.2%</w:t>
            </w:r>
          </w:p>
        </w:tc>
      </w:tr>
      <w:tr w:rsidR="00B801F4" w:rsidRPr="00B801F4" w14:paraId="359CAC10" w14:textId="77777777" w:rsidTr="00B801F4">
        <w:tc>
          <w:tcPr>
            <w:tcW w:w="4250" w:type="dxa"/>
            <w:tcBorders>
              <w:top w:val="nil"/>
              <w:bottom w:val="single" w:sz="2" w:space="0" w:color="auto"/>
            </w:tcBorders>
            <w:shd w:val="clear" w:color="auto" w:fill="A8D08D" w:themeFill="accent6" w:themeFillTint="99"/>
          </w:tcPr>
          <w:p w14:paraId="3E5212BC" w14:textId="77777777" w:rsidR="00B801F4" w:rsidRPr="00B801F4" w:rsidRDefault="00B801F4" w:rsidP="00B801F4">
            <w:pPr>
              <w:tabs>
                <w:tab w:val="left" w:pos="1080"/>
              </w:tabs>
              <w:spacing w:after="80"/>
            </w:pPr>
          </w:p>
        </w:tc>
        <w:tc>
          <w:tcPr>
            <w:tcW w:w="1559" w:type="dxa"/>
            <w:gridSpan w:val="3"/>
            <w:tcBorders>
              <w:top w:val="nil"/>
              <w:bottom w:val="single" w:sz="2" w:space="0" w:color="auto"/>
            </w:tcBorders>
            <w:shd w:val="clear" w:color="auto" w:fill="A8D08D" w:themeFill="accent6" w:themeFillTint="99"/>
          </w:tcPr>
          <w:p w14:paraId="6DA57B74" w14:textId="77777777" w:rsidR="00B801F4" w:rsidRPr="00B801F4" w:rsidRDefault="00B801F4" w:rsidP="00B801F4">
            <w:pPr>
              <w:tabs>
                <w:tab w:val="left" w:pos="1080"/>
              </w:tabs>
              <w:spacing w:after="80"/>
              <w:jc w:val="right"/>
              <w:rPr>
                <w:b/>
              </w:rPr>
            </w:pPr>
            <w:r w:rsidRPr="00B801F4">
              <w:rPr>
                <w:b/>
              </w:rPr>
              <w:t>£m</w:t>
            </w:r>
          </w:p>
        </w:tc>
        <w:tc>
          <w:tcPr>
            <w:tcW w:w="2126" w:type="dxa"/>
            <w:tcBorders>
              <w:top w:val="nil"/>
              <w:bottom w:val="single" w:sz="2" w:space="0" w:color="auto"/>
            </w:tcBorders>
            <w:shd w:val="clear" w:color="auto" w:fill="A8D08D" w:themeFill="accent6" w:themeFillTint="99"/>
          </w:tcPr>
          <w:p w14:paraId="007E0416" w14:textId="77777777" w:rsidR="00B801F4" w:rsidRPr="00B801F4" w:rsidRDefault="00B801F4" w:rsidP="00B801F4">
            <w:pPr>
              <w:tabs>
                <w:tab w:val="left" w:pos="1080"/>
              </w:tabs>
              <w:spacing w:after="80"/>
              <w:jc w:val="right"/>
              <w:rPr>
                <w:b/>
              </w:rPr>
            </w:pPr>
            <w:r w:rsidRPr="00B801F4">
              <w:rPr>
                <w:b/>
              </w:rPr>
              <w:t>£m</w:t>
            </w:r>
          </w:p>
        </w:tc>
        <w:tc>
          <w:tcPr>
            <w:tcW w:w="1810" w:type="dxa"/>
            <w:gridSpan w:val="2"/>
            <w:tcBorders>
              <w:top w:val="nil"/>
              <w:bottom w:val="single" w:sz="2" w:space="0" w:color="auto"/>
            </w:tcBorders>
            <w:shd w:val="clear" w:color="auto" w:fill="A8D08D" w:themeFill="accent6" w:themeFillTint="99"/>
          </w:tcPr>
          <w:p w14:paraId="7D6F65AD" w14:textId="77777777" w:rsidR="00B801F4" w:rsidRPr="00B801F4" w:rsidRDefault="00B801F4" w:rsidP="00B801F4">
            <w:pPr>
              <w:tabs>
                <w:tab w:val="left" w:pos="1080"/>
              </w:tabs>
              <w:spacing w:after="80"/>
              <w:jc w:val="right"/>
              <w:rPr>
                <w:b/>
              </w:rPr>
            </w:pPr>
            <w:r w:rsidRPr="00B801F4">
              <w:rPr>
                <w:b/>
              </w:rPr>
              <w:t>£m</w:t>
            </w:r>
          </w:p>
        </w:tc>
      </w:tr>
      <w:tr w:rsidR="00B801F4" w:rsidRPr="00B801F4" w14:paraId="1CB6415F" w14:textId="77777777" w:rsidTr="00B801F4">
        <w:tc>
          <w:tcPr>
            <w:tcW w:w="4644" w:type="dxa"/>
            <w:gridSpan w:val="2"/>
            <w:tcBorders>
              <w:top w:val="single" w:sz="2" w:space="0" w:color="auto"/>
            </w:tcBorders>
          </w:tcPr>
          <w:p w14:paraId="5681BDC0" w14:textId="77777777" w:rsidR="00B801F4" w:rsidRPr="00B801F4" w:rsidRDefault="00B801F4" w:rsidP="00B801F4">
            <w:pPr>
              <w:tabs>
                <w:tab w:val="left" w:pos="1080"/>
              </w:tabs>
              <w:spacing w:after="80"/>
              <w:jc w:val="left"/>
            </w:pPr>
            <w:r w:rsidRPr="00B801F4">
              <w:t>Overseas bonds (including index linked)</w:t>
            </w:r>
          </w:p>
        </w:tc>
        <w:tc>
          <w:tcPr>
            <w:tcW w:w="1165" w:type="dxa"/>
            <w:gridSpan w:val="2"/>
            <w:tcBorders>
              <w:top w:val="single" w:sz="2" w:space="0" w:color="auto"/>
            </w:tcBorders>
          </w:tcPr>
          <w:p w14:paraId="4A5943B8" w14:textId="77777777" w:rsidR="00B801F4" w:rsidRPr="00B801F4" w:rsidRDefault="00B801F4" w:rsidP="00B801F4">
            <w:pPr>
              <w:tabs>
                <w:tab w:val="left" w:pos="1080"/>
              </w:tabs>
              <w:spacing w:after="80"/>
              <w:jc w:val="right"/>
            </w:pPr>
            <w:r w:rsidRPr="00B801F4">
              <w:t>1,498.3</w:t>
            </w:r>
          </w:p>
        </w:tc>
        <w:tc>
          <w:tcPr>
            <w:tcW w:w="2126" w:type="dxa"/>
            <w:tcBorders>
              <w:top w:val="single" w:sz="2" w:space="0" w:color="auto"/>
            </w:tcBorders>
          </w:tcPr>
          <w:p w14:paraId="5D87C2EF" w14:textId="77777777" w:rsidR="00B801F4" w:rsidRPr="00B801F4" w:rsidRDefault="00B801F4" w:rsidP="00B801F4">
            <w:pPr>
              <w:tabs>
                <w:tab w:val="left" w:pos="1080"/>
              </w:tabs>
              <w:spacing w:after="80"/>
              <w:jc w:val="right"/>
            </w:pPr>
            <w:r w:rsidRPr="00B801F4">
              <w:t>1,591.2</w:t>
            </w:r>
          </w:p>
        </w:tc>
        <w:tc>
          <w:tcPr>
            <w:tcW w:w="1810" w:type="dxa"/>
            <w:gridSpan w:val="2"/>
            <w:tcBorders>
              <w:top w:val="single" w:sz="2" w:space="0" w:color="auto"/>
            </w:tcBorders>
          </w:tcPr>
          <w:p w14:paraId="3C4E238A" w14:textId="77777777" w:rsidR="00B801F4" w:rsidRPr="00B801F4" w:rsidRDefault="00B801F4" w:rsidP="00B801F4">
            <w:pPr>
              <w:tabs>
                <w:tab w:val="left" w:pos="1080"/>
              </w:tabs>
              <w:spacing w:after="80"/>
              <w:jc w:val="right"/>
            </w:pPr>
            <w:r w:rsidRPr="00B801F4">
              <w:t>1,405.4</w:t>
            </w:r>
          </w:p>
        </w:tc>
      </w:tr>
      <w:tr w:rsidR="00B801F4" w:rsidRPr="00B801F4" w14:paraId="5B597A87" w14:textId="77777777" w:rsidTr="00B801F4">
        <w:tc>
          <w:tcPr>
            <w:tcW w:w="4644" w:type="dxa"/>
            <w:gridSpan w:val="2"/>
          </w:tcPr>
          <w:p w14:paraId="16F6A3FE" w14:textId="77777777" w:rsidR="00B801F4" w:rsidRPr="00B801F4" w:rsidRDefault="00B801F4" w:rsidP="00B801F4">
            <w:pPr>
              <w:tabs>
                <w:tab w:val="left" w:pos="1080"/>
              </w:tabs>
              <w:spacing w:after="80"/>
              <w:jc w:val="left"/>
            </w:pPr>
            <w:r w:rsidRPr="00B801F4">
              <w:t>Overseas equities</w:t>
            </w:r>
          </w:p>
        </w:tc>
        <w:tc>
          <w:tcPr>
            <w:tcW w:w="1165" w:type="dxa"/>
            <w:gridSpan w:val="2"/>
          </w:tcPr>
          <w:p w14:paraId="0EFE0FE2" w14:textId="77777777" w:rsidR="00B801F4" w:rsidRPr="00B801F4" w:rsidRDefault="00B801F4" w:rsidP="00B801F4">
            <w:pPr>
              <w:tabs>
                <w:tab w:val="left" w:pos="1080"/>
              </w:tabs>
              <w:spacing w:after="80"/>
              <w:jc w:val="right"/>
            </w:pPr>
            <w:r w:rsidRPr="00B801F4">
              <w:t>2,513.8</w:t>
            </w:r>
          </w:p>
        </w:tc>
        <w:tc>
          <w:tcPr>
            <w:tcW w:w="2126" w:type="dxa"/>
          </w:tcPr>
          <w:p w14:paraId="43B404F4" w14:textId="77777777" w:rsidR="00B801F4" w:rsidRPr="00B801F4" w:rsidRDefault="00B801F4" w:rsidP="00B801F4">
            <w:pPr>
              <w:tabs>
                <w:tab w:val="left" w:pos="1080"/>
              </w:tabs>
              <w:spacing w:after="80"/>
              <w:jc w:val="right"/>
            </w:pPr>
            <w:r w:rsidRPr="00B801F4">
              <w:t>2,669.6</w:t>
            </w:r>
          </w:p>
        </w:tc>
        <w:tc>
          <w:tcPr>
            <w:tcW w:w="1810" w:type="dxa"/>
            <w:gridSpan w:val="2"/>
          </w:tcPr>
          <w:p w14:paraId="6C2ED2CA" w14:textId="77777777" w:rsidR="00B801F4" w:rsidRPr="00B801F4" w:rsidRDefault="00B801F4" w:rsidP="00B801F4">
            <w:pPr>
              <w:tabs>
                <w:tab w:val="left" w:pos="1080"/>
              </w:tabs>
              <w:spacing w:after="80"/>
              <w:jc w:val="right"/>
            </w:pPr>
            <w:r w:rsidRPr="00B801F4">
              <w:t>2,357.9</w:t>
            </w:r>
          </w:p>
        </w:tc>
      </w:tr>
      <w:tr w:rsidR="00B801F4" w:rsidRPr="00B801F4" w14:paraId="77AE48E6" w14:textId="77777777" w:rsidTr="00B801F4">
        <w:tc>
          <w:tcPr>
            <w:tcW w:w="4644" w:type="dxa"/>
            <w:gridSpan w:val="2"/>
          </w:tcPr>
          <w:p w14:paraId="12BE83A8" w14:textId="5063670C" w:rsidR="00B801F4" w:rsidRPr="00B801F4" w:rsidRDefault="00B801F4" w:rsidP="00F3615F">
            <w:pPr>
              <w:tabs>
                <w:tab w:val="left" w:pos="1080"/>
              </w:tabs>
              <w:spacing w:after="80"/>
              <w:jc w:val="left"/>
            </w:pPr>
            <w:r w:rsidRPr="00B801F4">
              <w:t xml:space="preserve">Overseas </w:t>
            </w:r>
            <w:r w:rsidR="00F3615F">
              <w:t>a</w:t>
            </w:r>
            <w:r w:rsidRPr="00B801F4">
              <w:t xml:space="preserve">lternatives </w:t>
            </w:r>
          </w:p>
        </w:tc>
        <w:tc>
          <w:tcPr>
            <w:tcW w:w="1165" w:type="dxa"/>
            <w:gridSpan w:val="2"/>
          </w:tcPr>
          <w:p w14:paraId="31CD8C1D" w14:textId="77777777" w:rsidR="00B801F4" w:rsidRPr="00B801F4" w:rsidRDefault="00B801F4" w:rsidP="00B801F4">
            <w:pPr>
              <w:tabs>
                <w:tab w:val="left" w:pos="1080"/>
              </w:tabs>
              <w:spacing w:after="80"/>
              <w:jc w:val="right"/>
            </w:pPr>
            <w:r w:rsidRPr="00B801F4">
              <w:t>191.4</w:t>
            </w:r>
          </w:p>
        </w:tc>
        <w:tc>
          <w:tcPr>
            <w:tcW w:w="2126" w:type="dxa"/>
          </w:tcPr>
          <w:p w14:paraId="35850456" w14:textId="77777777" w:rsidR="00B801F4" w:rsidRPr="00B801F4" w:rsidRDefault="00B801F4" w:rsidP="00B801F4">
            <w:pPr>
              <w:tabs>
                <w:tab w:val="left" w:pos="1080"/>
              </w:tabs>
              <w:spacing w:after="80"/>
              <w:jc w:val="right"/>
            </w:pPr>
            <w:r w:rsidRPr="00B801F4">
              <w:t>203.3</w:t>
            </w:r>
          </w:p>
        </w:tc>
        <w:tc>
          <w:tcPr>
            <w:tcW w:w="1810" w:type="dxa"/>
            <w:gridSpan w:val="2"/>
          </w:tcPr>
          <w:p w14:paraId="4B041BE0" w14:textId="77777777" w:rsidR="00B801F4" w:rsidRPr="00B801F4" w:rsidRDefault="00B801F4" w:rsidP="00B801F4">
            <w:pPr>
              <w:tabs>
                <w:tab w:val="left" w:pos="1080"/>
              </w:tabs>
              <w:spacing w:after="80"/>
              <w:jc w:val="right"/>
            </w:pPr>
            <w:r w:rsidRPr="00B801F4">
              <w:t>179.5</w:t>
            </w:r>
          </w:p>
        </w:tc>
      </w:tr>
      <w:tr w:rsidR="00B801F4" w:rsidRPr="00B801F4" w14:paraId="07F481E3" w14:textId="77777777" w:rsidTr="00B801F4">
        <w:tc>
          <w:tcPr>
            <w:tcW w:w="4644" w:type="dxa"/>
            <w:gridSpan w:val="2"/>
          </w:tcPr>
          <w:p w14:paraId="742F884D" w14:textId="77777777" w:rsidR="00B801F4" w:rsidRPr="00B801F4" w:rsidRDefault="00B801F4" w:rsidP="00B801F4">
            <w:pPr>
              <w:tabs>
                <w:tab w:val="left" w:pos="1080"/>
              </w:tabs>
              <w:spacing w:after="80"/>
              <w:jc w:val="left"/>
            </w:pPr>
            <w:r w:rsidRPr="00B801F4">
              <w:t>Overseas property</w:t>
            </w:r>
          </w:p>
        </w:tc>
        <w:tc>
          <w:tcPr>
            <w:tcW w:w="1165" w:type="dxa"/>
            <w:gridSpan w:val="2"/>
          </w:tcPr>
          <w:p w14:paraId="5E8CEFC7" w14:textId="77777777" w:rsidR="00B801F4" w:rsidRPr="00B801F4" w:rsidRDefault="00B801F4" w:rsidP="00B801F4">
            <w:pPr>
              <w:tabs>
                <w:tab w:val="left" w:pos="1080"/>
              </w:tabs>
              <w:spacing w:after="80"/>
              <w:jc w:val="right"/>
            </w:pPr>
            <w:r w:rsidRPr="00B801F4">
              <w:t>30.1</w:t>
            </w:r>
          </w:p>
        </w:tc>
        <w:tc>
          <w:tcPr>
            <w:tcW w:w="2126" w:type="dxa"/>
          </w:tcPr>
          <w:p w14:paraId="5FD77E3B" w14:textId="77777777" w:rsidR="00B801F4" w:rsidRPr="00B801F4" w:rsidRDefault="00B801F4" w:rsidP="00B801F4">
            <w:pPr>
              <w:tabs>
                <w:tab w:val="left" w:pos="1080"/>
              </w:tabs>
              <w:spacing w:after="80"/>
              <w:jc w:val="right"/>
            </w:pPr>
            <w:r w:rsidRPr="00B801F4">
              <w:t>32.0</w:t>
            </w:r>
          </w:p>
        </w:tc>
        <w:tc>
          <w:tcPr>
            <w:tcW w:w="1810" w:type="dxa"/>
            <w:gridSpan w:val="2"/>
          </w:tcPr>
          <w:p w14:paraId="69128E93" w14:textId="77777777" w:rsidR="00B801F4" w:rsidRPr="00B801F4" w:rsidRDefault="00B801F4" w:rsidP="00B801F4">
            <w:pPr>
              <w:tabs>
                <w:tab w:val="left" w:pos="1080"/>
              </w:tabs>
              <w:spacing w:after="80"/>
              <w:jc w:val="right"/>
            </w:pPr>
            <w:r w:rsidRPr="00B801F4">
              <w:t>28.2</w:t>
            </w:r>
          </w:p>
        </w:tc>
      </w:tr>
      <w:tr w:rsidR="00B801F4" w:rsidRPr="00B801F4" w14:paraId="351CFE32" w14:textId="77777777" w:rsidTr="00B801F4">
        <w:tc>
          <w:tcPr>
            <w:tcW w:w="4250" w:type="dxa"/>
            <w:shd w:val="clear" w:color="auto" w:fill="C5E0B3" w:themeFill="accent6" w:themeFillTint="66"/>
          </w:tcPr>
          <w:p w14:paraId="4A2784D5" w14:textId="77777777" w:rsidR="00B801F4" w:rsidRPr="00B801F4" w:rsidRDefault="00B801F4" w:rsidP="00B801F4">
            <w:pPr>
              <w:tabs>
                <w:tab w:val="left" w:pos="1080"/>
              </w:tabs>
              <w:spacing w:after="80"/>
              <w:rPr>
                <w:b/>
              </w:rPr>
            </w:pPr>
            <w:r w:rsidRPr="00B801F4">
              <w:rPr>
                <w:b/>
              </w:rPr>
              <w:t>Total change in assets available</w:t>
            </w:r>
          </w:p>
        </w:tc>
        <w:tc>
          <w:tcPr>
            <w:tcW w:w="1559" w:type="dxa"/>
            <w:gridSpan w:val="3"/>
            <w:shd w:val="clear" w:color="auto" w:fill="C5E0B3" w:themeFill="accent6" w:themeFillTint="66"/>
          </w:tcPr>
          <w:p w14:paraId="691FAF07" w14:textId="77777777" w:rsidR="00B801F4" w:rsidRPr="00B801F4" w:rsidRDefault="00B801F4" w:rsidP="00B801F4">
            <w:pPr>
              <w:tabs>
                <w:tab w:val="left" w:pos="1080"/>
              </w:tabs>
              <w:spacing w:after="80"/>
              <w:jc w:val="right"/>
              <w:rPr>
                <w:b/>
              </w:rPr>
            </w:pPr>
            <w:r w:rsidRPr="00B801F4">
              <w:rPr>
                <w:b/>
              </w:rPr>
              <w:t>4,233.6</w:t>
            </w:r>
          </w:p>
        </w:tc>
        <w:tc>
          <w:tcPr>
            <w:tcW w:w="2126" w:type="dxa"/>
            <w:shd w:val="clear" w:color="auto" w:fill="C5E0B3" w:themeFill="accent6" w:themeFillTint="66"/>
          </w:tcPr>
          <w:p w14:paraId="7F8A7C9A" w14:textId="77777777" w:rsidR="00B801F4" w:rsidRPr="00B801F4" w:rsidRDefault="00B801F4" w:rsidP="00B801F4">
            <w:pPr>
              <w:tabs>
                <w:tab w:val="left" w:pos="1080"/>
              </w:tabs>
              <w:spacing w:after="80"/>
              <w:jc w:val="right"/>
              <w:rPr>
                <w:b/>
              </w:rPr>
            </w:pPr>
            <w:r w:rsidRPr="00B801F4">
              <w:rPr>
                <w:b/>
              </w:rPr>
              <w:t>4,496.1</w:t>
            </w:r>
          </w:p>
        </w:tc>
        <w:tc>
          <w:tcPr>
            <w:tcW w:w="1810" w:type="dxa"/>
            <w:gridSpan w:val="2"/>
            <w:shd w:val="clear" w:color="auto" w:fill="C5E0B3" w:themeFill="accent6" w:themeFillTint="66"/>
          </w:tcPr>
          <w:p w14:paraId="7EDB10B5" w14:textId="77777777" w:rsidR="00B801F4" w:rsidRPr="00B801F4" w:rsidRDefault="00B801F4" w:rsidP="00B801F4">
            <w:pPr>
              <w:tabs>
                <w:tab w:val="left" w:pos="1080"/>
              </w:tabs>
              <w:spacing w:after="80"/>
              <w:jc w:val="right"/>
              <w:rPr>
                <w:b/>
              </w:rPr>
            </w:pPr>
            <w:r w:rsidRPr="00B801F4">
              <w:rPr>
                <w:b/>
              </w:rPr>
              <w:t>3,971.0</w:t>
            </w:r>
          </w:p>
        </w:tc>
      </w:tr>
    </w:tbl>
    <w:p w14:paraId="3450832E" w14:textId="77777777" w:rsidR="00B801F4" w:rsidRPr="00B801F4" w:rsidRDefault="00B801F4" w:rsidP="00B801F4">
      <w:pPr>
        <w:tabs>
          <w:tab w:val="left" w:pos="1080"/>
        </w:tabs>
        <w:spacing w:after="80"/>
        <w:ind w:left="709"/>
      </w:pPr>
    </w:p>
    <w:tbl>
      <w:tblPr>
        <w:tblStyle w:val="TableGrid1"/>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250"/>
        <w:gridCol w:w="252"/>
        <w:gridCol w:w="882"/>
        <w:gridCol w:w="425"/>
        <w:gridCol w:w="2126"/>
        <w:gridCol w:w="992"/>
        <w:gridCol w:w="818"/>
      </w:tblGrid>
      <w:tr w:rsidR="00B801F4" w:rsidRPr="00B801F4" w14:paraId="66B3676C" w14:textId="77777777" w:rsidTr="00B801F4">
        <w:tc>
          <w:tcPr>
            <w:tcW w:w="4250" w:type="dxa"/>
            <w:tcBorders>
              <w:top w:val="single" w:sz="2" w:space="0" w:color="auto"/>
              <w:bottom w:val="nil"/>
            </w:tcBorders>
            <w:shd w:val="clear" w:color="auto" w:fill="A8D08D" w:themeFill="accent6" w:themeFillTint="99"/>
          </w:tcPr>
          <w:p w14:paraId="0FC54C56" w14:textId="77777777" w:rsidR="00B801F4" w:rsidRPr="00B801F4" w:rsidRDefault="00B801F4" w:rsidP="00B801F4">
            <w:pPr>
              <w:tabs>
                <w:tab w:val="left" w:pos="1080"/>
              </w:tabs>
              <w:spacing w:after="80"/>
              <w:rPr>
                <w:b/>
              </w:rPr>
            </w:pPr>
            <w:r w:rsidRPr="00B801F4">
              <w:rPr>
                <w:b/>
              </w:rPr>
              <w:t>Currency exposure - asset type</w:t>
            </w:r>
          </w:p>
        </w:tc>
        <w:tc>
          <w:tcPr>
            <w:tcW w:w="1134" w:type="dxa"/>
            <w:gridSpan w:val="2"/>
            <w:tcBorders>
              <w:top w:val="single" w:sz="2" w:space="0" w:color="auto"/>
              <w:bottom w:val="nil"/>
            </w:tcBorders>
            <w:shd w:val="clear" w:color="auto" w:fill="A8D08D" w:themeFill="accent6" w:themeFillTint="99"/>
          </w:tcPr>
          <w:p w14:paraId="1F0E43CE" w14:textId="77777777" w:rsidR="00B801F4" w:rsidRPr="00B801F4" w:rsidRDefault="00B801F4" w:rsidP="00B801F4">
            <w:pPr>
              <w:tabs>
                <w:tab w:val="left" w:pos="1080"/>
              </w:tabs>
              <w:spacing w:after="80"/>
            </w:pPr>
          </w:p>
        </w:tc>
        <w:tc>
          <w:tcPr>
            <w:tcW w:w="3543" w:type="dxa"/>
            <w:gridSpan w:val="3"/>
            <w:tcBorders>
              <w:top w:val="single" w:sz="2" w:space="0" w:color="auto"/>
              <w:bottom w:val="nil"/>
            </w:tcBorders>
            <w:shd w:val="clear" w:color="auto" w:fill="A8D08D" w:themeFill="accent6" w:themeFillTint="99"/>
          </w:tcPr>
          <w:p w14:paraId="014BF109" w14:textId="77777777" w:rsidR="00B801F4" w:rsidRPr="00B801F4" w:rsidRDefault="00B801F4" w:rsidP="00B801F4">
            <w:pPr>
              <w:tabs>
                <w:tab w:val="left" w:pos="1080"/>
              </w:tabs>
              <w:spacing w:after="80"/>
              <w:rPr>
                <w:b/>
              </w:rPr>
            </w:pPr>
            <w:r w:rsidRPr="00B801F4">
              <w:rPr>
                <w:b/>
              </w:rPr>
              <w:t>Change in year in net assets available to pay benefits</w:t>
            </w:r>
          </w:p>
        </w:tc>
        <w:tc>
          <w:tcPr>
            <w:tcW w:w="818" w:type="dxa"/>
            <w:tcBorders>
              <w:top w:val="single" w:sz="2" w:space="0" w:color="auto"/>
              <w:bottom w:val="nil"/>
            </w:tcBorders>
            <w:shd w:val="clear" w:color="auto" w:fill="A8D08D" w:themeFill="accent6" w:themeFillTint="99"/>
          </w:tcPr>
          <w:p w14:paraId="596A866A" w14:textId="77777777" w:rsidR="00B801F4" w:rsidRPr="00B801F4" w:rsidRDefault="00B801F4" w:rsidP="00B801F4">
            <w:pPr>
              <w:tabs>
                <w:tab w:val="left" w:pos="1080"/>
              </w:tabs>
              <w:spacing w:after="80"/>
              <w:rPr>
                <w:b/>
              </w:rPr>
            </w:pPr>
          </w:p>
        </w:tc>
      </w:tr>
      <w:tr w:rsidR="00B801F4" w:rsidRPr="00B801F4" w14:paraId="03994B82" w14:textId="77777777" w:rsidTr="00B801F4">
        <w:tc>
          <w:tcPr>
            <w:tcW w:w="4250" w:type="dxa"/>
            <w:tcBorders>
              <w:top w:val="nil"/>
              <w:bottom w:val="nil"/>
            </w:tcBorders>
            <w:shd w:val="clear" w:color="auto" w:fill="A8D08D" w:themeFill="accent6" w:themeFillTint="99"/>
          </w:tcPr>
          <w:p w14:paraId="0B939A84" w14:textId="77777777" w:rsidR="00B801F4" w:rsidRPr="00B801F4" w:rsidRDefault="00B801F4" w:rsidP="00B801F4">
            <w:pPr>
              <w:tabs>
                <w:tab w:val="left" w:pos="1080"/>
              </w:tabs>
              <w:spacing w:after="80"/>
            </w:pPr>
          </w:p>
        </w:tc>
        <w:tc>
          <w:tcPr>
            <w:tcW w:w="1559" w:type="dxa"/>
            <w:gridSpan w:val="3"/>
            <w:tcBorders>
              <w:top w:val="nil"/>
              <w:bottom w:val="nil"/>
            </w:tcBorders>
            <w:shd w:val="clear" w:color="auto" w:fill="A8D08D" w:themeFill="accent6" w:themeFillTint="99"/>
          </w:tcPr>
          <w:p w14:paraId="389B6C3B" w14:textId="77777777" w:rsidR="00B801F4" w:rsidRPr="00B801F4" w:rsidRDefault="00B801F4" w:rsidP="00B801F4">
            <w:pPr>
              <w:tabs>
                <w:tab w:val="left" w:pos="1080"/>
              </w:tabs>
              <w:spacing w:after="80"/>
              <w:jc w:val="right"/>
              <w:rPr>
                <w:b/>
              </w:rPr>
            </w:pPr>
            <w:r w:rsidRPr="00B801F4">
              <w:rPr>
                <w:b/>
              </w:rPr>
              <w:t>31/03/14</w:t>
            </w:r>
          </w:p>
        </w:tc>
        <w:tc>
          <w:tcPr>
            <w:tcW w:w="2126" w:type="dxa"/>
            <w:tcBorders>
              <w:top w:val="nil"/>
              <w:bottom w:val="nil"/>
            </w:tcBorders>
            <w:shd w:val="clear" w:color="auto" w:fill="A8D08D" w:themeFill="accent6" w:themeFillTint="99"/>
          </w:tcPr>
          <w:p w14:paraId="3D93E8B4" w14:textId="77777777" w:rsidR="00B801F4" w:rsidRPr="00B801F4" w:rsidRDefault="00B801F4" w:rsidP="00B801F4">
            <w:pPr>
              <w:tabs>
                <w:tab w:val="left" w:pos="1080"/>
              </w:tabs>
              <w:spacing w:after="80"/>
              <w:jc w:val="right"/>
              <w:rPr>
                <w:b/>
              </w:rPr>
            </w:pPr>
            <w:r w:rsidRPr="00B801F4">
              <w:rPr>
                <w:b/>
              </w:rPr>
              <w:t>+</w:t>
            </w:r>
            <w:r w:rsidRPr="00B801F4">
              <w:rPr>
                <w:b/>
                <w:shd w:val="clear" w:color="auto" w:fill="A8D08D" w:themeFill="accent6" w:themeFillTint="99"/>
              </w:rPr>
              <w:t>6.0%</w:t>
            </w:r>
          </w:p>
        </w:tc>
        <w:tc>
          <w:tcPr>
            <w:tcW w:w="1810" w:type="dxa"/>
            <w:gridSpan w:val="2"/>
            <w:tcBorders>
              <w:top w:val="nil"/>
              <w:bottom w:val="nil"/>
            </w:tcBorders>
            <w:shd w:val="clear" w:color="auto" w:fill="A8D08D" w:themeFill="accent6" w:themeFillTint="99"/>
          </w:tcPr>
          <w:p w14:paraId="6E530FFD" w14:textId="77777777" w:rsidR="00B801F4" w:rsidRPr="00B801F4" w:rsidRDefault="00B801F4" w:rsidP="00B801F4">
            <w:pPr>
              <w:tabs>
                <w:tab w:val="left" w:pos="1080"/>
              </w:tabs>
              <w:spacing w:after="80"/>
              <w:jc w:val="right"/>
              <w:rPr>
                <w:b/>
              </w:rPr>
            </w:pPr>
            <w:r w:rsidRPr="00B801F4">
              <w:rPr>
                <w:b/>
                <w:shd w:val="clear" w:color="auto" w:fill="A8D08D" w:themeFill="accent6" w:themeFillTint="99"/>
              </w:rPr>
              <w:t>-6.0</w:t>
            </w:r>
            <w:r w:rsidRPr="00B801F4">
              <w:rPr>
                <w:b/>
              </w:rPr>
              <w:t>%</w:t>
            </w:r>
          </w:p>
        </w:tc>
      </w:tr>
      <w:tr w:rsidR="00B801F4" w:rsidRPr="00B801F4" w14:paraId="038F09D8" w14:textId="77777777" w:rsidTr="00B801F4">
        <w:tc>
          <w:tcPr>
            <w:tcW w:w="4250" w:type="dxa"/>
            <w:tcBorders>
              <w:top w:val="nil"/>
              <w:bottom w:val="single" w:sz="2" w:space="0" w:color="auto"/>
            </w:tcBorders>
            <w:shd w:val="clear" w:color="auto" w:fill="A8D08D" w:themeFill="accent6" w:themeFillTint="99"/>
          </w:tcPr>
          <w:p w14:paraId="2AF2719A" w14:textId="77777777" w:rsidR="00B801F4" w:rsidRPr="00B801F4" w:rsidRDefault="00B801F4" w:rsidP="00B801F4">
            <w:pPr>
              <w:tabs>
                <w:tab w:val="left" w:pos="1080"/>
              </w:tabs>
              <w:spacing w:after="80"/>
            </w:pPr>
          </w:p>
        </w:tc>
        <w:tc>
          <w:tcPr>
            <w:tcW w:w="1559" w:type="dxa"/>
            <w:gridSpan w:val="3"/>
            <w:tcBorders>
              <w:top w:val="nil"/>
              <w:bottom w:val="single" w:sz="2" w:space="0" w:color="auto"/>
            </w:tcBorders>
            <w:shd w:val="clear" w:color="auto" w:fill="A8D08D" w:themeFill="accent6" w:themeFillTint="99"/>
          </w:tcPr>
          <w:p w14:paraId="31FCDD57" w14:textId="77777777" w:rsidR="00B801F4" w:rsidRPr="00B801F4" w:rsidRDefault="00B801F4" w:rsidP="00B801F4">
            <w:pPr>
              <w:tabs>
                <w:tab w:val="left" w:pos="1080"/>
              </w:tabs>
              <w:spacing w:after="80"/>
              <w:jc w:val="right"/>
              <w:rPr>
                <w:b/>
              </w:rPr>
            </w:pPr>
            <w:r w:rsidRPr="00B801F4">
              <w:rPr>
                <w:b/>
              </w:rPr>
              <w:t>£m</w:t>
            </w:r>
          </w:p>
        </w:tc>
        <w:tc>
          <w:tcPr>
            <w:tcW w:w="2126" w:type="dxa"/>
            <w:tcBorders>
              <w:top w:val="nil"/>
              <w:bottom w:val="single" w:sz="2" w:space="0" w:color="auto"/>
            </w:tcBorders>
            <w:shd w:val="clear" w:color="auto" w:fill="A8D08D" w:themeFill="accent6" w:themeFillTint="99"/>
          </w:tcPr>
          <w:p w14:paraId="4CC41584" w14:textId="77777777" w:rsidR="00B801F4" w:rsidRPr="00B801F4" w:rsidRDefault="00B801F4" w:rsidP="00B801F4">
            <w:pPr>
              <w:tabs>
                <w:tab w:val="left" w:pos="1080"/>
              </w:tabs>
              <w:spacing w:after="80"/>
              <w:jc w:val="right"/>
              <w:rPr>
                <w:b/>
              </w:rPr>
            </w:pPr>
            <w:r w:rsidRPr="00B801F4">
              <w:rPr>
                <w:b/>
              </w:rPr>
              <w:t>£m</w:t>
            </w:r>
          </w:p>
        </w:tc>
        <w:tc>
          <w:tcPr>
            <w:tcW w:w="1810" w:type="dxa"/>
            <w:gridSpan w:val="2"/>
            <w:tcBorders>
              <w:top w:val="nil"/>
              <w:bottom w:val="single" w:sz="2" w:space="0" w:color="auto"/>
            </w:tcBorders>
            <w:shd w:val="clear" w:color="auto" w:fill="A8D08D" w:themeFill="accent6" w:themeFillTint="99"/>
          </w:tcPr>
          <w:p w14:paraId="197A4AAA" w14:textId="77777777" w:rsidR="00B801F4" w:rsidRPr="00B801F4" w:rsidRDefault="00B801F4" w:rsidP="00B801F4">
            <w:pPr>
              <w:tabs>
                <w:tab w:val="left" w:pos="1080"/>
              </w:tabs>
              <w:spacing w:after="80"/>
              <w:jc w:val="right"/>
              <w:rPr>
                <w:b/>
              </w:rPr>
            </w:pPr>
            <w:r w:rsidRPr="00B801F4">
              <w:rPr>
                <w:b/>
              </w:rPr>
              <w:t>£m</w:t>
            </w:r>
          </w:p>
        </w:tc>
      </w:tr>
      <w:tr w:rsidR="00B801F4" w:rsidRPr="00B801F4" w14:paraId="72024E49" w14:textId="77777777" w:rsidTr="00B801F4">
        <w:tc>
          <w:tcPr>
            <w:tcW w:w="4502" w:type="dxa"/>
            <w:gridSpan w:val="2"/>
            <w:tcBorders>
              <w:top w:val="single" w:sz="2" w:space="0" w:color="auto"/>
            </w:tcBorders>
          </w:tcPr>
          <w:p w14:paraId="21794BC8" w14:textId="77777777" w:rsidR="00B801F4" w:rsidRPr="00B801F4" w:rsidRDefault="00B801F4" w:rsidP="00B801F4">
            <w:pPr>
              <w:tabs>
                <w:tab w:val="left" w:pos="1080"/>
              </w:tabs>
              <w:spacing w:after="80"/>
            </w:pPr>
            <w:r w:rsidRPr="00B801F4">
              <w:t>Overseas bonds (including index linked)</w:t>
            </w:r>
          </w:p>
        </w:tc>
        <w:tc>
          <w:tcPr>
            <w:tcW w:w="1307" w:type="dxa"/>
            <w:gridSpan w:val="2"/>
            <w:tcBorders>
              <w:top w:val="single" w:sz="2" w:space="0" w:color="auto"/>
            </w:tcBorders>
          </w:tcPr>
          <w:p w14:paraId="455D06DB" w14:textId="77777777" w:rsidR="00B801F4" w:rsidRPr="00B801F4" w:rsidRDefault="00B801F4" w:rsidP="00B801F4">
            <w:pPr>
              <w:tabs>
                <w:tab w:val="left" w:pos="1080"/>
              </w:tabs>
              <w:spacing w:after="80"/>
              <w:jc w:val="right"/>
            </w:pPr>
            <w:r w:rsidRPr="00B801F4">
              <w:t>1,127.3</w:t>
            </w:r>
          </w:p>
        </w:tc>
        <w:tc>
          <w:tcPr>
            <w:tcW w:w="2126" w:type="dxa"/>
            <w:tcBorders>
              <w:top w:val="single" w:sz="2" w:space="0" w:color="auto"/>
            </w:tcBorders>
          </w:tcPr>
          <w:p w14:paraId="1CDCD92D" w14:textId="77777777" w:rsidR="00B801F4" w:rsidRPr="00B801F4" w:rsidRDefault="00B801F4" w:rsidP="00B801F4">
            <w:pPr>
              <w:tabs>
                <w:tab w:val="left" w:pos="1080"/>
              </w:tabs>
              <w:spacing w:after="80"/>
              <w:jc w:val="right"/>
            </w:pPr>
            <w:r w:rsidRPr="00B801F4">
              <w:t>1,194.9</w:t>
            </w:r>
          </w:p>
        </w:tc>
        <w:tc>
          <w:tcPr>
            <w:tcW w:w="1810" w:type="dxa"/>
            <w:gridSpan w:val="2"/>
            <w:tcBorders>
              <w:top w:val="single" w:sz="2" w:space="0" w:color="auto"/>
            </w:tcBorders>
          </w:tcPr>
          <w:p w14:paraId="5F84501D" w14:textId="77777777" w:rsidR="00B801F4" w:rsidRPr="00B801F4" w:rsidRDefault="00B801F4" w:rsidP="00B801F4">
            <w:pPr>
              <w:tabs>
                <w:tab w:val="left" w:pos="1080"/>
              </w:tabs>
              <w:spacing w:after="80"/>
              <w:jc w:val="right"/>
            </w:pPr>
            <w:r w:rsidRPr="00B801F4">
              <w:t>1,059.7</w:t>
            </w:r>
          </w:p>
        </w:tc>
      </w:tr>
      <w:tr w:rsidR="00B801F4" w:rsidRPr="00B801F4" w14:paraId="0A41C636" w14:textId="77777777" w:rsidTr="00B801F4">
        <w:tc>
          <w:tcPr>
            <w:tcW w:w="4502" w:type="dxa"/>
            <w:gridSpan w:val="2"/>
          </w:tcPr>
          <w:p w14:paraId="5D8239FC" w14:textId="77777777" w:rsidR="00B801F4" w:rsidRPr="00B801F4" w:rsidRDefault="00B801F4" w:rsidP="00B801F4">
            <w:pPr>
              <w:tabs>
                <w:tab w:val="left" w:pos="1080"/>
              </w:tabs>
              <w:spacing w:after="80"/>
            </w:pPr>
            <w:r w:rsidRPr="00B801F4">
              <w:t>Overseas equities</w:t>
            </w:r>
          </w:p>
        </w:tc>
        <w:tc>
          <w:tcPr>
            <w:tcW w:w="1307" w:type="dxa"/>
            <w:gridSpan w:val="2"/>
          </w:tcPr>
          <w:p w14:paraId="67F74EF0" w14:textId="77777777" w:rsidR="00B801F4" w:rsidRPr="00B801F4" w:rsidRDefault="00B801F4" w:rsidP="00B801F4">
            <w:pPr>
              <w:tabs>
                <w:tab w:val="left" w:pos="1080"/>
              </w:tabs>
              <w:spacing w:after="80"/>
              <w:jc w:val="right"/>
            </w:pPr>
            <w:r w:rsidRPr="00B801F4">
              <w:t>2,466.3</w:t>
            </w:r>
          </w:p>
        </w:tc>
        <w:tc>
          <w:tcPr>
            <w:tcW w:w="2126" w:type="dxa"/>
          </w:tcPr>
          <w:p w14:paraId="159C3797" w14:textId="77777777" w:rsidR="00B801F4" w:rsidRPr="00B801F4" w:rsidRDefault="00B801F4" w:rsidP="00B801F4">
            <w:pPr>
              <w:tabs>
                <w:tab w:val="left" w:pos="1080"/>
              </w:tabs>
              <w:spacing w:after="80"/>
              <w:jc w:val="right"/>
            </w:pPr>
            <w:r w:rsidRPr="00B801F4">
              <w:t>2,614.2</w:t>
            </w:r>
          </w:p>
        </w:tc>
        <w:tc>
          <w:tcPr>
            <w:tcW w:w="1810" w:type="dxa"/>
            <w:gridSpan w:val="2"/>
          </w:tcPr>
          <w:p w14:paraId="250D4CA3" w14:textId="77777777" w:rsidR="00B801F4" w:rsidRPr="00B801F4" w:rsidRDefault="00B801F4" w:rsidP="00B801F4">
            <w:pPr>
              <w:tabs>
                <w:tab w:val="left" w:pos="1080"/>
              </w:tabs>
              <w:spacing w:after="80"/>
              <w:jc w:val="right"/>
            </w:pPr>
            <w:r w:rsidRPr="00B801F4">
              <w:t>2,318.3</w:t>
            </w:r>
          </w:p>
        </w:tc>
      </w:tr>
      <w:tr w:rsidR="00B801F4" w:rsidRPr="00B801F4" w14:paraId="3ED2D1FC" w14:textId="77777777" w:rsidTr="00B801F4">
        <w:tc>
          <w:tcPr>
            <w:tcW w:w="4502" w:type="dxa"/>
            <w:gridSpan w:val="2"/>
          </w:tcPr>
          <w:p w14:paraId="185DB38D" w14:textId="10750A29" w:rsidR="00B801F4" w:rsidRPr="00B801F4" w:rsidRDefault="00B801F4" w:rsidP="00F3615F">
            <w:pPr>
              <w:tabs>
                <w:tab w:val="left" w:pos="1080"/>
              </w:tabs>
              <w:spacing w:after="80"/>
            </w:pPr>
            <w:r w:rsidRPr="00B801F4">
              <w:t xml:space="preserve">Overseas </w:t>
            </w:r>
            <w:r w:rsidR="00F3615F">
              <w:t>a</w:t>
            </w:r>
            <w:r w:rsidRPr="00B801F4">
              <w:t xml:space="preserve">lternatives </w:t>
            </w:r>
          </w:p>
        </w:tc>
        <w:tc>
          <w:tcPr>
            <w:tcW w:w="1307" w:type="dxa"/>
            <w:gridSpan w:val="2"/>
          </w:tcPr>
          <w:p w14:paraId="5DBDE8F6" w14:textId="77777777" w:rsidR="00B801F4" w:rsidRPr="00B801F4" w:rsidRDefault="00B801F4" w:rsidP="00B801F4">
            <w:pPr>
              <w:tabs>
                <w:tab w:val="left" w:pos="1080"/>
              </w:tabs>
              <w:spacing w:after="80"/>
              <w:jc w:val="right"/>
            </w:pPr>
            <w:r w:rsidRPr="00B801F4">
              <w:t>155.2</w:t>
            </w:r>
          </w:p>
        </w:tc>
        <w:tc>
          <w:tcPr>
            <w:tcW w:w="2126" w:type="dxa"/>
          </w:tcPr>
          <w:p w14:paraId="599EFCCF" w14:textId="77777777" w:rsidR="00B801F4" w:rsidRPr="00B801F4" w:rsidRDefault="00B801F4" w:rsidP="00B801F4">
            <w:pPr>
              <w:tabs>
                <w:tab w:val="left" w:pos="1080"/>
              </w:tabs>
              <w:spacing w:after="80"/>
              <w:jc w:val="right"/>
            </w:pPr>
            <w:r w:rsidRPr="00B801F4">
              <w:t>164.5</w:t>
            </w:r>
          </w:p>
        </w:tc>
        <w:tc>
          <w:tcPr>
            <w:tcW w:w="1810" w:type="dxa"/>
            <w:gridSpan w:val="2"/>
          </w:tcPr>
          <w:p w14:paraId="43556A10" w14:textId="77777777" w:rsidR="00B801F4" w:rsidRPr="00B801F4" w:rsidRDefault="00B801F4" w:rsidP="00B801F4">
            <w:pPr>
              <w:tabs>
                <w:tab w:val="left" w:pos="1080"/>
              </w:tabs>
              <w:spacing w:after="80"/>
              <w:jc w:val="right"/>
            </w:pPr>
            <w:r w:rsidRPr="00B801F4">
              <w:t>145.9</w:t>
            </w:r>
          </w:p>
        </w:tc>
      </w:tr>
      <w:tr w:rsidR="00B801F4" w:rsidRPr="00B801F4" w14:paraId="7A46DA49" w14:textId="77777777" w:rsidTr="00B801F4">
        <w:tc>
          <w:tcPr>
            <w:tcW w:w="4502" w:type="dxa"/>
            <w:gridSpan w:val="2"/>
          </w:tcPr>
          <w:p w14:paraId="38CE9926" w14:textId="77777777" w:rsidR="00B801F4" w:rsidRPr="00B801F4" w:rsidRDefault="00B801F4" w:rsidP="00B801F4">
            <w:pPr>
              <w:tabs>
                <w:tab w:val="left" w:pos="1080"/>
              </w:tabs>
              <w:spacing w:after="80"/>
            </w:pPr>
            <w:r w:rsidRPr="00B801F4">
              <w:t>Overseas property</w:t>
            </w:r>
          </w:p>
        </w:tc>
        <w:tc>
          <w:tcPr>
            <w:tcW w:w="1307" w:type="dxa"/>
            <w:gridSpan w:val="2"/>
          </w:tcPr>
          <w:p w14:paraId="68D61028" w14:textId="77777777" w:rsidR="00B801F4" w:rsidRPr="00B801F4" w:rsidRDefault="00B801F4" w:rsidP="00B801F4">
            <w:pPr>
              <w:tabs>
                <w:tab w:val="left" w:pos="1080"/>
              </w:tabs>
              <w:spacing w:after="80"/>
              <w:jc w:val="right"/>
            </w:pPr>
            <w:r w:rsidRPr="00B801F4">
              <w:t>25.1</w:t>
            </w:r>
          </w:p>
        </w:tc>
        <w:tc>
          <w:tcPr>
            <w:tcW w:w="2126" w:type="dxa"/>
          </w:tcPr>
          <w:p w14:paraId="7736C810" w14:textId="77777777" w:rsidR="00B801F4" w:rsidRPr="00B801F4" w:rsidRDefault="00B801F4" w:rsidP="00B801F4">
            <w:pPr>
              <w:tabs>
                <w:tab w:val="left" w:pos="1080"/>
              </w:tabs>
              <w:spacing w:after="80"/>
              <w:jc w:val="right"/>
            </w:pPr>
            <w:r w:rsidRPr="00B801F4">
              <w:t>26.6</w:t>
            </w:r>
          </w:p>
        </w:tc>
        <w:tc>
          <w:tcPr>
            <w:tcW w:w="1810" w:type="dxa"/>
            <w:gridSpan w:val="2"/>
          </w:tcPr>
          <w:p w14:paraId="0BA5FF7B" w14:textId="77777777" w:rsidR="00B801F4" w:rsidRPr="00B801F4" w:rsidRDefault="00B801F4" w:rsidP="00B801F4">
            <w:pPr>
              <w:tabs>
                <w:tab w:val="left" w:pos="1080"/>
              </w:tabs>
              <w:spacing w:after="80"/>
              <w:jc w:val="right"/>
            </w:pPr>
            <w:r w:rsidRPr="00B801F4">
              <w:t>23.6</w:t>
            </w:r>
          </w:p>
        </w:tc>
      </w:tr>
      <w:tr w:rsidR="00B801F4" w:rsidRPr="00B801F4" w14:paraId="35340B52" w14:textId="77777777" w:rsidTr="00B801F4">
        <w:tc>
          <w:tcPr>
            <w:tcW w:w="4250" w:type="dxa"/>
            <w:shd w:val="clear" w:color="auto" w:fill="C5E0B3" w:themeFill="accent6" w:themeFillTint="66"/>
          </w:tcPr>
          <w:p w14:paraId="0B31231A" w14:textId="77777777" w:rsidR="00B801F4" w:rsidRPr="00B801F4" w:rsidRDefault="00B801F4" w:rsidP="00B801F4">
            <w:pPr>
              <w:tabs>
                <w:tab w:val="left" w:pos="1080"/>
              </w:tabs>
              <w:spacing w:after="80"/>
              <w:rPr>
                <w:b/>
              </w:rPr>
            </w:pPr>
            <w:r w:rsidRPr="00B801F4">
              <w:rPr>
                <w:b/>
              </w:rPr>
              <w:t>Total change in assets available</w:t>
            </w:r>
          </w:p>
        </w:tc>
        <w:tc>
          <w:tcPr>
            <w:tcW w:w="1559" w:type="dxa"/>
            <w:gridSpan w:val="3"/>
            <w:shd w:val="clear" w:color="auto" w:fill="C5E0B3" w:themeFill="accent6" w:themeFillTint="66"/>
          </w:tcPr>
          <w:p w14:paraId="771C443B" w14:textId="77777777" w:rsidR="00B801F4" w:rsidRPr="00B801F4" w:rsidRDefault="00B801F4" w:rsidP="00B801F4">
            <w:pPr>
              <w:tabs>
                <w:tab w:val="left" w:pos="1080"/>
              </w:tabs>
              <w:spacing w:after="80"/>
              <w:jc w:val="right"/>
              <w:rPr>
                <w:b/>
              </w:rPr>
            </w:pPr>
            <w:r w:rsidRPr="00B801F4">
              <w:rPr>
                <w:b/>
              </w:rPr>
              <w:t>3,773.9</w:t>
            </w:r>
          </w:p>
        </w:tc>
        <w:tc>
          <w:tcPr>
            <w:tcW w:w="2126" w:type="dxa"/>
            <w:shd w:val="clear" w:color="auto" w:fill="C5E0B3" w:themeFill="accent6" w:themeFillTint="66"/>
          </w:tcPr>
          <w:p w14:paraId="12727696" w14:textId="77777777" w:rsidR="00B801F4" w:rsidRPr="00B801F4" w:rsidRDefault="00B801F4" w:rsidP="00B801F4">
            <w:pPr>
              <w:tabs>
                <w:tab w:val="left" w:pos="1080"/>
              </w:tabs>
              <w:spacing w:after="80"/>
              <w:jc w:val="right"/>
              <w:rPr>
                <w:b/>
              </w:rPr>
            </w:pPr>
            <w:r w:rsidRPr="00B801F4">
              <w:rPr>
                <w:b/>
              </w:rPr>
              <w:t>4,000.2</w:t>
            </w:r>
          </w:p>
        </w:tc>
        <w:tc>
          <w:tcPr>
            <w:tcW w:w="1810" w:type="dxa"/>
            <w:gridSpan w:val="2"/>
            <w:shd w:val="clear" w:color="auto" w:fill="C5E0B3" w:themeFill="accent6" w:themeFillTint="66"/>
          </w:tcPr>
          <w:p w14:paraId="4C3C0260" w14:textId="77777777" w:rsidR="00B801F4" w:rsidRPr="00B801F4" w:rsidRDefault="00B801F4" w:rsidP="00B801F4">
            <w:pPr>
              <w:tabs>
                <w:tab w:val="left" w:pos="1080"/>
              </w:tabs>
              <w:spacing w:after="80"/>
              <w:jc w:val="right"/>
              <w:rPr>
                <w:b/>
              </w:rPr>
            </w:pPr>
            <w:r w:rsidRPr="00B801F4">
              <w:rPr>
                <w:b/>
              </w:rPr>
              <w:t>3,547.5</w:t>
            </w:r>
          </w:p>
        </w:tc>
      </w:tr>
    </w:tbl>
    <w:p w14:paraId="28A31897" w14:textId="77777777" w:rsidR="00B801F4" w:rsidRPr="00B801F4" w:rsidRDefault="00B801F4" w:rsidP="00B801F4">
      <w:pPr>
        <w:spacing w:after="0"/>
        <w:ind w:left="142" w:firstLine="567"/>
        <w:rPr>
          <w:b/>
        </w:rPr>
      </w:pPr>
    </w:p>
    <w:p w14:paraId="13F31D7E" w14:textId="77777777" w:rsidR="00B801F4" w:rsidRPr="00B801F4" w:rsidRDefault="00B801F4" w:rsidP="00B801F4">
      <w:pPr>
        <w:spacing w:after="0"/>
        <w:ind w:left="142" w:firstLine="567"/>
      </w:pPr>
      <w:r w:rsidRPr="00B801F4">
        <w:rPr>
          <w:b/>
        </w:rPr>
        <w:t xml:space="preserve">18.6 Credit risk </w:t>
      </w:r>
      <w:r w:rsidRPr="00B801F4">
        <w:t xml:space="preserve">    </w:t>
      </w:r>
    </w:p>
    <w:p w14:paraId="70BF2CEF" w14:textId="77777777" w:rsidR="00B801F4" w:rsidRPr="00B801F4" w:rsidRDefault="00B801F4" w:rsidP="00B801F4">
      <w:pPr>
        <w:ind w:left="709"/>
        <w:jc w:val="left"/>
      </w:pPr>
      <w:r w:rsidRPr="00B801F4">
        <w:t xml:space="preserve">Credit risk represents the risk that the counterparty to a transaction or a financial instrument will fail to discharge an obligation and cause the Fund to incur financial loss.  The market values of investments generally reflect an assessment of credit in their pricing and consequently the risk of loss is implicitly provided for in the carrying value of the Fund's financial asset and liabilities.   </w:t>
      </w:r>
    </w:p>
    <w:p w14:paraId="712BB592" w14:textId="77777777" w:rsidR="00B801F4" w:rsidRPr="00B801F4" w:rsidRDefault="00B801F4" w:rsidP="00B801F4">
      <w:pPr>
        <w:ind w:left="709"/>
        <w:jc w:val="left"/>
      </w:pPr>
      <w:r w:rsidRPr="00B801F4">
        <w:t xml:space="preserve">In essence the Fund's entire investment portfolio is exposed to some form of credit risk, with the exception of the derivatives positions, where the risk equates to the net market value of a positive derivative position.  However the selection of high quality counterparties, brokers and financial institutions minimise the credit risk that may occur through the failure to settle a transaction in a timely manner. </w:t>
      </w:r>
    </w:p>
    <w:p w14:paraId="34E19FD8" w14:textId="77777777" w:rsidR="00B801F4" w:rsidRPr="00B801F4" w:rsidRDefault="00B801F4" w:rsidP="00B801F4">
      <w:pPr>
        <w:ind w:left="709"/>
        <w:jc w:val="left"/>
      </w:pPr>
      <w:r w:rsidRPr="00B801F4">
        <w:t xml:space="preserve">Contractual credit risk is represented by the net payment or receipts that remain outstanding, and the cost of replacing the derivatives position in the event of a counterparty default.  The residual risk is minimal due to the various insurance policies held by the exchanges to cover defaulting counterparties. </w:t>
      </w:r>
    </w:p>
    <w:p w14:paraId="4EBDFA68" w14:textId="77777777" w:rsidR="00B801F4" w:rsidRPr="00B801F4" w:rsidRDefault="00B801F4" w:rsidP="00B801F4">
      <w:pPr>
        <w:ind w:left="709"/>
        <w:jc w:val="left"/>
      </w:pPr>
      <w:r w:rsidRPr="00B801F4">
        <w:t xml:space="preserve">Credit risk on over-the-counter derivatives contracts is minimised as counterparties are recognised financial intermediaries with acceptable credit ratings determined by a recognised rating agency. </w:t>
      </w:r>
    </w:p>
    <w:p w14:paraId="693C58EC" w14:textId="77777777" w:rsidR="00B801F4" w:rsidRPr="00B801F4" w:rsidRDefault="00B801F4" w:rsidP="00B801F4">
      <w:pPr>
        <w:ind w:left="709"/>
        <w:jc w:val="left"/>
      </w:pPr>
      <w:r w:rsidRPr="00B801F4">
        <w:t xml:space="preserve">Deposits are not made with banks and financial instructions unless they are rated independent and meet the Fund's credit criteria.  The Fund has also set limits as to the maximum percentage of the deposits placed with any class of financial institution.  </w:t>
      </w:r>
    </w:p>
    <w:p w14:paraId="4B2C3A36" w14:textId="77777777" w:rsidR="00B801F4" w:rsidRPr="00B801F4" w:rsidRDefault="00B801F4" w:rsidP="00B801F4">
      <w:pPr>
        <w:ind w:left="709"/>
        <w:jc w:val="left"/>
      </w:pPr>
      <w:r w:rsidRPr="00B801F4">
        <w:t>The Fund's cash holding under its treasury management arrangements at 31</w:t>
      </w:r>
      <w:r w:rsidRPr="00B801F4">
        <w:rPr>
          <w:vertAlign w:val="superscript"/>
        </w:rPr>
        <w:t>st</w:t>
      </w:r>
      <w:r w:rsidRPr="00B801F4">
        <w:t xml:space="preserve"> March 2015 was £60m (31 March 2014: £315.5m.)  This was held with the following institutions: </w:t>
      </w:r>
    </w:p>
    <w:tbl>
      <w:tblPr>
        <w:tblStyle w:val="TableGrid1"/>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391"/>
        <w:gridCol w:w="993"/>
        <w:gridCol w:w="1923"/>
        <w:gridCol w:w="2438"/>
      </w:tblGrid>
      <w:tr w:rsidR="00B801F4" w:rsidRPr="00B801F4" w14:paraId="281D7AB4" w14:textId="77777777" w:rsidTr="00B801F4">
        <w:tc>
          <w:tcPr>
            <w:tcW w:w="4391" w:type="dxa"/>
            <w:tcBorders>
              <w:top w:val="single" w:sz="2" w:space="0" w:color="auto"/>
              <w:bottom w:val="nil"/>
            </w:tcBorders>
            <w:shd w:val="clear" w:color="auto" w:fill="A8D08D" w:themeFill="accent6" w:themeFillTint="99"/>
          </w:tcPr>
          <w:p w14:paraId="7AC219B5" w14:textId="77777777" w:rsidR="00B801F4" w:rsidRPr="00B801F4" w:rsidRDefault="00B801F4" w:rsidP="00B801F4">
            <w:pPr>
              <w:tabs>
                <w:tab w:val="left" w:pos="1080"/>
              </w:tabs>
              <w:spacing w:after="80"/>
              <w:rPr>
                <w:b/>
              </w:rPr>
            </w:pPr>
            <w:r w:rsidRPr="00B801F4">
              <w:rPr>
                <w:b/>
              </w:rPr>
              <w:t>Summary</w:t>
            </w:r>
          </w:p>
        </w:tc>
        <w:tc>
          <w:tcPr>
            <w:tcW w:w="993" w:type="dxa"/>
            <w:tcBorders>
              <w:top w:val="single" w:sz="2" w:space="0" w:color="auto"/>
              <w:bottom w:val="nil"/>
            </w:tcBorders>
            <w:shd w:val="clear" w:color="auto" w:fill="A8D08D" w:themeFill="accent6" w:themeFillTint="99"/>
          </w:tcPr>
          <w:p w14:paraId="03612AC5" w14:textId="77777777" w:rsidR="00B801F4" w:rsidRPr="00B801F4" w:rsidRDefault="00B801F4" w:rsidP="00B801F4">
            <w:pPr>
              <w:tabs>
                <w:tab w:val="left" w:pos="1080"/>
              </w:tabs>
              <w:spacing w:after="80"/>
              <w:jc w:val="right"/>
              <w:rPr>
                <w:b/>
              </w:rPr>
            </w:pPr>
            <w:r w:rsidRPr="00B801F4">
              <w:rPr>
                <w:b/>
              </w:rPr>
              <w:t>Rating</w:t>
            </w:r>
          </w:p>
        </w:tc>
        <w:tc>
          <w:tcPr>
            <w:tcW w:w="1923" w:type="dxa"/>
            <w:tcBorders>
              <w:top w:val="single" w:sz="2" w:space="0" w:color="auto"/>
              <w:bottom w:val="nil"/>
            </w:tcBorders>
            <w:shd w:val="clear" w:color="auto" w:fill="A8D08D" w:themeFill="accent6" w:themeFillTint="99"/>
          </w:tcPr>
          <w:p w14:paraId="41B27E57" w14:textId="77777777" w:rsidR="00B801F4" w:rsidRPr="00B801F4" w:rsidRDefault="00B801F4" w:rsidP="00B801F4">
            <w:pPr>
              <w:tabs>
                <w:tab w:val="left" w:pos="1080"/>
              </w:tabs>
              <w:spacing w:after="80"/>
              <w:jc w:val="right"/>
              <w:rPr>
                <w:b/>
              </w:rPr>
            </w:pPr>
            <w:r w:rsidRPr="00B801F4">
              <w:rPr>
                <w:b/>
              </w:rPr>
              <w:t>31/03/15</w:t>
            </w:r>
          </w:p>
        </w:tc>
        <w:tc>
          <w:tcPr>
            <w:tcW w:w="2438" w:type="dxa"/>
            <w:tcBorders>
              <w:top w:val="single" w:sz="2" w:space="0" w:color="auto"/>
              <w:bottom w:val="nil"/>
            </w:tcBorders>
            <w:shd w:val="clear" w:color="auto" w:fill="A8D08D" w:themeFill="accent6" w:themeFillTint="99"/>
          </w:tcPr>
          <w:p w14:paraId="77A5A0F9" w14:textId="77777777" w:rsidR="00B801F4" w:rsidRPr="00B801F4" w:rsidRDefault="00B801F4" w:rsidP="00B801F4">
            <w:pPr>
              <w:tabs>
                <w:tab w:val="left" w:pos="1080"/>
              </w:tabs>
              <w:spacing w:after="80"/>
              <w:jc w:val="right"/>
              <w:rPr>
                <w:b/>
              </w:rPr>
            </w:pPr>
            <w:r w:rsidRPr="00B801F4">
              <w:rPr>
                <w:b/>
              </w:rPr>
              <w:t>31/03/14</w:t>
            </w:r>
          </w:p>
        </w:tc>
      </w:tr>
      <w:tr w:rsidR="00B801F4" w:rsidRPr="00B801F4" w14:paraId="075F3A4C" w14:textId="77777777" w:rsidTr="00B801F4">
        <w:tc>
          <w:tcPr>
            <w:tcW w:w="4391" w:type="dxa"/>
            <w:tcBorders>
              <w:top w:val="nil"/>
              <w:bottom w:val="single" w:sz="2" w:space="0" w:color="auto"/>
            </w:tcBorders>
            <w:shd w:val="clear" w:color="auto" w:fill="A8D08D" w:themeFill="accent6" w:themeFillTint="99"/>
          </w:tcPr>
          <w:p w14:paraId="0DF903D1" w14:textId="77777777" w:rsidR="00B801F4" w:rsidRPr="00B801F4" w:rsidRDefault="00B801F4" w:rsidP="00B801F4">
            <w:pPr>
              <w:tabs>
                <w:tab w:val="left" w:pos="1080"/>
              </w:tabs>
              <w:spacing w:after="80"/>
              <w:rPr>
                <w:b/>
              </w:rPr>
            </w:pPr>
            <w:r w:rsidRPr="00B801F4">
              <w:rPr>
                <w:b/>
              </w:rPr>
              <w:t>Bank deposit accounts</w:t>
            </w:r>
          </w:p>
        </w:tc>
        <w:tc>
          <w:tcPr>
            <w:tcW w:w="993" w:type="dxa"/>
            <w:tcBorders>
              <w:top w:val="nil"/>
              <w:bottom w:val="single" w:sz="2" w:space="0" w:color="auto"/>
            </w:tcBorders>
            <w:shd w:val="clear" w:color="auto" w:fill="A8D08D" w:themeFill="accent6" w:themeFillTint="99"/>
          </w:tcPr>
          <w:p w14:paraId="251413C9" w14:textId="77777777" w:rsidR="00B801F4" w:rsidRPr="00B801F4" w:rsidRDefault="00B801F4" w:rsidP="00B801F4">
            <w:pPr>
              <w:tabs>
                <w:tab w:val="left" w:pos="1080"/>
              </w:tabs>
              <w:spacing w:after="80"/>
              <w:rPr>
                <w:b/>
              </w:rPr>
            </w:pPr>
          </w:p>
        </w:tc>
        <w:tc>
          <w:tcPr>
            <w:tcW w:w="1923" w:type="dxa"/>
            <w:tcBorders>
              <w:top w:val="nil"/>
              <w:bottom w:val="single" w:sz="2" w:space="0" w:color="auto"/>
            </w:tcBorders>
            <w:shd w:val="clear" w:color="auto" w:fill="A8D08D" w:themeFill="accent6" w:themeFillTint="99"/>
          </w:tcPr>
          <w:p w14:paraId="0E47DBF7" w14:textId="77777777" w:rsidR="00B801F4" w:rsidRPr="00B801F4" w:rsidRDefault="00B801F4" w:rsidP="00B801F4">
            <w:pPr>
              <w:tabs>
                <w:tab w:val="left" w:pos="1080"/>
              </w:tabs>
              <w:spacing w:after="80"/>
              <w:jc w:val="right"/>
              <w:rPr>
                <w:b/>
              </w:rPr>
            </w:pPr>
            <w:r w:rsidRPr="00B801F4">
              <w:rPr>
                <w:b/>
              </w:rPr>
              <w:t>£m</w:t>
            </w:r>
          </w:p>
        </w:tc>
        <w:tc>
          <w:tcPr>
            <w:tcW w:w="2438" w:type="dxa"/>
            <w:tcBorders>
              <w:top w:val="nil"/>
              <w:bottom w:val="single" w:sz="2" w:space="0" w:color="auto"/>
            </w:tcBorders>
            <w:shd w:val="clear" w:color="auto" w:fill="A8D08D" w:themeFill="accent6" w:themeFillTint="99"/>
          </w:tcPr>
          <w:p w14:paraId="75CE5351" w14:textId="77777777" w:rsidR="00B801F4" w:rsidRPr="00B801F4" w:rsidRDefault="00B801F4" w:rsidP="00B801F4">
            <w:pPr>
              <w:tabs>
                <w:tab w:val="left" w:pos="1080"/>
              </w:tabs>
              <w:spacing w:after="80"/>
              <w:jc w:val="right"/>
              <w:rPr>
                <w:b/>
              </w:rPr>
            </w:pPr>
            <w:r w:rsidRPr="00B801F4">
              <w:rPr>
                <w:b/>
              </w:rPr>
              <w:t>£m</w:t>
            </w:r>
          </w:p>
        </w:tc>
      </w:tr>
      <w:tr w:rsidR="00B801F4" w:rsidRPr="00B801F4" w14:paraId="255C25D3" w14:textId="77777777" w:rsidTr="00B801F4">
        <w:tc>
          <w:tcPr>
            <w:tcW w:w="4391" w:type="dxa"/>
            <w:tcBorders>
              <w:top w:val="single" w:sz="2" w:space="0" w:color="auto"/>
            </w:tcBorders>
          </w:tcPr>
          <w:p w14:paraId="6B4C306D" w14:textId="77777777" w:rsidR="00B801F4" w:rsidRPr="00B801F4" w:rsidRDefault="00B801F4" w:rsidP="00B801F4">
            <w:pPr>
              <w:tabs>
                <w:tab w:val="left" w:pos="1080"/>
              </w:tabs>
              <w:spacing w:after="80"/>
              <w:jc w:val="left"/>
            </w:pPr>
            <w:r w:rsidRPr="00B801F4">
              <w:t>Ulster bank</w:t>
            </w:r>
          </w:p>
        </w:tc>
        <w:tc>
          <w:tcPr>
            <w:tcW w:w="993" w:type="dxa"/>
            <w:tcBorders>
              <w:top w:val="single" w:sz="2" w:space="0" w:color="auto"/>
            </w:tcBorders>
          </w:tcPr>
          <w:p w14:paraId="64EAB5FD" w14:textId="77777777" w:rsidR="00B801F4" w:rsidRPr="00B801F4" w:rsidRDefault="00B801F4" w:rsidP="00B801F4">
            <w:pPr>
              <w:tabs>
                <w:tab w:val="left" w:pos="1080"/>
              </w:tabs>
              <w:spacing w:after="80"/>
              <w:jc w:val="right"/>
              <w:rPr>
                <w:highlight w:val="yellow"/>
              </w:rPr>
            </w:pPr>
            <w:r w:rsidRPr="00B801F4">
              <w:t>Baa3</w:t>
            </w:r>
          </w:p>
        </w:tc>
        <w:tc>
          <w:tcPr>
            <w:tcW w:w="1923" w:type="dxa"/>
            <w:tcBorders>
              <w:top w:val="single" w:sz="2" w:space="0" w:color="auto"/>
            </w:tcBorders>
          </w:tcPr>
          <w:p w14:paraId="1B54966F" w14:textId="77777777" w:rsidR="00B801F4" w:rsidRPr="00B801F4" w:rsidRDefault="00B801F4" w:rsidP="00B801F4">
            <w:pPr>
              <w:tabs>
                <w:tab w:val="left" w:pos="1080"/>
              </w:tabs>
              <w:spacing w:after="80"/>
              <w:jc w:val="right"/>
            </w:pPr>
            <w:r w:rsidRPr="00B801F4">
              <w:t>0.0</w:t>
            </w:r>
          </w:p>
        </w:tc>
        <w:tc>
          <w:tcPr>
            <w:tcW w:w="2438" w:type="dxa"/>
            <w:tcBorders>
              <w:top w:val="single" w:sz="2" w:space="0" w:color="auto"/>
            </w:tcBorders>
          </w:tcPr>
          <w:p w14:paraId="171BECE7" w14:textId="77777777" w:rsidR="00B801F4" w:rsidRPr="00B801F4" w:rsidRDefault="00B801F4" w:rsidP="00B801F4">
            <w:pPr>
              <w:tabs>
                <w:tab w:val="left" w:pos="1080"/>
              </w:tabs>
              <w:spacing w:after="80"/>
              <w:jc w:val="right"/>
            </w:pPr>
            <w:r w:rsidRPr="00B801F4">
              <w:t>5.0</w:t>
            </w:r>
          </w:p>
        </w:tc>
      </w:tr>
      <w:tr w:rsidR="00B801F4" w:rsidRPr="00B801F4" w14:paraId="7F49BB14" w14:textId="77777777" w:rsidTr="00B801F4">
        <w:tc>
          <w:tcPr>
            <w:tcW w:w="4391" w:type="dxa"/>
          </w:tcPr>
          <w:p w14:paraId="5B23C334" w14:textId="77777777" w:rsidR="00B801F4" w:rsidRPr="00B801F4" w:rsidRDefault="00B801F4" w:rsidP="00B801F4">
            <w:pPr>
              <w:tabs>
                <w:tab w:val="left" w:pos="1080"/>
              </w:tabs>
              <w:spacing w:after="80"/>
              <w:jc w:val="left"/>
            </w:pPr>
            <w:r w:rsidRPr="00B801F4">
              <w:t>Northern Trust</w:t>
            </w:r>
          </w:p>
        </w:tc>
        <w:tc>
          <w:tcPr>
            <w:tcW w:w="993" w:type="dxa"/>
          </w:tcPr>
          <w:p w14:paraId="06047A89" w14:textId="77777777" w:rsidR="00B801F4" w:rsidRPr="00B801F4" w:rsidRDefault="00B801F4" w:rsidP="00B801F4">
            <w:pPr>
              <w:tabs>
                <w:tab w:val="left" w:pos="1080"/>
              </w:tabs>
              <w:spacing w:after="80"/>
              <w:jc w:val="right"/>
              <w:rPr>
                <w:highlight w:val="yellow"/>
              </w:rPr>
            </w:pPr>
            <w:r w:rsidRPr="00B801F4">
              <w:t>A2</w:t>
            </w:r>
          </w:p>
        </w:tc>
        <w:tc>
          <w:tcPr>
            <w:tcW w:w="1923" w:type="dxa"/>
          </w:tcPr>
          <w:p w14:paraId="74DD88AC" w14:textId="77777777" w:rsidR="00B801F4" w:rsidRPr="00B801F4" w:rsidRDefault="00B801F4" w:rsidP="00B801F4">
            <w:pPr>
              <w:tabs>
                <w:tab w:val="left" w:pos="1080"/>
              </w:tabs>
              <w:spacing w:after="80"/>
              <w:jc w:val="right"/>
            </w:pPr>
            <w:r w:rsidRPr="00B801F4">
              <w:t>30.8</w:t>
            </w:r>
          </w:p>
        </w:tc>
        <w:tc>
          <w:tcPr>
            <w:tcW w:w="2438" w:type="dxa"/>
          </w:tcPr>
          <w:p w14:paraId="71D12372" w14:textId="77777777" w:rsidR="00B801F4" w:rsidRPr="00B801F4" w:rsidRDefault="00B801F4" w:rsidP="00B801F4">
            <w:pPr>
              <w:tabs>
                <w:tab w:val="left" w:pos="1080"/>
              </w:tabs>
              <w:spacing w:after="80"/>
              <w:jc w:val="right"/>
            </w:pPr>
            <w:r w:rsidRPr="00B801F4">
              <w:t>248.0</w:t>
            </w:r>
          </w:p>
        </w:tc>
      </w:tr>
      <w:tr w:rsidR="00B801F4" w:rsidRPr="00B801F4" w14:paraId="74CA6AD1" w14:textId="77777777" w:rsidTr="00B801F4">
        <w:tc>
          <w:tcPr>
            <w:tcW w:w="4391" w:type="dxa"/>
          </w:tcPr>
          <w:p w14:paraId="4A9AF968" w14:textId="77777777" w:rsidR="00B801F4" w:rsidRPr="00B801F4" w:rsidRDefault="00B801F4" w:rsidP="00B801F4">
            <w:pPr>
              <w:tabs>
                <w:tab w:val="left" w:pos="1080"/>
              </w:tabs>
              <w:spacing w:after="80"/>
              <w:jc w:val="left"/>
            </w:pPr>
            <w:r w:rsidRPr="00B801F4">
              <w:t>Svenska Handelsbanken</w:t>
            </w:r>
          </w:p>
        </w:tc>
        <w:tc>
          <w:tcPr>
            <w:tcW w:w="993" w:type="dxa"/>
          </w:tcPr>
          <w:p w14:paraId="365EF076" w14:textId="77777777" w:rsidR="00B801F4" w:rsidRPr="00B801F4" w:rsidRDefault="00B801F4" w:rsidP="00B801F4">
            <w:pPr>
              <w:tabs>
                <w:tab w:val="left" w:pos="1080"/>
              </w:tabs>
              <w:spacing w:after="80"/>
              <w:jc w:val="right"/>
              <w:rPr>
                <w:highlight w:val="yellow"/>
              </w:rPr>
            </w:pPr>
            <w:r w:rsidRPr="00B801F4">
              <w:t>Aa3</w:t>
            </w:r>
          </w:p>
        </w:tc>
        <w:tc>
          <w:tcPr>
            <w:tcW w:w="1923" w:type="dxa"/>
          </w:tcPr>
          <w:p w14:paraId="733BA4FF" w14:textId="77777777" w:rsidR="00B801F4" w:rsidRPr="00B801F4" w:rsidRDefault="00B801F4" w:rsidP="00B801F4">
            <w:pPr>
              <w:tabs>
                <w:tab w:val="left" w:pos="1080"/>
              </w:tabs>
              <w:spacing w:after="80"/>
              <w:jc w:val="right"/>
            </w:pPr>
            <w:r w:rsidRPr="00B801F4">
              <w:t>30.0</w:t>
            </w:r>
          </w:p>
        </w:tc>
        <w:tc>
          <w:tcPr>
            <w:tcW w:w="2438" w:type="dxa"/>
          </w:tcPr>
          <w:p w14:paraId="5235CB70" w14:textId="77777777" w:rsidR="00B801F4" w:rsidRPr="00B801F4" w:rsidRDefault="00B801F4" w:rsidP="00B801F4">
            <w:pPr>
              <w:tabs>
                <w:tab w:val="left" w:pos="1080"/>
              </w:tabs>
              <w:spacing w:after="80"/>
              <w:jc w:val="right"/>
            </w:pPr>
            <w:r w:rsidRPr="00B801F4">
              <w:t>61.4</w:t>
            </w:r>
          </w:p>
        </w:tc>
      </w:tr>
      <w:tr w:rsidR="00B801F4" w:rsidRPr="00B801F4" w14:paraId="453A6BCA" w14:textId="77777777" w:rsidTr="00B801F4">
        <w:tc>
          <w:tcPr>
            <w:tcW w:w="4391" w:type="dxa"/>
            <w:shd w:val="clear" w:color="auto" w:fill="A8D08D" w:themeFill="accent6" w:themeFillTint="99"/>
          </w:tcPr>
          <w:p w14:paraId="1470B9AE" w14:textId="77777777" w:rsidR="00B801F4" w:rsidRPr="00B801F4" w:rsidRDefault="00B801F4" w:rsidP="00B801F4">
            <w:pPr>
              <w:tabs>
                <w:tab w:val="left" w:pos="1080"/>
              </w:tabs>
              <w:spacing w:after="80"/>
              <w:jc w:val="left"/>
              <w:rPr>
                <w:b/>
              </w:rPr>
            </w:pPr>
            <w:r w:rsidRPr="00B801F4">
              <w:rPr>
                <w:b/>
              </w:rPr>
              <w:t>Bank current accounts</w:t>
            </w:r>
          </w:p>
        </w:tc>
        <w:tc>
          <w:tcPr>
            <w:tcW w:w="993" w:type="dxa"/>
            <w:shd w:val="clear" w:color="auto" w:fill="A8D08D" w:themeFill="accent6" w:themeFillTint="99"/>
          </w:tcPr>
          <w:p w14:paraId="43901576" w14:textId="77777777" w:rsidR="00B801F4" w:rsidRPr="00B801F4" w:rsidRDefault="00B801F4" w:rsidP="00B801F4">
            <w:pPr>
              <w:tabs>
                <w:tab w:val="left" w:pos="1080"/>
              </w:tabs>
              <w:spacing w:after="80"/>
              <w:jc w:val="right"/>
            </w:pPr>
          </w:p>
        </w:tc>
        <w:tc>
          <w:tcPr>
            <w:tcW w:w="1923" w:type="dxa"/>
            <w:shd w:val="clear" w:color="auto" w:fill="A8D08D" w:themeFill="accent6" w:themeFillTint="99"/>
          </w:tcPr>
          <w:p w14:paraId="09943420" w14:textId="77777777" w:rsidR="00B801F4" w:rsidRPr="00B801F4" w:rsidRDefault="00B801F4" w:rsidP="00B801F4">
            <w:pPr>
              <w:tabs>
                <w:tab w:val="left" w:pos="1080"/>
              </w:tabs>
              <w:spacing w:after="80"/>
              <w:jc w:val="right"/>
            </w:pPr>
          </w:p>
        </w:tc>
        <w:tc>
          <w:tcPr>
            <w:tcW w:w="2438" w:type="dxa"/>
            <w:shd w:val="clear" w:color="auto" w:fill="A8D08D" w:themeFill="accent6" w:themeFillTint="99"/>
          </w:tcPr>
          <w:p w14:paraId="15A06474" w14:textId="77777777" w:rsidR="00B801F4" w:rsidRPr="00B801F4" w:rsidRDefault="00B801F4" w:rsidP="00B801F4">
            <w:pPr>
              <w:tabs>
                <w:tab w:val="left" w:pos="1080"/>
              </w:tabs>
              <w:spacing w:after="80"/>
              <w:jc w:val="right"/>
            </w:pPr>
          </w:p>
        </w:tc>
      </w:tr>
      <w:tr w:rsidR="00B801F4" w:rsidRPr="00B801F4" w14:paraId="51862C58" w14:textId="77777777" w:rsidTr="00B801F4">
        <w:tc>
          <w:tcPr>
            <w:tcW w:w="4391" w:type="dxa"/>
          </w:tcPr>
          <w:p w14:paraId="6D460051" w14:textId="77777777" w:rsidR="00B801F4" w:rsidRPr="00B801F4" w:rsidRDefault="00B801F4" w:rsidP="00B801F4">
            <w:pPr>
              <w:tabs>
                <w:tab w:val="left" w:pos="1080"/>
              </w:tabs>
              <w:spacing w:after="80"/>
              <w:jc w:val="left"/>
            </w:pPr>
            <w:r w:rsidRPr="00B801F4">
              <w:t>Natwest account</w:t>
            </w:r>
          </w:p>
        </w:tc>
        <w:tc>
          <w:tcPr>
            <w:tcW w:w="993" w:type="dxa"/>
          </w:tcPr>
          <w:p w14:paraId="31871EC2" w14:textId="77777777" w:rsidR="00B801F4" w:rsidRPr="00B801F4" w:rsidRDefault="00B801F4" w:rsidP="00B801F4">
            <w:pPr>
              <w:tabs>
                <w:tab w:val="left" w:pos="1080"/>
              </w:tabs>
              <w:spacing w:after="80"/>
              <w:jc w:val="right"/>
            </w:pPr>
            <w:r w:rsidRPr="00B801F4">
              <w:t>Baa2</w:t>
            </w:r>
          </w:p>
        </w:tc>
        <w:tc>
          <w:tcPr>
            <w:tcW w:w="1923" w:type="dxa"/>
          </w:tcPr>
          <w:p w14:paraId="27B3D1B8" w14:textId="77777777" w:rsidR="00B801F4" w:rsidRPr="00B801F4" w:rsidRDefault="00B801F4" w:rsidP="00B801F4">
            <w:pPr>
              <w:tabs>
                <w:tab w:val="left" w:pos="1080"/>
              </w:tabs>
              <w:spacing w:after="80"/>
              <w:jc w:val="right"/>
            </w:pPr>
            <w:r w:rsidRPr="00B801F4">
              <w:t>(0.8)</w:t>
            </w:r>
          </w:p>
        </w:tc>
        <w:tc>
          <w:tcPr>
            <w:tcW w:w="2438" w:type="dxa"/>
          </w:tcPr>
          <w:p w14:paraId="38814022" w14:textId="77777777" w:rsidR="00B801F4" w:rsidRPr="00B801F4" w:rsidRDefault="00B801F4" w:rsidP="00B801F4">
            <w:pPr>
              <w:tabs>
                <w:tab w:val="left" w:pos="1080"/>
              </w:tabs>
              <w:spacing w:after="80"/>
              <w:jc w:val="right"/>
            </w:pPr>
            <w:r w:rsidRPr="00B801F4">
              <w:t>1.1</w:t>
            </w:r>
          </w:p>
        </w:tc>
      </w:tr>
      <w:tr w:rsidR="00B801F4" w:rsidRPr="00B801F4" w14:paraId="629A05BD" w14:textId="77777777" w:rsidTr="00B801F4">
        <w:tc>
          <w:tcPr>
            <w:tcW w:w="4391" w:type="dxa"/>
            <w:shd w:val="clear" w:color="auto" w:fill="C5E0B3" w:themeFill="accent6" w:themeFillTint="66"/>
          </w:tcPr>
          <w:p w14:paraId="23601D90" w14:textId="77777777" w:rsidR="00B801F4" w:rsidRPr="00B801F4" w:rsidRDefault="00B801F4" w:rsidP="00B801F4">
            <w:pPr>
              <w:tabs>
                <w:tab w:val="left" w:pos="1080"/>
              </w:tabs>
              <w:spacing w:after="80"/>
              <w:rPr>
                <w:b/>
              </w:rPr>
            </w:pPr>
            <w:r w:rsidRPr="00B801F4">
              <w:rPr>
                <w:b/>
              </w:rPr>
              <w:t>Total</w:t>
            </w:r>
          </w:p>
        </w:tc>
        <w:tc>
          <w:tcPr>
            <w:tcW w:w="993" w:type="dxa"/>
            <w:shd w:val="clear" w:color="auto" w:fill="C5E0B3" w:themeFill="accent6" w:themeFillTint="66"/>
          </w:tcPr>
          <w:p w14:paraId="395ADEE0" w14:textId="77777777" w:rsidR="00B801F4" w:rsidRPr="00B801F4" w:rsidRDefault="00B801F4" w:rsidP="00B801F4">
            <w:pPr>
              <w:tabs>
                <w:tab w:val="left" w:pos="1080"/>
              </w:tabs>
              <w:spacing w:after="80"/>
              <w:jc w:val="right"/>
              <w:rPr>
                <w:b/>
              </w:rPr>
            </w:pPr>
          </w:p>
        </w:tc>
        <w:tc>
          <w:tcPr>
            <w:tcW w:w="1923" w:type="dxa"/>
            <w:shd w:val="clear" w:color="auto" w:fill="C5E0B3" w:themeFill="accent6" w:themeFillTint="66"/>
          </w:tcPr>
          <w:p w14:paraId="6E250EBD" w14:textId="77777777" w:rsidR="00B801F4" w:rsidRPr="00B801F4" w:rsidRDefault="00B801F4" w:rsidP="00B801F4">
            <w:pPr>
              <w:tabs>
                <w:tab w:val="left" w:pos="1080"/>
              </w:tabs>
              <w:spacing w:after="80"/>
              <w:jc w:val="right"/>
              <w:rPr>
                <w:b/>
              </w:rPr>
            </w:pPr>
            <w:r w:rsidRPr="00B801F4">
              <w:rPr>
                <w:b/>
              </w:rPr>
              <w:t>60.0</w:t>
            </w:r>
          </w:p>
        </w:tc>
        <w:tc>
          <w:tcPr>
            <w:tcW w:w="2438" w:type="dxa"/>
            <w:shd w:val="clear" w:color="auto" w:fill="C5E0B3" w:themeFill="accent6" w:themeFillTint="66"/>
          </w:tcPr>
          <w:p w14:paraId="1EB360EC" w14:textId="77777777" w:rsidR="00B801F4" w:rsidRPr="00B801F4" w:rsidRDefault="00B801F4" w:rsidP="00B801F4">
            <w:pPr>
              <w:tabs>
                <w:tab w:val="left" w:pos="1080"/>
              </w:tabs>
              <w:spacing w:after="80"/>
              <w:jc w:val="right"/>
              <w:rPr>
                <w:b/>
              </w:rPr>
            </w:pPr>
            <w:r w:rsidRPr="00B801F4">
              <w:rPr>
                <w:b/>
              </w:rPr>
              <w:t>315.5</w:t>
            </w:r>
          </w:p>
        </w:tc>
      </w:tr>
    </w:tbl>
    <w:p w14:paraId="49DB12DA" w14:textId="77777777" w:rsidR="00B801F4" w:rsidRPr="00B801F4" w:rsidRDefault="00B801F4" w:rsidP="00B801F4">
      <w:pPr>
        <w:tabs>
          <w:tab w:val="left" w:pos="1080"/>
        </w:tabs>
        <w:spacing w:after="80"/>
        <w:ind w:left="709"/>
      </w:pPr>
    </w:p>
    <w:p w14:paraId="746F2450" w14:textId="77777777" w:rsidR="00B801F4" w:rsidRPr="00B801F4" w:rsidRDefault="00B801F4" w:rsidP="00B801F4">
      <w:pPr>
        <w:spacing w:after="0"/>
        <w:ind w:firstLine="709"/>
      </w:pPr>
      <w:r w:rsidRPr="00B801F4">
        <w:rPr>
          <w:b/>
        </w:rPr>
        <w:t>18.7 Liquidity risks</w:t>
      </w:r>
    </w:p>
    <w:p w14:paraId="66D0F936" w14:textId="77777777" w:rsidR="00B801F4" w:rsidRPr="00B801F4" w:rsidRDefault="00B801F4" w:rsidP="00B801F4">
      <w:pPr>
        <w:ind w:left="709"/>
        <w:jc w:val="left"/>
      </w:pPr>
      <w:r w:rsidRPr="00B801F4">
        <w:t xml:space="preserve">Liquidity risk represents the risk that the Fund will not be able to meet its financial obligations as they fall due.  The Fund therefore takes steps to ensure that there are adequate cash resources to meet its commitments. </w:t>
      </w:r>
    </w:p>
    <w:p w14:paraId="79F57909" w14:textId="77777777" w:rsidR="00B801F4" w:rsidRPr="00B801F4" w:rsidRDefault="00B801F4" w:rsidP="00B801F4">
      <w:pPr>
        <w:ind w:left="709"/>
        <w:jc w:val="left"/>
      </w:pPr>
      <w:r w:rsidRPr="00B801F4">
        <w:t xml:space="preserve">The Fund has immediate access to its cash holdings. </w:t>
      </w:r>
    </w:p>
    <w:p w14:paraId="5931481A" w14:textId="77777777" w:rsidR="00B801F4" w:rsidRPr="00B801F4" w:rsidRDefault="00B801F4" w:rsidP="00B801F4">
      <w:pPr>
        <w:ind w:left="709"/>
        <w:jc w:val="left"/>
      </w:pPr>
      <w:r w:rsidRPr="00B801F4">
        <w:t xml:space="preserve">Management prepares periodic cash flow forecasts to understand and manage the timing of the Fund's cash flow.  The appropriate strategic level of cash balances to be held forms part of the Funds investment strategy. </w:t>
      </w:r>
    </w:p>
    <w:p w14:paraId="52A7F4C5" w14:textId="77777777" w:rsidR="00B801F4" w:rsidRPr="00B801F4" w:rsidRDefault="00B801F4" w:rsidP="00B801F4">
      <w:pPr>
        <w:ind w:left="709"/>
        <w:jc w:val="left"/>
      </w:pPr>
      <w:r w:rsidRPr="00B801F4">
        <w:t xml:space="preserve">All financial liabilities at 31 March 2015 are due within the one year. </w:t>
      </w:r>
    </w:p>
    <w:p w14:paraId="106615EA" w14:textId="77777777" w:rsidR="00B801F4" w:rsidRPr="00B801F4" w:rsidRDefault="00B801F4" w:rsidP="00B801F4">
      <w:pPr>
        <w:ind w:left="709"/>
      </w:pPr>
    </w:p>
    <w:p w14:paraId="37637E83" w14:textId="77777777" w:rsidR="00B801F4" w:rsidRPr="00B801F4" w:rsidRDefault="00B801F4" w:rsidP="00717919">
      <w:pPr>
        <w:numPr>
          <w:ilvl w:val="0"/>
          <w:numId w:val="74"/>
        </w:numPr>
        <w:autoSpaceDE/>
        <w:autoSpaceDN/>
        <w:adjustRightInd/>
        <w:ind w:left="862"/>
        <w:jc w:val="left"/>
        <w:rPr>
          <w:sz w:val="32"/>
          <w:szCs w:val="32"/>
        </w:rPr>
      </w:pPr>
      <w:r w:rsidRPr="00B801F4">
        <w:rPr>
          <w:b/>
          <w:sz w:val="32"/>
          <w:szCs w:val="32"/>
        </w:rPr>
        <w:t>Additional voluntary contributions (AVC’s)</w:t>
      </w:r>
    </w:p>
    <w:p w14:paraId="7EF92C85" w14:textId="77777777" w:rsidR="00B801F4" w:rsidRPr="00B801F4" w:rsidRDefault="00B801F4" w:rsidP="00B801F4">
      <w:pPr>
        <w:tabs>
          <w:tab w:val="left" w:pos="709"/>
        </w:tabs>
        <w:ind w:left="709"/>
        <w:jc w:val="left"/>
      </w:pPr>
      <w:r w:rsidRPr="00B801F4">
        <w:t>Members participating in these AVC arrangements each receive an annual statement confirming the amounts held in their account and the movements during the year.  A summary of the information provided by Equitable Life and Prudential is shown below.  (This summary has not been subject to Audit and the Pension Fund relies on the individual contributors to check deductions made on their behalf are accurately reflected in the statements provided by the AVC providers).  The figures relate to the financial year 1 April 2014 to 31 March 2015 for Prudential and 1 September 2013 to 31 August 2014 for Equitable Life and are not included in the Pension Fund accounts in accordance with Regulations 5(2)(c) of the Pension Scheme (Management and Investment of Funds) Regulations 1998.</w:t>
      </w:r>
    </w:p>
    <w:p w14:paraId="382DEEB7" w14:textId="77777777" w:rsidR="00B801F4" w:rsidRPr="00B801F4" w:rsidRDefault="00B801F4" w:rsidP="00B801F4">
      <w:pPr>
        <w:tabs>
          <w:tab w:val="left" w:pos="709"/>
        </w:tabs>
        <w:ind w:left="709"/>
      </w:pPr>
    </w:p>
    <w:tbl>
      <w:tblPr>
        <w:tblStyle w:val="TableGrid1"/>
        <w:tblW w:w="0" w:type="auto"/>
        <w:tblInd w:w="70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817"/>
        <w:gridCol w:w="1842"/>
        <w:gridCol w:w="1843"/>
        <w:gridCol w:w="1243"/>
      </w:tblGrid>
      <w:tr w:rsidR="00B801F4" w:rsidRPr="00B801F4" w14:paraId="207D3844" w14:textId="77777777" w:rsidTr="00B801F4">
        <w:tc>
          <w:tcPr>
            <w:tcW w:w="4817" w:type="dxa"/>
            <w:tcBorders>
              <w:top w:val="single" w:sz="2" w:space="0" w:color="auto"/>
              <w:bottom w:val="nil"/>
            </w:tcBorders>
            <w:shd w:val="clear" w:color="auto" w:fill="A8D08D" w:themeFill="accent6" w:themeFillTint="99"/>
          </w:tcPr>
          <w:p w14:paraId="552BBAD2" w14:textId="77777777" w:rsidR="00B801F4" w:rsidRPr="00B801F4" w:rsidRDefault="00B801F4" w:rsidP="00B801F4">
            <w:pPr>
              <w:tabs>
                <w:tab w:val="left" w:pos="1080"/>
              </w:tabs>
              <w:spacing w:after="80"/>
              <w:jc w:val="left"/>
              <w:rPr>
                <w:b/>
              </w:rPr>
            </w:pPr>
          </w:p>
        </w:tc>
        <w:tc>
          <w:tcPr>
            <w:tcW w:w="1842" w:type="dxa"/>
            <w:tcBorders>
              <w:top w:val="single" w:sz="2" w:space="0" w:color="auto"/>
              <w:bottom w:val="nil"/>
            </w:tcBorders>
            <w:shd w:val="clear" w:color="auto" w:fill="A8D08D" w:themeFill="accent6" w:themeFillTint="99"/>
          </w:tcPr>
          <w:p w14:paraId="09AAEA0D" w14:textId="77777777" w:rsidR="00B801F4" w:rsidRPr="00B801F4" w:rsidRDefault="00B801F4" w:rsidP="00B801F4">
            <w:pPr>
              <w:tabs>
                <w:tab w:val="left" w:pos="1080"/>
              </w:tabs>
              <w:spacing w:after="80"/>
              <w:jc w:val="right"/>
              <w:rPr>
                <w:b/>
              </w:rPr>
            </w:pPr>
            <w:r w:rsidRPr="00B801F4">
              <w:rPr>
                <w:b/>
              </w:rPr>
              <w:t>Equitable Life</w:t>
            </w:r>
          </w:p>
        </w:tc>
        <w:tc>
          <w:tcPr>
            <w:tcW w:w="1843" w:type="dxa"/>
            <w:tcBorders>
              <w:top w:val="single" w:sz="2" w:space="0" w:color="auto"/>
              <w:bottom w:val="nil"/>
            </w:tcBorders>
            <w:shd w:val="clear" w:color="auto" w:fill="A8D08D" w:themeFill="accent6" w:themeFillTint="99"/>
          </w:tcPr>
          <w:p w14:paraId="7CE1AD71" w14:textId="77777777" w:rsidR="00B801F4" w:rsidRPr="00B801F4" w:rsidRDefault="00B801F4" w:rsidP="00B801F4">
            <w:pPr>
              <w:tabs>
                <w:tab w:val="left" w:pos="1080"/>
              </w:tabs>
              <w:spacing w:after="80"/>
              <w:jc w:val="right"/>
              <w:rPr>
                <w:b/>
              </w:rPr>
            </w:pPr>
            <w:r w:rsidRPr="00B801F4">
              <w:rPr>
                <w:b/>
              </w:rPr>
              <w:t>Prudential</w:t>
            </w:r>
          </w:p>
        </w:tc>
        <w:tc>
          <w:tcPr>
            <w:tcW w:w="1243" w:type="dxa"/>
            <w:tcBorders>
              <w:top w:val="single" w:sz="2" w:space="0" w:color="auto"/>
              <w:bottom w:val="nil"/>
            </w:tcBorders>
            <w:shd w:val="clear" w:color="auto" w:fill="A8D08D" w:themeFill="accent6" w:themeFillTint="99"/>
          </w:tcPr>
          <w:p w14:paraId="78C7B525" w14:textId="77777777" w:rsidR="00B801F4" w:rsidRPr="00B801F4" w:rsidRDefault="00B801F4" w:rsidP="00B801F4">
            <w:pPr>
              <w:tabs>
                <w:tab w:val="left" w:pos="1080"/>
              </w:tabs>
              <w:spacing w:after="80"/>
              <w:jc w:val="right"/>
              <w:rPr>
                <w:b/>
              </w:rPr>
            </w:pPr>
            <w:r w:rsidRPr="00B801F4">
              <w:rPr>
                <w:b/>
              </w:rPr>
              <w:t>Total</w:t>
            </w:r>
          </w:p>
        </w:tc>
      </w:tr>
      <w:tr w:rsidR="00B801F4" w:rsidRPr="00B801F4" w14:paraId="6951AA5B" w14:textId="77777777" w:rsidTr="00B801F4">
        <w:tc>
          <w:tcPr>
            <w:tcW w:w="4817" w:type="dxa"/>
            <w:tcBorders>
              <w:top w:val="nil"/>
              <w:bottom w:val="single" w:sz="2" w:space="0" w:color="auto"/>
            </w:tcBorders>
            <w:shd w:val="clear" w:color="auto" w:fill="A8D08D" w:themeFill="accent6" w:themeFillTint="99"/>
          </w:tcPr>
          <w:p w14:paraId="7EE44ADC" w14:textId="77777777" w:rsidR="00B801F4" w:rsidRPr="00B801F4" w:rsidRDefault="00B801F4" w:rsidP="00B801F4">
            <w:pPr>
              <w:tabs>
                <w:tab w:val="left" w:pos="1080"/>
              </w:tabs>
              <w:spacing w:after="80"/>
              <w:rPr>
                <w:b/>
              </w:rPr>
            </w:pPr>
          </w:p>
        </w:tc>
        <w:tc>
          <w:tcPr>
            <w:tcW w:w="1842" w:type="dxa"/>
            <w:tcBorders>
              <w:top w:val="nil"/>
              <w:bottom w:val="single" w:sz="2" w:space="0" w:color="auto"/>
            </w:tcBorders>
            <w:shd w:val="clear" w:color="auto" w:fill="A8D08D" w:themeFill="accent6" w:themeFillTint="99"/>
          </w:tcPr>
          <w:p w14:paraId="1718E90A" w14:textId="77777777" w:rsidR="00B801F4" w:rsidRPr="00B801F4" w:rsidRDefault="00B801F4" w:rsidP="00B801F4">
            <w:pPr>
              <w:tabs>
                <w:tab w:val="left" w:pos="1080"/>
              </w:tabs>
              <w:spacing w:after="80"/>
              <w:jc w:val="right"/>
              <w:rPr>
                <w:b/>
              </w:rPr>
            </w:pPr>
            <w:r w:rsidRPr="00B801F4">
              <w:rPr>
                <w:b/>
              </w:rPr>
              <w:t>£m</w:t>
            </w:r>
          </w:p>
        </w:tc>
        <w:tc>
          <w:tcPr>
            <w:tcW w:w="1843" w:type="dxa"/>
            <w:tcBorders>
              <w:top w:val="nil"/>
              <w:bottom w:val="single" w:sz="2" w:space="0" w:color="auto"/>
            </w:tcBorders>
            <w:shd w:val="clear" w:color="auto" w:fill="A8D08D" w:themeFill="accent6" w:themeFillTint="99"/>
          </w:tcPr>
          <w:p w14:paraId="31B0D5B6" w14:textId="77777777" w:rsidR="00B801F4" w:rsidRPr="00B801F4" w:rsidRDefault="00B801F4" w:rsidP="00B801F4">
            <w:pPr>
              <w:tabs>
                <w:tab w:val="left" w:pos="1080"/>
              </w:tabs>
              <w:spacing w:after="80"/>
              <w:jc w:val="right"/>
              <w:rPr>
                <w:b/>
              </w:rPr>
            </w:pPr>
            <w:r w:rsidRPr="00B801F4">
              <w:rPr>
                <w:b/>
              </w:rPr>
              <w:t>£m</w:t>
            </w:r>
          </w:p>
        </w:tc>
        <w:tc>
          <w:tcPr>
            <w:tcW w:w="1243" w:type="dxa"/>
            <w:tcBorders>
              <w:top w:val="nil"/>
              <w:bottom w:val="single" w:sz="2" w:space="0" w:color="auto"/>
            </w:tcBorders>
            <w:shd w:val="clear" w:color="auto" w:fill="A8D08D" w:themeFill="accent6" w:themeFillTint="99"/>
          </w:tcPr>
          <w:p w14:paraId="68037FFB" w14:textId="77777777" w:rsidR="00B801F4" w:rsidRPr="00B801F4" w:rsidRDefault="00B801F4" w:rsidP="00B801F4">
            <w:pPr>
              <w:tabs>
                <w:tab w:val="left" w:pos="1080"/>
              </w:tabs>
              <w:spacing w:after="80"/>
              <w:jc w:val="right"/>
              <w:rPr>
                <w:b/>
              </w:rPr>
            </w:pPr>
            <w:r w:rsidRPr="00B801F4">
              <w:rPr>
                <w:b/>
              </w:rPr>
              <w:t>£m</w:t>
            </w:r>
          </w:p>
        </w:tc>
      </w:tr>
      <w:tr w:rsidR="00B801F4" w:rsidRPr="00B801F4" w14:paraId="1673580F" w14:textId="77777777" w:rsidTr="00B801F4">
        <w:tc>
          <w:tcPr>
            <w:tcW w:w="4817" w:type="dxa"/>
            <w:tcBorders>
              <w:top w:val="single" w:sz="2" w:space="0" w:color="auto"/>
            </w:tcBorders>
            <w:shd w:val="clear" w:color="auto" w:fill="E2EFD9" w:themeFill="accent6" w:themeFillTint="33"/>
          </w:tcPr>
          <w:p w14:paraId="7D014DA8" w14:textId="77777777" w:rsidR="00B801F4" w:rsidRPr="00B801F4" w:rsidRDefault="00B801F4" w:rsidP="00B801F4">
            <w:pPr>
              <w:tabs>
                <w:tab w:val="left" w:pos="1080"/>
              </w:tabs>
              <w:spacing w:after="80"/>
              <w:jc w:val="left"/>
            </w:pPr>
            <w:r w:rsidRPr="00B801F4">
              <w:t>Value at start of  the year</w:t>
            </w:r>
          </w:p>
        </w:tc>
        <w:tc>
          <w:tcPr>
            <w:tcW w:w="1842" w:type="dxa"/>
            <w:tcBorders>
              <w:top w:val="single" w:sz="2" w:space="0" w:color="auto"/>
            </w:tcBorders>
            <w:shd w:val="clear" w:color="auto" w:fill="E2EFD9" w:themeFill="accent6" w:themeFillTint="33"/>
          </w:tcPr>
          <w:p w14:paraId="360D15C0" w14:textId="77777777" w:rsidR="00B801F4" w:rsidRPr="00B801F4" w:rsidRDefault="00B801F4" w:rsidP="00B801F4">
            <w:pPr>
              <w:tabs>
                <w:tab w:val="left" w:pos="1080"/>
              </w:tabs>
              <w:spacing w:after="80"/>
              <w:jc w:val="right"/>
            </w:pPr>
            <w:r w:rsidRPr="00B801F4">
              <w:t>1.1</w:t>
            </w:r>
          </w:p>
        </w:tc>
        <w:tc>
          <w:tcPr>
            <w:tcW w:w="1843" w:type="dxa"/>
            <w:tcBorders>
              <w:top w:val="single" w:sz="2" w:space="0" w:color="auto"/>
            </w:tcBorders>
            <w:shd w:val="clear" w:color="auto" w:fill="E2EFD9" w:themeFill="accent6" w:themeFillTint="33"/>
          </w:tcPr>
          <w:p w14:paraId="2F0839FF" w14:textId="77777777" w:rsidR="00B801F4" w:rsidRPr="00B801F4" w:rsidRDefault="00B801F4" w:rsidP="00B801F4">
            <w:pPr>
              <w:tabs>
                <w:tab w:val="left" w:pos="1080"/>
              </w:tabs>
              <w:spacing w:after="80"/>
              <w:jc w:val="right"/>
            </w:pPr>
            <w:r w:rsidRPr="00B801F4">
              <w:t>19.8</w:t>
            </w:r>
          </w:p>
        </w:tc>
        <w:tc>
          <w:tcPr>
            <w:tcW w:w="1243" w:type="dxa"/>
            <w:tcBorders>
              <w:top w:val="single" w:sz="2" w:space="0" w:color="auto"/>
            </w:tcBorders>
            <w:shd w:val="clear" w:color="auto" w:fill="E2EFD9" w:themeFill="accent6" w:themeFillTint="33"/>
          </w:tcPr>
          <w:p w14:paraId="69A5BDE8" w14:textId="77777777" w:rsidR="00B801F4" w:rsidRPr="00B801F4" w:rsidRDefault="00B801F4" w:rsidP="00B801F4">
            <w:pPr>
              <w:tabs>
                <w:tab w:val="left" w:pos="1080"/>
              </w:tabs>
              <w:spacing w:after="80"/>
              <w:jc w:val="right"/>
            </w:pPr>
            <w:r w:rsidRPr="00B801F4">
              <w:t>20.9</w:t>
            </w:r>
          </w:p>
        </w:tc>
      </w:tr>
      <w:tr w:rsidR="00B801F4" w:rsidRPr="00B801F4" w14:paraId="6EA8A18F" w14:textId="77777777" w:rsidTr="00B801F4">
        <w:tc>
          <w:tcPr>
            <w:tcW w:w="4817" w:type="dxa"/>
          </w:tcPr>
          <w:p w14:paraId="6205E4B4" w14:textId="77777777" w:rsidR="00B801F4" w:rsidRPr="00B801F4" w:rsidRDefault="00B801F4" w:rsidP="00B801F4">
            <w:pPr>
              <w:tabs>
                <w:tab w:val="left" w:pos="1080"/>
              </w:tabs>
              <w:spacing w:after="80"/>
              <w:jc w:val="left"/>
            </w:pPr>
            <w:r w:rsidRPr="00B801F4">
              <w:t>Income (incl. contributions, bonuses, interest &amp; transfers in)</w:t>
            </w:r>
          </w:p>
        </w:tc>
        <w:tc>
          <w:tcPr>
            <w:tcW w:w="1842" w:type="dxa"/>
          </w:tcPr>
          <w:p w14:paraId="1723C282" w14:textId="77777777" w:rsidR="00B801F4" w:rsidRPr="00B801F4" w:rsidRDefault="00B801F4" w:rsidP="00B801F4">
            <w:pPr>
              <w:tabs>
                <w:tab w:val="left" w:pos="1080"/>
              </w:tabs>
              <w:spacing w:after="80"/>
              <w:jc w:val="right"/>
            </w:pPr>
            <w:r w:rsidRPr="00B801F4">
              <w:t>0.0</w:t>
            </w:r>
          </w:p>
        </w:tc>
        <w:tc>
          <w:tcPr>
            <w:tcW w:w="1843" w:type="dxa"/>
          </w:tcPr>
          <w:p w14:paraId="51E9A508" w14:textId="77777777" w:rsidR="00B801F4" w:rsidRPr="00B801F4" w:rsidRDefault="00B801F4" w:rsidP="00B801F4">
            <w:pPr>
              <w:tabs>
                <w:tab w:val="left" w:pos="1080"/>
              </w:tabs>
              <w:spacing w:after="80"/>
              <w:jc w:val="right"/>
            </w:pPr>
            <w:r w:rsidRPr="00B801F4">
              <w:t>5.4</w:t>
            </w:r>
          </w:p>
        </w:tc>
        <w:tc>
          <w:tcPr>
            <w:tcW w:w="1243" w:type="dxa"/>
          </w:tcPr>
          <w:p w14:paraId="0B6CF967" w14:textId="77777777" w:rsidR="00B801F4" w:rsidRPr="00B801F4" w:rsidRDefault="00B801F4" w:rsidP="00B801F4">
            <w:pPr>
              <w:tabs>
                <w:tab w:val="left" w:pos="1080"/>
              </w:tabs>
              <w:spacing w:after="80"/>
              <w:jc w:val="right"/>
            </w:pPr>
            <w:r w:rsidRPr="00B801F4">
              <w:t>5.4</w:t>
            </w:r>
          </w:p>
        </w:tc>
      </w:tr>
      <w:tr w:rsidR="00B801F4" w:rsidRPr="00B801F4" w14:paraId="0076C725" w14:textId="77777777" w:rsidTr="00B801F4">
        <w:tc>
          <w:tcPr>
            <w:tcW w:w="4817" w:type="dxa"/>
          </w:tcPr>
          <w:p w14:paraId="564ACD2E" w14:textId="77777777" w:rsidR="00B801F4" w:rsidRPr="00B801F4" w:rsidRDefault="00B801F4" w:rsidP="00B801F4">
            <w:pPr>
              <w:tabs>
                <w:tab w:val="left" w:pos="1080"/>
              </w:tabs>
              <w:spacing w:after="80"/>
              <w:jc w:val="left"/>
            </w:pPr>
            <w:r w:rsidRPr="00B801F4">
              <w:t>Expenditure (incl. benefits, transfers out &amp; change in market value)</w:t>
            </w:r>
          </w:p>
        </w:tc>
        <w:tc>
          <w:tcPr>
            <w:tcW w:w="1842" w:type="dxa"/>
          </w:tcPr>
          <w:p w14:paraId="0EAE3CA6" w14:textId="77777777" w:rsidR="00B801F4" w:rsidRPr="00B801F4" w:rsidRDefault="00B801F4" w:rsidP="00B801F4">
            <w:pPr>
              <w:tabs>
                <w:tab w:val="left" w:pos="1080"/>
              </w:tabs>
              <w:spacing w:after="80"/>
              <w:jc w:val="right"/>
            </w:pPr>
            <w:r w:rsidRPr="00B801F4">
              <w:t>(0.1)</w:t>
            </w:r>
          </w:p>
        </w:tc>
        <w:tc>
          <w:tcPr>
            <w:tcW w:w="1843" w:type="dxa"/>
          </w:tcPr>
          <w:p w14:paraId="4D59651A" w14:textId="77777777" w:rsidR="00B801F4" w:rsidRPr="00B801F4" w:rsidRDefault="00B801F4" w:rsidP="00B801F4">
            <w:pPr>
              <w:tabs>
                <w:tab w:val="left" w:pos="1080"/>
              </w:tabs>
              <w:spacing w:after="80"/>
              <w:jc w:val="right"/>
            </w:pPr>
            <w:r w:rsidRPr="00B801F4">
              <w:t>(4.1)</w:t>
            </w:r>
          </w:p>
        </w:tc>
        <w:tc>
          <w:tcPr>
            <w:tcW w:w="1243" w:type="dxa"/>
          </w:tcPr>
          <w:p w14:paraId="79886425" w14:textId="77777777" w:rsidR="00B801F4" w:rsidRPr="00B801F4" w:rsidRDefault="00B801F4" w:rsidP="00B801F4">
            <w:pPr>
              <w:tabs>
                <w:tab w:val="left" w:pos="1080"/>
              </w:tabs>
              <w:spacing w:after="80"/>
              <w:jc w:val="right"/>
            </w:pPr>
            <w:r w:rsidRPr="00B801F4">
              <w:t>(4.2)</w:t>
            </w:r>
          </w:p>
        </w:tc>
      </w:tr>
      <w:tr w:rsidR="00B801F4" w:rsidRPr="00B801F4" w14:paraId="6C41FF9F" w14:textId="77777777" w:rsidTr="00B801F4">
        <w:tc>
          <w:tcPr>
            <w:tcW w:w="4817" w:type="dxa"/>
            <w:shd w:val="clear" w:color="auto" w:fill="C5E0B3" w:themeFill="accent6" w:themeFillTint="66"/>
          </w:tcPr>
          <w:p w14:paraId="67C298E7" w14:textId="77777777" w:rsidR="00B801F4" w:rsidRPr="00B801F4" w:rsidRDefault="00B801F4" w:rsidP="00B801F4">
            <w:pPr>
              <w:tabs>
                <w:tab w:val="left" w:pos="1080"/>
              </w:tabs>
              <w:spacing w:after="80"/>
              <w:rPr>
                <w:b/>
              </w:rPr>
            </w:pPr>
            <w:r w:rsidRPr="00B801F4">
              <w:rPr>
                <w:b/>
              </w:rPr>
              <w:t>Value at the end of the year</w:t>
            </w:r>
          </w:p>
        </w:tc>
        <w:tc>
          <w:tcPr>
            <w:tcW w:w="1842" w:type="dxa"/>
            <w:shd w:val="clear" w:color="auto" w:fill="C5E0B3" w:themeFill="accent6" w:themeFillTint="66"/>
          </w:tcPr>
          <w:p w14:paraId="2F70B42E" w14:textId="77777777" w:rsidR="00B801F4" w:rsidRPr="00B801F4" w:rsidRDefault="00B801F4" w:rsidP="00B801F4">
            <w:pPr>
              <w:tabs>
                <w:tab w:val="left" w:pos="1080"/>
              </w:tabs>
              <w:spacing w:after="80"/>
              <w:jc w:val="right"/>
              <w:rPr>
                <w:b/>
              </w:rPr>
            </w:pPr>
            <w:r w:rsidRPr="00B801F4">
              <w:rPr>
                <w:b/>
              </w:rPr>
              <w:t>1.0</w:t>
            </w:r>
          </w:p>
        </w:tc>
        <w:tc>
          <w:tcPr>
            <w:tcW w:w="1843" w:type="dxa"/>
            <w:shd w:val="clear" w:color="auto" w:fill="C5E0B3" w:themeFill="accent6" w:themeFillTint="66"/>
          </w:tcPr>
          <w:p w14:paraId="11BD1AFC" w14:textId="77777777" w:rsidR="00B801F4" w:rsidRPr="00B801F4" w:rsidRDefault="00B801F4" w:rsidP="00B801F4">
            <w:pPr>
              <w:tabs>
                <w:tab w:val="left" w:pos="1080"/>
              </w:tabs>
              <w:spacing w:after="80"/>
              <w:jc w:val="right"/>
              <w:rPr>
                <w:b/>
              </w:rPr>
            </w:pPr>
            <w:r w:rsidRPr="00B801F4">
              <w:rPr>
                <w:b/>
              </w:rPr>
              <w:t>21.1</w:t>
            </w:r>
          </w:p>
        </w:tc>
        <w:tc>
          <w:tcPr>
            <w:tcW w:w="1243" w:type="dxa"/>
            <w:shd w:val="clear" w:color="auto" w:fill="C5E0B3" w:themeFill="accent6" w:themeFillTint="66"/>
          </w:tcPr>
          <w:p w14:paraId="1EC0F9F5" w14:textId="77777777" w:rsidR="00B801F4" w:rsidRPr="00B801F4" w:rsidRDefault="00B801F4" w:rsidP="00B801F4">
            <w:pPr>
              <w:tabs>
                <w:tab w:val="left" w:pos="1080"/>
              </w:tabs>
              <w:spacing w:after="80"/>
              <w:jc w:val="right"/>
              <w:rPr>
                <w:b/>
              </w:rPr>
            </w:pPr>
            <w:r w:rsidRPr="00B801F4">
              <w:rPr>
                <w:b/>
              </w:rPr>
              <w:t>22.1</w:t>
            </w:r>
          </w:p>
        </w:tc>
      </w:tr>
    </w:tbl>
    <w:p w14:paraId="3AF86BE0" w14:textId="77777777" w:rsidR="00B801F4" w:rsidRPr="00B801F4" w:rsidRDefault="00B801F4" w:rsidP="00B801F4">
      <w:pPr>
        <w:tabs>
          <w:tab w:val="left" w:pos="1080"/>
        </w:tabs>
        <w:spacing w:after="80"/>
        <w:ind w:left="709"/>
      </w:pPr>
    </w:p>
    <w:p w14:paraId="674F469E" w14:textId="77777777" w:rsidR="00B801F4" w:rsidRPr="00B801F4" w:rsidRDefault="00B801F4" w:rsidP="00B801F4">
      <w:pPr>
        <w:tabs>
          <w:tab w:val="left" w:pos="1080"/>
        </w:tabs>
        <w:spacing w:after="80"/>
        <w:ind w:left="709"/>
      </w:pPr>
    </w:p>
    <w:p w14:paraId="6754F7DC" w14:textId="77777777" w:rsidR="00B801F4" w:rsidRPr="00B801F4" w:rsidRDefault="00B801F4" w:rsidP="00B801F4">
      <w:pPr>
        <w:tabs>
          <w:tab w:val="left" w:pos="1080"/>
        </w:tabs>
        <w:spacing w:after="80"/>
        <w:ind w:left="709"/>
      </w:pPr>
    </w:p>
    <w:p w14:paraId="41B5924E" w14:textId="77777777" w:rsidR="00B801F4" w:rsidRPr="00B801F4" w:rsidRDefault="00B801F4" w:rsidP="00717919">
      <w:pPr>
        <w:numPr>
          <w:ilvl w:val="0"/>
          <w:numId w:val="74"/>
        </w:numPr>
        <w:autoSpaceDE/>
        <w:autoSpaceDN/>
        <w:adjustRightInd/>
        <w:spacing w:after="0"/>
        <w:jc w:val="left"/>
        <w:rPr>
          <w:rFonts w:cs="Arial"/>
          <w:b/>
          <w:sz w:val="32"/>
          <w:szCs w:val="32"/>
        </w:rPr>
      </w:pPr>
      <w:r w:rsidRPr="00B801F4">
        <w:rPr>
          <w:rFonts w:cs="Arial"/>
          <w:b/>
          <w:sz w:val="32"/>
          <w:szCs w:val="32"/>
        </w:rPr>
        <w:t>Current assets</w:t>
      </w: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26"/>
        <w:gridCol w:w="1533"/>
        <w:gridCol w:w="34"/>
        <w:gridCol w:w="396"/>
        <w:gridCol w:w="36"/>
        <w:gridCol w:w="1660"/>
        <w:gridCol w:w="44"/>
      </w:tblGrid>
      <w:tr w:rsidR="00B801F4" w:rsidRPr="00B801F4" w14:paraId="3E4EECE6" w14:textId="77777777" w:rsidTr="00B801F4">
        <w:trPr>
          <w:trHeight w:val="554"/>
        </w:trPr>
        <w:tc>
          <w:tcPr>
            <w:tcW w:w="5084" w:type="dxa"/>
            <w:gridSpan w:val="2"/>
          </w:tcPr>
          <w:p w14:paraId="6DBA9CF0" w14:textId="77777777" w:rsidR="00B801F4" w:rsidRPr="00B801F4" w:rsidRDefault="00B801F4" w:rsidP="00B801F4">
            <w:pPr>
              <w:spacing w:after="0"/>
              <w:rPr>
                <w:rFonts w:ascii="Arial" w:hAnsi="Arial" w:cs="Arial"/>
                <w:b/>
              </w:rPr>
            </w:pPr>
          </w:p>
        </w:tc>
        <w:tc>
          <w:tcPr>
            <w:tcW w:w="1567" w:type="dxa"/>
            <w:gridSpan w:val="2"/>
          </w:tcPr>
          <w:p w14:paraId="2B23A4E4" w14:textId="77777777" w:rsidR="00B801F4" w:rsidRPr="00B801F4" w:rsidRDefault="00B801F4" w:rsidP="00B801F4">
            <w:pPr>
              <w:spacing w:after="0"/>
              <w:jc w:val="right"/>
              <w:rPr>
                <w:rFonts w:ascii="Arial" w:hAnsi="Arial" w:cs="Arial"/>
                <w:b/>
              </w:rPr>
            </w:pPr>
            <w:r w:rsidRPr="00B801F4">
              <w:rPr>
                <w:rFonts w:ascii="Arial" w:hAnsi="Arial" w:cs="Arial"/>
                <w:b/>
              </w:rPr>
              <w:t>31/03/15</w:t>
            </w:r>
          </w:p>
          <w:p w14:paraId="1179827E"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2" w:type="dxa"/>
            <w:gridSpan w:val="2"/>
            <w:tcBorders>
              <w:right w:val="single" w:sz="4" w:space="0" w:color="FFFFFF" w:themeColor="background1"/>
            </w:tcBorders>
          </w:tcPr>
          <w:p w14:paraId="7D8FD012" w14:textId="77777777" w:rsidR="00B801F4" w:rsidRPr="00B801F4" w:rsidRDefault="00B801F4" w:rsidP="00B801F4">
            <w:pPr>
              <w:spacing w:after="0"/>
              <w:jc w:val="right"/>
              <w:rPr>
                <w:rFonts w:ascii="Arial" w:hAnsi="Arial" w:cs="Arial"/>
                <w:b/>
              </w:rPr>
            </w:pPr>
          </w:p>
          <w:p w14:paraId="112E3A81" w14:textId="77777777" w:rsidR="00B801F4" w:rsidRPr="00B801F4" w:rsidRDefault="00B801F4" w:rsidP="00B801F4">
            <w:pPr>
              <w:spacing w:after="0"/>
              <w:jc w:val="right"/>
              <w:rPr>
                <w:rFonts w:ascii="Arial" w:hAnsi="Arial" w:cs="Arial"/>
                <w:b/>
              </w:rPr>
            </w:pPr>
          </w:p>
        </w:tc>
        <w:tc>
          <w:tcPr>
            <w:tcW w:w="1704" w:type="dxa"/>
            <w:gridSpan w:val="2"/>
            <w:tcBorders>
              <w:left w:val="single" w:sz="4" w:space="0" w:color="FFFFFF" w:themeColor="background1"/>
            </w:tcBorders>
          </w:tcPr>
          <w:p w14:paraId="358712FF" w14:textId="77777777" w:rsidR="00B801F4" w:rsidRPr="00B801F4" w:rsidRDefault="00B801F4" w:rsidP="00B801F4">
            <w:pPr>
              <w:spacing w:after="0"/>
              <w:jc w:val="right"/>
              <w:rPr>
                <w:rFonts w:ascii="Arial" w:hAnsi="Arial" w:cs="Arial"/>
                <w:b/>
              </w:rPr>
            </w:pPr>
            <w:r w:rsidRPr="00B801F4">
              <w:rPr>
                <w:rFonts w:ascii="Arial" w:hAnsi="Arial" w:cs="Arial"/>
                <w:b/>
              </w:rPr>
              <w:t>31/03/14</w:t>
            </w:r>
          </w:p>
          <w:p w14:paraId="19F099F4"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3BEC66F8" w14:textId="77777777" w:rsidTr="00B801F4">
        <w:trPr>
          <w:trHeight w:val="389"/>
        </w:trPr>
        <w:tc>
          <w:tcPr>
            <w:tcW w:w="5084" w:type="dxa"/>
            <w:gridSpan w:val="2"/>
          </w:tcPr>
          <w:p w14:paraId="74E3036D" w14:textId="77777777" w:rsidR="00B801F4" w:rsidRPr="00B801F4" w:rsidRDefault="00B801F4" w:rsidP="00B801F4">
            <w:pPr>
              <w:rPr>
                <w:rFonts w:ascii="Arial" w:hAnsi="Arial" w:cs="Arial"/>
              </w:rPr>
            </w:pPr>
            <w:r w:rsidRPr="00B801F4">
              <w:rPr>
                <w:rFonts w:ascii="Arial" w:hAnsi="Arial" w:cs="Arial"/>
              </w:rPr>
              <w:t>Contributions due - employers</w:t>
            </w:r>
          </w:p>
        </w:tc>
        <w:tc>
          <w:tcPr>
            <w:tcW w:w="1567" w:type="dxa"/>
            <w:gridSpan w:val="2"/>
          </w:tcPr>
          <w:p w14:paraId="44075E90" w14:textId="77777777" w:rsidR="00B801F4" w:rsidRPr="00B801F4" w:rsidRDefault="00B801F4" w:rsidP="00B801F4">
            <w:pPr>
              <w:jc w:val="right"/>
              <w:rPr>
                <w:rFonts w:ascii="Arial" w:hAnsi="Arial" w:cs="Arial"/>
              </w:rPr>
            </w:pPr>
            <w:r w:rsidRPr="00B801F4">
              <w:rPr>
                <w:rFonts w:ascii="Arial" w:hAnsi="Arial" w:cs="Arial"/>
              </w:rPr>
              <w:t>14.4</w:t>
            </w:r>
          </w:p>
        </w:tc>
        <w:tc>
          <w:tcPr>
            <w:tcW w:w="432" w:type="dxa"/>
            <w:gridSpan w:val="2"/>
            <w:tcBorders>
              <w:right w:val="single" w:sz="4" w:space="0" w:color="FFFFFF" w:themeColor="background1"/>
            </w:tcBorders>
          </w:tcPr>
          <w:p w14:paraId="69C39ECA" w14:textId="77777777" w:rsidR="00B801F4" w:rsidRPr="00B801F4" w:rsidRDefault="00B801F4" w:rsidP="00B801F4">
            <w:pPr>
              <w:jc w:val="right"/>
              <w:rPr>
                <w:rFonts w:cs="Arial"/>
              </w:rPr>
            </w:pPr>
          </w:p>
        </w:tc>
        <w:tc>
          <w:tcPr>
            <w:tcW w:w="1704" w:type="dxa"/>
            <w:gridSpan w:val="2"/>
            <w:tcBorders>
              <w:left w:val="single" w:sz="4" w:space="0" w:color="FFFFFF" w:themeColor="background1"/>
            </w:tcBorders>
          </w:tcPr>
          <w:p w14:paraId="10AF9B7B" w14:textId="77777777" w:rsidR="00B801F4" w:rsidRPr="00B801F4" w:rsidRDefault="00B801F4" w:rsidP="00B801F4">
            <w:pPr>
              <w:jc w:val="right"/>
              <w:rPr>
                <w:rFonts w:cs="Arial"/>
              </w:rPr>
            </w:pPr>
            <w:r w:rsidRPr="00B801F4">
              <w:rPr>
                <w:rFonts w:ascii="Arial" w:hAnsi="Arial" w:cs="Arial"/>
              </w:rPr>
              <w:t>14.4</w:t>
            </w:r>
          </w:p>
        </w:tc>
      </w:tr>
      <w:tr w:rsidR="00B801F4" w:rsidRPr="00B801F4" w14:paraId="452BB294" w14:textId="77777777" w:rsidTr="00B801F4">
        <w:trPr>
          <w:trHeight w:val="404"/>
        </w:trPr>
        <w:tc>
          <w:tcPr>
            <w:tcW w:w="5084" w:type="dxa"/>
            <w:gridSpan w:val="2"/>
          </w:tcPr>
          <w:p w14:paraId="77371527" w14:textId="77777777" w:rsidR="00B801F4" w:rsidRPr="00B801F4" w:rsidRDefault="00B801F4" w:rsidP="00B801F4">
            <w:pPr>
              <w:rPr>
                <w:rFonts w:ascii="Arial" w:hAnsi="Arial" w:cs="Arial"/>
              </w:rPr>
            </w:pPr>
            <w:r w:rsidRPr="00B801F4">
              <w:rPr>
                <w:rFonts w:ascii="Arial" w:hAnsi="Arial" w:cs="Arial"/>
              </w:rPr>
              <w:t>Contributions due - members</w:t>
            </w:r>
          </w:p>
        </w:tc>
        <w:tc>
          <w:tcPr>
            <w:tcW w:w="1567" w:type="dxa"/>
            <w:gridSpan w:val="2"/>
          </w:tcPr>
          <w:p w14:paraId="173369F0" w14:textId="77777777" w:rsidR="00B801F4" w:rsidRPr="00B801F4" w:rsidRDefault="00B801F4" w:rsidP="00B801F4">
            <w:pPr>
              <w:jc w:val="right"/>
              <w:rPr>
                <w:rFonts w:ascii="Arial" w:hAnsi="Arial" w:cs="Arial"/>
              </w:rPr>
            </w:pPr>
            <w:r w:rsidRPr="00B801F4">
              <w:rPr>
                <w:rFonts w:ascii="Arial" w:hAnsi="Arial" w:cs="Arial"/>
              </w:rPr>
              <w:t>4.6</w:t>
            </w:r>
          </w:p>
        </w:tc>
        <w:tc>
          <w:tcPr>
            <w:tcW w:w="432" w:type="dxa"/>
            <w:gridSpan w:val="2"/>
            <w:tcBorders>
              <w:right w:val="single" w:sz="4" w:space="0" w:color="FFFFFF" w:themeColor="background1"/>
            </w:tcBorders>
          </w:tcPr>
          <w:p w14:paraId="2A73DDE7" w14:textId="77777777" w:rsidR="00B801F4" w:rsidRPr="00B801F4" w:rsidRDefault="00B801F4" w:rsidP="00B801F4">
            <w:pPr>
              <w:jc w:val="right"/>
              <w:rPr>
                <w:rFonts w:ascii="Arial" w:hAnsi="Arial" w:cs="Arial"/>
              </w:rPr>
            </w:pPr>
          </w:p>
        </w:tc>
        <w:tc>
          <w:tcPr>
            <w:tcW w:w="1704" w:type="dxa"/>
            <w:gridSpan w:val="2"/>
            <w:tcBorders>
              <w:left w:val="single" w:sz="4" w:space="0" w:color="FFFFFF" w:themeColor="background1"/>
            </w:tcBorders>
          </w:tcPr>
          <w:p w14:paraId="3A14A5DC" w14:textId="77777777" w:rsidR="00B801F4" w:rsidRPr="00B801F4" w:rsidRDefault="00B801F4" w:rsidP="00B801F4">
            <w:pPr>
              <w:jc w:val="right"/>
              <w:rPr>
                <w:rFonts w:ascii="Arial" w:hAnsi="Arial" w:cs="Arial"/>
              </w:rPr>
            </w:pPr>
            <w:r w:rsidRPr="00B801F4">
              <w:rPr>
                <w:rFonts w:ascii="Arial" w:hAnsi="Arial" w:cs="Arial"/>
              </w:rPr>
              <w:t>4.4</w:t>
            </w:r>
          </w:p>
        </w:tc>
      </w:tr>
      <w:tr w:rsidR="00B801F4" w:rsidRPr="00B801F4" w14:paraId="572803BD" w14:textId="77777777" w:rsidTr="00B801F4">
        <w:trPr>
          <w:trHeight w:val="659"/>
        </w:trPr>
        <w:tc>
          <w:tcPr>
            <w:tcW w:w="5084" w:type="dxa"/>
            <w:gridSpan w:val="2"/>
          </w:tcPr>
          <w:p w14:paraId="386EA072" w14:textId="77777777" w:rsidR="00B801F4" w:rsidRPr="00B801F4" w:rsidRDefault="00B801F4" w:rsidP="00B801F4">
            <w:pPr>
              <w:rPr>
                <w:rFonts w:ascii="Arial" w:hAnsi="Arial" w:cs="Arial"/>
              </w:rPr>
            </w:pPr>
            <w:r w:rsidRPr="00B801F4">
              <w:rPr>
                <w:rFonts w:ascii="Arial" w:hAnsi="Arial" w:cs="Arial"/>
              </w:rPr>
              <w:t>Debtors - bodies external to general          government</w:t>
            </w:r>
          </w:p>
        </w:tc>
        <w:tc>
          <w:tcPr>
            <w:tcW w:w="1567" w:type="dxa"/>
            <w:gridSpan w:val="2"/>
            <w:tcBorders>
              <w:bottom w:val="single" w:sz="18" w:space="0" w:color="auto"/>
            </w:tcBorders>
          </w:tcPr>
          <w:p w14:paraId="070E169A" w14:textId="77777777" w:rsidR="00B801F4" w:rsidRPr="00B801F4" w:rsidRDefault="00B801F4" w:rsidP="00B801F4">
            <w:pPr>
              <w:jc w:val="right"/>
              <w:rPr>
                <w:rFonts w:ascii="Arial" w:hAnsi="Arial" w:cs="Arial"/>
              </w:rPr>
            </w:pPr>
            <w:r w:rsidRPr="00B801F4">
              <w:rPr>
                <w:rFonts w:ascii="Arial" w:hAnsi="Arial" w:cs="Arial"/>
              </w:rPr>
              <w:t>9.1</w:t>
            </w:r>
          </w:p>
        </w:tc>
        <w:tc>
          <w:tcPr>
            <w:tcW w:w="432" w:type="dxa"/>
            <w:gridSpan w:val="2"/>
            <w:tcBorders>
              <w:right w:val="single" w:sz="4" w:space="0" w:color="FFFFFF" w:themeColor="background1"/>
            </w:tcBorders>
          </w:tcPr>
          <w:p w14:paraId="4285B59D" w14:textId="77777777" w:rsidR="00B801F4" w:rsidRPr="00B801F4" w:rsidRDefault="00B801F4" w:rsidP="00B801F4">
            <w:pPr>
              <w:jc w:val="right"/>
              <w:rPr>
                <w:rFonts w:ascii="Arial" w:hAnsi="Arial" w:cs="Arial"/>
              </w:rPr>
            </w:pPr>
          </w:p>
        </w:tc>
        <w:tc>
          <w:tcPr>
            <w:tcW w:w="1704" w:type="dxa"/>
            <w:gridSpan w:val="2"/>
            <w:tcBorders>
              <w:left w:val="single" w:sz="4" w:space="0" w:color="FFFFFF" w:themeColor="background1"/>
              <w:bottom w:val="single" w:sz="18" w:space="0" w:color="auto"/>
            </w:tcBorders>
          </w:tcPr>
          <w:p w14:paraId="1E950D32" w14:textId="77777777" w:rsidR="00B801F4" w:rsidRPr="00B801F4" w:rsidRDefault="00B801F4" w:rsidP="00B801F4">
            <w:pPr>
              <w:jc w:val="right"/>
              <w:rPr>
                <w:rFonts w:ascii="Arial" w:hAnsi="Arial" w:cs="Arial"/>
              </w:rPr>
            </w:pPr>
            <w:r w:rsidRPr="00B801F4">
              <w:rPr>
                <w:rFonts w:ascii="Arial" w:hAnsi="Arial" w:cs="Arial"/>
              </w:rPr>
              <w:t>9.5</w:t>
            </w:r>
          </w:p>
        </w:tc>
      </w:tr>
      <w:tr w:rsidR="00B801F4" w:rsidRPr="00B801F4" w14:paraId="3AEA2C7E" w14:textId="77777777" w:rsidTr="00B801F4">
        <w:trPr>
          <w:trHeight w:val="404"/>
        </w:trPr>
        <w:tc>
          <w:tcPr>
            <w:tcW w:w="5084" w:type="dxa"/>
            <w:gridSpan w:val="2"/>
          </w:tcPr>
          <w:p w14:paraId="35245BED" w14:textId="77777777" w:rsidR="00B801F4" w:rsidRPr="00B801F4" w:rsidRDefault="00B801F4" w:rsidP="00B801F4">
            <w:pPr>
              <w:rPr>
                <w:rFonts w:ascii="Arial" w:hAnsi="Arial" w:cs="Arial"/>
              </w:rPr>
            </w:pPr>
          </w:p>
        </w:tc>
        <w:tc>
          <w:tcPr>
            <w:tcW w:w="1567" w:type="dxa"/>
            <w:gridSpan w:val="2"/>
            <w:tcBorders>
              <w:top w:val="single" w:sz="18" w:space="0" w:color="auto"/>
              <w:bottom w:val="single" w:sz="18" w:space="0" w:color="auto"/>
            </w:tcBorders>
          </w:tcPr>
          <w:p w14:paraId="4EE76D03" w14:textId="77777777" w:rsidR="00B801F4" w:rsidRPr="00B801F4" w:rsidRDefault="00B801F4" w:rsidP="00B801F4">
            <w:pPr>
              <w:jc w:val="right"/>
              <w:rPr>
                <w:rFonts w:ascii="Arial" w:hAnsi="Arial" w:cs="Arial"/>
              </w:rPr>
            </w:pPr>
            <w:r w:rsidRPr="00B801F4">
              <w:rPr>
                <w:rFonts w:ascii="Arial" w:hAnsi="Arial" w:cs="Arial"/>
              </w:rPr>
              <w:t>28.1</w:t>
            </w:r>
          </w:p>
        </w:tc>
        <w:tc>
          <w:tcPr>
            <w:tcW w:w="432" w:type="dxa"/>
            <w:gridSpan w:val="2"/>
            <w:tcBorders>
              <w:right w:val="single" w:sz="4" w:space="0" w:color="FFFFFF" w:themeColor="background1"/>
            </w:tcBorders>
          </w:tcPr>
          <w:p w14:paraId="1F4DE4BB" w14:textId="77777777" w:rsidR="00B801F4" w:rsidRPr="00B801F4" w:rsidRDefault="00B801F4" w:rsidP="00B801F4">
            <w:pPr>
              <w:jc w:val="right"/>
              <w:rPr>
                <w:rFonts w:ascii="Arial" w:hAnsi="Arial" w:cs="Arial"/>
              </w:rPr>
            </w:pPr>
          </w:p>
        </w:tc>
        <w:tc>
          <w:tcPr>
            <w:tcW w:w="1704" w:type="dxa"/>
            <w:gridSpan w:val="2"/>
            <w:tcBorders>
              <w:top w:val="single" w:sz="18" w:space="0" w:color="auto"/>
              <w:left w:val="single" w:sz="4" w:space="0" w:color="FFFFFF" w:themeColor="background1"/>
              <w:bottom w:val="single" w:sz="18" w:space="0" w:color="auto"/>
            </w:tcBorders>
          </w:tcPr>
          <w:p w14:paraId="0A4CAF35" w14:textId="77777777" w:rsidR="00B801F4" w:rsidRPr="00B801F4" w:rsidRDefault="00B801F4" w:rsidP="00B801F4">
            <w:pPr>
              <w:jc w:val="right"/>
              <w:rPr>
                <w:rFonts w:ascii="Arial" w:hAnsi="Arial" w:cs="Arial"/>
              </w:rPr>
            </w:pPr>
            <w:r w:rsidRPr="00B801F4">
              <w:rPr>
                <w:rFonts w:ascii="Arial" w:hAnsi="Arial" w:cs="Arial"/>
              </w:rPr>
              <w:t>28.3</w:t>
            </w:r>
          </w:p>
        </w:tc>
      </w:tr>
      <w:tr w:rsidR="00B801F4" w:rsidRPr="00B801F4" w14:paraId="13F8D257" w14:textId="77777777" w:rsidTr="00B801F4">
        <w:trPr>
          <w:trHeight w:val="389"/>
        </w:trPr>
        <w:tc>
          <w:tcPr>
            <w:tcW w:w="5084" w:type="dxa"/>
            <w:gridSpan w:val="2"/>
          </w:tcPr>
          <w:p w14:paraId="44B9A601" w14:textId="77777777" w:rsidR="00B801F4" w:rsidRPr="00B801F4" w:rsidRDefault="00B801F4" w:rsidP="00B801F4">
            <w:pPr>
              <w:rPr>
                <w:rFonts w:ascii="Arial" w:hAnsi="Arial" w:cs="Arial"/>
              </w:rPr>
            </w:pPr>
          </w:p>
          <w:p w14:paraId="2122521A" w14:textId="77777777" w:rsidR="00B801F4" w:rsidRPr="00B801F4" w:rsidRDefault="00B801F4" w:rsidP="00B801F4">
            <w:pPr>
              <w:rPr>
                <w:rFonts w:ascii="Arial" w:hAnsi="Arial" w:cs="Arial"/>
              </w:rPr>
            </w:pPr>
          </w:p>
        </w:tc>
        <w:tc>
          <w:tcPr>
            <w:tcW w:w="1567" w:type="dxa"/>
            <w:gridSpan w:val="2"/>
            <w:tcBorders>
              <w:top w:val="single" w:sz="18" w:space="0" w:color="auto"/>
            </w:tcBorders>
          </w:tcPr>
          <w:p w14:paraId="3CB46BD7" w14:textId="77777777" w:rsidR="00B801F4" w:rsidRPr="00B801F4" w:rsidRDefault="00B801F4" w:rsidP="00B801F4">
            <w:pPr>
              <w:jc w:val="right"/>
              <w:rPr>
                <w:rFonts w:ascii="Arial" w:hAnsi="Arial" w:cs="Arial"/>
              </w:rPr>
            </w:pPr>
          </w:p>
        </w:tc>
        <w:tc>
          <w:tcPr>
            <w:tcW w:w="432" w:type="dxa"/>
            <w:gridSpan w:val="2"/>
          </w:tcPr>
          <w:p w14:paraId="7099DA04" w14:textId="77777777" w:rsidR="00B801F4" w:rsidRPr="00B801F4" w:rsidRDefault="00B801F4" w:rsidP="00B801F4">
            <w:pPr>
              <w:jc w:val="right"/>
              <w:rPr>
                <w:rFonts w:ascii="Arial" w:hAnsi="Arial" w:cs="Arial"/>
              </w:rPr>
            </w:pPr>
          </w:p>
        </w:tc>
        <w:tc>
          <w:tcPr>
            <w:tcW w:w="1704" w:type="dxa"/>
            <w:gridSpan w:val="2"/>
            <w:tcBorders>
              <w:top w:val="single" w:sz="18" w:space="0" w:color="auto"/>
            </w:tcBorders>
          </w:tcPr>
          <w:p w14:paraId="594DAD29" w14:textId="77777777" w:rsidR="00B801F4" w:rsidRPr="00B801F4" w:rsidRDefault="00B801F4" w:rsidP="00B801F4">
            <w:pPr>
              <w:jc w:val="right"/>
              <w:rPr>
                <w:rFonts w:ascii="Arial" w:hAnsi="Arial" w:cs="Arial"/>
              </w:rPr>
            </w:pPr>
          </w:p>
        </w:tc>
      </w:tr>
      <w:tr w:rsidR="00B801F4" w:rsidRPr="00B801F4" w14:paraId="06F9C93F" w14:textId="77777777" w:rsidTr="00B801F4">
        <w:trPr>
          <w:gridAfter w:val="1"/>
          <w:wAfter w:w="44" w:type="dxa"/>
        </w:trPr>
        <w:tc>
          <w:tcPr>
            <w:tcW w:w="5058" w:type="dxa"/>
          </w:tcPr>
          <w:p w14:paraId="4BAA2248" w14:textId="77777777" w:rsidR="00B801F4" w:rsidRPr="00B801F4" w:rsidRDefault="00B801F4" w:rsidP="00B801F4">
            <w:pPr>
              <w:spacing w:after="0"/>
              <w:rPr>
                <w:rFonts w:ascii="Arial" w:hAnsi="Arial" w:cs="Arial"/>
                <w:b/>
              </w:rPr>
            </w:pPr>
          </w:p>
          <w:p w14:paraId="58F1F35B" w14:textId="77777777" w:rsidR="00B801F4" w:rsidRPr="00B801F4" w:rsidRDefault="00B801F4" w:rsidP="00B801F4">
            <w:pPr>
              <w:spacing w:after="0"/>
              <w:rPr>
                <w:rFonts w:ascii="Arial" w:hAnsi="Arial" w:cs="Arial"/>
                <w:b/>
              </w:rPr>
            </w:pPr>
            <w:r w:rsidRPr="00B801F4">
              <w:rPr>
                <w:rFonts w:ascii="Arial" w:hAnsi="Arial" w:cs="Arial"/>
                <w:b/>
              </w:rPr>
              <w:t>Analysis of debtors</w:t>
            </w:r>
          </w:p>
        </w:tc>
        <w:tc>
          <w:tcPr>
            <w:tcW w:w="1559" w:type="dxa"/>
            <w:gridSpan w:val="2"/>
          </w:tcPr>
          <w:p w14:paraId="5511C3AC" w14:textId="77777777" w:rsidR="00B801F4" w:rsidRPr="00B801F4" w:rsidRDefault="00B801F4" w:rsidP="00B801F4">
            <w:pPr>
              <w:spacing w:after="0"/>
              <w:jc w:val="right"/>
              <w:rPr>
                <w:rFonts w:ascii="Arial" w:hAnsi="Arial" w:cs="Arial"/>
                <w:b/>
              </w:rPr>
            </w:pPr>
            <w:r w:rsidRPr="00B801F4">
              <w:rPr>
                <w:rFonts w:ascii="Arial" w:hAnsi="Arial" w:cs="Arial"/>
                <w:b/>
              </w:rPr>
              <w:t>31/03/15</w:t>
            </w:r>
          </w:p>
          <w:p w14:paraId="258C809E"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gridSpan w:val="2"/>
            <w:tcBorders>
              <w:right w:val="single" w:sz="4" w:space="0" w:color="FFFFFF" w:themeColor="background1"/>
            </w:tcBorders>
          </w:tcPr>
          <w:p w14:paraId="1A2EECCA" w14:textId="77777777" w:rsidR="00B801F4" w:rsidRPr="00B801F4" w:rsidRDefault="00B801F4" w:rsidP="00B801F4">
            <w:pPr>
              <w:spacing w:after="0"/>
              <w:jc w:val="right"/>
              <w:rPr>
                <w:rFonts w:ascii="Arial" w:hAnsi="Arial" w:cs="Arial"/>
                <w:b/>
              </w:rPr>
            </w:pPr>
          </w:p>
          <w:p w14:paraId="153ECE7D" w14:textId="77777777" w:rsidR="00B801F4" w:rsidRPr="00B801F4" w:rsidRDefault="00B801F4" w:rsidP="00B801F4">
            <w:pPr>
              <w:spacing w:after="0"/>
              <w:jc w:val="right"/>
              <w:rPr>
                <w:rFonts w:ascii="Arial" w:hAnsi="Arial" w:cs="Arial"/>
                <w:b/>
              </w:rPr>
            </w:pPr>
          </w:p>
        </w:tc>
        <w:tc>
          <w:tcPr>
            <w:tcW w:w="1696" w:type="dxa"/>
            <w:gridSpan w:val="2"/>
            <w:tcBorders>
              <w:left w:val="single" w:sz="4" w:space="0" w:color="FFFFFF" w:themeColor="background1"/>
            </w:tcBorders>
          </w:tcPr>
          <w:p w14:paraId="2584415E" w14:textId="77777777" w:rsidR="00B801F4" w:rsidRPr="00B801F4" w:rsidRDefault="00B801F4" w:rsidP="00B801F4">
            <w:pPr>
              <w:spacing w:after="0"/>
              <w:jc w:val="right"/>
              <w:rPr>
                <w:rFonts w:ascii="Arial" w:hAnsi="Arial" w:cs="Arial"/>
                <w:b/>
              </w:rPr>
            </w:pPr>
            <w:r w:rsidRPr="00B801F4">
              <w:rPr>
                <w:rFonts w:ascii="Arial" w:hAnsi="Arial" w:cs="Arial"/>
                <w:b/>
              </w:rPr>
              <w:t>31/03/14</w:t>
            </w:r>
          </w:p>
          <w:p w14:paraId="5DCC7037"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43AB21A4" w14:textId="77777777" w:rsidTr="00B801F4">
        <w:trPr>
          <w:gridAfter w:val="1"/>
          <w:wAfter w:w="44" w:type="dxa"/>
        </w:trPr>
        <w:tc>
          <w:tcPr>
            <w:tcW w:w="5058" w:type="dxa"/>
          </w:tcPr>
          <w:p w14:paraId="37AA3281" w14:textId="77777777" w:rsidR="00B801F4" w:rsidRPr="00B801F4" w:rsidRDefault="00B801F4" w:rsidP="00B801F4">
            <w:pPr>
              <w:rPr>
                <w:rFonts w:ascii="Arial" w:hAnsi="Arial" w:cs="Arial"/>
              </w:rPr>
            </w:pPr>
            <w:r w:rsidRPr="00B801F4">
              <w:rPr>
                <w:rFonts w:ascii="Arial" w:hAnsi="Arial" w:cs="Arial"/>
              </w:rPr>
              <w:t>Other local authorities</w:t>
            </w:r>
          </w:p>
        </w:tc>
        <w:tc>
          <w:tcPr>
            <w:tcW w:w="1559" w:type="dxa"/>
            <w:gridSpan w:val="2"/>
          </w:tcPr>
          <w:p w14:paraId="176056AF" w14:textId="77777777" w:rsidR="00B801F4" w:rsidRPr="00B801F4" w:rsidRDefault="00B801F4" w:rsidP="00B801F4">
            <w:pPr>
              <w:jc w:val="right"/>
              <w:rPr>
                <w:rFonts w:ascii="Arial" w:hAnsi="Arial" w:cs="Arial"/>
              </w:rPr>
            </w:pPr>
            <w:r w:rsidRPr="00B801F4">
              <w:rPr>
                <w:rFonts w:ascii="Arial" w:hAnsi="Arial" w:cs="Arial"/>
              </w:rPr>
              <w:t>15.6</w:t>
            </w:r>
          </w:p>
        </w:tc>
        <w:tc>
          <w:tcPr>
            <w:tcW w:w="430" w:type="dxa"/>
            <w:gridSpan w:val="2"/>
            <w:tcBorders>
              <w:right w:val="single" w:sz="4" w:space="0" w:color="FFFFFF" w:themeColor="background1"/>
            </w:tcBorders>
          </w:tcPr>
          <w:p w14:paraId="65EA268D" w14:textId="77777777" w:rsidR="00B801F4" w:rsidRPr="00B801F4" w:rsidRDefault="00B801F4" w:rsidP="00B801F4">
            <w:pPr>
              <w:jc w:val="right"/>
              <w:rPr>
                <w:rFonts w:ascii="Arial" w:hAnsi="Arial" w:cs="Arial"/>
              </w:rPr>
            </w:pPr>
          </w:p>
        </w:tc>
        <w:tc>
          <w:tcPr>
            <w:tcW w:w="1696" w:type="dxa"/>
            <w:gridSpan w:val="2"/>
            <w:tcBorders>
              <w:left w:val="single" w:sz="4" w:space="0" w:color="FFFFFF" w:themeColor="background1"/>
            </w:tcBorders>
          </w:tcPr>
          <w:p w14:paraId="62D5EB27" w14:textId="77777777" w:rsidR="00B801F4" w:rsidRPr="00B801F4" w:rsidRDefault="00B801F4" w:rsidP="00B801F4">
            <w:pPr>
              <w:jc w:val="right"/>
              <w:rPr>
                <w:rFonts w:ascii="Arial" w:hAnsi="Arial" w:cs="Arial"/>
              </w:rPr>
            </w:pPr>
            <w:r w:rsidRPr="00B801F4">
              <w:rPr>
                <w:rFonts w:ascii="Arial" w:hAnsi="Arial" w:cs="Arial"/>
              </w:rPr>
              <w:t>15.5</w:t>
            </w:r>
          </w:p>
        </w:tc>
      </w:tr>
      <w:tr w:rsidR="00B801F4" w:rsidRPr="00B801F4" w14:paraId="7D423115" w14:textId="77777777" w:rsidTr="00B801F4">
        <w:trPr>
          <w:gridAfter w:val="1"/>
          <w:wAfter w:w="44" w:type="dxa"/>
        </w:trPr>
        <w:tc>
          <w:tcPr>
            <w:tcW w:w="5058" w:type="dxa"/>
          </w:tcPr>
          <w:p w14:paraId="17366EB1" w14:textId="77777777" w:rsidR="00B801F4" w:rsidRPr="00B801F4" w:rsidRDefault="00B801F4" w:rsidP="00B801F4">
            <w:pPr>
              <w:rPr>
                <w:rFonts w:ascii="Arial" w:hAnsi="Arial" w:cs="Arial"/>
              </w:rPr>
            </w:pPr>
            <w:r w:rsidRPr="00B801F4">
              <w:rPr>
                <w:rFonts w:ascii="Arial" w:hAnsi="Arial" w:cs="Arial"/>
              </w:rPr>
              <w:t>NHS bodies</w:t>
            </w:r>
          </w:p>
        </w:tc>
        <w:tc>
          <w:tcPr>
            <w:tcW w:w="1559" w:type="dxa"/>
            <w:gridSpan w:val="2"/>
          </w:tcPr>
          <w:p w14:paraId="1E41352C" w14:textId="77777777" w:rsidR="00B801F4" w:rsidRPr="00B801F4" w:rsidRDefault="00B801F4" w:rsidP="00B801F4">
            <w:pPr>
              <w:jc w:val="right"/>
              <w:rPr>
                <w:rFonts w:ascii="Arial" w:hAnsi="Arial" w:cs="Arial"/>
              </w:rPr>
            </w:pPr>
            <w:r w:rsidRPr="00B801F4">
              <w:rPr>
                <w:rFonts w:ascii="Arial" w:hAnsi="Arial" w:cs="Arial"/>
              </w:rPr>
              <w:t>0.0</w:t>
            </w:r>
          </w:p>
        </w:tc>
        <w:tc>
          <w:tcPr>
            <w:tcW w:w="430" w:type="dxa"/>
            <w:gridSpan w:val="2"/>
            <w:tcBorders>
              <w:right w:val="single" w:sz="4" w:space="0" w:color="FFFFFF" w:themeColor="background1"/>
            </w:tcBorders>
          </w:tcPr>
          <w:p w14:paraId="46A1ADA7" w14:textId="77777777" w:rsidR="00B801F4" w:rsidRPr="00B801F4" w:rsidRDefault="00B801F4" w:rsidP="00B801F4">
            <w:pPr>
              <w:jc w:val="right"/>
              <w:rPr>
                <w:rFonts w:ascii="Arial" w:hAnsi="Arial" w:cs="Arial"/>
              </w:rPr>
            </w:pPr>
          </w:p>
        </w:tc>
        <w:tc>
          <w:tcPr>
            <w:tcW w:w="1696" w:type="dxa"/>
            <w:gridSpan w:val="2"/>
            <w:tcBorders>
              <w:left w:val="single" w:sz="4" w:space="0" w:color="FFFFFF" w:themeColor="background1"/>
            </w:tcBorders>
          </w:tcPr>
          <w:p w14:paraId="438FC33F" w14:textId="77777777" w:rsidR="00B801F4" w:rsidRPr="00B801F4" w:rsidRDefault="00B801F4" w:rsidP="00B801F4">
            <w:pPr>
              <w:jc w:val="right"/>
              <w:rPr>
                <w:rFonts w:ascii="Arial" w:hAnsi="Arial" w:cs="Arial"/>
              </w:rPr>
            </w:pPr>
            <w:r w:rsidRPr="00B801F4">
              <w:rPr>
                <w:rFonts w:ascii="Arial" w:hAnsi="Arial" w:cs="Arial"/>
              </w:rPr>
              <w:t>0.1</w:t>
            </w:r>
          </w:p>
        </w:tc>
      </w:tr>
      <w:tr w:rsidR="00B801F4" w:rsidRPr="00B801F4" w14:paraId="763C141C" w14:textId="77777777" w:rsidTr="00B801F4">
        <w:trPr>
          <w:gridAfter w:val="1"/>
          <w:wAfter w:w="44" w:type="dxa"/>
        </w:trPr>
        <w:tc>
          <w:tcPr>
            <w:tcW w:w="5058" w:type="dxa"/>
          </w:tcPr>
          <w:p w14:paraId="6F61F3BA" w14:textId="77777777" w:rsidR="00B801F4" w:rsidRPr="00B801F4" w:rsidRDefault="00B801F4" w:rsidP="00B801F4">
            <w:pPr>
              <w:rPr>
                <w:rFonts w:ascii="Arial" w:hAnsi="Arial" w:cs="Arial"/>
              </w:rPr>
            </w:pPr>
            <w:r w:rsidRPr="00B801F4">
              <w:rPr>
                <w:rFonts w:ascii="Arial" w:hAnsi="Arial" w:cs="Arial"/>
              </w:rPr>
              <w:t>Public corporations and trading funds</w:t>
            </w:r>
          </w:p>
        </w:tc>
        <w:tc>
          <w:tcPr>
            <w:tcW w:w="1559" w:type="dxa"/>
            <w:gridSpan w:val="2"/>
          </w:tcPr>
          <w:p w14:paraId="1BD02594" w14:textId="77777777" w:rsidR="00B801F4" w:rsidRPr="00B801F4" w:rsidRDefault="00B801F4" w:rsidP="00B801F4">
            <w:pPr>
              <w:jc w:val="right"/>
              <w:rPr>
                <w:rFonts w:ascii="Arial" w:hAnsi="Arial" w:cs="Arial"/>
              </w:rPr>
            </w:pPr>
            <w:r w:rsidRPr="00B801F4">
              <w:rPr>
                <w:rFonts w:ascii="Arial" w:hAnsi="Arial" w:cs="Arial"/>
              </w:rPr>
              <w:t>0.0</w:t>
            </w:r>
          </w:p>
        </w:tc>
        <w:tc>
          <w:tcPr>
            <w:tcW w:w="430" w:type="dxa"/>
            <w:gridSpan w:val="2"/>
            <w:tcBorders>
              <w:right w:val="single" w:sz="4" w:space="0" w:color="FFFFFF" w:themeColor="background1"/>
            </w:tcBorders>
          </w:tcPr>
          <w:p w14:paraId="1B3E4DC0" w14:textId="77777777" w:rsidR="00B801F4" w:rsidRPr="00B801F4" w:rsidRDefault="00B801F4" w:rsidP="00B801F4">
            <w:pPr>
              <w:jc w:val="right"/>
              <w:rPr>
                <w:rFonts w:ascii="Arial" w:hAnsi="Arial" w:cs="Arial"/>
              </w:rPr>
            </w:pPr>
          </w:p>
        </w:tc>
        <w:tc>
          <w:tcPr>
            <w:tcW w:w="1696" w:type="dxa"/>
            <w:gridSpan w:val="2"/>
            <w:tcBorders>
              <w:left w:val="single" w:sz="4" w:space="0" w:color="FFFFFF" w:themeColor="background1"/>
            </w:tcBorders>
          </w:tcPr>
          <w:p w14:paraId="40396DF5" w14:textId="77777777" w:rsidR="00B801F4" w:rsidRPr="00B801F4" w:rsidRDefault="00B801F4" w:rsidP="00B801F4">
            <w:pPr>
              <w:jc w:val="right"/>
              <w:rPr>
                <w:rFonts w:ascii="Arial" w:hAnsi="Arial" w:cs="Arial"/>
              </w:rPr>
            </w:pPr>
            <w:r w:rsidRPr="00B801F4">
              <w:rPr>
                <w:rFonts w:ascii="Arial" w:hAnsi="Arial" w:cs="Arial"/>
              </w:rPr>
              <w:t>0.1</w:t>
            </w:r>
          </w:p>
        </w:tc>
      </w:tr>
      <w:tr w:rsidR="00B801F4" w:rsidRPr="00B801F4" w14:paraId="3507F0FF" w14:textId="77777777" w:rsidTr="00B801F4">
        <w:trPr>
          <w:gridAfter w:val="1"/>
          <w:wAfter w:w="44" w:type="dxa"/>
        </w:trPr>
        <w:tc>
          <w:tcPr>
            <w:tcW w:w="5058" w:type="dxa"/>
          </w:tcPr>
          <w:p w14:paraId="79DC7AA4" w14:textId="77777777" w:rsidR="00B801F4" w:rsidRPr="00B801F4" w:rsidRDefault="00B801F4" w:rsidP="00B801F4">
            <w:pPr>
              <w:rPr>
                <w:rFonts w:ascii="Arial" w:hAnsi="Arial" w:cs="Arial"/>
              </w:rPr>
            </w:pPr>
            <w:r w:rsidRPr="00B801F4">
              <w:rPr>
                <w:rFonts w:ascii="Arial" w:hAnsi="Arial" w:cs="Arial"/>
              </w:rPr>
              <w:t>Other entities and individuals</w:t>
            </w:r>
          </w:p>
        </w:tc>
        <w:tc>
          <w:tcPr>
            <w:tcW w:w="1559" w:type="dxa"/>
            <w:gridSpan w:val="2"/>
          </w:tcPr>
          <w:p w14:paraId="1A59EB2E" w14:textId="77777777" w:rsidR="00B801F4" w:rsidRPr="00B801F4" w:rsidRDefault="00B801F4" w:rsidP="00B801F4">
            <w:pPr>
              <w:jc w:val="right"/>
              <w:rPr>
                <w:rFonts w:ascii="Arial" w:hAnsi="Arial" w:cs="Arial"/>
              </w:rPr>
            </w:pPr>
            <w:r w:rsidRPr="00B801F4">
              <w:rPr>
                <w:rFonts w:ascii="Arial" w:hAnsi="Arial" w:cs="Arial"/>
              </w:rPr>
              <w:t>12.5</w:t>
            </w:r>
          </w:p>
        </w:tc>
        <w:tc>
          <w:tcPr>
            <w:tcW w:w="430" w:type="dxa"/>
            <w:gridSpan w:val="2"/>
            <w:tcBorders>
              <w:right w:val="single" w:sz="4" w:space="0" w:color="FFFFFF" w:themeColor="background1"/>
            </w:tcBorders>
          </w:tcPr>
          <w:p w14:paraId="069FF218" w14:textId="77777777" w:rsidR="00B801F4" w:rsidRPr="00B801F4" w:rsidRDefault="00B801F4" w:rsidP="00B801F4">
            <w:pPr>
              <w:jc w:val="right"/>
              <w:rPr>
                <w:rFonts w:ascii="Arial" w:hAnsi="Arial" w:cs="Arial"/>
              </w:rPr>
            </w:pPr>
          </w:p>
        </w:tc>
        <w:tc>
          <w:tcPr>
            <w:tcW w:w="1696" w:type="dxa"/>
            <w:gridSpan w:val="2"/>
            <w:tcBorders>
              <w:left w:val="single" w:sz="4" w:space="0" w:color="FFFFFF" w:themeColor="background1"/>
            </w:tcBorders>
          </w:tcPr>
          <w:p w14:paraId="411746E7" w14:textId="77777777" w:rsidR="00B801F4" w:rsidRPr="00B801F4" w:rsidRDefault="00B801F4" w:rsidP="00B801F4">
            <w:pPr>
              <w:jc w:val="right"/>
              <w:rPr>
                <w:rFonts w:ascii="Arial" w:hAnsi="Arial" w:cs="Arial"/>
              </w:rPr>
            </w:pPr>
            <w:r w:rsidRPr="00B801F4">
              <w:rPr>
                <w:rFonts w:ascii="Arial" w:hAnsi="Arial" w:cs="Arial"/>
              </w:rPr>
              <w:t>12.6</w:t>
            </w:r>
          </w:p>
        </w:tc>
      </w:tr>
      <w:tr w:rsidR="00B801F4" w:rsidRPr="00B801F4" w14:paraId="1A2D55A6" w14:textId="77777777" w:rsidTr="00F56451">
        <w:trPr>
          <w:gridAfter w:val="1"/>
          <w:wAfter w:w="44" w:type="dxa"/>
        </w:trPr>
        <w:tc>
          <w:tcPr>
            <w:tcW w:w="5058" w:type="dxa"/>
          </w:tcPr>
          <w:p w14:paraId="0CB541C1" w14:textId="77777777" w:rsidR="00B801F4" w:rsidRPr="00B801F4" w:rsidRDefault="00B801F4" w:rsidP="00B801F4">
            <w:pPr>
              <w:rPr>
                <w:rFonts w:ascii="Arial" w:hAnsi="Arial" w:cs="Arial"/>
              </w:rPr>
            </w:pPr>
          </w:p>
        </w:tc>
        <w:tc>
          <w:tcPr>
            <w:tcW w:w="1559" w:type="dxa"/>
            <w:gridSpan w:val="2"/>
            <w:tcBorders>
              <w:top w:val="single" w:sz="18" w:space="0" w:color="auto"/>
              <w:bottom w:val="single" w:sz="18" w:space="0" w:color="auto"/>
            </w:tcBorders>
          </w:tcPr>
          <w:p w14:paraId="20A837CC" w14:textId="77777777" w:rsidR="00B801F4" w:rsidRPr="00B801F4" w:rsidRDefault="00B801F4" w:rsidP="00B801F4">
            <w:pPr>
              <w:jc w:val="right"/>
              <w:rPr>
                <w:rFonts w:ascii="Arial" w:hAnsi="Arial" w:cs="Arial"/>
              </w:rPr>
            </w:pPr>
            <w:r w:rsidRPr="00B801F4">
              <w:rPr>
                <w:rFonts w:ascii="Arial" w:hAnsi="Arial" w:cs="Arial"/>
              </w:rPr>
              <w:t>28.1</w:t>
            </w:r>
          </w:p>
        </w:tc>
        <w:tc>
          <w:tcPr>
            <w:tcW w:w="430" w:type="dxa"/>
            <w:gridSpan w:val="2"/>
            <w:tcBorders>
              <w:right w:val="single" w:sz="4" w:space="0" w:color="FFFFFF" w:themeColor="background1"/>
            </w:tcBorders>
          </w:tcPr>
          <w:p w14:paraId="707146CD" w14:textId="77777777" w:rsidR="00B801F4" w:rsidRPr="00B801F4" w:rsidRDefault="00B801F4" w:rsidP="00B801F4">
            <w:pPr>
              <w:jc w:val="right"/>
              <w:rPr>
                <w:rFonts w:ascii="Arial" w:hAnsi="Arial" w:cs="Arial"/>
              </w:rPr>
            </w:pPr>
          </w:p>
        </w:tc>
        <w:tc>
          <w:tcPr>
            <w:tcW w:w="1696" w:type="dxa"/>
            <w:gridSpan w:val="2"/>
            <w:tcBorders>
              <w:top w:val="single" w:sz="18" w:space="0" w:color="auto"/>
              <w:left w:val="single" w:sz="4" w:space="0" w:color="FFFFFF" w:themeColor="background1"/>
              <w:bottom w:val="single" w:sz="18" w:space="0" w:color="auto"/>
            </w:tcBorders>
          </w:tcPr>
          <w:p w14:paraId="44B6216E" w14:textId="77777777" w:rsidR="00B801F4" w:rsidRPr="00B801F4" w:rsidRDefault="00B801F4" w:rsidP="00B801F4">
            <w:pPr>
              <w:jc w:val="right"/>
              <w:rPr>
                <w:rFonts w:ascii="Arial" w:hAnsi="Arial" w:cs="Arial"/>
              </w:rPr>
            </w:pPr>
            <w:r w:rsidRPr="00B801F4">
              <w:rPr>
                <w:rFonts w:ascii="Arial" w:hAnsi="Arial" w:cs="Arial"/>
              </w:rPr>
              <w:t>28.3</w:t>
            </w:r>
          </w:p>
        </w:tc>
      </w:tr>
    </w:tbl>
    <w:p w14:paraId="583B8F3B" w14:textId="77777777" w:rsidR="00B801F4" w:rsidRPr="00B801F4" w:rsidRDefault="00B801F4" w:rsidP="00B801F4">
      <w:pPr>
        <w:tabs>
          <w:tab w:val="left" w:pos="1080"/>
        </w:tabs>
        <w:ind w:left="709"/>
        <w:rPr>
          <w:rFonts w:cs="Arial"/>
        </w:rPr>
      </w:pPr>
    </w:p>
    <w:p w14:paraId="7FF2A0AC" w14:textId="77777777" w:rsidR="00B801F4" w:rsidRPr="00B801F4" w:rsidRDefault="00B801F4" w:rsidP="00B801F4">
      <w:pPr>
        <w:tabs>
          <w:tab w:val="left" w:pos="1080"/>
        </w:tabs>
        <w:ind w:left="709"/>
        <w:rPr>
          <w:rFonts w:cs="Arial"/>
        </w:rPr>
      </w:pPr>
    </w:p>
    <w:p w14:paraId="1A0AE950" w14:textId="77777777" w:rsidR="00B801F4" w:rsidRPr="00B801F4" w:rsidRDefault="00B801F4" w:rsidP="00B801F4">
      <w:pPr>
        <w:tabs>
          <w:tab w:val="left" w:pos="1080"/>
        </w:tabs>
        <w:ind w:left="709"/>
        <w:rPr>
          <w:rFonts w:cs="Arial"/>
        </w:rPr>
      </w:pPr>
    </w:p>
    <w:p w14:paraId="2FA55B3C" w14:textId="77777777" w:rsidR="00B801F4" w:rsidRPr="00B801F4" w:rsidRDefault="00B801F4" w:rsidP="00717919">
      <w:pPr>
        <w:numPr>
          <w:ilvl w:val="0"/>
          <w:numId w:val="74"/>
        </w:numPr>
        <w:autoSpaceDE/>
        <w:autoSpaceDN/>
        <w:adjustRightInd/>
        <w:spacing w:after="0"/>
        <w:jc w:val="left"/>
        <w:rPr>
          <w:rFonts w:cs="Arial"/>
          <w:b/>
          <w:sz w:val="32"/>
          <w:szCs w:val="32"/>
        </w:rPr>
      </w:pPr>
      <w:r w:rsidRPr="00B801F4">
        <w:rPr>
          <w:rFonts w:cs="Arial"/>
          <w:b/>
          <w:sz w:val="32"/>
          <w:szCs w:val="32"/>
        </w:rPr>
        <w:t>Current liabilities</w:t>
      </w: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801F4" w:rsidRPr="00B801F4" w14:paraId="5C2C3B7F" w14:textId="77777777" w:rsidTr="00B801F4">
        <w:tc>
          <w:tcPr>
            <w:tcW w:w="5058" w:type="dxa"/>
          </w:tcPr>
          <w:p w14:paraId="75A9D6F9" w14:textId="77777777" w:rsidR="00B801F4" w:rsidRPr="00B801F4" w:rsidRDefault="00B801F4" w:rsidP="00B801F4">
            <w:pPr>
              <w:spacing w:after="0"/>
              <w:rPr>
                <w:rFonts w:ascii="Arial" w:hAnsi="Arial" w:cs="Arial"/>
                <w:b/>
              </w:rPr>
            </w:pPr>
          </w:p>
        </w:tc>
        <w:tc>
          <w:tcPr>
            <w:tcW w:w="1559" w:type="dxa"/>
          </w:tcPr>
          <w:p w14:paraId="0FA907EB" w14:textId="77777777" w:rsidR="00B801F4" w:rsidRPr="00B801F4" w:rsidRDefault="00B801F4" w:rsidP="00B801F4">
            <w:pPr>
              <w:spacing w:after="0"/>
              <w:jc w:val="right"/>
              <w:rPr>
                <w:rFonts w:ascii="Arial" w:hAnsi="Arial" w:cs="Arial"/>
                <w:b/>
              </w:rPr>
            </w:pPr>
            <w:r w:rsidRPr="00B801F4">
              <w:rPr>
                <w:rFonts w:ascii="Arial" w:hAnsi="Arial" w:cs="Arial"/>
                <w:b/>
              </w:rPr>
              <w:t>31/03/15</w:t>
            </w:r>
          </w:p>
          <w:p w14:paraId="62A186C7"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69BC7A46" w14:textId="77777777" w:rsidR="00B801F4" w:rsidRPr="00B801F4" w:rsidRDefault="00B801F4" w:rsidP="00B801F4">
            <w:pPr>
              <w:spacing w:after="0"/>
              <w:jc w:val="right"/>
              <w:rPr>
                <w:rFonts w:ascii="Arial" w:hAnsi="Arial" w:cs="Arial"/>
                <w:b/>
              </w:rPr>
            </w:pPr>
          </w:p>
          <w:p w14:paraId="7EABC48A" w14:textId="77777777" w:rsidR="00B801F4" w:rsidRPr="00B801F4" w:rsidRDefault="00B801F4" w:rsidP="00B801F4">
            <w:pPr>
              <w:spacing w:after="0"/>
              <w:jc w:val="right"/>
              <w:rPr>
                <w:rFonts w:ascii="Arial" w:hAnsi="Arial" w:cs="Arial"/>
                <w:b/>
              </w:rPr>
            </w:pPr>
          </w:p>
        </w:tc>
        <w:tc>
          <w:tcPr>
            <w:tcW w:w="1696" w:type="dxa"/>
            <w:tcBorders>
              <w:left w:val="single" w:sz="4" w:space="0" w:color="FFFFFF" w:themeColor="background1"/>
            </w:tcBorders>
          </w:tcPr>
          <w:p w14:paraId="1E9FDEAA" w14:textId="77777777" w:rsidR="00B801F4" w:rsidRPr="00B801F4" w:rsidRDefault="00B801F4" w:rsidP="00B801F4">
            <w:pPr>
              <w:spacing w:after="0"/>
              <w:jc w:val="right"/>
              <w:rPr>
                <w:rFonts w:ascii="Arial" w:hAnsi="Arial" w:cs="Arial"/>
                <w:b/>
              </w:rPr>
            </w:pPr>
            <w:r w:rsidRPr="00B801F4">
              <w:rPr>
                <w:rFonts w:ascii="Arial" w:hAnsi="Arial" w:cs="Arial"/>
                <w:b/>
              </w:rPr>
              <w:t>31/03/14</w:t>
            </w:r>
          </w:p>
          <w:p w14:paraId="762DF566"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4A515E46" w14:textId="77777777" w:rsidTr="00B801F4">
        <w:tc>
          <w:tcPr>
            <w:tcW w:w="5058" w:type="dxa"/>
          </w:tcPr>
          <w:p w14:paraId="27F35147" w14:textId="77777777" w:rsidR="00B801F4" w:rsidRPr="00B801F4" w:rsidRDefault="00B801F4" w:rsidP="00B801F4">
            <w:pPr>
              <w:rPr>
                <w:rFonts w:ascii="Arial" w:hAnsi="Arial" w:cs="Arial"/>
              </w:rPr>
            </w:pPr>
            <w:r w:rsidRPr="00B801F4">
              <w:rPr>
                <w:rFonts w:ascii="Arial" w:hAnsi="Arial" w:cs="Arial"/>
              </w:rPr>
              <w:t>Unpaid benefits</w:t>
            </w:r>
          </w:p>
        </w:tc>
        <w:tc>
          <w:tcPr>
            <w:tcW w:w="1559" w:type="dxa"/>
          </w:tcPr>
          <w:p w14:paraId="3C81D7FA" w14:textId="77777777" w:rsidR="00B801F4" w:rsidRPr="00B801F4" w:rsidRDefault="00B801F4" w:rsidP="00B801F4">
            <w:pPr>
              <w:jc w:val="right"/>
              <w:rPr>
                <w:rFonts w:ascii="Arial" w:hAnsi="Arial" w:cs="Arial"/>
              </w:rPr>
            </w:pPr>
            <w:r w:rsidRPr="00B801F4">
              <w:rPr>
                <w:rFonts w:ascii="Arial" w:hAnsi="Arial" w:cs="Arial"/>
              </w:rPr>
              <w:t>0.1</w:t>
            </w:r>
          </w:p>
        </w:tc>
        <w:tc>
          <w:tcPr>
            <w:tcW w:w="430" w:type="dxa"/>
            <w:tcBorders>
              <w:right w:val="single" w:sz="4" w:space="0" w:color="FFFFFF" w:themeColor="background1"/>
            </w:tcBorders>
          </w:tcPr>
          <w:p w14:paraId="5C475AB9"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3870614B" w14:textId="77777777" w:rsidR="00B801F4" w:rsidRPr="00B801F4" w:rsidRDefault="00B801F4" w:rsidP="00B801F4">
            <w:pPr>
              <w:jc w:val="right"/>
              <w:rPr>
                <w:rFonts w:ascii="Arial" w:hAnsi="Arial" w:cs="Arial"/>
              </w:rPr>
            </w:pPr>
            <w:r w:rsidRPr="00B801F4">
              <w:rPr>
                <w:rFonts w:ascii="Arial" w:hAnsi="Arial" w:cs="Arial"/>
              </w:rPr>
              <w:t>0.6</w:t>
            </w:r>
          </w:p>
        </w:tc>
      </w:tr>
      <w:tr w:rsidR="00B801F4" w:rsidRPr="00B801F4" w14:paraId="17AE80A7" w14:textId="77777777" w:rsidTr="00B801F4">
        <w:tc>
          <w:tcPr>
            <w:tcW w:w="5058" w:type="dxa"/>
          </w:tcPr>
          <w:p w14:paraId="2E9A9014" w14:textId="77777777" w:rsidR="00B801F4" w:rsidRPr="00B801F4" w:rsidRDefault="00B801F4" w:rsidP="00B801F4">
            <w:pPr>
              <w:rPr>
                <w:rFonts w:ascii="Arial" w:hAnsi="Arial" w:cs="Arial"/>
              </w:rPr>
            </w:pPr>
            <w:r w:rsidRPr="00B801F4">
              <w:rPr>
                <w:rFonts w:ascii="Arial" w:hAnsi="Arial" w:cs="Arial"/>
              </w:rPr>
              <w:t>Accrued expenses</w:t>
            </w:r>
          </w:p>
        </w:tc>
        <w:tc>
          <w:tcPr>
            <w:tcW w:w="1559" w:type="dxa"/>
          </w:tcPr>
          <w:p w14:paraId="7A961146" w14:textId="77777777" w:rsidR="00B801F4" w:rsidRPr="00B801F4" w:rsidRDefault="00B801F4" w:rsidP="00B801F4">
            <w:pPr>
              <w:jc w:val="right"/>
              <w:rPr>
                <w:rFonts w:ascii="Arial" w:hAnsi="Arial" w:cs="Arial"/>
              </w:rPr>
            </w:pPr>
            <w:r w:rsidRPr="00B801F4">
              <w:rPr>
                <w:rFonts w:ascii="Arial" w:hAnsi="Arial" w:cs="Arial"/>
              </w:rPr>
              <w:t>10.8</w:t>
            </w:r>
          </w:p>
        </w:tc>
        <w:tc>
          <w:tcPr>
            <w:tcW w:w="430" w:type="dxa"/>
            <w:tcBorders>
              <w:right w:val="single" w:sz="4" w:space="0" w:color="FFFFFF" w:themeColor="background1"/>
            </w:tcBorders>
          </w:tcPr>
          <w:p w14:paraId="6A21AB9B"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28C138D8" w14:textId="77777777" w:rsidR="00B801F4" w:rsidRPr="00B801F4" w:rsidRDefault="00B801F4" w:rsidP="00B801F4">
            <w:pPr>
              <w:jc w:val="right"/>
              <w:rPr>
                <w:rFonts w:ascii="Arial" w:hAnsi="Arial" w:cs="Arial"/>
              </w:rPr>
            </w:pPr>
            <w:r w:rsidRPr="00B801F4">
              <w:rPr>
                <w:rFonts w:ascii="Arial" w:hAnsi="Arial" w:cs="Arial"/>
              </w:rPr>
              <w:t>11.1</w:t>
            </w:r>
          </w:p>
        </w:tc>
      </w:tr>
      <w:tr w:rsidR="00B801F4" w:rsidRPr="00B801F4" w14:paraId="0529D292" w14:textId="77777777" w:rsidTr="00B801F4">
        <w:tc>
          <w:tcPr>
            <w:tcW w:w="5058" w:type="dxa"/>
          </w:tcPr>
          <w:p w14:paraId="1C8A3367" w14:textId="77777777" w:rsidR="00B801F4" w:rsidRPr="00B801F4" w:rsidRDefault="00B801F4" w:rsidP="00B801F4">
            <w:pPr>
              <w:rPr>
                <w:rFonts w:ascii="Arial" w:hAnsi="Arial" w:cs="Arial"/>
              </w:rPr>
            </w:pPr>
          </w:p>
        </w:tc>
        <w:tc>
          <w:tcPr>
            <w:tcW w:w="1559" w:type="dxa"/>
            <w:tcBorders>
              <w:top w:val="single" w:sz="18" w:space="0" w:color="auto"/>
              <w:bottom w:val="single" w:sz="18" w:space="0" w:color="auto"/>
            </w:tcBorders>
          </w:tcPr>
          <w:p w14:paraId="7CE2BAC0" w14:textId="77777777" w:rsidR="00B801F4" w:rsidRPr="00B801F4" w:rsidRDefault="00B801F4" w:rsidP="00B801F4">
            <w:pPr>
              <w:jc w:val="right"/>
              <w:rPr>
                <w:rFonts w:ascii="Arial" w:hAnsi="Arial" w:cs="Arial"/>
              </w:rPr>
            </w:pPr>
            <w:r w:rsidRPr="00B801F4">
              <w:rPr>
                <w:rFonts w:ascii="Arial" w:hAnsi="Arial" w:cs="Arial"/>
              </w:rPr>
              <w:t>10.9</w:t>
            </w:r>
          </w:p>
        </w:tc>
        <w:tc>
          <w:tcPr>
            <w:tcW w:w="430" w:type="dxa"/>
            <w:tcBorders>
              <w:right w:val="single" w:sz="4" w:space="0" w:color="FFFFFF" w:themeColor="background1"/>
            </w:tcBorders>
          </w:tcPr>
          <w:p w14:paraId="21234AC4" w14:textId="77777777" w:rsidR="00B801F4" w:rsidRPr="00B801F4" w:rsidRDefault="00B801F4" w:rsidP="00B801F4">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61F81426" w14:textId="77777777" w:rsidR="00B801F4" w:rsidRPr="00B801F4" w:rsidRDefault="00B801F4" w:rsidP="00B801F4">
            <w:pPr>
              <w:jc w:val="right"/>
              <w:rPr>
                <w:rFonts w:ascii="Arial" w:hAnsi="Arial" w:cs="Arial"/>
              </w:rPr>
            </w:pPr>
            <w:r w:rsidRPr="00B801F4">
              <w:rPr>
                <w:rFonts w:ascii="Arial" w:hAnsi="Arial" w:cs="Arial"/>
              </w:rPr>
              <w:t>11.7</w:t>
            </w:r>
          </w:p>
        </w:tc>
      </w:tr>
    </w:tbl>
    <w:p w14:paraId="307FD992" w14:textId="77777777" w:rsidR="00B801F4" w:rsidRDefault="00B801F4" w:rsidP="00B801F4">
      <w:pPr>
        <w:ind w:left="720"/>
        <w:rPr>
          <w:rFonts w:cs="Arial"/>
        </w:rPr>
      </w:pPr>
    </w:p>
    <w:p w14:paraId="3989ED64" w14:textId="77777777" w:rsidR="00F56451" w:rsidRPr="00B801F4" w:rsidRDefault="00F56451" w:rsidP="00B801F4">
      <w:pPr>
        <w:ind w:left="720"/>
        <w:rPr>
          <w:rFonts w:cs="Arial"/>
        </w:rPr>
      </w:pPr>
    </w:p>
    <w:p w14:paraId="6BA306CB" w14:textId="77777777" w:rsidR="00B801F4" w:rsidRPr="00B801F4" w:rsidRDefault="00B801F4" w:rsidP="00B801F4">
      <w:pPr>
        <w:ind w:left="720"/>
        <w:rPr>
          <w:rFonts w:cs="Arial"/>
        </w:rPr>
      </w:pPr>
    </w:p>
    <w:tbl>
      <w:tblPr>
        <w:tblStyle w:val="TableGrid1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559"/>
        <w:gridCol w:w="430"/>
        <w:gridCol w:w="1696"/>
      </w:tblGrid>
      <w:tr w:rsidR="00B801F4" w:rsidRPr="00B801F4" w14:paraId="71710B6F" w14:textId="77777777" w:rsidTr="00B801F4">
        <w:tc>
          <w:tcPr>
            <w:tcW w:w="5058" w:type="dxa"/>
          </w:tcPr>
          <w:p w14:paraId="68488E42" w14:textId="77777777" w:rsidR="00B801F4" w:rsidRPr="00B801F4" w:rsidRDefault="00B801F4" w:rsidP="00B801F4">
            <w:pPr>
              <w:spacing w:after="0"/>
              <w:rPr>
                <w:rFonts w:ascii="Arial" w:hAnsi="Arial" w:cs="Arial"/>
                <w:b/>
              </w:rPr>
            </w:pPr>
            <w:r w:rsidRPr="00B801F4">
              <w:rPr>
                <w:rFonts w:ascii="Arial" w:hAnsi="Arial" w:cs="Arial"/>
                <w:b/>
              </w:rPr>
              <w:t>Analysis of creditors</w:t>
            </w:r>
          </w:p>
        </w:tc>
        <w:tc>
          <w:tcPr>
            <w:tcW w:w="1559" w:type="dxa"/>
          </w:tcPr>
          <w:p w14:paraId="42866533" w14:textId="77777777" w:rsidR="00B801F4" w:rsidRPr="00B801F4" w:rsidRDefault="00B801F4" w:rsidP="00B801F4">
            <w:pPr>
              <w:spacing w:after="0"/>
              <w:jc w:val="right"/>
              <w:rPr>
                <w:rFonts w:ascii="Arial" w:hAnsi="Arial" w:cs="Arial"/>
                <w:b/>
              </w:rPr>
            </w:pPr>
            <w:r w:rsidRPr="00B801F4">
              <w:rPr>
                <w:rFonts w:ascii="Arial" w:hAnsi="Arial" w:cs="Arial"/>
                <w:b/>
              </w:rPr>
              <w:t>31/03/15</w:t>
            </w:r>
          </w:p>
          <w:p w14:paraId="38E52C98" w14:textId="77777777" w:rsidR="00B801F4" w:rsidRPr="00B801F4" w:rsidRDefault="00B801F4" w:rsidP="00B801F4">
            <w:pPr>
              <w:spacing w:after="0"/>
              <w:jc w:val="right"/>
              <w:rPr>
                <w:rFonts w:ascii="Arial" w:hAnsi="Arial" w:cs="Arial"/>
                <w:b/>
              </w:rPr>
            </w:pPr>
            <w:r w:rsidRPr="00B801F4">
              <w:rPr>
                <w:rFonts w:ascii="Arial" w:hAnsi="Arial" w:cs="Arial"/>
                <w:b/>
              </w:rPr>
              <w:t>£m</w:t>
            </w:r>
          </w:p>
        </w:tc>
        <w:tc>
          <w:tcPr>
            <w:tcW w:w="430" w:type="dxa"/>
            <w:tcBorders>
              <w:right w:val="single" w:sz="4" w:space="0" w:color="FFFFFF" w:themeColor="background1"/>
            </w:tcBorders>
          </w:tcPr>
          <w:p w14:paraId="4AEC9F9B" w14:textId="77777777" w:rsidR="00B801F4" w:rsidRPr="00B801F4" w:rsidRDefault="00B801F4" w:rsidP="00B801F4">
            <w:pPr>
              <w:spacing w:after="0"/>
              <w:jc w:val="right"/>
              <w:rPr>
                <w:rFonts w:ascii="Arial" w:hAnsi="Arial" w:cs="Arial"/>
                <w:b/>
              </w:rPr>
            </w:pPr>
          </w:p>
          <w:p w14:paraId="72B3D5B9" w14:textId="77777777" w:rsidR="00B801F4" w:rsidRPr="00B801F4" w:rsidRDefault="00B801F4" w:rsidP="00B801F4">
            <w:pPr>
              <w:spacing w:after="0"/>
              <w:jc w:val="right"/>
              <w:rPr>
                <w:rFonts w:ascii="Arial" w:hAnsi="Arial" w:cs="Arial"/>
                <w:b/>
              </w:rPr>
            </w:pPr>
          </w:p>
        </w:tc>
        <w:tc>
          <w:tcPr>
            <w:tcW w:w="1696" w:type="dxa"/>
            <w:tcBorders>
              <w:left w:val="single" w:sz="4" w:space="0" w:color="FFFFFF" w:themeColor="background1"/>
            </w:tcBorders>
          </w:tcPr>
          <w:p w14:paraId="781B00EE" w14:textId="77777777" w:rsidR="00B801F4" w:rsidRPr="00B801F4" w:rsidRDefault="00B801F4" w:rsidP="00B801F4">
            <w:pPr>
              <w:spacing w:after="0"/>
              <w:jc w:val="right"/>
              <w:rPr>
                <w:rFonts w:ascii="Arial" w:hAnsi="Arial" w:cs="Arial"/>
                <w:b/>
              </w:rPr>
            </w:pPr>
            <w:r w:rsidRPr="00B801F4">
              <w:rPr>
                <w:rFonts w:ascii="Arial" w:hAnsi="Arial" w:cs="Arial"/>
                <w:b/>
              </w:rPr>
              <w:t>31/03/14</w:t>
            </w:r>
          </w:p>
          <w:p w14:paraId="3EFFABDD" w14:textId="77777777" w:rsidR="00B801F4" w:rsidRPr="00B801F4" w:rsidRDefault="00B801F4" w:rsidP="00B801F4">
            <w:pPr>
              <w:spacing w:after="0"/>
              <w:jc w:val="right"/>
              <w:rPr>
                <w:rFonts w:ascii="Arial" w:hAnsi="Arial" w:cs="Arial"/>
                <w:b/>
              </w:rPr>
            </w:pPr>
            <w:r w:rsidRPr="00B801F4">
              <w:rPr>
                <w:rFonts w:ascii="Arial" w:hAnsi="Arial" w:cs="Arial"/>
                <w:b/>
              </w:rPr>
              <w:t>£m</w:t>
            </w:r>
          </w:p>
        </w:tc>
      </w:tr>
      <w:tr w:rsidR="00B801F4" w:rsidRPr="00B801F4" w14:paraId="3011B8B5" w14:textId="77777777" w:rsidTr="00B801F4">
        <w:tc>
          <w:tcPr>
            <w:tcW w:w="5058" w:type="dxa"/>
          </w:tcPr>
          <w:p w14:paraId="18D08C79" w14:textId="77777777" w:rsidR="00B801F4" w:rsidRPr="00B801F4" w:rsidRDefault="00B801F4" w:rsidP="00B801F4">
            <w:pPr>
              <w:rPr>
                <w:rFonts w:ascii="Arial" w:hAnsi="Arial" w:cs="Arial"/>
              </w:rPr>
            </w:pPr>
            <w:r w:rsidRPr="00B801F4">
              <w:rPr>
                <w:rFonts w:ascii="Arial" w:hAnsi="Arial" w:cs="Arial"/>
              </w:rPr>
              <w:t>Other local authorities</w:t>
            </w:r>
          </w:p>
        </w:tc>
        <w:tc>
          <w:tcPr>
            <w:tcW w:w="1559" w:type="dxa"/>
          </w:tcPr>
          <w:p w14:paraId="13A9CE35" w14:textId="77777777" w:rsidR="00B801F4" w:rsidRPr="00B801F4" w:rsidRDefault="00B801F4" w:rsidP="00B801F4">
            <w:pPr>
              <w:jc w:val="right"/>
              <w:rPr>
                <w:rFonts w:ascii="Arial" w:hAnsi="Arial" w:cs="Arial"/>
              </w:rPr>
            </w:pPr>
            <w:r w:rsidRPr="00B801F4">
              <w:rPr>
                <w:rFonts w:ascii="Arial" w:hAnsi="Arial" w:cs="Arial"/>
              </w:rPr>
              <w:t>4.2</w:t>
            </w:r>
          </w:p>
        </w:tc>
        <w:tc>
          <w:tcPr>
            <w:tcW w:w="430" w:type="dxa"/>
            <w:tcBorders>
              <w:right w:val="single" w:sz="4" w:space="0" w:color="FFFFFF" w:themeColor="background1"/>
            </w:tcBorders>
          </w:tcPr>
          <w:p w14:paraId="74588F55"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047FA60B" w14:textId="77777777" w:rsidR="00B801F4" w:rsidRPr="00B801F4" w:rsidRDefault="00B801F4" w:rsidP="00B801F4">
            <w:pPr>
              <w:jc w:val="right"/>
              <w:rPr>
                <w:rFonts w:ascii="Arial" w:hAnsi="Arial" w:cs="Arial"/>
              </w:rPr>
            </w:pPr>
            <w:r w:rsidRPr="00B801F4">
              <w:rPr>
                <w:rFonts w:ascii="Arial" w:hAnsi="Arial" w:cs="Arial"/>
              </w:rPr>
              <w:t>4.0</w:t>
            </w:r>
          </w:p>
        </w:tc>
      </w:tr>
      <w:tr w:rsidR="00B801F4" w:rsidRPr="00B801F4" w14:paraId="6DD4B83F" w14:textId="77777777" w:rsidTr="00B801F4">
        <w:tc>
          <w:tcPr>
            <w:tcW w:w="5058" w:type="dxa"/>
          </w:tcPr>
          <w:p w14:paraId="32E7C0E3" w14:textId="77777777" w:rsidR="00B801F4" w:rsidRPr="00B801F4" w:rsidRDefault="00B801F4" w:rsidP="00B801F4">
            <w:pPr>
              <w:rPr>
                <w:rFonts w:ascii="Arial" w:hAnsi="Arial" w:cs="Arial"/>
              </w:rPr>
            </w:pPr>
            <w:r w:rsidRPr="00B801F4">
              <w:rPr>
                <w:rFonts w:ascii="Arial" w:hAnsi="Arial" w:cs="Arial"/>
              </w:rPr>
              <w:t>Other entities and individuals</w:t>
            </w:r>
          </w:p>
        </w:tc>
        <w:tc>
          <w:tcPr>
            <w:tcW w:w="1559" w:type="dxa"/>
          </w:tcPr>
          <w:p w14:paraId="7FDF82BA" w14:textId="77777777" w:rsidR="00B801F4" w:rsidRPr="00B801F4" w:rsidRDefault="00B801F4" w:rsidP="00B801F4">
            <w:pPr>
              <w:jc w:val="right"/>
              <w:rPr>
                <w:rFonts w:ascii="Arial" w:hAnsi="Arial" w:cs="Arial"/>
              </w:rPr>
            </w:pPr>
            <w:r w:rsidRPr="00B801F4">
              <w:rPr>
                <w:rFonts w:ascii="Arial" w:hAnsi="Arial" w:cs="Arial"/>
              </w:rPr>
              <w:t>6.7</w:t>
            </w:r>
          </w:p>
        </w:tc>
        <w:tc>
          <w:tcPr>
            <w:tcW w:w="430" w:type="dxa"/>
            <w:tcBorders>
              <w:right w:val="single" w:sz="4" w:space="0" w:color="FFFFFF" w:themeColor="background1"/>
            </w:tcBorders>
          </w:tcPr>
          <w:p w14:paraId="3CA7179A" w14:textId="77777777" w:rsidR="00B801F4" w:rsidRPr="00B801F4" w:rsidRDefault="00B801F4" w:rsidP="00B801F4">
            <w:pPr>
              <w:jc w:val="right"/>
              <w:rPr>
                <w:rFonts w:ascii="Arial" w:hAnsi="Arial" w:cs="Arial"/>
              </w:rPr>
            </w:pPr>
          </w:p>
        </w:tc>
        <w:tc>
          <w:tcPr>
            <w:tcW w:w="1696" w:type="dxa"/>
            <w:tcBorders>
              <w:left w:val="single" w:sz="4" w:space="0" w:color="FFFFFF" w:themeColor="background1"/>
            </w:tcBorders>
          </w:tcPr>
          <w:p w14:paraId="71413680" w14:textId="77777777" w:rsidR="00B801F4" w:rsidRPr="00B801F4" w:rsidRDefault="00B801F4" w:rsidP="00B801F4">
            <w:pPr>
              <w:jc w:val="right"/>
              <w:rPr>
                <w:rFonts w:ascii="Arial" w:hAnsi="Arial" w:cs="Arial"/>
              </w:rPr>
            </w:pPr>
            <w:r w:rsidRPr="00B801F4">
              <w:rPr>
                <w:rFonts w:ascii="Arial" w:hAnsi="Arial" w:cs="Arial"/>
              </w:rPr>
              <w:t>7.7</w:t>
            </w:r>
          </w:p>
        </w:tc>
      </w:tr>
      <w:tr w:rsidR="00B801F4" w:rsidRPr="00B801F4" w14:paraId="038A4D22" w14:textId="77777777" w:rsidTr="00B801F4">
        <w:tc>
          <w:tcPr>
            <w:tcW w:w="5058" w:type="dxa"/>
          </w:tcPr>
          <w:p w14:paraId="14AD2A85" w14:textId="77777777" w:rsidR="00B801F4" w:rsidRPr="00B801F4" w:rsidRDefault="00B801F4" w:rsidP="00B801F4">
            <w:pPr>
              <w:rPr>
                <w:rFonts w:ascii="Arial" w:hAnsi="Arial" w:cs="Arial"/>
              </w:rPr>
            </w:pPr>
          </w:p>
        </w:tc>
        <w:tc>
          <w:tcPr>
            <w:tcW w:w="1559" w:type="dxa"/>
            <w:tcBorders>
              <w:top w:val="single" w:sz="18" w:space="0" w:color="auto"/>
              <w:bottom w:val="single" w:sz="18" w:space="0" w:color="auto"/>
            </w:tcBorders>
          </w:tcPr>
          <w:p w14:paraId="5244FDDE" w14:textId="77777777" w:rsidR="00B801F4" w:rsidRPr="00B801F4" w:rsidRDefault="00B801F4" w:rsidP="00B801F4">
            <w:pPr>
              <w:jc w:val="right"/>
              <w:rPr>
                <w:rFonts w:ascii="Arial" w:hAnsi="Arial" w:cs="Arial"/>
              </w:rPr>
            </w:pPr>
            <w:r w:rsidRPr="00B801F4">
              <w:rPr>
                <w:rFonts w:ascii="Arial" w:hAnsi="Arial" w:cs="Arial"/>
              </w:rPr>
              <w:t>10.9</w:t>
            </w:r>
          </w:p>
        </w:tc>
        <w:tc>
          <w:tcPr>
            <w:tcW w:w="430" w:type="dxa"/>
            <w:tcBorders>
              <w:right w:val="single" w:sz="4" w:space="0" w:color="FFFFFF" w:themeColor="background1"/>
            </w:tcBorders>
          </w:tcPr>
          <w:p w14:paraId="3BCC076A" w14:textId="77777777" w:rsidR="00B801F4" w:rsidRPr="00B801F4" w:rsidRDefault="00B801F4" w:rsidP="00B801F4">
            <w:pPr>
              <w:jc w:val="right"/>
              <w:rPr>
                <w:rFonts w:ascii="Arial" w:hAnsi="Arial" w:cs="Arial"/>
              </w:rPr>
            </w:pPr>
          </w:p>
        </w:tc>
        <w:tc>
          <w:tcPr>
            <w:tcW w:w="1696" w:type="dxa"/>
            <w:tcBorders>
              <w:top w:val="single" w:sz="18" w:space="0" w:color="auto"/>
              <w:left w:val="single" w:sz="4" w:space="0" w:color="FFFFFF" w:themeColor="background1"/>
              <w:bottom w:val="single" w:sz="18" w:space="0" w:color="auto"/>
            </w:tcBorders>
          </w:tcPr>
          <w:p w14:paraId="1D453837" w14:textId="77777777" w:rsidR="00B801F4" w:rsidRPr="00B801F4" w:rsidRDefault="00B801F4" w:rsidP="00B801F4">
            <w:pPr>
              <w:jc w:val="right"/>
              <w:rPr>
                <w:rFonts w:ascii="Arial" w:hAnsi="Arial" w:cs="Arial"/>
              </w:rPr>
            </w:pPr>
            <w:r w:rsidRPr="00B801F4">
              <w:rPr>
                <w:rFonts w:ascii="Arial" w:hAnsi="Arial" w:cs="Arial"/>
              </w:rPr>
              <w:t>11.7</w:t>
            </w:r>
          </w:p>
        </w:tc>
      </w:tr>
    </w:tbl>
    <w:p w14:paraId="6BBDB8D6" w14:textId="77777777" w:rsidR="00B801F4" w:rsidRPr="00B801F4" w:rsidRDefault="00B801F4" w:rsidP="00B801F4">
      <w:pPr>
        <w:rPr>
          <w:rFonts w:cs="Arial"/>
          <w:b/>
          <w:bCs/>
        </w:rPr>
      </w:pPr>
    </w:p>
    <w:p w14:paraId="6868DF61" w14:textId="77777777" w:rsidR="00B801F4" w:rsidRPr="00B801F4" w:rsidRDefault="00B801F4" w:rsidP="00B801F4">
      <w:pPr>
        <w:tabs>
          <w:tab w:val="left" w:pos="1080"/>
        </w:tabs>
        <w:spacing w:after="80"/>
        <w:ind w:left="709"/>
        <w:rPr>
          <w:rFonts w:cs="Arial"/>
        </w:rPr>
      </w:pPr>
    </w:p>
    <w:p w14:paraId="1A4E6CF9" w14:textId="77777777" w:rsidR="00B801F4" w:rsidRPr="00B801F4" w:rsidRDefault="00B801F4" w:rsidP="00B801F4">
      <w:pPr>
        <w:spacing w:after="80"/>
        <w:ind w:left="709"/>
      </w:pPr>
    </w:p>
    <w:p w14:paraId="4DB7530A" w14:textId="77777777" w:rsidR="00B801F4" w:rsidRPr="00B801F4" w:rsidRDefault="00B801F4" w:rsidP="00717919">
      <w:pPr>
        <w:numPr>
          <w:ilvl w:val="0"/>
          <w:numId w:val="74"/>
        </w:numPr>
        <w:autoSpaceDE/>
        <w:autoSpaceDN/>
        <w:adjustRightInd/>
        <w:spacing w:after="240"/>
        <w:ind w:left="862"/>
        <w:rPr>
          <w:sz w:val="32"/>
          <w:szCs w:val="32"/>
        </w:rPr>
      </w:pPr>
      <w:r w:rsidRPr="00B801F4">
        <w:rPr>
          <w:b/>
          <w:sz w:val="32"/>
          <w:szCs w:val="32"/>
        </w:rPr>
        <w:t>Contractual Commitments</w:t>
      </w:r>
    </w:p>
    <w:p w14:paraId="0CF98485" w14:textId="77777777" w:rsidR="00B801F4" w:rsidRPr="00B801F4" w:rsidRDefault="00B801F4" w:rsidP="00B801F4">
      <w:pPr>
        <w:tabs>
          <w:tab w:val="left" w:pos="709"/>
        </w:tabs>
        <w:spacing w:after="80"/>
        <w:ind w:left="709"/>
        <w:jc w:val="left"/>
      </w:pPr>
      <w:r w:rsidRPr="00B801F4">
        <w:t xml:space="preserve">The commitments relating to outstanding call payments due to unquoted limited partnership funds held in the venture capital and infrastructure part of the portfolio totalled £529.7m. The amounts 'called' by these funds are irregular in both size and timing and commitments to these partnerships are drawn down over a number of years.  The term of an individual investment can be up to 10 years.  Realisation of these investments in the form of distributions normally occurs towards the end of the investment period, when portfolio companies have built value and can be liquidated.  </w:t>
      </w:r>
    </w:p>
    <w:p w14:paraId="5B5DACA5" w14:textId="77777777" w:rsidR="00B801F4" w:rsidRPr="00B801F4" w:rsidRDefault="00B801F4" w:rsidP="00B801F4">
      <w:pPr>
        <w:tabs>
          <w:tab w:val="left" w:pos="709"/>
        </w:tabs>
        <w:spacing w:after="80"/>
        <w:ind w:left="709"/>
        <w:jc w:val="left"/>
      </w:pPr>
      <w:r w:rsidRPr="00B801F4">
        <w:t>Commitments to outstanding call payments due to certain credit strategies stood at £304.1m.  The majority of these amounts are expected to be called over the coming two years and relate to various different investments including direct lending and distressed credit opportunities which are expected to begin repaying capital after 5 years.  In order to maintain a steady level of investment in the long term, the Fund will enter into further commitments to fund this type of strategy over the coming years.</w:t>
      </w:r>
    </w:p>
    <w:p w14:paraId="33B516FA" w14:textId="77777777" w:rsidR="00B801F4" w:rsidRPr="00B801F4" w:rsidRDefault="00B801F4" w:rsidP="00B801F4">
      <w:pPr>
        <w:ind w:left="709"/>
        <w:jc w:val="left"/>
      </w:pPr>
      <w:r w:rsidRPr="00B801F4">
        <w:t>The commitments on direct property development contracts relating to properties under construction held in the direct property part of the portfolio totalled £11.3m at 31st March 2015. These amounts are expected to be drawn down over the next 15 months based on valuation certificates.</w:t>
      </w:r>
    </w:p>
    <w:p w14:paraId="453F30EA" w14:textId="77777777" w:rsidR="00B801F4" w:rsidRPr="00B801F4" w:rsidRDefault="00B801F4" w:rsidP="00B801F4">
      <w:pPr>
        <w:ind w:left="709"/>
        <w:jc w:val="left"/>
      </w:pPr>
      <w:r w:rsidRPr="00B801F4">
        <w:t>The commitment on indirect property of £20.7m at 31st March 2015 relates to a property under construction held in an indirect fund.   This amount is expected to be drawn down over the next 15 months based on valuation certificates for a scheduled completion in May 2016.</w:t>
      </w:r>
    </w:p>
    <w:p w14:paraId="24444E69" w14:textId="77777777" w:rsidR="00B801F4" w:rsidRPr="00B801F4" w:rsidRDefault="00B801F4" w:rsidP="00B801F4">
      <w:pPr>
        <w:tabs>
          <w:tab w:val="left" w:pos="709"/>
        </w:tabs>
        <w:spacing w:after="80"/>
        <w:ind w:left="709"/>
      </w:pPr>
    </w:p>
    <w:p w14:paraId="6B80DDF8" w14:textId="77777777" w:rsidR="00B801F4" w:rsidRPr="00B801F4" w:rsidRDefault="00B801F4" w:rsidP="00B801F4">
      <w:pPr>
        <w:tabs>
          <w:tab w:val="left" w:pos="709"/>
        </w:tabs>
        <w:spacing w:after="80"/>
        <w:ind w:left="709"/>
      </w:pPr>
    </w:p>
    <w:p w14:paraId="49D06C67" w14:textId="77777777" w:rsidR="00B801F4" w:rsidRPr="00B801F4" w:rsidRDefault="00B801F4" w:rsidP="00717919">
      <w:pPr>
        <w:numPr>
          <w:ilvl w:val="0"/>
          <w:numId w:val="74"/>
        </w:numPr>
        <w:autoSpaceDE/>
        <w:autoSpaceDN/>
        <w:adjustRightInd/>
        <w:spacing w:after="240"/>
        <w:ind w:left="709"/>
        <w:jc w:val="left"/>
        <w:rPr>
          <w:sz w:val="32"/>
          <w:szCs w:val="32"/>
        </w:rPr>
      </w:pPr>
      <w:r w:rsidRPr="00B801F4">
        <w:rPr>
          <w:b/>
          <w:sz w:val="32"/>
          <w:szCs w:val="32"/>
        </w:rPr>
        <w:t>Related Party Transactions</w:t>
      </w:r>
    </w:p>
    <w:p w14:paraId="5BDB8841" w14:textId="77777777" w:rsidR="00B801F4" w:rsidRPr="00B801F4" w:rsidRDefault="00B801F4" w:rsidP="00B801F4">
      <w:pPr>
        <w:tabs>
          <w:tab w:val="left" w:pos="709"/>
        </w:tabs>
        <w:spacing w:after="80"/>
        <w:ind w:left="709"/>
        <w:jc w:val="left"/>
      </w:pPr>
      <w:r w:rsidRPr="00B801F4">
        <w:t>In accordance with IFRS, the financial statements must contain the disclosures necessary to draw attention to the possibility that the reported financial position of the Pension Fund may have been affected by the existence of related parties and associated material transactions.  They include:</w:t>
      </w:r>
    </w:p>
    <w:p w14:paraId="1007017B" w14:textId="78E9F69C" w:rsidR="00B801F4" w:rsidRPr="00B801F4" w:rsidRDefault="00B801F4" w:rsidP="00717919">
      <w:pPr>
        <w:numPr>
          <w:ilvl w:val="0"/>
          <w:numId w:val="75"/>
        </w:numPr>
        <w:tabs>
          <w:tab w:val="num" w:pos="1080"/>
        </w:tabs>
        <w:autoSpaceDE/>
        <w:autoSpaceDN/>
        <w:adjustRightInd/>
        <w:spacing w:after="240"/>
        <w:ind w:left="1080"/>
        <w:jc w:val="left"/>
      </w:pPr>
      <w:r w:rsidRPr="00B801F4">
        <w:t xml:space="preserve">At 31 March 2015, Damon Lawrenson, CPFA, was </w:t>
      </w:r>
      <w:r w:rsidR="00F3615F">
        <w:t>Interim Director of Financial Resources</w:t>
      </w:r>
      <w:r w:rsidRPr="00B801F4">
        <w:t xml:space="preserve"> to the Pension Fund and Lancashire County Council.</w:t>
      </w:r>
    </w:p>
    <w:p w14:paraId="77D07351" w14:textId="77777777" w:rsidR="00B801F4" w:rsidRPr="00B801F4" w:rsidRDefault="00B801F4" w:rsidP="00717919">
      <w:pPr>
        <w:numPr>
          <w:ilvl w:val="0"/>
          <w:numId w:val="75"/>
        </w:numPr>
        <w:tabs>
          <w:tab w:val="num" w:pos="1080"/>
        </w:tabs>
        <w:autoSpaceDE/>
        <w:autoSpaceDN/>
        <w:adjustRightInd/>
        <w:spacing w:after="240"/>
        <w:ind w:left="1080"/>
        <w:jc w:val="left"/>
      </w:pPr>
      <w:r w:rsidRPr="00B801F4">
        <w:t xml:space="preserve">The Pension Fund includes 136 scheduled and 184 admitted bodies. </w:t>
      </w:r>
    </w:p>
    <w:p w14:paraId="12E4EE01" w14:textId="77777777" w:rsidR="00B801F4" w:rsidRPr="00B801F4" w:rsidRDefault="00B801F4" w:rsidP="00717919">
      <w:pPr>
        <w:numPr>
          <w:ilvl w:val="0"/>
          <w:numId w:val="75"/>
        </w:numPr>
        <w:tabs>
          <w:tab w:val="num" w:pos="1080"/>
        </w:tabs>
        <w:autoSpaceDE/>
        <w:autoSpaceDN/>
        <w:adjustRightInd/>
        <w:spacing w:after="240"/>
        <w:ind w:left="1080"/>
        <w:jc w:val="left"/>
      </w:pPr>
      <w:r w:rsidRPr="00B801F4">
        <w:t>Members of the Pension Fund Committee, comprising 14 County Councillors, 2 Councillors from Unitary Authorities, 2 Councillors from District Councils, 2 Trade Union representatives, 1 representative from the Higher/Further education establishments and the Investment Advisory Panel.</w:t>
      </w:r>
    </w:p>
    <w:p w14:paraId="738B4E56" w14:textId="77777777" w:rsidR="00B801F4" w:rsidRPr="00B801F4" w:rsidRDefault="00B801F4" w:rsidP="00B801F4">
      <w:pPr>
        <w:spacing w:after="240"/>
        <w:ind w:left="720"/>
        <w:jc w:val="left"/>
      </w:pPr>
      <w:r w:rsidRPr="00B801F4">
        <w:t>The Pension Fund Committee members and senior officers of the Pension Fund were asked to complete a related party declaration for 2014/15. This revealed no material transactions between the Council and the members / officers and their families affecting involvement with the Pension Fund.  Each member of the Pension Fund Committee formally considers conflicts of interest at each meeting.</w:t>
      </w:r>
    </w:p>
    <w:p w14:paraId="42493F5D" w14:textId="77777777" w:rsidR="00B801F4" w:rsidRPr="00B801F4" w:rsidRDefault="00B801F4" w:rsidP="00B801F4">
      <w:pPr>
        <w:spacing w:after="0"/>
        <w:ind w:left="709"/>
        <w:jc w:val="left"/>
        <w:rPr>
          <w:b/>
        </w:rPr>
      </w:pPr>
      <w:r w:rsidRPr="00B801F4">
        <w:rPr>
          <w:b/>
        </w:rPr>
        <w:t>23.1 Lancashire County Council</w:t>
      </w:r>
    </w:p>
    <w:p w14:paraId="0F10B206" w14:textId="77777777" w:rsidR="00B801F4" w:rsidRPr="00B801F4" w:rsidRDefault="00B801F4" w:rsidP="00B801F4">
      <w:pPr>
        <w:spacing w:after="0"/>
        <w:ind w:left="709"/>
        <w:jc w:val="left"/>
      </w:pPr>
      <w:r w:rsidRPr="00B801F4">
        <w:t>The Lancashire County Pension Fund is administered by Lancashire County Council. Consequently there is a strong relationship between the council and the Pension Fund.</w:t>
      </w:r>
    </w:p>
    <w:p w14:paraId="0E8A3E7D" w14:textId="77777777" w:rsidR="00B801F4" w:rsidRPr="00B801F4" w:rsidRDefault="00B801F4" w:rsidP="00B801F4">
      <w:pPr>
        <w:spacing w:after="80"/>
        <w:ind w:left="709"/>
        <w:jc w:val="left"/>
      </w:pPr>
    </w:p>
    <w:p w14:paraId="688BFEA0" w14:textId="77777777" w:rsidR="00B801F4" w:rsidRPr="00B801F4" w:rsidRDefault="00B801F4" w:rsidP="00B801F4">
      <w:pPr>
        <w:spacing w:after="0"/>
        <w:ind w:left="709"/>
        <w:jc w:val="left"/>
      </w:pPr>
      <w:r w:rsidRPr="00B801F4">
        <w:t>The council incurred costs of £4.5m (2013/14: £4.2m) in relation to the administration of the Fund.  This includes a proportion of relevant officers' salaries in respect of time allocated to pension and investment issues.  The council was subsequently reimbursed by the Fund for these expenses. The council is also the single largest employer of the members of the Pension Fund and contributed £79.5m to the fund in 2014/15 (2013/14: £69.1m). All monies owing to and due from the Fund were paid in year.</w:t>
      </w:r>
    </w:p>
    <w:p w14:paraId="5DB42953" w14:textId="77777777" w:rsidR="00B801F4" w:rsidRPr="00B801F4" w:rsidRDefault="00B801F4" w:rsidP="00B801F4">
      <w:pPr>
        <w:spacing w:after="0"/>
        <w:ind w:left="709"/>
        <w:jc w:val="left"/>
      </w:pPr>
    </w:p>
    <w:p w14:paraId="63A22FE3" w14:textId="77777777" w:rsidR="00B801F4" w:rsidRPr="00B801F4" w:rsidRDefault="00B801F4" w:rsidP="00B801F4">
      <w:pPr>
        <w:spacing w:after="0"/>
        <w:ind w:left="709"/>
        <w:jc w:val="left"/>
        <w:rPr>
          <w:b/>
        </w:rPr>
      </w:pPr>
      <w:r w:rsidRPr="00B801F4">
        <w:rPr>
          <w:b/>
        </w:rPr>
        <w:t>23.2 Key management personnel</w:t>
      </w:r>
    </w:p>
    <w:p w14:paraId="60141664" w14:textId="77777777" w:rsidR="00B801F4" w:rsidRPr="00B801F4" w:rsidRDefault="00B801F4" w:rsidP="00B801F4">
      <w:pPr>
        <w:spacing w:after="0"/>
        <w:ind w:left="709"/>
        <w:jc w:val="left"/>
      </w:pPr>
      <w:r w:rsidRPr="00B801F4">
        <w:t xml:space="preserve">Paragraph 3.9.4.3 of the Code exempts local authorities from key management personnel disclosure requirements of IAS24, on the basis that the disclosure requirements for officer remuneration and members' allowances detailed in section 3.4 of the code (which are derived from the requirements of Regulation 7 (2)-(4) of the Accounts and Audit (England) Regulations 2011 and Regulation 7A of the Accounts and Audit (Wales) Regulations 2005) satisfy the key management disclosure requirements of paragraph 16 of IAS24.  </w:t>
      </w:r>
    </w:p>
    <w:p w14:paraId="7DABEEFD" w14:textId="77777777" w:rsidR="00B801F4" w:rsidRPr="00B801F4" w:rsidRDefault="00B801F4" w:rsidP="00B801F4">
      <w:pPr>
        <w:spacing w:after="0"/>
        <w:ind w:left="709"/>
        <w:jc w:val="left"/>
      </w:pPr>
    </w:p>
    <w:p w14:paraId="47FC58FE" w14:textId="77777777" w:rsidR="00B801F4" w:rsidRPr="00B801F4" w:rsidRDefault="00B801F4" w:rsidP="00B801F4">
      <w:pPr>
        <w:spacing w:after="0"/>
        <w:ind w:left="709"/>
        <w:jc w:val="left"/>
      </w:pPr>
      <w:r w:rsidRPr="00B801F4">
        <w:t>This applies in equal measure to the accounts of the Lancashire County Pension Fund.</w:t>
      </w:r>
    </w:p>
    <w:p w14:paraId="36EEF67E" w14:textId="77777777" w:rsidR="00B801F4" w:rsidRPr="00B801F4" w:rsidRDefault="00B801F4" w:rsidP="00B801F4">
      <w:pPr>
        <w:spacing w:after="0"/>
        <w:ind w:left="709"/>
        <w:jc w:val="left"/>
      </w:pPr>
    </w:p>
    <w:p w14:paraId="08732109" w14:textId="77777777" w:rsidR="00B801F4" w:rsidRPr="00B801F4" w:rsidRDefault="00B801F4" w:rsidP="00B801F4">
      <w:pPr>
        <w:spacing w:after="240"/>
        <w:ind w:left="720"/>
        <w:jc w:val="left"/>
      </w:pPr>
      <w:r w:rsidRPr="00B801F4">
        <w:t>The disclosure required by Regulation 7 (2)-(4) of the Accounts and Audit (England) Regulations can be found in the main accounts of Lancashire County Council.</w:t>
      </w:r>
    </w:p>
    <w:p w14:paraId="447A8552" w14:textId="77777777" w:rsidR="00B801F4" w:rsidRPr="00B801F4" w:rsidRDefault="00B801F4" w:rsidP="00B801F4">
      <w:pPr>
        <w:spacing w:after="240"/>
        <w:ind w:left="720"/>
      </w:pPr>
    </w:p>
    <w:p w14:paraId="2B5967BE" w14:textId="77777777" w:rsidR="00B801F4" w:rsidRPr="00B801F4" w:rsidRDefault="00B801F4" w:rsidP="00717919">
      <w:pPr>
        <w:widowControl w:val="0"/>
        <w:numPr>
          <w:ilvl w:val="0"/>
          <w:numId w:val="74"/>
        </w:numPr>
        <w:tabs>
          <w:tab w:val="num" w:pos="862"/>
        </w:tabs>
        <w:suppressAutoHyphens/>
        <w:autoSpaceDE/>
        <w:autoSpaceDN/>
        <w:adjustRightInd/>
        <w:spacing w:after="0"/>
        <w:ind w:left="862"/>
        <w:contextualSpacing/>
        <w:jc w:val="left"/>
        <w:rPr>
          <w:b/>
          <w:sz w:val="32"/>
          <w:szCs w:val="32"/>
        </w:rPr>
      </w:pPr>
      <w:r w:rsidRPr="00B801F4">
        <w:rPr>
          <w:b/>
          <w:sz w:val="32"/>
          <w:szCs w:val="32"/>
        </w:rPr>
        <w:t>Funding arrangements</w:t>
      </w:r>
    </w:p>
    <w:p w14:paraId="1FEDAC68" w14:textId="77777777" w:rsidR="00B801F4" w:rsidRPr="00B801F4" w:rsidRDefault="00B801F4" w:rsidP="00B801F4">
      <w:pPr>
        <w:widowControl w:val="0"/>
        <w:tabs>
          <w:tab w:val="num" w:pos="567"/>
        </w:tabs>
        <w:suppressAutoHyphens/>
        <w:rPr>
          <w:b/>
        </w:rPr>
      </w:pPr>
    </w:p>
    <w:p w14:paraId="7BFBD716" w14:textId="77777777" w:rsidR="00B801F4" w:rsidRPr="00B801F4" w:rsidRDefault="00B801F4" w:rsidP="00B801F4">
      <w:pPr>
        <w:keepNext/>
        <w:spacing w:before="60" w:after="60" w:line="300" w:lineRule="atLeast"/>
        <w:ind w:left="709"/>
        <w:jc w:val="left"/>
        <w:outlineLvl w:val="2"/>
        <w:rPr>
          <w:b/>
          <w:snapToGrid w:val="0"/>
        </w:rPr>
      </w:pPr>
      <w:r w:rsidRPr="00B801F4">
        <w:rPr>
          <w:b/>
          <w:snapToGrid w:val="0"/>
        </w:rPr>
        <w:t>Accounts for the year ended 31 March 2015 - Statement by the Consulting Actuary</w:t>
      </w:r>
    </w:p>
    <w:p w14:paraId="077767DF" w14:textId="77777777" w:rsidR="00B801F4" w:rsidRPr="00B801F4" w:rsidRDefault="00B801F4" w:rsidP="00B801F4">
      <w:pPr>
        <w:jc w:val="left"/>
      </w:pPr>
    </w:p>
    <w:p w14:paraId="0AD899AD" w14:textId="77777777" w:rsidR="00B801F4" w:rsidRPr="00B801F4" w:rsidRDefault="00B801F4" w:rsidP="00B801F4">
      <w:pPr>
        <w:ind w:left="709"/>
        <w:jc w:val="left"/>
        <w:rPr>
          <w:noProof/>
        </w:rPr>
      </w:pPr>
      <w:r w:rsidRPr="00B801F4">
        <w:rPr>
          <w:noProof/>
        </w:rPr>
        <w:t>This statement has been provided to meet the requirements under Regulation 57(1)(d) of The Local Government Pension Scheme Regulations 2013.</w:t>
      </w:r>
    </w:p>
    <w:p w14:paraId="328C3626" w14:textId="77777777" w:rsidR="00B801F4" w:rsidRPr="00B801F4" w:rsidRDefault="00B801F4" w:rsidP="00B801F4">
      <w:pPr>
        <w:ind w:left="709"/>
        <w:jc w:val="left"/>
        <w:rPr>
          <w:noProof/>
        </w:rPr>
      </w:pPr>
      <w:r w:rsidRPr="00B801F4">
        <w:rPr>
          <w:noProof/>
        </w:rPr>
        <w:t xml:space="preserve">An actuarial valuation of the Lancashire County Pension Fund was carried out as at 31 March 2013 to determine the contribution rates with effect from 1 April 2014 to 31 March 2017.  Full details of the valuation are available as part of the funding strategy statement. </w:t>
      </w:r>
    </w:p>
    <w:p w14:paraId="48062167" w14:textId="77777777" w:rsidR="00B801F4" w:rsidRPr="00B801F4" w:rsidRDefault="00081119" w:rsidP="00B801F4">
      <w:pPr>
        <w:ind w:left="709"/>
        <w:jc w:val="left"/>
        <w:rPr>
          <w:noProof/>
          <w:color w:val="0000FF"/>
          <w:u w:val="single"/>
        </w:rPr>
      </w:pPr>
      <w:hyperlink r:id="rId36" w:history="1">
        <w:r w:rsidR="00B801F4" w:rsidRPr="00B801F4">
          <w:rPr>
            <w:noProof/>
            <w:color w:val="0000FF"/>
            <w:u w:val="single"/>
          </w:rPr>
          <w:t>Your Pension Service - Lancashire Fund Information</w:t>
        </w:r>
      </w:hyperlink>
    </w:p>
    <w:p w14:paraId="2E3C3ED7" w14:textId="77777777" w:rsidR="00B801F4" w:rsidRPr="00B801F4" w:rsidRDefault="00B801F4" w:rsidP="00B801F4">
      <w:pPr>
        <w:ind w:left="709"/>
        <w:rPr>
          <w:noProof/>
        </w:rPr>
      </w:pPr>
    </w:p>
    <w:p w14:paraId="58439073" w14:textId="77777777" w:rsidR="00B801F4" w:rsidRPr="00B801F4" w:rsidRDefault="00B801F4" w:rsidP="00B801F4">
      <w:pPr>
        <w:ind w:left="709"/>
        <w:rPr>
          <w:noProof/>
        </w:rPr>
      </w:pPr>
    </w:p>
    <w:p w14:paraId="33097D85" w14:textId="77777777" w:rsidR="00B801F4" w:rsidRPr="00B801F4" w:rsidRDefault="00B801F4" w:rsidP="00B801F4">
      <w:pPr>
        <w:ind w:left="709"/>
        <w:rPr>
          <w:noProof/>
        </w:rPr>
      </w:pPr>
    </w:p>
    <w:p w14:paraId="0E2126D2" w14:textId="77777777" w:rsidR="00B801F4" w:rsidRPr="00B801F4" w:rsidRDefault="00B801F4" w:rsidP="00B801F4">
      <w:pPr>
        <w:ind w:left="709"/>
        <w:rPr>
          <w:noProof/>
        </w:rPr>
      </w:pPr>
    </w:p>
    <w:p w14:paraId="28DAEF0D" w14:textId="77777777" w:rsidR="00B801F4" w:rsidRPr="00B801F4" w:rsidRDefault="00B801F4" w:rsidP="00B801F4">
      <w:pPr>
        <w:ind w:left="709"/>
        <w:rPr>
          <w:noProof/>
        </w:rPr>
      </w:pPr>
    </w:p>
    <w:p w14:paraId="7211985E" w14:textId="77777777" w:rsidR="00B801F4" w:rsidRPr="00B801F4" w:rsidRDefault="00B801F4" w:rsidP="00B801F4">
      <w:pPr>
        <w:ind w:left="709"/>
        <w:rPr>
          <w:noProof/>
        </w:rPr>
      </w:pPr>
    </w:p>
    <w:p w14:paraId="280F3567" w14:textId="77777777" w:rsidR="00B801F4" w:rsidRPr="00B801F4" w:rsidRDefault="00B801F4" w:rsidP="00B801F4">
      <w:pPr>
        <w:spacing w:after="240"/>
        <w:ind w:left="709"/>
        <w:jc w:val="left"/>
      </w:pPr>
      <w:r w:rsidRPr="00B801F4">
        <w:t xml:space="preserve">On the basis of the assumptions adopted, the Fund’s assets of £5,011 million represented 78% of the Fund’s past service liabilities of £6,388 million (the “Funding Target”) at the valuation date. The deficit at the valuation date was therefore £1,377 million. </w:t>
      </w:r>
    </w:p>
    <w:p w14:paraId="6A806F95" w14:textId="77777777" w:rsidR="00B801F4" w:rsidRPr="00B801F4" w:rsidRDefault="00B801F4" w:rsidP="00B801F4">
      <w:pPr>
        <w:widowControl w:val="0"/>
        <w:tabs>
          <w:tab w:val="num" w:pos="567"/>
        </w:tabs>
        <w:suppressAutoHyphens/>
        <w:rPr>
          <w:b/>
        </w:rPr>
      </w:pPr>
    </w:p>
    <w:p w14:paraId="5C4585B0" w14:textId="77777777" w:rsidR="00B801F4" w:rsidRPr="00B801F4" w:rsidRDefault="00B801F4" w:rsidP="00B801F4">
      <w:pPr>
        <w:spacing w:after="240"/>
        <w:ind w:left="567"/>
      </w:pPr>
      <w:r w:rsidRPr="00B801F4">
        <w:rPr>
          <w:noProof/>
          <w:lang w:eastAsia="en-GB"/>
        </w:rPr>
        <w:drawing>
          <wp:inline distT="0" distB="0" distL="0" distR="0" wp14:anchorId="78249AAD" wp14:editId="2F4EDCE1">
            <wp:extent cx="6151245" cy="274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6151245" cy="2743200"/>
                    </a:xfrm>
                    <a:prstGeom prst="rect">
                      <a:avLst/>
                    </a:prstGeom>
                    <a:noFill/>
                  </pic:spPr>
                </pic:pic>
              </a:graphicData>
            </a:graphic>
          </wp:inline>
        </w:drawing>
      </w:r>
    </w:p>
    <w:p w14:paraId="7226939E" w14:textId="77777777" w:rsidR="00B801F4" w:rsidRPr="00B801F4" w:rsidRDefault="00B801F4" w:rsidP="00B801F4">
      <w:pPr>
        <w:spacing w:after="240"/>
        <w:ind w:left="567"/>
        <w:jc w:val="left"/>
      </w:pPr>
      <w:r w:rsidRPr="00B801F4">
        <w:t xml:space="preserve">The valuation also showed that a common rate of contribution of 13.1% of pensionable pay per annum was required from employers.  The common rate is calculated as being sufficient in the long term, together with contributions paid by members, to meet all liabilities arising in respect of service after the valuation date. It allows for the new LGPS benefit structure effective from 1 April 2014. </w:t>
      </w:r>
    </w:p>
    <w:p w14:paraId="4CF9F6B4" w14:textId="77777777" w:rsidR="00B801F4" w:rsidRPr="00B801F4" w:rsidRDefault="00B801F4" w:rsidP="00B801F4">
      <w:pPr>
        <w:ind w:left="567"/>
        <w:jc w:val="left"/>
      </w:pPr>
      <w:r w:rsidRPr="00B801F4">
        <w:t>After the valuation date, there were significant changes in financial markets. In particular there was an increase in gilt yields, which underpin the liability assessment. This improved the funding position materially to 82% with a resulting deficit of £1,088 million. This improvement was taken into account when setting the deficit contribution requirements for employers where required to stabilise contribution rates. On average across the Fund, the updated deficit would be eliminated by a contribution addition of £65m per annum increasing at 4.1% per annum (equivalent to 7.6% of projected Pensionable Pay at the valuation date) for 19 years if all assumptions are borne out in practice.</w:t>
      </w:r>
    </w:p>
    <w:p w14:paraId="2C7A3D38" w14:textId="77777777" w:rsidR="00B801F4" w:rsidRPr="00B801F4" w:rsidRDefault="00B801F4" w:rsidP="00B801F4">
      <w:pPr>
        <w:ind w:left="567"/>
        <w:jc w:val="left"/>
        <w:rPr>
          <w:noProof/>
        </w:rPr>
      </w:pPr>
      <w:r w:rsidRPr="00B801F4">
        <w:rPr>
          <w:noProof/>
        </w:rPr>
        <w:t xml:space="preserve">Further details regarding the results of the valuation are contained in the formal report on the actuarial valuation dated March 2014. </w:t>
      </w:r>
    </w:p>
    <w:p w14:paraId="688B6169" w14:textId="77777777" w:rsidR="00B801F4" w:rsidRPr="00B801F4" w:rsidRDefault="00B801F4" w:rsidP="00B801F4">
      <w:pPr>
        <w:spacing w:after="240"/>
        <w:ind w:left="567"/>
        <w:jc w:val="left"/>
      </w:pPr>
      <w:r w:rsidRPr="00B801F4">
        <w:t>In practice, each individual employer’s position is assessed separately and the contributions required are set out in the report. In addition to the certified contribution rates, payments to cover additional liabilities arising from early retirements (other than ill-health retirements) will be made to the Fund by the employers.</w:t>
      </w:r>
    </w:p>
    <w:p w14:paraId="4624F1B4" w14:textId="77777777" w:rsidR="00B801F4" w:rsidRPr="00B801F4" w:rsidRDefault="00B801F4" w:rsidP="00B801F4">
      <w:pPr>
        <w:spacing w:after="240"/>
        <w:ind w:left="567"/>
        <w:jc w:val="left"/>
      </w:pPr>
      <w:r w:rsidRPr="00B801F4">
        <w:t xml:space="preserve">The funding plan adopted in assessing the contributions for each individual employer is in accordance with the Funding Strategy Statement (FSS). Any different approaches adopted, e.g. with regard to the implementation of contribution increases and deficit recovery periods, are as determined through the FSS consultation process. </w:t>
      </w:r>
    </w:p>
    <w:p w14:paraId="12596A33" w14:textId="77777777" w:rsidR="00B801F4" w:rsidRPr="00B801F4" w:rsidRDefault="00B801F4" w:rsidP="00B801F4">
      <w:pPr>
        <w:ind w:left="567"/>
        <w:jc w:val="left"/>
      </w:pPr>
      <w:r w:rsidRPr="00B801F4">
        <w:t>The valuation was carried out using the projected unit actuarial method and the main actuarial assumptions used for assessing the Funding Target and the common contribution rate were as follows:</w:t>
      </w:r>
    </w:p>
    <w:p w14:paraId="0B4BD7E9" w14:textId="77777777" w:rsidR="00B801F4" w:rsidRPr="00B801F4" w:rsidRDefault="00B801F4" w:rsidP="00B801F4">
      <w:pPr>
        <w:ind w:left="567"/>
      </w:pPr>
    </w:p>
    <w:tbl>
      <w:tblPr>
        <w:tblW w:w="0" w:type="auto"/>
        <w:tblInd w:w="725" w:type="dxa"/>
        <w:tblBorders>
          <w:top w:val="single" w:sz="4" w:space="0" w:color="auto"/>
          <w:bottom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4217"/>
        <w:gridCol w:w="2245"/>
        <w:gridCol w:w="2565"/>
      </w:tblGrid>
      <w:tr w:rsidR="00B801F4" w:rsidRPr="00B801F4" w14:paraId="7D03020D" w14:textId="77777777" w:rsidTr="00B801F4">
        <w:trPr>
          <w:cantSplit/>
          <w:tblHeader/>
        </w:trPr>
        <w:tc>
          <w:tcPr>
            <w:tcW w:w="4217" w:type="dxa"/>
            <w:tcBorders>
              <w:top w:val="nil"/>
              <w:bottom w:val="nil"/>
            </w:tcBorders>
            <w:shd w:val="clear" w:color="auto" w:fill="002C77"/>
            <w:vAlign w:val="bottom"/>
          </w:tcPr>
          <w:p w14:paraId="77A6ADA7" w14:textId="77777777" w:rsidR="00B801F4" w:rsidRPr="00B801F4" w:rsidRDefault="00B801F4" w:rsidP="00B801F4">
            <w:pPr>
              <w:spacing w:before="60" w:after="60"/>
              <w:rPr>
                <w:rFonts w:ascii="Arial Black" w:hAnsi="Arial Black"/>
                <w:color w:val="FFFFFF"/>
                <w:sz w:val="18"/>
              </w:rPr>
            </w:pPr>
          </w:p>
        </w:tc>
        <w:tc>
          <w:tcPr>
            <w:tcW w:w="2245" w:type="dxa"/>
            <w:tcBorders>
              <w:top w:val="nil"/>
              <w:bottom w:val="nil"/>
            </w:tcBorders>
            <w:shd w:val="clear" w:color="auto" w:fill="002C77"/>
            <w:vAlign w:val="bottom"/>
          </w:tcPr>
          <w:p w14:paraId="5060DFB8" w14:textId="77777777" w:rsidR="00B801F4" w:rsidRPr="00B801F4" w:rsidRDefault="00B801F4" w:rsidP="00B801F4">
            <w:pPr>
              <w:spacing w:before="60" w:after="60"/>
              <w:jc w:val="left"/>
              <w:rPr>
                <w:rFonts w:ascii="Arial Black" w:hAnsi="Arial Black"/>
                <w:color w:val="FFFFFF"/>
                <w:sz w:val="18"/>
              </w:rPr>
            </w:pPr>
            <w:r w:rsidRPr="00B801F4">
              <w:rPr>
                <w:rFonts w:ascii="Arial Black" w:hAnsi="Arial Black"/>
                <w:color w:val="FFFFFF"/>
                <w:sz w:val="18"/>
              </w:rPr>
              <w:t>For past service liabilities (Funding Target)</w:t>
            </w:r>
          </w:p>
        </w:tc>
        <w:tc>
          <w:tcPr>
            <w:tcW w:w="2565" w:type="dxa"/>
            <w:tcBorders>
              <w:top w:val="nil"/>
              <w:bottom w:val="nil"/>
            </w:tcBorders>
            <w:shd w:val="clear" w:color="auto" w:fill="002C77"/>
            <w:vAlign w:val="bottom"/>
          </w:tcPr>
          <w:p w14:paraId="2F738005" w14:textId="77777777" w:rsidR="00B801F4" w:rsidRPr="00B801F4" w:rsidRDefault="00B801F4" w:rsidP="00B801F4">
            <w:pPr>
              <w:spacing w:before="60" w:after="60"/>
              <w:jc w:val="left"/>
              <w:rPr>
                <w:rFonts w:ascii="Arial Black" w:hAnsi="Arial Black"/>
                <w:color w:val="FFFFFF"/>
                <w:sz w:val="18"/>
              </w:rPr>
            </w:pPr>
            <w:r w:rsidRPr="00B801F4">
              <w:rPr>
                <w:rFonts w:ascii="Arial Black" w:hAnsi="Arial Black"/>
                <w:color w:val="FFFFFF"/>
                <w:sz w:val="18"/>
              </w:rPr>
              <w:t>For future service liabilities (Common Contribution Rate)</w:t>
            </w:r>
          </w:p>
        </w:tc>
      </w:tr>
      <w:tr w:rsidR="00B801F4" w:rsidRPr="00B801F4" w14:paraId="7E8F2161" w14:textId="77777777" w:rsidTr="00B801F4">
        <w:trPr>
          <w:cantSplit/>
        </w:trPr>
        <w:tc>
          <w:tcPr>
            <w:tcW w:w="4217" w:type="dxa"/>
            <w:tcBorders>
              <w:top w:val="nil"/>
            </w:tcBorders>
            <w:shd w:val="clear" w:color="auto" w:fill="auto"/>
          </w:tcPr>
          <w:p w14:paraId="77729C70" w14:textId="77777777" w:rsidR="00B801F4" w:rsidRPr="00B801F4" w:rsidRDefault="00B801F4" w:rsidP="00B801F4">
            <w:pPr>
              <w:spacing w:before="40" w:after="40"/>
              <w:jc w:val="left"/>
              <w:rPr>
                <w:rFonts w:cs="Arial"/>
                <w:sz w:val="20"/>
              </w:rPr>
            </w:pPr>
            <w:r w:rsidRPr="00B801F4">
              <w:rPr>
                <w:rFonts w:cs="Arial"/>
                <w:sz w:val="20"/>
              </w:rPr>
              <w:t>Rate of return on investments (discount rate)</w:t>
            </w:r>
          </w:p>
        </w:tc>
        <w:tc>
          <w:tcPr>
            <w:tcW w:w="2245" w:type="dxa"/>
            <w:tcBorders>
              <w:top w:val="nil"/>
            </w:tcBorders>
            <w:shd w:val="clear" w:color="auto" w:fill="auto"/>
          </w:tcPr>
          <w:p w14:paraId="02E86E4D" w14:textId="77777777" w:rsidR="00B801F4" w:rsidRPr="00B801F4" w:rsidRDefault="00B801F4" w:rsidP="00B801F4">
            <w:pPr>
              <w:jc w:val="left"/>
              <w:rPr>
                <w:rFonts w:cs="Arial"/>
                <w:sz w:val="20"/>
              </w:rPr>
            </w:pPr>
            <w:r w:rsidRPr="00B801F4">
              <w:rPr>
                <w:rFonts w:cs="Arial"/>
                <w:sz w:val="20"/>
              </w:rPr>
              <w:t>4.8% per annum</w:t>
            </w:r>
          </w:p>
        </w:tc>
        <w:tc>
          <w:tcPr>
            <w:tcW w:w="2565" w:type="dxa"/>
            <w:tcBorders>
              <w:top w:val="nil"/>
            </w:tcBorders>
            <w:shd w:val="clear" w:color="auto" w:fill="auto"/>
          </w:tcPr>
          <w:p w14:paraId="29DC2BF5" w14:textId="77777777" w:rsidR="00B801F4" w:rsidRPr="00B801F4" w:rsidRDefault="00B801F4" w:rsidP="00B801F4">
            <w:pPr>
              <w:jc w:val="left"/>
              <w:rPr>
                <w:rFonts w:cs="Arial"/>
                <w:sz w:val="20"/>
              </w:rPr>
            </w:pPr>
            <w:r w:rsidRPr="00B801F4">
              <w:rPr>
                <w:rFonts w:cs="Arial"/>
                <w:sz w:val="20"/>
              </w:rPr>
              <w:t>5.6% per annum</w:t>
            </w:r>
          </w:p>
        </w:tc>
      </w:tr>
      <w:tr w:rsidR="00B801F4" w:rsidRPr="00B801F4" w14:paraId="2BBC1614" w14:textId="77777777" w:rsidTr="00B801F4">
        <w:trPr>
          <w:cantSplit/>
        </w:trPr>
        <w:tc>
          <w:tcPr>
            <w:tcW w:w="4217" w:type="dxa"/>
            <w:shd w:val="clear" w:color="auto" w:fill="auto"/>
          </w:tcPr>
          <w:p w14:paraId="5400931A" w14:textId="77777777" w:rsidR="00B801F4" w:rsidRPr="00B801F4" w:rsidRDefault="00B801F4" w:rsidP="00B801F4">
            <w:pPr>
              <w:spacing w:before="40" w:after="40"/>
              <w:jc w:val="left"/>
              <w:rPr>
                <w:rFonts w:cs="Arial"/>
                <w:sz w:val="20"/>
              </w:rPr>
            </w:pPr>
            <w:r w:rsidRPr="00B801F4">
              <w:rPr>
                <w:rFonts w:cs="Arial"/>
                <w:sz w:val="20"/>
              </w:rPr>
              <w:t>Rate of pay increases (long term)*</w:t>
            </w:r>
          </w:p>
        </w:tc>
        <w:tc>
          <w:tcPr>
            <w:tcW w:w="2245" w:type="dxa"/>
            <w:shd w:val="clear" w:color="auto" w:fill="auto"/>
          </w:tcPr>
          <w:p w14:paraId="351838DE" w14:textId="77777777" w:rsidR="00B801F4" w:rsidRPr="00B801F4" w:rsidRDefault="00B801F4" w:rsidP="00B801F4">
            <w:pPr>
              <w:spacing w:before="40" w:after="40"/>
              <w:jc w:val="left"/>
              <w:rPr>
                <w:rFonts w:cs="Arial"/>
                <w:sz w:val="20"/>
              </w:rPr>
            </w:pPr>
            <w:r w:rsidRPr="00B801F4">
              <w:rPr>
                <w:rFonts w:cs="Arial"/>
                <w:sz w:val="20"/>
              </w:rPr>
              <w:t>4.1% per annum</w:t>
            </w:r>
          </w:p>
        </w:tc>
        <w:tc>
          <w:tcPr>
            <w:tcW w:w="2565" w:type="dxa"/>
            <w:shd w:val="clear" w:color="auto" w:fill="auto"/>
          </w:tcPr>
          <w:p w14:paraId="7D4A701D" w14:textId="77777777" w:rsidR="00B801F4" w:rsidRPr="00B801F4" w:rsidRDefault="00B801F4" w:rsidP="00B801F4">
            <w:pPr>
              <w:spacing w:before="40" w:after="40"/>
              <w:jc w:val="left"/>
              <w:rPr>
                <w:rFonts w:cs="Arial"/>
                <w:sz w:val="20"/>
              </w:rPr>
            </w:pPr>
            <w:r w:rsidRPr="00B801F4">
              <w:rPr>
                <w:rFonts w:cs="Arial"/>
                <w:sz w:val="20"/>
              </w:rPr>
              <w:t>4.1% per annum</w:t>
            </w:r>
          </w:p>
        </w:tc>
      </w:tr>
    </w:tbl>
    <w:p w14:paraId="69A7B562" w14:textId="77777777" w:rsidR="00B801F4" w:rsidRPr="00B801F4" w:rsidRDefault="00B801F4" w:rsidP="00B801F4">
      <w:pPr>
        <w:tabs>
          <w:tab w:val="left" w:pos="1080"/>
        </w:tabs>
        <w:spacing w:after="80"/>
        <w:ind w:left="709"/>
        <w:jc w:val="left"/>
        <w:rPr>
          <w:rFonts w:cs="Arial"/>
        </w:rPr>
      </w:pPr>
    </w:p>
    <w:tbl>
      <w:tblPr>
        <w:tblW w:w="0" w:type="auto"/>
        <w:tblInd w:w="725" w:type="dxa"/>
        <w:tblBorders>
          <w:top w:val="single" w:sz="4" w:space="0" w:color="auto"/>
          <w:bottom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4217"/>
        <w:gridCol w:w="2245"/>
        <w:gridCol w:w="2565"/>
      </w:tblGrid>
      <w:tr w:rsidR="00B801F4" w:rsidRPr="00B801F4" w14:paraId="468A3460" w14:textId="77777777" w:rsidTr="00B801F4">
        <w:trPr>
          <w:cantSplit/>
        </w:trPr>
        <w:tc>
          <w:tcPr>
            <w:tcW w:w="4217" w:type="dxa"/>
            <w:shd w:val="clear" w:color="auto" w:fill="auto"/>
          </w:tcPr>
          <w:p w14:paraId="61E672AD" w14:textId="77777777" w:rsidR="00B801F4" w:rsidRPr="00B801F4" w:rsidRDefault="00B801F4" w:rsidP="00B801F4">
            <w:pPr>
              <w:jc w:val="left"/>
              <w:rPr>
                <w:rFonts w:cs="Arial"/>
                <w:sz w:val="20"/>
              </w:rPr>
            </w:pPr>
            <w:r w:rsidRPr="00B801F4">
              <w:rPr>
                <w:rFonts w:cs="Arial"/>
                <w:sz w:val="20"/>
              </w:rPr>
              <w:t xml:space="preserve">Rate of increases in pensions </w:t>
            </w:r>
          </w:p>
          <w:p w14:paraId="60CA3D46" w14:textId="77777777" w:rsidR="00B801F4" w:rsidRPr="00B801F4" w:rsidRDefault="00B801F4" w:rsidP="00B801F4">
            <w:pPr>
              <w:jc w:val="left"/>
              <w:rPr>
                <w:rFonts w:cs="Arial"/>
                <w:sz w:val="20"/>
              </w:rPr>
            </w:pPr>
            <w:r w:rsidRPr="00B801F4">
              <w:rPr>
                <w:rFonts w:cs="Arial"/>
                <w:sz w:val="20"/>
              </w:rPr>
              <w:t xml:space="preserve">in payment (in excess of </w:t>
            </w:r>
          </w:p>
          <w:p w14:paraId="499D8BE2" w14:textId="77777777" w:rsidR="00B801F4" w:rsidRPr="00B801F4" w:rsidRDefault="00B801F4" w:rsidP="00B801F4">
            <w:pPr>
              <w:jc w:val="left"/>
              <w:rPr>
                <w:rFonts w:cs="Arial"/>
                <w:sz w:val="20"/>
              </w:rPr>
            </w:pPr>
            <w:r w:rsidRPr="00B801F4">
              <w:rPr>
                <w:rFonts w:cs="Arial"/>
                <w:sz w:val="20"/>
              </w:rPr>
              <w:t>Guaranteed Minimum Pension)</w:t>
            </w:r>
          </w:p>
        </w:tc>
        <w:tc>
          <w:tcPr>
            <w:tcW w:w="2245" w:type="dxa"/>
            <w:shd w:val="clear" w:color="auto" w:fill="auto"/>
            <w:vAlign w:val="center"/>
          </w:tcPr>
          <w:p w14:paraId="3C0C34B1" w14:textId="77777777" w:rsidR="00B801F4" w:rsidRPr="00B801F4" w:rsidRDefault="00B801F4" w:rsidP="00B801F4">
            <w:pPr>
              <w:jc w:val="left"/>
              <w:rPr>
                <w:rFonts w:cs="Arial"/>
                <w:sz w:val="20"/>
              </w:rPr>
            </w:pPr>
            <w:r w:rsidRPr="00B801F4">
              <w:rPr>
                <w:rFonts w:cs="Arial"/>
                <w:sz w:val="20"/>
              </w:rPr>
              <w:t>2.6% per annum</w:t>
            </w:r>
          </w:p>
        </w:tc>
        <w:tc>
          <w:tcPr>
            <w:tcW w:w="2565" w:type="dxa"/>
            <w:shd w:val="clear" w:color="auto" w:fill="auto"/>
            <w:vAlign w:val="center"/>
          </w:tcPr>
          <w:p w14:paraId="3B4E511A" w14:textId="77777777" w:rsidR="00B801F4" w:rsidRPr="00B801F4" w:rsidRDefault="00B801F4" w:rsidP="00B801F4">
            <w:pPr>
              <w:jc w:val="left"/>
              <w:rPr>
                <w:rFonts w:cs="Arial"/>
                <w:sz w:val="20"/>
              </w:rPr>
            </w:pPr>
            <w:r w:rsidRPr="00B801F4">
              <w:rPr>
                <w:rFonts w:cs="Arial"/>
                <w:sz w:val="20"/>
              </w:rPr>
              <w:t>2.6% per annum</w:t>
            </w:r>
          </w:p>
        </w:tc>
      </w:tr>
    </w:tbl>
    <w:p w14:paraId="3F083039" w14:textId="77777777" w:rsidR="00B801F4" w:rsidRPr="00B801F4" w:rsidRDefault="00B801F4" w:rsidP="00B801F4">
      <w:pPr>
        <w:spacing w:after="240"/>
        <w:ind w:firstLine="709"/>
        <w:rPr>
          <w:sz w:val="16"/>
          <w:szCs w:val="16"/>
        </w:rPr>
      </w:pPr>
      <w:r w:rsidRPr="00B801F4">
        <w:rPr>
          <w:sz w:val="16"/>
          <w:szCs w:val="16"/>
        </w:rPr>
        <w:t>* allowance was also made for short-term public sector pay restraint over a 3 year period.</w:t>
      </w:r>
    </w:p>
    <w:p w14:paraId="382EE362" w14:textId="77777777" w:rsidR="00B801F4" w:rsidRPr="00B801F4" w:rsidRDefault="00B801F4" w:rsidP="00B801F4">
      <w:pPr>
        <w:spacing w:after="240"/>
        <w:ind w:left="567"/>
        <w:jc w:val="left"/>
      </w:pPr>
      <w:r w:rsidRPr="00B801F4">
        <w:t>The assets were assessed at market value.</w:t>
      </w:r>
    </w:p>
    <w:p w14:paraId="79D5F6EC" w14:textId="77777777" w:rsidR="00B801F4" w:rsidRPr="00B801F4" w:rsidRDefault="00B801F4" w:rsidP="00B801F4">
      <w:pPr>
        <w:ind w:left="567"/>
        <w:jc w:val="left"/>
      </w:pPr>
      <w:r w:rsidRPr="00B801F4">
        <w:t>The next triennial actuarial valuation of the Fund is due as at 31 March 2016.  Based on the results of that valuation, the contribution rates payable by the individual employers will be revised with effect from 1 April 2017.</w:t>
      </w:r>
    </w:p>
    <w:p w14:paraId="206EB126" w14:textId="77777777" w:rsidR="00B801F4" w:rsidRPr="00B801F4" w:rsidRDefault="00B801F4" w:rsidP="00B801F4">
      <w:pPr>
        <w:ind w:left="567"/>
      </w:pPr>
    </w:p>
    <w:p w14:paraId="518ECA8E" w14:textId="77777777" w:rsidR="00B801F4" w:rsidRPr="00B801F4" w:rsidRDefault="00B801F4" w:rsidP="00B801F4">
      <w:pPr>
        <w:ind w:left="567"/>
      </w:pPr>
    </w:p>
    <w:p w14:paraId="6DFD9BED" w14:textId="77777777" w:rsidR="00B801F4" w:rsidRPr="00B801F4" w:rsidRDefault="00B801F4" w:rsidP="00717919">
      <w:pPr>
        <w:numPr>
          <w:ilvl w:val="0"/>
          <w:numId w:val="74"/>
        </w:numPr>
        <w:tabs>
          <w:tab w:val="num" w:pos="862"/>
        </w:tabs>
        <w:autoSpaceDE/>
        <w:autoSpaceDN/>
        <w:adjustRightInd/>
        <w:spacing w:after="0"/>
        <w:ind w:left="862"/>
        <w:jc w:val="left"/>
        <w:rPr>
          <w:b/>
          <w:sz w:val="32"/>
          <w:szCs w:val="32"/>
        </w:rPr>
      </w:pPr>
      <w:r w:rsidRPr="00B801F4">
        <w:rPr>
          <w:b/>
          <w:sz w:val="32"/>
          <w:szCs w:val="32"/>
        </w:rPr>
        <w:t xml:space="preserve">Actuarial present value of promised retirement benefits </w:t>
      </w:r>
    </w:p>
    <w:p w14:paraId="3553B3FB" w14:textId="77777777" w:rsidR="00B801F4" w:rsidRPr="00B801F4" w:rsidRDefault="00B801F4" w:rsidP="00B801F4">
      <w:pPr>
        <w:ind w:left="567"/>
      </w:pPr>
    </w:p>
    <w:p w14:paraId="672C78C7" w14:textId="77777777" w:rsidR="00B801F4" w:rsidRPr="00B801F4" w:rsidRDefault="00B801F4" w:rsidP="00B801F4">
      <w:pPr>
        <w:ind w:left="567"/>
        <w:jc w:val="left"/>
      </w:pPr>
      <w:r w:rsidRPr="00B801F4">
        <w:t>IAS 26 requires the present value of the Fund’s promised retirement benefits to be disclosed, and for this purpose the actuarial assumptions and methodology used should be based on IAS 19 rather than the assumptions and methodology used for funding purposes.</w:t>
      </w:r>
    </w:p>
    <w:p w14:paraId="302246E8" w14:textId="77777777" w:rsidR="00B801F4" w:rsidRPr="00B801F4" w:rsidRDefault="00B801F4" w:rsidP="00B801F4">
      <w:pPr>
        <w:ind w:left="567"/>
        <w:jc w:val="left"/>
      </w:pPr>
      <w:r w:rsidRPr="00B801F4">
        <w:t>To assess the value of the benefits on this basis, we have used the following financial assumptions as at 31 March 2015 (the 31 March 2014 assumptions are included for comparison):</w:t>
      </w:r>
    </w:p>
    <w:p w14:paraId="2E06F93D" w14:textId="77777777" w:rsidR="00B801F4" w:rsidRPr="00B801F4" w:rsidRDefault="00B801F4" w:rsidP="00B801F4">
      <w:pPr>
        <w:ind w:left="567"/>
        <w:jc w:val="left"/>
        <w:rPr>
          <w:highlight w:val="yellow"/>
        </w:rPr>
      </w:pPr>
    </w:p>
    <w:tbl>
      <w:tblPr>
        <w:tblW w:w="0" w:type="auto"/>
        <w:tblInd w:w="639" w:type="dxa"/>
        <w:tblBorders>
          <w:top w:val="single" w:sz="4" w:space="0" w:color="auto"/>
          <w:bottom w:val="single" w:sz="4" w:space="0" w:color="auto"/>
          <w:insideH w:val="single" w:sz="4" w:space="0" w:color="auto"/>
        </w:tblBorders>
        <w:tblLayout w:type="fixed"/>
        <w:tblCellMar>
          <w:left w:w="72" w:type="dxa"/>
          <w:right w:w="72" w:type="dxa"/>
        </w:tblCellMar>
        <w:tblLook w:val="0000" w:firstRow="0" w:lastRow="0" w:firstColumn="0" w:lastColumn="0" w:noHBand="0" w:noVBand="0"/>
      </w:tblPr>
      <w:tblGrid>
        <w:gridCol w:w="3708"/>
        <w:gridCol w:w="2223"/>
        <w:gridCol w:w="2565"/>
      </w:tblGrid>
      <w:tr w:rsidR="00B801F4" w:rsidRPr="00B801F4" w14:paraId="7F01AC04" w14:textId="77777777" w:rsidTr="00B801F4">
        <w:trPr>
          <w:cantSplit/>
          <w:tblHeader/>
        </w:trPr>
        <w:tc>
          <w:tcPr>
            <w:tcW w:w="3708" w:type="dxa"/>
            <w:tcBorders>
              <w:top w:val="nil"/>
              <w:bottom w:val="nil"/>
            </w:tcBorders>
            <w:shd w:val="clear" w:color="auto" w:fill="002C77"/>
            <w:vAlign w:val="bottom"/>
          </w:tcPr>
          <w:p w14:paraId="5C947386" w14:textId="77777777" w:rsidR="00B801F4" w:rsidRPr="00B801F4" w:rsidRDefault="00B801F4" w:rsidP="00B801F4">
            <w:pPr>
              <w:spacing w:before="60" w:after="60"/>
              <w:jc w:val="left"/>
              <w:rPr>
                <w:rFonts w:ascii="Arial Black" w:hAnsi="Arial Black"/>
                <w:color w:val="FFFFFF"/>
                <w:sz w:val="18"/>
                <w:highlight w:val="yellow"/>
              </w:rPr>
            </w:pPr>
          </w:p>
        </w:tc>
        <w:tc>
          <w:tcPr>
            <w:tcW w:w="2223" w:type="dxa"/>
            <w:tcBorders>
              <w:top w:val="nil"/>
              <w:bottom w:val="nil"/>
            </w:tcBorders>
            <w:shd w:val="clear" w:color="auto" w:fill="002C77"/>
            <w:vAlign w:val="bottom"/>
          </w:tcPr>
          <w:p w14:paraId="4620B7C4" w14:textId="77777777" w:rsidR="00B801F4" w:rsidRPr="00B801F4" w:rsidRDefault="00B801F4" w:rsidP="00B801F4">
            <w:pPr>
              <w:spacing w:before="60" w:after="60"/>
              <w:jc w:val="left"/>
              <w:rPr>
                <w:rFonts w:ascii="Arial Black" w:hAnsi="Arial Black"/>
                <w:color w:val="FFFFFF"/>
                <w:sz w:val="18"/>
              </w:rPr>
            </w:pPr>
            <w:r w:rsidRPr="00B801F4">
              <w:rPr>
                <w:rFonts w:ascii="Arial Black" w:hAnsi="Arial Black"/>
                <w:color w:val="FFFFFF"/>
                <w:sz w:val="18"/>
              </w:rPr>
              <w:t>31 March 2014</w:t>
            </w:r>
          </w:p>
        </w:tc>
        <w:tc>
          <w:tcPr>
            <w:tcW w:w="2565" w:type="dxa"/>
            <w:tcBorders>
              <w:top w:val="nil"/>
              <w:bottom w:val="nil"/>
            </w:tcBorders>
            <w:shd w:val="clear" w:color="auto" w:fill="002C77"/>
            <w:vAlign w:val="bottom"/>
          </w:tcPr>
          <w:p w14:paraId="7036BD1B" w14:textId="77777777" w:rsidR="00B801F4" w:rsidRPr="00B801F4" w:rsidRDefault="00B801F4" w:rsidP="00B801F4">
            <w:pPr>
              <w:spacing w:before="60" w:after="60"/>
              <w:jc w:val="left"/>
              <w:rPr>
                <w:rFonts w:ascii="Arial Black" w:hAnsi="Arial Black"/>
                <w:color w:val="FFFFFF"/>
                <w:sz w:val="18"/>
              </w:rPr>
            </w:pPr>
            <w:r w:rsidRPr="00B801F4">
              <w:rPr>
                <w:rFonts w:ascii="Arial Black" w:hAnsi="Arial Black"/>
                <w:color w:val="FFFFFF"/>
                <w:sz w:val="18"/>
              </w:rPr>
              <w:t>31 March 2015</w:t>
            </w:r>
          </w:p>
        </w:tc>
      </w:tr>
      <w:tr w:rsidR="00B801F4" w:rsidRPr="00B801F4" w14:paraId="409DF0D5" w14:textId="77777777" w:rsidTr="00B801F4">
        <w:trPr>
          <w:cantSplit/>
        </w:trPr>
        <w:tc>
          <w:tcPr>
            <w:tcW w:w="3708" w:type="dxa"/>
            <w:tcBorders>
              <w:top w:val="nil"/>
            </w:tcBorders>
            <w:shd w:val="clear" w:color="auto" w:fill="auto"/>
          </w:tcPr>
          <w:p w14:paraId="7E31155A" w14:textId="77777777" w:rsidR="00B801F4" w:rsidRPr="00B801F4" w:rsidRDefault="00B801F4" w:rsidP="00B801F4">
            <w:pPr>
              <w:spacing w:before="40" w:after="40"/>
              <w:jc w:val="left"/>
              <w:rPr>
                <w:rFonts w:cs="Arial"/>
                <w:sz w:val="20"/>
              </w:rPr>
            </w:pPr>
            <w:r w:rsidRPr="00B801F4">
              <w:rPr>
                <w:rFonts w:cs="Arial"/>
                <w:sz w:val="20"/>
              </w:rPr>
              <w:t>Rate of return on investments (discount rate)</w:t>
            </w:r>
          </w:p>
        </w:tc>
        <w:tc>
          <w:tcPr>
            <w:tcW w:w="2223" w:type="dxa"/>
            <w:tcBorders>
              <w:top w:val="nil"/>
            </w:tcBorders>
            <w:shd w:val="clear" w:color="auto" w:fill="auto"/>
          </w:tcPr>
          <w:p w14:paraId="3C0D204C" w14:textId="77777777" w:rsidR="00B801F4" w:rsidRPr="00B801F4" w:rsidRDefault="00B801F4" w:rsidP="00B801F4">
            <w:pPr>
              <w:jc w:val="left"/>
              <w:rPr>
                <w:rFonts w:cs="Arial"/>
                <w:sz w:val="20"/>
              </w:rPr>
            </w:pPr>
            <w:r w:rsidRPr="00B801F4">
              <w:rPr>
                <w:rFonts w:cs="Arial"/>
                <w:sz w:val="20"/>
              </w:rPr>
              <w:t>4.5% per annum</w:t>
            </w:r>
          </w:p>
        </w:tc>
        <w:tc>
          <w:tcPr>
            <w:tcW w:w="2565" w:type="dxa"/>
            <w:tcBorders>
              <w:top w:val="nil"/>
            </w:tcBorders>
            <w:shd w:val="clear" w:color="auto" w:fill="auto"/>
          </w:tcPr>
          <w:p w14:paraId="5E9CCE29" w14:textId="77777777" w:rsidR="00B801F4" w:rsidRPr="00B801F4" w:rsidRDefault="00B801F4" w:rsidP="00B801F4">
            <w:pPr>
              <w:jc w:val="left"/>
              <w:rPr>
                <w:rFonts w:cs="Arial"/>
                <w:sz w:val="20"/>
              </w:rPr>
            </w:pPr>
            <w:r w:rsidRPr="00B801F4">
              <w:rPr>
                <w:rFonts w:cs="Arial"/>
                <w:sz w:val="20"/>
              </w:rPr>
              <w:t>3.3% per annum</w:t>
            </w:r>
          </w:p>
        </w:tc>
      </w:tr>
      <w:tr w:rsidR="00B801F4" w:rsidRPr="00B801F4" w14:paraId="2CE21B8F" w14:textId="77777777" w:rsidTr="00B801F4">
        <w:trPr>
          <w:cantSplit/>
        </w:trPr>
        <w:tc>
          <w:tcPr>
            <w:tcW w:w="3708" w:type="dxa"/>
            <w:shd w:val="clear" w:color="auto" w:fill="auto"/>
          </w:tcPr>
          <w:p w14:paraId="062CF17A" w14:textId="77777777" w:rsidR="00B801F4" w:rsidRPr="00B801F4" w:rsidRDefault="00B801F4" w:rsidP="00B801F4">
            <w:pPr>
              <w:spacing w:before="40" w:after="40"/>
              <w:jc w:val="left"/>
              <w:rPr>
                <w:rFonts w:cs="Arial"/>
                <w:sz w:val="20"/>
              </w:rPr>
            </w:pPr>
            <w:r w:rsidRPr="00B801F4">
              <w:rPr>
                <w:rFonts w:cs="Arial"/>
                <w:sz w:val="20"/>
              </w:rPr>
              <w:t xml:space="preserve">Rate of pay increases </w:t>
            </w:r>
          </w:p>
        </w:tc>
        <w:tc>
          <w:tcPr>
            <w:tcW w:w="2223" w:type="dxa"/>
            <w:shd w:val="clear" w:color="auto" w:fill="auto"/>
          </w:tcPr>
          <w:p w14:paraId="05387D7C" w14:textId="77777777" w:rsidR="00B801F4" w:rsidRPr="00B801F4" w:rsidRDefault="00B801F4" w:rsidP="00B801F4">
            <w:pPr>
              <w:spacing w:before="40" w:after="40"/>
              <w:jc w:val="left"/>
              <w:rPr>
                <w:rFonts w:cs="Arial"/>
                <w:sz w:val="20"/>
              </w:rPr>
            </w:pPr>
            <w:r w:rsidRPr="00B801F4">
              <w:rPr>
                <w:rFonts w:cs="Arial"/>
                <w:sz w:val="20"/>
              </w:rPr>
              <w:t>3.9% per annum</w:t>
            </w:r>
          </w:p>
        </w:tc>
        <w:tc>
          <w:tcPr>
            <w:tcW w:w="2565" w:type="dxa"/>
            <w:shd w:val="clear" w:color="auto" w:fill="auto"/>
          </w:tcPr>
          <w:p w14:paraId="6332BF4F" w14:textId="77777777" w:rsidR="00B801F4" w:rsidRPr="00B801F4" w:rsidRDefault="00B801F4" w:rsidP="00B801F4">
            <w:pPr>
              <w:spacing w:before="40" w:after="40"/>
              <w:jc w:val="left"/>
              <w:rPr>
                <w:rFonts w:cs="Arial"/>
                <w:sz w:val="20"/>
              </w:rPr>
            </w:pPr>
            <w:r w:rsidRPr="00B801F4">
              <w:rPr>
                <w:rFonts w:cs="Arial"/>
                <w:sz w:val="20"/>
              </w:rPr>
              <w:t>3.5% per annum*</w:t>
            </w:r>
          </w:p>
        </w:tc>
      </w:tr>
      <w:tr w:rsidR="00B801F4" w:rsidRPr="00B801F4" w14:paraId="4E256140" w14:textId="77777777" w:rsidTr="00B801F4">
        <w:trPr>
          <w:cantSplit/>
        </w:trPr>
        <w:tc>
          <w:tcPr>
            <w:tcW w:w="3708" w:type="dxa"/>
            <w:shd w:val="clear" w:color="auto" w:fill="auto"/>
          </w:tcPr>
          <w:p w14:paraId="7947F8F7" w14:textId="77777777" w:rsidR="00B801F4" w:rsidRPr="00B801F4" w:rsidRDefault="00B801F4" w:rsidP="00B801F4">
            <w:pPr>
              <w:jc w:val="left"/>
              <w:rPr>
                <w:rFonts w:cs="Arial"/>
                <w:sz w:val="20"/>
              </w:rPr>
            </w:pPr>
            <w:r w:rsidRPr="00B801F4">
              <w:rPr>
                <w:rFonts w:cs="Arial"/>
                <w:sz w:val="20"/>
              </w:rPr>
              <w:t xml:space="preserve">Rate of increases in pensions </w:t>
            </w:r>
          </w:p>
          <w:p w14:paraId="59270886" w14:textId="77777777" w:rsidR="00B801F4" w:rsidRPr="00B801F4" w:rsidRDefault="00B801F4" w:rsidP="00B801F4">
            <w:pPr>
              <w:jc w:val="left"/>
              <w:rPr>
                <w:rFonts w:cs="Arial"/>
                <w:sz w:val="20"/>
              </w:rPr>
            </w:pPr>
            <w:r w:rsidRPr="00B801F4">
              <w:rPr>
                <w:rFonts w:cs="Arial"/>
                <w:sz w:val="20"/>
              </w:rPr>
              <w:t xml:space="preserve">in payment (in excess of </w:t>
            </w:r>
          </w:p>
          <w:p w14:paraId="497EF2FE" w14:textId="77777777" w:rsidR="00B801F4" w:rsidRPr="00B801F4" w:rsidRDefault="00B801F4" w:rsidP="00B801F4">
            <w:pPr>
              <w:jc w:val="left"/>
              <w:rPr>
                <w:rFonts w:cs="Arial"/>
                <w:sz w:val="20"/>
              </w:rPr>
            </w:pPr>
            <w:r w:rsidRPr="00B801F4">
              <w:rPr>
                <w:rFonts w:cs="Arial"/>
                <w:sz w:val="20"/>
              </w:rPr>
              <w:t>Guaranteed Minimum Pension)</w:t>
            </w:r>
          </w:p>
        </w:tc>
        <w:tc>
          <w:tcPr>
            <w:tcW w:w="2223" w:type="dxa"/>
            <w:shd w:val="clear" w:color="auto" w:fill="auto"/>
            <w:vAlign w:val="center"/>
          </w:tcPr>
          <w:p w14:paraId="263CCCD9" w14:textId="77777777" w:rsidR="00B801F4" w:rsidRPr="00B801F4" w:rsidRDefault="00B801F4" w:rsidP="00B801F4">
            <w:pPr>
              <w:jc w:val="left"/>
              <w:rPr>
                <w:rFonts w:cs="Arial"/>
                <w:sz w:val="20"/>
              </w:rPr>
            </w:pPr>
            <w:r w:rsidRPr="00B801F4">
              <w:rPr>
                <w:rFonts w:cs="Arial"/>
                <w:sz w:val="20"/>
              </w:rPr>
              <w:t>2.4% per annum</w:t>
            </w:r>
          </w:p>
        </w:tc>
        <w:tc>
          <w:tcPr>
            <w:tcW w:w="2565" w:type="dxa"/>
            <w:shd w:val="clear" w:color="auto" w:fill="auto"/>
            <w:vAlign w:val="center"/>
          </w:tcPr>
          <w:p w14:paraId="058B5AC1" w14:textId="77777777" w:rsidR="00B801F4" w:rsidRPr="00B801F4" w:rsidRDefault="00B801F4" w:rsidP="00B801F4">
            <w:pPr>
              <w:jc w:val="left"/>
              <w:rPr>
                <w:rFonts w:cs="Arial"/>
                <w:sz w:val="20"/>
              </w:rPr>
            </w:pPr>
            <w:r w:rsidRPr="00B801F4">
              <w:rPr>
                <w:rFonts w:cs="Arial"/>
                <w:sz w:val="20"/>
              </w:rPr>
              <w:t>2.0% per annum</w:t>
            </w:r>
          </w:p>
        </w:tc>
      </w:tr>
    </w:tbl>
    <w:p w14:paraId="0B10A480" w14:textId="77777777" w:rsidR="00B801F4" w:rsidRPr="00B801F4" w:rsidRDefault="00B801F4" w:rsidP="00B801F4">
      <w:pPr>
        <w:ind w:firstLine="567"/>
        <w:jc w:val="left"/>
        <w:rPr>
          <w:sz w:val="16"/>
          <w:szCs w:val="16"/>
        </w:rPr>
      </w:pPr>
      <w:r w:rsidRPr="00B801F4">
        <w:rPr>
          <w:sz w:val="16"/>
          <w:szCs w:val="16"/>
        </w:rPr>
        <w:t xml:space="preserve"> * includes a corresponding allowance to that made in the actuarial valuation for short-term public sector pay restraint.</w:t>
      </w:r>
    </w:p>
    <w:p w14:paraId="18838A95" w14:textId="77777777" w:rsidR="00B801F4" w:rsidRPr="00B801F4" w:rsidRDefault="00B801F4" w:rsidP="00B801F4">
      <w:pPr>
        <w:jc w:val="left"/>
        <w:rPr>
          <w:sz w:val="16"/>
          <w:szCs w:val="16"/>
          <w:highlight w:val="yellow"/>
        </w:rPr>
      </w:pPr>
    </w:p>
    <w:p w14:paraId="096845EE" w14:textId="77777777" w:rsidR="00B801F4" w:rsidRPr="00B801F4" w:rsidRDefault="00B801F4" w:rsidP="00B801F4">
      <w:pPr>
        <w:ind w:left="567"/>
        <w:jc w:val="left"/>
      </w:pPr>
      <w:r w:rsidRPr="00B801F4">
        <w:t xml:space="preserve">The demographic assumptions are the same as those used for funding purposes.  Full details of these assumptions are set out in the </w:t>
      </w:r>
      <w:r w:rsidRPr="00B801F4">
        <w:rPr>
          <w:noProof/>
        </w:rPr>
        <w:t>formal report on the actuarial valuation dated March 2014</w:t>
      </w:r>
      <w:r w:rsidRPr="00B801F4">
        <w:t>.</w:t>
      </w:r>
    </w:p>
    <w:p w14:paraId="004F8019" w14:textId="77777777" w:rsidR="00B801F4" w:rsidRPr="00B801F4" w:rsidRDefault="00B801F4" w:rsidP="00B801F4">
      <w:pPr>
        <w:ind w:left="567"/>
        <w:jc w:val="left"/>
      </w:pPr>
      <w:r w:rsidRPr="00B801F4">
        <w:t>During the year, corporate bond yields increased, resulting in a lower discount rate being used for IAS26 purposes at the year-end than at the beginning of the year (3.3% p.a. versus 4.5% p.a.). In addition, the expected long-term rate of CPI inflation fell during the year, resulting in a lower assumption for pension increases at the year-end than at the beginning of the year (2.0% p.a. versus 2.4% p.a.).</w:t>
      </w:r>
    </w:p>
    <w:p w14:paraId="04F2013F" w14:textId="77777777" w:rsidR="00B801F4" w:rsidRPr="00B801F4" w:rsidRDefault="00B801F4" w:rsidP="00B801F4">
      <w:pPr>
        <w:ind w:left="567"/>
        <w:jc w:val="left"/>
      </w:pPr>
      <w:r w:rsidRPr="00B801F4">
        <w:t xml:space="preserve">The value of the Fund’s promised retirement benefits for the purposes of IAS26 as at 31 March 2014 was estimated as £6,917m. The effect of the changes in actuarial assumptions between 31 March 2014 and 31 March 2015 as described above is to increase the liabilities by approximately £1,251m.  Adding interest over the year increases the liabilities by approximately £309m, and allowing for net benefits accrued/paid over the period (including allowance for the Probation transfer) decreases the liabilities by approximately £107m (including any increase in liabilities arising as a result of early retirements/augmentations). </w:t>
      </w:r>
    </w:p>
    <w:p w14:paraId="53269046" w14:textId="77777777" w:rsidR="00B801F4" w:rsidRPr="00B801F4" w:rsidRDefault="00B801F4" w:rsidP="00B801F4">
      <w:pPr>
        <w:ind w:left="567"/>
        <w:jc w:val="left"/>
      </w:pPr>
      <w:r w:rsidRPr="00B801F4">
        <w:t>The net effect of all the above is that the estimated total value of the Fund’s promised retirement benefits as at 31 March 2015 is £8,370m.</w:t>
      </w:r>
    </w:p>
    <w:p w14:paraId="0979B319" w14:textId="77777777" w:rsidR="00B801F4" w:rsidRPr="00B801F4" w:rsidRDefault="00B801F4" w:rsidP="00B801F4">
      <w:pPr>
        <w:ind w:left="567"/>
        <w:jc w:val="left"/>
      </w:pPr>
    </w:p>
    <w:p w14:paraId="1CD8755D" w14:textId="77777777" w:rsidR="00B801F4" w:rsidRPr="00B801F4" w:rsidRDefault="00B801F4" w:rsidP="00B801F4">
      <w:pPr>
        <w:spacing w:after="0"/>
        <w:ind w:left="567"/>
        <w:jc w:val="left"/>
      </w:pPr>
      <w:r w:rsidRPr="00B801F4">
        <w:t>John Livesey</w:t>
      </w:r>
    </w:p>
    <w:p w14:paraId="371B3BDD" w14:textId="77777777" w:rsidR="00B801F4" w:rsidRPr="00B801F4" w:rsidRDefault="00B801F4" w:rsidP="00B801F4">
      <w:pPr>
        <w:spacing w:after="0"/>
        <w:ind w:left="567"/>
        <w:jc w:val="left"/>
      </w:pPr>
      <w:r w:rsidRPr="00B801F4">
        <w:t>Fellow of the Institute and Faculty of Actuaries</w:t>
      </w:r>
    </w:p>
    <w:p w14:paraId="2AD46747" w14:textId="77777777" w:rsidR="00B801F4" w:rsidRPr="00B801F4" w:rsidRDefault="00B801F4" w:rsidP="00B801F4">
      <w:pPr>
        <w:spacing w:after="0"/>
        <w:ind w:left="567"/>
        <w:jc w:val="left"/>
      </w:pPr>
      <w:r w:rsidRPr="00B801F4">
        <w:t>Mercer Limited</w:t>
      </w:r>
    </w:p>
    <w:p w14:paraId="318AC80A" w14:textId="77777777" w:rsidR="00B801F4" w:rsidRDefault="00B801F4" w:rsidP="00B801F4">
      <w:pPr>
        <w:spacing w:after="0"/>
        <w:ind w:left="567"/>
        <w:jc w:val="left"/>
      </w:pPr>
      <w:r w:rsidRPr="00B801F4">
        <w:t>May 2015</w:t>
      </w:r>
    </w:p>
    <w:p w14:paraId="5F87A762" w14:textId="77777777" w:rsidR="0044699B" w:rsidRPr="00B801F4" w:rsidRDefault="0044699B" w:rsidP="00B801F4">
      <w:pPr>
        <w:spacing w:after="0"/>
        <w:ind w:left="567"/>
        <w:jc w:val="left"/>
      </w:pPr>
    </w:p>
    <w:p w14:paraId="0CA69BBF" w14:textId="77777777" w:rsidR="0064378B" w:rsidRDefault="0064378B" w:rsidP="00B801F4">
      <w:pPr>
        <w:ind w:left="567"/>
        <w:jc w:val="left"/>
      </w:pPr>
    </w:p>
    <w:p w14:paraId="03FE4611" w14:textId="30A4DC3B" w:rsidR="0044699B" w:rsidRPr="008D0533" w:rsidRDefault="0044699B" w:rsidP="008D0533">
      <w:pPr>
        <w:pStyle w:val="ListParagraph"/>
        <w:numPr>
          <w:ilvl w:val="0"/>
          <w:numId w:val="89"/>
        </w:numPr>
        <w:ind w:hanging="578"/>
        <w:jc w:val="left"/>
      </w:pPr>
      <w:r>
        <w:rPr>
          <w:b/>
          <w:sz w:val="32"/>
          <w:szCs w:val="32"/>
        </w:rPr>
        <w:t>Events after the net asset</w:t>
      </w:r>
      <w:r w:rsidR="00772716">
        <w:rPr>
          <w:b/>
          <w:sz w:val="32"/>
          <w:szCs w:val="32"/>
        </w:rPr>
        <w:t>s</w:t>
      </w:r>
      <w:r>
        <w:rPr>
          <w:b/>
          <w:sz w:val="32"/>
          <w:szCs w:val="32"/>
        </w:rPr>
        <w:t xml:space="preserve"> statement date</w:t>
      </w:r>
    </w:p>
    <w:p w14:paraId="5A33F53E" w14:textId="77777777" w:rsidR="0044699B" w:rsidRDefault="0044699B" w:rsidP="008D0533">
      <w:pPr>
        <w:pStyle w:val="ListParagraph"/>
        <w:ind w:left="567"/>
        <w:jc w:val="left"/>
      </w:pPr>
    </w:p>
    <w:p w14:paraId="45357EE2" w14:textId="42A6A985" w:rsidR="002004B1" w:rsidRDefault="002004B1" w:rsidP="002004B1">
      <w:pPr>
        <w:ind w:left="567"/>
        <w:jc w:val="left"/>
        <w:rPr>
          <w:rFonts w:eastAsiaTheme="minorHAnsi" w:cs="Times New Roman"/>
          <w:color w:val="auto"/>
          <w:sz w:val="22"/>
          <w:szCs w:val="22"/>
        </w:rPr>
      </w:pPr>
      <w:r>
        <w:t>On 2</w:t>
      </w:r>
      <w:r>
        <w:rPr>
          <w:vertAlign w:val="superscript"/>
        </w:rPr>
        <w:t>nd</w:t>
      </w:r>
      <w:r>
        <w:t xml:space="preserve"> July 2015 the Pension Fund Committee of Lancashire County Council and the Board of the London Pension Fund Authority</w:t>
      </w:r>
      <w:r w:rsidR="0063576A">
        <w:t xml:space="preserve"> each separately </w:t>
      </w:r>
      <w:r>
        <w:t>agreed to seek regulatory approvals for the creation of an Asset and Liability Management Partnership. This partnership, which is a response to the Government's reform agenda for the Local Government Pension Scheme,  has the potential to fundamentally change the way in which the two Funds are managed and achieve significant reductions in the cost of running the Funds.</w:t>
      </w:r>
    </w:p>
    <w:p w14:paraId="30518A61" w14:textId="6BC57FF7" w:rsidR="002004B1" w:rsidRDefault="002004B1" w:rsidP="002004B1">
      <w:pPr>
        <w:ind w:left="567"/>
        <w:jc w:val="left"/>
      </w:pPr>
      <w:r>
        <w:t xml:space="preserve">The Partnership will </w:t>
      </w:r>
      <w:r w:rsidR="0063576A">
        <w:t>oversee the creation of</w:t>
      </w:r>
      <w:r>
        <w:t xml:space="preserve"> a pool of investment assets (made up of the assets of the two funds) which will be jointly invested</w:t>
      </w:r>
      <w:r w:rsidR="0063576A">
        <w:t>, as well as</w:t>
      </w:r>
      <w:r>
        <w:t xml:space="preserve"> a pension services organisation which will carry out both investment management and pension administration functions.</w:t>
      </w:r>
      <w:r w:rsidR="0063576A">
        <w:t xml:space="preserve"> </w:t>
      </w:r>
      <w:r>
        <w:t xml:space="preserve"> Both the asset pool and the investment management activities will be regulated by the Financial Conduct Authority. </w:t>
      </w:r>
    </w:p>
    <w:p w14:paraId="433682C1" w14:textId="12CB1FD1" w:rsidR="002004B1" w:rsidRDefault="002004B1" w:rsidP="002004B1">
      <w:pPr>
        <w:ind w:left="567"/>
        <w:jc w:val="left"/>
      </w:pPr>
      <w:r>
        <w:t>The Pension Fund Committee</w:t>
      </w:r>
      <w:r w:rsidR="0063576A">
        <w:t xml:space="preserve"> of Lancashire County Council </w:t>
      </w:r>
      <w:r>
        <w:t xml:space="preserve">and the Board of the LPFA will </w:t>
      </w:r>
      <w:r w:rsidR="0063576A">
        <w:t xml:space="preserve">each </w:t>
      </w:r>
      <w:r>
        <w:t>make a final decision on the Partnership based on a full business plan at simultaneous meetings during November 2015.</w:t>
      </w:r>
    </w:p>
    <w:p w14:paraId="722D36B0" w14:textId="5CEFC666" w:rsidR="0044699B" w:rsidRPr="00B801F4" w:rsidRDefault="0044699B" w:rsidP="008D0533">
      <w:pPr>
        <w:pStyle w:val="ListParagraph"/>
        <w:ind w:left="567"/>
        <w:jc w:val="left"/>
      </w:pPr>
    </w:p>
    <w:p w14:paraId="57A98A30" w14:textId="77777777" w:rsidR="00717919" w:rsidRDefault="00717919">
      <w:pPr>
        <w:autoSpaceDE/>
        <w:autoSpaceDN/>
        <w:adjustRightInd/>
        <w:spacing w:after="0"/>
        <w:jc w:val="left"/>
        <w:rPr>
          <w:rFonts w:eastAsia="Times New Roman"/>
          <w:b/>
          <w:bCs/>
          <w:color w:val="auto"/>
          <w:sz w:val="36"/>
          <w:szCs w:val="28"/>
          <w:lang w:eastAsia="en-GB"/>
        </w:rPr>
      </w:pPr>
      <w:r>
        <w:rPr>
          <w:sz w:val="36"/>
        </w:rPr>
        <w:br w:type="page"/>
      </w:r>
    </w:p>
    <w:p w14:paraId="268C5572" w14:textId="16D3D546" w:rsidR="00BD38BE" w:rsidRDefault="00BD38BE" w:rsidP="00B801F4">
      <w:pPr>
        <w:pStyle w:val="Heading1"/>
        <w:spacing w:after="0"/>
        <w:contextualSpacing/>
        <w:rPr>
          <w:sz w:val="36"/>
        </w:rPr>
      </w:pPr>
      <w:r w:rsidRPr="002F17B5">
        <w:rPr>
          <w:sz w:val="36"/>
        </w:rPr>
        <w:t>Glossary</w:t>
      </w:r>
    </w:p>
    <w:p w14:paraId="14699418" w14:textId="77777777" w:rsidR="00B801F4" w:rsidRPr="00B801F4" w:rsidRDefault="00B801F4" w:rsidP="00B801F4">
      <w:pPr>
        <w:rPr>
          <w:lang w:eastAsia="en-GB"/>
        </w:rPr>
      </w:pPr>
    </w:p>
    <w:p w14:paraId="70B6ADC9" w14:textId="6F82A5CC" w:rsidR="00BD38BE" w:rsidRPr="002F17B5" w:rsidRDefault="00BD38BE" w:rsidP="00B801F4">
      <w:pPr>
        <w:spacing w:after="0"/>
        <w:contextualSpacing/>
        <w:rPr>
          <w:b/>
        </w:rPr>
      </w:pPr>
      <w:r w:rsidRPr="002F17B5">
        <w:rPr>
          <w:b/>
        </w:rPr>
        <w:t xml:space="preserve">Accounting </w:t>
      </w:r>
      <w:r w:rsidR="008E7863">
        <w:rPr>
          <w:b/>
        </w:rPr>
        <w:t>p</w:t>
      </w:r>
      <w:r w:rsidRPr="002F17B5">
        <w:rPr>
          <w:b/>
        </w:rPr>
        <w:t>olicies</w:t>
      </w:r>
    </w:p>
    <w:p w14:paraId="2B35DAC7" w14:textId="77777777" w:rsidR="00BD38BE" w:rsidRPr="002F17B5" w:rsidRDefault="00BD38BE" w:rsidP="002F7DF7">
      <w:pPr>
        <w:spacing w:after="240"/>
      </w:pPr>
      <w:r w:rsidRPr="002F17B5">
        <w:t>The specific principles, bases, conventions, rules and practices applied by the authority in preparing and presenting financial statements.</w:t>
      </w:r>
    </w:p>
    <w:p w14:paraId="4C16C75A" w14:textId="77777777" w:rsidR="00BD38BE" w:rsidRPr="002F17B5" w:rsidRDefault="00BD38BE" w:rsidP="00AB559D">
      <w:pPr>
        <w:spacing w:after="0"/>
        <w:rPr>
          <w:b/>
        </w:rPr>
      </w:pPr>
      <w:r w:rsidRPr="002F17B5">
        <w:rPr>
          <w:b/>
        </w:rPr>
        <w:t>Accrual</w:t>
      </w:r>
    </w:p>
    <w:p w14:paraId="20EAB757" w14:textId="77777777" w:rsidR="00BD38BE" w:rsidRPr="002F17B5" w:rsidRDefault="00BD38BE" w:rsidP="00AB559D">
      <w:pPr>
        <w:spacing w:after="240"/>
      </w:pPr>
      <w:r w:rsidRPr="002F17B5">
        <w:t>The concept that income and expenditure are recognised as they are earned or incurred, not as cash is received or paid.</w:t>
      </w:r>
    </w:p>
    <w:p w14:paraId="678850CE" w14:textId="77777777" w:rsidR="00BD38BE" w:rsidRPr="002F17B5" w:rsidRDefault="00BD38BE">
      <w:pPr>
        <w:spacing w:after="0"/>
        <w:rPr>
          <w:b/>
        </w:rPr>
      </w:pPr>
      <w:r w:rsidRPr="002F17B5">
        <w:rPr>
          <w:b/>
        </w:rPr>
        <w:t xml:space="preserve">Accumulated Absences Account </w:t>
      </w:r>
    </w:p>
    <w:p w14:paraId="7390E49F" w14:textId="77777777" w:rsidR="00BD38BE" w:rsidRPr="002F17B5" w:rsidRDefault="00BD38BE">
      <w:pPr>
        <w:rPr>
          <w:b/>
        </w:rPr>
      </w:pPr>
      <w:r w:rsidRPr="002F17B5">
        <w:t xml:space="preserve">The accumulated absences account absorbs the differences that would otherwise arise on the County Fund balance from accruing for compensated absences earned but not taken in the year, </w:t>
      </w:r>
    </w:p>
    <w:p w14:paraId="189F9649" w14:textId="77777777" w:rsidR="00BD38BE" w:rsidRPr="002F17B5" w:rsidRDefault="00BD38BE">
      <w:pPr>
        <w:spacing w:after="0"/>
        <w:rPr>
          <w:b/>
        </w:rPr>
      </w:pPr>
      <w:r w:rsidRPr="002F17B5">
        <w:rPr>
          <w:b/>
        </w:rPr>
        <w:t>Actuary</w:t>
      </w:r>
    </w:p>
    <w:p w14:paraId="3D551F00" w14:textId="77777777" w:rsidR="00BD38BE" w:rsidRPr="002F17B5" w:rsidRDefault="00BD38BE">
      <w:pPr>
        <w:spacing w:after="240"/>
      </w:pPr>
      <w:r w:rsidRPr="002F17B5">
        <w:t>An expert on pension scheme assets and liabilities. The Local Government Pension Scheme Actuary reassesses the rate of employer contributions to the pension fund every three years.</w:t>
      </w:r>
    </w:p>
    <w:p w14:paraId="05930A7C" w14:textId="77777777" w:rsidR="00BD38BE" w:rsidRPr="002F17B5" w:rsidRDefault="00BD38BE">
      <w:pPr>
        <w:spacing w:after="0"/>
        <w:rPr>
          <w:b/>
        </w:rPr>
      </w:pPr>
      <w:r w:rsidRPr="002F17B5">
        <w:rPr>
          <w:b/>
        </w:rPr>
        <w:t>Actuarial gains and losses</w:t>
      </w:r>
    </w:p>
    <w:p w14:paraId="7505F576" w14:textId="77777777" w:rsidR="00BD38BE" w:rsidRPr="002F17B5" w:rsidRDefault="00BD38BE">
      <w:pPr>
        <w:spacing w:after="240"/>
        <w:rPr>
          <w:rFonts w:cs="Arial"/>
        </w:rPr>
      </w:pPr>
      <w:r w:rsidRPr="002F17B5">
        <w:t xml:space="preserve">A change in pension fund liability due to the effects of differences between the previous actuarial assumptions and what has actually occurred.  Outcomes are better or worse than the actuary had predicted or assumed – for example, because the fund’s assets earn more than expected, salaries do not increase as fast as </w:t>
      </w:r>
      <w:r w:rsidRPr="002F17B5">
        <w:rPr>
          <w:rFonts w:cs="Arial"/>
        </w:rPr>
        <w:t xml:space="preserve">assumed or members retire later than assumed.  </w:t>
      </w:r>
    </w:p>
    <w:p w14:paraId="00A69579" w14:textId="0BAD4074" w:rsidR="00BD38BE" w:rsidRPr="002F17B5" w:rsidRDefault="00BD38BE">
      <w:pPr>
        <w:spacing w:after="0"/>
        <w:rPr>
          <w:rFonts w:cs="Arial"/>
          <w:b/>
        </w:rPr>
      </w:pPr>
      <w:r w:rsidRPr="002F17B5">
        <w:rPr>
          <w:rFonts w:cs="Arial"/>
          <w:b/>
        </w:rPr>
        <w:t xml:space="preserve">Administrative </w:t>
      </w:r>
      <w:r w:rsidR="008E7863">
        <w:rPr>
          <w:rFonts w:cs="Arial"/>
          <w:b/>
        </w:rPr>
        <w:t>e</w:t>
      </w:r>
      <w:r w:rsidRPr="002F17B5">
        <w:rPr>
          <w:rFonts w:cs="Arial"/>
          <w:b/>
        </w:rPr>
        <w:t>xpenses (IAS 19)</w:t>
      </w:r>
    </w:p>
    <w:p w14:paraId="11C10220" w14:textId="77777777" w:rsidR="00BD38BE" w:rsidRPr="002F17B5" w:rsidRDefault="00BD38BE">
      <w:r w:rsidRPr="002F17B5">
        <w:t xml:space="preserve">The administration costs of running the pension fund </w:t>
      </w:r>
    </w:p>
    <w:p w14:paraId="347B3DD3" w14:textId="77777777" w:rsidR="00BD38BE" w:rsidRPr="002F17B5" w:rsidRDefault="00BD38BE">
      <w:pPr>
        <w:rPr>
          <w:sz w:val="2"/>
        </w:rPr>
      </w:pPr>
    </w:p>
    <w:p w14:paraId="76FF8F78" w14:textId="77777777" w:rsidR="00BD38BE" w:rsidRPr="002F17B5" w:rsidRDefault="00BD38BE">
      <w:pPr>
        <w:spacing w:after="0"/>
        <w:rPr>
          <w:b/>
        </w:rPr>
      </w:pPr>
      <w:r w:rsidRPr="002F17B5">
        <w:rPr>
          <w:b/>
        </w:rPr>
        <w:t>Agency services</w:t>
      </w:r>
    </w:p>
    <w:p w14:paraId="452FDF8C" w14:textId="77777777" w:rsidR="00BD38BE" w:rsidRPr="002F17B5" w:rsidRDefault="00BD38BE">
      <w:pPr>
        <w:spacing w:after="240"/>
      </w:pPr>
      <w:r w:rsidRPr="002F17B5">
        <w:t>Services which one council is responsible for, but which another council provides (as the agent). The council responsible pays the agent council the cost of the services provided.</w:t>
      </w:r>
    </w:p>
    <w:p w14:paraId="589FE423" w14:textId="77777777" w:rsidR="00BD38BE" w:rsidRPr="002F17B5" w:rsidRDefault="00BD38BE">
      <w:pPr>
        <w:spacing w:after="0"/>
        <w:rPr>
          <w:b/>
        </w:rPr>
      </w:pPr>
      <w:r w:rsidRPr="002F17B5">
        <w:rPr>
          <w:b/>
        </w:rPr>
        <w:t>Amortisation</w:t>
      </w:r>
    </w:p>
    <w:p w14:paraId="08FFEA3C" w14:textId="77777777" w:rsidR="00BD38BE" w:rsidRPr="002F17B5" w:rsidRDefault="00BD38BE">
      <w:pPr>
        <w:spacing w:after="240"/>
      </w:pPr>
      <w:r w:rsidRPr="002F17B5">
        <w:t>An annual charge to the revenue account that spreads the cost of an asset over a period of time.</w:t>
      </w:r>
    </w:p>
    <w:p w14:paraId="5CC9B944" w14:textId="77777777" w:rsidR="00BD38BE" w:rsidRPr="002F17B5" w:rsidRDefault="00BD38BE">
      <w:pPr>
        <w:spacing w:after="0"/>
        <w:rPr>
          <w:b/>
        </w:rPr>
      </w:pPr>
      <w:r w:rsidRPr="002F17B5">
        <w:rPr>
          <w:b/>
        </w:rPr>
        <w:t>Appropriation</w:t>
      </w:r>
    </w:p>
    <w:p w14:paraId="41D54BC1" w14:textId="77777777" w:rsidR="00BD38BE" w:rsidRPr="002F17B5" w:rsidRDefault="00BD38BE">
      <w:pPr>
        <w:spacing w:after="240"/>
      </w:pPr>
      <w:r w:rsidRPr="002F17B5">
        <w:t>A contribution to or from a financial reserve.</w:t>
      </w:r>
    </w:p>
    <w:p w14:paraId="2EC81417" w14:textId="77777777" w:rsidR="00BD38BE" w:rsidRPr="002F17B5" w:rsidRDefault="00BD38BE">
      <w:pPr>
        <w:spacing w:after="0"/>
        <w:rPr>
          <w:b/>
        </w:rPr>
      </w:pPr>
      <w:r w:rsidRPr="002F17B5">
        <w:rPr>
          <w:b/>
        </w:rPr>
        <w:t>Audit qualification</w:t>
      </w:r>
    </w:p>
    <w:p w14:paraId="4CB77C30" w14:textId="77777777" w:rsidR="00BD38BE" w:rsidRPr="002F17B5" w:rsidRDefault="00BD38BE">
      <w:pPr>
        <w:spacing w:after="240"/>
      </w:pPr>
      <w:r w:rsidRPr="002F17B5">
        <w:t>A comment made by the auditors if they are not completely satisfied with the accounts.</w:t>
      </w:r>
    </w:p>
    <w:p w14:paraId="3624225E" w14:textId="77777777" w:rsidR="00BD38BE" w:rsidRPr="002F17B5" w:rsidRDefault="00BD38BE">
      <w:pPr>
        <w:spacing w:after="0"/>
        <w:rPr>
          <w:b/>
        </w:rPr>
      </w:pPr>
      <w:r w:rsidRPr="002F17B5">
        <w:rPr>
          <w:b/>
        </w:rPr>
        <w:t>Budget</w:t>
      </w:r>
    </w:p>
    <w:p w14:paraId="23473D54" w14:textId="3145750D" w:rsidR="00BD38BE" w:rsidRPr="002F17B5" w:rsidRDefault="005A628F">
      <w:pPr>
        <w:spacing w:after="240"/>
      </w:pPr>
      <w:r>
        <w:t>A statement which reflects the county c</w:t>
      </w:r>
      <w:r w:rsidR="00BD38BE" w:rsidRPr="002F17B5">
        <w:t>ouncil’s policies in financial terms and which sets out its spending plans for a given period.</w:t>
      </w:r>
    </w:p>
    <w:p w14:paraId="7F08766F" w14:textId="77777777" w:rsidR="00BD38BE" w:rsidRPr="002F17B5" w:rsidRDefault="00BD38BE">
      <w:pPr>
        <w:spacing w:after="0"/>
        <w:rPr>
          <w:b/>
        </w:rPr>
      </w:pPr>
      <w:r w:rsidRPr="002F17B5">
        <w:rPr>
          <w:b/>
        </w:rPr>
        <w:t>Capital assets</w:t>
      </w:r>
    </w:p>
    <w:p w14:paraId="02B48600" w14:textId="77777777" w:rsidR="00BD38BE" w:rsidRPr="002F17B5" w:rsidRDefault="00BD38BE">
      <w:pPr>
        <w:spacing w:after="240"/>
        <w:rPr>
          <w:b/>
        </w:rPr>
      </w:pPr>
      <w:r w:rsidRPr="002F17B5">
        <w:t>Assets bought through capital expenditure. They are also known as ‘capital items’ and ‘fixed assets’.</w:t>
      </w:r>
    </w:p>
    <w:p w14:paraId="62856346" w14:textId="77777777" w:rsidR="00BD38BE" w:rsidRPr="002F17B5" w:rsidRDefault="00BD38BE">
      <w:pPr>
        <w:spacing w:after="0"/>
        <w:rPr>
          <w:b/>
        </w:rPr>
      </w:pPr>
      <w:r w:rsidRPr="002F17B5">
        <w:rPr>
          <w:b/>
        </w:rPr>
        <w:t>Capital creditors</w:t>
      </w:r>
    </w:p>
    <w:p w14:paraId="323E53E4" w14:textId="77777777" w:rsidR="00BD38BE" w:rsidRPr="002F17B5" w:rsidRDefault="00BD38BE">
      <w:pPr>
        <w:spacing w:after="240"/>
      </w:pPr>
      <w:r w:rsidRPr="002F17B5">
        <w:t>Amounts owed by the county council for spending on buying or improving assets.</w:t>
      </w:r>
    </w:p>
    <w:p w14:paraId="1C252C0B" w14:textId="77777777" w:rsidR="00BD38BE" w:rsidRPr="002F17B5" w:rsidRDefault="00BD38BE">
      <w:pPr>
        <w:spacing w:after="0"/>
        <w:rPr>
          <w:b/>
        </w:rPr>
      </w:pPr>
      <w:r w:rsidRPr="002F17B5">
        <w:rPr>
          <w:b/>
        </w:rPr>
        <w:t>Capital expenditure</w:t>
      </w:r>
    </w:p>
    <w:p w14:paraId="59177025" w14:textId="77777777" w:rsidR="00BD38BE" w:rsidRPr="002F17B5" w:rsidRDefault="00BD38BE">
      <w:pPr>
        <w:spacing w:after="240"/>
      </w:pPr>
      <w:r w:rsidRPr="002F17B5">
        <w:t xml:space="preserve">Spending on buying or improving assets that have a long-term benefit – for example land, buildings and roads. </w:t>
      </w:r>
    </w:p>
    <w:p w14:paraId="73362696" w14:textId="77777777" w:rsidR="00BD38BE" w:rsidRPr="002F17B5" w:rsidRDefault="00BD38BE">
      <w:pPr>
        <w:spacing w:after="0"/>
        <w:rPr>
          <w:b/>
        </w:rPr>
      </w:pPr>
      <w:r w:rsidRPr="002F17B5">
        <w:rPr>
          <w:b/>
        </w:rPr>
        <w:t>Capital funding</w:t>
      </w:r>
    </w:p>
    <w:p w14:paraId="7F733EF3" w14:textId="77777777" w:rsidR="00BD38BE" w:rsidRPr="002F17B5" w:rsidRDefault="00BD38BE">
      <w:pPr>
        <w:spacing w:after="240"/>
      </w:pPr>
      <w:r w:rsidRPr="002F17B5">
        <w:t>Money to support spending on capital projects.</w:t>
      </w:r>
    </w:p>
    <w:p w14:paraId="0342F73A" w14:textId="77777777" w:rsidR="00BD38BE" w:rsidRPr="002F17B5" w:rsidRDefault="00BD38BE">
      <w:pPr>
        <w:spacing w:after="0"/>
        <w:rPr>
          <w:b/>
        </w:rPr>
      </w:pPr>
      <w:r w:rsidRPr="002F17B5">
        <w:rPr>
          <w:b/>
        </w:rPr>
        <w:t>Capital grant</w:t>
      </w:r>
    </w:p>
    <w:p w14:paraId="3B1324CB" w14:textId="77777777" w:rsidR="00BD38BE" w:rsidRDefault="00BD38BE">
      <w:pPr>
        <w:spacing w:after="240"/>
      </w:pPr>
      <w:r w:rsidRPr="002F17B5">
        <w:t>Money received for capital items (see ‘capital expenditure’ above).</w:t>
      </w:r>
    </w:p>
    <w:p w14:paraId="6877467B" w14:textId="77777777" w:rsidR="003311AD" w:rsidRDefault="003311AD" w:rsidP="00A06955">
      <w:pPr>
        <w:spacing w:after="0"/>
      </w:pPr>
      <w:r w:rsidRPr="00A06955">
        <w:rPr>
          <w:b/>
        </w:rPr>
        <w:t>Capital Grants Unapplied Account</w:t>
      </w:r>
    </w:p>
    <w:p w14:paraId="42D7B925" w14:textId="77777777" w:rsidR="003311AD" w:rsidRDefault="003311AD" w:rsidP="00A06955">
      <w:pPr>
        <w:spacing w:after="0"/>
      </w:pPr>
      <w:r>
        <w:t xml:space="preserve">A reserve holding capital grants and contributions </w:t>
      </w:r>
      <w:r w:rsidR="002F7DF7">
        <w:t xml:space="preserve">which either never had conditions that </w:t>
      </w:r>
      <w:r>
        <w:t xml:space="preserve">could require their return to the grantor, or whose conditions have now been satisfied.  Amounts held in this account have already been recognised in the Comprehensive Income </w:t>
      </w:r>
      <w:r w:rsidR="002F7DF7">
        <w:t>and Expenditure Statement and transferred into Capital Grants Unapplied via the Movement in Reserves Statement (MiRS).</w:t>
      </w:r>
    </w:p>
    <w:p w14:paraId="68E69FD3" w14:textId="77777777" w:rsidR="002F7DF7" w:rsidRDefault="002F7DF7" w:rsidP="00A06955">
      <w:pPr>
        <w:spacing w:after="0"/>
      </w:pPr>
    </w:p>
    <w:p w14:paraId="728E4441" w14:textId="77777777" w:rsidR="00BD38BE" w:rsidRPr="002F17B5" w:rsidRDefault="00BD38BE" w:rsidP="002F7DF7">
      <w:pPr>
        <w:spacing w:after="0"/>
        <w:rPr>
          <w:b/>
        </w:rPr>
      </w:pPr>
      <w:r w:rsidRPr="002F17B5">
        <w:rPr>
          <w:b/>
        </w:rPr>
        <w:t>Capital investment</w:t>
      </w:r>
    </w:p>
    <w:p w14:paraId="56DD7350" w14:textId="77777777" w:rsidR="00BD38BE" w:rsidRPr="002F17B5" w:rsidRDefault="00BD38BE">
      <w:pPr>
        <w:spacing w:after="240"/>
      </w:pPr>
      <w:r w:rsidRPr="002F17B5">
        <w:t>Money invested in capital projects.</w:t>
      </w:r>
    </w:p>
    <w:p w14:paraId="089DAE17" w14:textId="77777777" w:rsidR="00BD38BE" w:rsidRPr="002F17B5" w:rsidRDefault="00BD38BE">
      <w:pPr>
        <w:spacing w:after="0"/>
        <w:rPr>
          <w:b/>
        </w:rPr>
      </w:pPr>
      <w:r w:rsidRPr="002F17B5">
        <w:rPr>
          <w:b/>
        </w:rPr>
        <w:t>Capital projects</w:t>
      </w:r>
    </w:p>
    <w:p w14:paraId="242C5CA8" w14:textId="77777777" w:rsidR="00BD38BE" w:rsidRPr="002F17B5" w:rsidRDefault="00BD38BE">
      <w:pPr>
        <w:spacing w:after="240"/>
      </w:pPr>
      <w:r w:rsidRPr="002F17B5">
        <w:t>Projects to buy or improve assets that have a long-term benefit – for example, land, buildings and roads. These projects are funded by capital expenditure.</w:t>
      </w:r>
    </w:p>
    <w:p w14:paraId="54EB6AA1" w14:textId="77777777" w:rsidR="00BD38BE" w:rsidRPr="002F17B5" w:rsidRDefault="00BD38BE">
      <w:pPr>
        <w:spacing w:after="0"/>
        <w:rPr>
          <w:b/>
        </w:rPr>
      </w:pPr>
      <w:r w:rsidRPr="002F17B5">
        <w:rPr>
          <w:b/>
        </w:rPr>
        <w:t>Capital receipts</w:t>
      </w:r>
    </w:p>
    <w:p w14:paraId="666674E8" w14:textId="77777777" w:rsidR="00BD38BE" w:rsidRDefault="00BD38BE">
      <w:pPr>
        <w:spacing w:after="240"/>
      </w:pPr>
      <w:r w:rsidRPr="002F17B5">
        <w:t>Proceeds received from the sale of capital assets. The proceeds are set aside in the Capital reserve in order to repay the county council’s borrowings or to finance new capital expenditure.</w:t>
      </w:r>
    </w:p>
    <w:p w14:paraId="039FE0FF" w14:textId="77777777" w:rsidR="002F7DF7" w:rsidRDefault="002F7DF7" w:rsidP="002F7DF7">
      <w:pPr>
        <w:spacing w:after="0"/>
      </w:pPr>
      <w:r w:rsidRPr="00A90744">
        <w:rPr>
          <w:b/>
        </w:rPr>
        <w:t>Capital Receipts Reserve</w:t>
      </w:r>
    </w:p>
    <w:p w14:paraId="27873BA7" w14:textId="77777777" w:rsidR="002F7DF7" w:rsidRPr="002F7DF7" w:rsidRDefault="002F7DF7" w:rsidP="002F7DF7">
      <w:pPr>
        <w:spacing w:after="0"/>
      </w:pPr>
      <w:r>
        <w:t>A usable reserve on the Balance Sheet holding recognised capital receipts.  Capital receipts are credited to the Comprehensive Income and Expenditure Statement and then reversed through the Movement in Reserves Statement (MiRS) into the Capital Receipts Reserve.  When used for financing, receipts are debited from this reserve into the capital adjustment account.</w:t>
      </w:r>
    </w:p>
    <w:p w14:paraId="0A08452C" w14:textId="77777777" w:rsidR="002F7DF7" w:rsidRDefault="002F7DF7" w:rsidP="002F7DF7">
      <w:pPr>
        <w:spacing w:after="0"/>
        <w:rPr>
          <w:b/>
        </w:rPr>
      </w:pPr>
    </w:p>
    <w:p w14:paraId="7A5251BE" w14:textId="77777777" w:rsidR="00BD38BE" w:rsidRPr="002F17B5" w:rsidRDefault="00BD38BE" w:rsidP="002F7DF7">
      <w:pPr>
        <w:spacing w:after="0"/>
        <w:rPr>
          <w:b/>
        </w:rPr>
      </w:pPr>
      <w:r w:rsidRPr="002F17B5">
        <w:rPr>
          <w:b/>
        </w:rPr>
        <w:t>Capital value</w:t>
      </w:r>
    </w:p>
    <w:p w14:paraId="4316DF08" w14:textId="77777777" w:rsidR="00BD38BE" w:rsidRPr="002F17B5" w:rsidRDefault="00BD38BE" w:rsidP="002F7DF7">
      <w:pPr>
        <w:spacing w:after="240"/>
      </w:pPr>
      <w:r w:rsidRPr="002F17B5">
        <w:t>Amount spent on capital.</w:t>
      </w:r>
    </w:p>
    <w:p w14:paraId="5F771D3B" w14:textId="77777777" w:rsidR="00BD38BE" w:rsidRPr="002F17B5" w:rsidRDefault="00BD38BE">
      <w:pPr>
        <w:spacing w:after="0"/>
        <w:rPr>
          <w:b/>
        </w:rPr>
      </w:pPr>
      <w:r w:rsidRPr="002F17B5">
        <w:rPr>
          <w:b/>
        </w:rPr>
        <w:t>Capitalise</w:t>
      </w:r>
    </w:p>
    <w:p w14:paraId="77A94CC7" w14:textId="77777777" w:rsidR="00BD38BE" w:rsidRPr="002F17B5" w:rsidRDefault="00BD38BE">
      <w:pPr>
        <w:spacing w:after="240"/>
      </w:pPr>
      <w:r w:rsidRPr="002F17B5">
        <w:t>To treat as capital expenditure rather than revenue expenditure.</w:t>
      </w:r>
    </w:p>
    <w:p w14:paraId="34F36129" w14:textId="77777777" w:rsidR="00BD38BE" w:rsidRPr="002F17B5" w:rsidRDefault="00BD38BE">
      <w:pPr>
        <w:spacing w:after="0"/>
        <w:rPr>
          <w:b/>
        </w:rPr>
      </w:pPr>
      <w:r w:rsidRPr="002F17B5">
        <w:rPr>
          <w:b/>
        </w:rPr>
        <w:t>Cash equivalents</w:t>
      </w:r>
    </w:p>
    <w:p w14:paraId="77E326E7" w14:textId="77777777" w:rsidR="00BD38BE" w:rsidRPr="002F17B5" w:rsidRDefault="00BD38BE">
      <w:pPr>
        <w:spacing w:after="240"/>
      </w:pPr>
      <w:r w:rsidRPr="002F17B5">
        <w:t>Short term (less than 3 months), highly liquid investments that are readily convertible to known amounts of cash and which are subject to an insignificant risk of changes in value.</w:t>
      </w:r>
    </w:p>
    <w:p w14:paraId="605850EB" w14:textId="77777777" w:rsidR="00BD38BE" w:rsidRPr="002F17B5" w:rsidRDefault="00BD38BE">
      <w:pPr>
        <w:spacing w:after="0"/>
        <w:rPr>
          <w:b/>
        </w:rPr>
      </w:pPr>
      <w:r w:rsidRPr="002F17B5">
        <w:rPr>
          <w:b/>
        </w:rPr>
        <w:t>Cash transactions</w:t>
      </w:r>
    </w:p>
    <w:p w14:paraId="372541E1" w14:textId="77777777" w:rsidR="00BD38BE" w:rsidRPr="002F17B5" w:rsidRDefault="00BD38BE">
      <w:pPr>
        <w:spacing w:after="240"/>
      </w:pPr>
      <w:r w:rsidRPr="002F17B5">
        <w:t>Cash amounts entering or leaving the accounts – for example, to pay for goods or services, or income from fees and charges.</w:t>
      </w:r>
    </w:p>
    <w:p w14:paraId="2B5D2DE8" w14:textId="77777777" w:rsidR="00BD38BE" w:rsidRPr="002F17B5" w:rsidRDefault="00BD38BE">
      <w:pPr>
        <w:spacing w:after="0"/>
        <w:rPr>
          <w:b/>
        </w:rPr>
      </w:pPr>
      <w:r w:rsidRPr="002F17B5">
        <w:rPr>
          <w:b/>
        </w:rPr>
        <w:t>Central items</w:t>
      </w:r>
    </w:p>
    <w:p w14:paraId="30B6D69A" w14:textId="77777777" w:rsidR="00BD38BE" w:rsidRPr="002F17B5" w:rsidRDefault="00BD38BE">
      <w:pPr>
        <w:spacing w:after="240"/>
      </w:pPr>
      <w:r w:rsidRPr="002F17B5">
        <w:t>Central overheads e.g. payroll costs.</w:t>
      </w:r>
    </w:p>
    <w:p w14:paraId="7153AA0F" w14:textId="77777777" w:rsidR="00BD38BE" w:rsidRPr="002F17B5" w:rsidRDefault="00BD38BE">
      <w:pPr>
        <w:spacing w:after="0"/>
        <w:rPr>
          <w:b/>
        </w:rPr>
      </w:pPr>
      <w:r w:rsidRPr="002F17B5">
        <w:rPr>
          <w:b/>
        </w:rPr>
        <w:t>CIPFA</w:t>
      </w:r>
    </w:p>
    <w:p w14:paraId="31AFF2AB" w14:textId="77777777" w:rsidR="00BD38BE" w:rsidRDefault="00BD38BE">
      <w:pPr>
        <w:spacing w:after="240"/>
      </w:pPr>
      <w:r w:rsidRPr="002F17B5">
        <w:t>The Chartered Institute of Public Finance and Accountants is the accountancy body which recommends accounting practice for the preparation of local authority accounts.</w:t>
      </w:r>
    </w:p>
    <w:p w14:paraId="45FD4F48" w14:textId="77777777" w:rsidR="00BD38BE" w:rsidRPr="002F17B5" w:rsidRDefault="00BD38BE">
      <w:pPr>
        <w:spacing w:after="0"/>
        <w:rPr>
          <w:b/>
        </w:rPr>
      </w:pPr>
      <w:r w:rsidRPr="002F17B5">
        <w:rPr>
          <w:b/>
        </w:rPr>
        <w:t>Collection fund</w:t>
      </w:r>
    </w:p>
    <w:p w14:paraId="21D749BC" w14:textId="77777777" w:rsidR="00BD38BE" w:rsidRPr="002F17B5" w:rsidRDefault="00BD38BE">
      <w:pPr>
        <w:spacing w:after="240"/>
      </w:pPr>
      <w:r w:rsidRPr="002F17B5">
        <w:t>The system used by district and borough councils to keep council tax separate from their own accounts. The amount in the fund each year is fed into the council tax calculation for the following year.</w:t>
      </w:r>
    </w:p>
    <w:p w14:paraId="5B347D33" w14:textId="77777777" w:rsidR="00BD38BE" w:rsidRPr="002F17B5" w:rsidRDefault="00BD38BE">
      <w:pPr>
        <w:spacing w:after="0"/>
        <w:rPr>
          <w:b/>
        </w:rPr>
      </w:pPr>
      <w:r w:rsidRPr="002F17B5">
        <w:rPr>
          <w:b/>
        </w:rPr>
        <w:t xml:space="preserve">Collection Fund Adjustment Account </w:t>
      </w:r>
    </w:p>
    <w:p w14:paraId="07B3E772" w14:textId="77777777" w:rsidR="00BD38BE" w:rsidRPr="002F17B5" w:rsidRDefault="00BD38BE">
      <w:pPr>
        <w:spacing w:after="240"/>
      </w:pPr>
      <w:r w:rsidRPr="002F17B5">
        <w:t>The Collection Fund Adjustment Account manages the difference arising from the recognition of council tax and non-domestic rates income in the Comprehensive Income and Expenditure Statement as it falls due from council tax payers and business rates payers compared with the statutory arrangements for paying across amounts to the County Fund from the Collection Fund.</w:t>
      </w:r>
    </w:p>
    <w:p w14:paraId="1BC2B2B2" w14:textId="77777777" w:rsidR="00BD38BE" w:rsidRPr="002F17B5" w:rsidRDefault="00BD38BE">
      <w:pPr>
        <w:spacing w:after="0"/>
        <w:rPr>
          <w:b/>
        </w:rPr>
      </w:pPr>
      <w:r w:rsidRPr="002F17B5">
        <w:rPr>
          <w:b/>
        </w:rPr>
        <w:t>Construction contract</w:t>
      </w:r>
    </w:p>
    <w:p w14:paraId="174E0592" w14:textId="77777777" w:rsidR="00BD38BE" w:rsidRPr="002F17B5" w:rsidRDefault="00BD38BE">
      <w:pPr>
        <w:spacing w:after="240"/>
      </w:pPr>
      <w:r w:rsidRPr="002F17B5">
        <w:t>A contract specifically negotiated for the construction of an asset and services related to the construction, for example architects.</w:t>
      </w:r>
    </w:p>
    <w:p w14:paraId="273880A4" w14:textId="77777777" w:rsidR="00BD38BE" w:rsidRPr="002F17B5" w:rsidRDefault="00BD38BE">
      <w:pPr>
        <w:spacing w:after="0"/>
        <w:rPr>
          <w:b/>
        </w:rPr>
      </w:pPr>
      <w:r w:rsidRPr="002F17B5">
        <w:rPr>
          <w:b/>
        </w:rPr>
        <w:t>Contingent liabilities</w:t>
      </w:r>
    </w:p>
    <w:p w14:paraId="3DABDBCF" w14:textId="77777777" w:rsidR="00BD38BE" w:rsidRPr="002F17B5" w:rsidRDefault="00BD38BE">
      <w:pPr>
        <w:spacing w:after="240"/>
      </w:pPr>
      <w:r w:rsidRPr="002F17B5">
        <w:t>Liabilities relating to a known set of circumstances which may or may not arise. They can also be liabilities which are likely to arise but which are very difficult to measure until future developments make things clearer.</w:t>
      </w:r>
    </w:p>
    <w:p w14:paraId="051C71F0" w14:textId="77777777" w:rsidR="00BD38BE" w:rsidRPr="002F17B5" w:rsidRDefault="00BD38BE">
      <w:pPr>
        <w:spacing w:after="0"/>
        <w:rPr>
          <w:b/>
        </w:rPr>
      </w:pPr>
      <w:r w:rsidRPr="002F17B5">
        <w:rPr>
          <w:b/>
        </w:rPr>
        <w:t>Corporate governance</w:t>
      </w:r>
    </w:p>
    <w:p w14:paraId="2F4BC095" w14:textId="77777777" w:rsidR="00BD38BE" w:rsidRPr="002F17B5" w:rsidRDefault="00BD38BE">
      <w:pPr>
        <w:spacing w:after="240"/>
      </w:pPr>
      <w:r w:rsidRPr="002F17B5">
        <w:t>The authoritative rules and controls in place within an organisation required to promote openness, inclusivity, integrity and accountability.</w:t>
      </w:r>
    </w:p>
    <w:p w14:paraId="0827D70B" w14:textId="77777777" w:rsidR="00BD38BE" w:rsidRPr="002F17B5" w:rsidRDefault="00BD38BE">
      <w:pPr>
        <w:spacing w:after="0"/>
        <w:rPr>
          <w:b/>
        </w:rPr>
      </w:pPr>
      <w:r w:rsidRPr="002F17B5">
        <w:rPr>
          <w:b/>
        </w:rPr>
        <w:t>County Fund</w:t>
      </w:r>
    </w:p>
    <w:p w14:paraId="7B717C56" w14:textId="665E4D25" w:rsidR="007B2088" w:rsidRPr="00A06955" w:rsidRDefault="00BD38BE">
      <w:pPr>
        <w:spacing w:after="240"/>
      </w:pPr>
      <w:r w:rsidRPr="002F17B5">
        <w:t>The main revenue fund us</w:t>
      </w:r>
      <w:r w:rsidR="005A628F">
        <w:t>ed to provide county c</w:t>
      </w:r>
      <w:r w:rsidRPr="002F17B5">
        <w:t>ouncil services. Income to the fund consists of the county precept on the collection funds, government grants and other income.</w:t>
      </w:r>
      <w:r w:rsidR="007B2088">
        <w:t xml:space="preserve">  Details of the movements in county fund during the year are shown in the Movement in Reserve Statement.</w:t>
      </w:r>
    </w:p>
    <w:p w14:paraId="4BBBEA0D" w14:textId="77777777" w:rsidR="00BD38BE" w:rsidRPr="002F17B5" w:rsidRDefault="00BD38BE">
      <w:pPr>
        <w:spacing w:after="0"/>
        <w:rPr>
          <w:b/>
        </w:rPr>
      </w:pPr>
      <w:r w:rsidRPr="002F17B5">
        <w:rPr>
          <w:b/>
        </w:rPr>
        <w:t>Creditors</w:t>
      </w:r>
    </w:p>
    <w:p w14:paraId="030EC37A" w14:textId="3254D237" w:rsidR="00BD38BE" w:rsidRPr="002F17B5" w:rsidRDefault="005A628F">
      <w:pPr>
        <w:spacing w:after="240"/>
      </w:pPr>
      <w:r>
        <w:t>Amounts owed by the county c</w:t>
      </w:r>
      <w:r w:rsidR="00BD38BE" w:rsidRPr="002F17B5">
        <w:t>ouncil for work carried out, goods received or services provided, which had not been paid by the date of the balance sheet.</w:t>
      </w:r>
    </w:p>
    <w:p w14:paraId="686DCF1F" w14:textId="77777777" w:rsidR="00BD38BE" w:rsidRPr="002F17B5" w:rsidRDefault="00BD38BE">
      <w:pPr>
        <w:spacing w:after="0"/>
        <w:rPr>
          <w:b/>
        </w:rPr>
      </w:pPr>
      <w:r w:rsidRPr="002F17B5">
        <w:rPr>
          <w:b/>
        </w:rPr>
        <w:t>Current assets and liabilities</w:t>
      </w:r>
    </w:p>
    <w:p w14:paraId="57AFD41F" w14:textId="77777777" w:rsidR="00BD38BE" w:rsidRPr="002F17B5" w:rsidRDefault="00BD38BE">
      <w:pPr>
        <w:spacing w:after="240"/>
      </w:pPr>
      <w:r w:rsidRPr="002F17B5">
        <w:t>Current assets are cash, cash equivalents and items that can be readily converted into cash. Current liabilities are items that are due for payment immediately or in the short term.</w:t>
      </w:r>
    </w:p>
    <w:p w14:paraId="0F697D69" w14:textId="77777777" w:rsidR="00BD38BE" w:rsidRPr="002F17B5" w:rsidRDefault="00BD38BE">
      <w:pPr>
        <w:spacing w:after="240"/>
      </w:pPr>
      <w:r w:rsidRPr="002F17B5">
        <w:t>By convention these items are ordered by reference to the ease that the asset can be converted into cash, and the timescale in which the liability falls due.</w:t>
      </w:r>
    </w:p>
    <w:p w14:paraId="5CFCD7F2" w14:textId="77777777" w:rsidR="00BD38BE" w:rsidRPr="002F17B5" w:rsidRDefault="00BD38BE">
      <w:pPr>
        <w:spacing w:after="0"/>
        <w:rPr>
          <w:b/>
        </w:rPr>
      </w:pPr>
      <w:r w:rsidRPr="002F17B5">
        <w:rPr>
          <w:b/>
        </w:rPr>
        <w:t>Current service cost (IAS 19)</w:t>
      </w:r>
    </w:p>
    <w:p w14:paraId="6AF53E98" w14:textId="2094AA6B" w:rsidR="00BD38BE" w:rsidRPr="002F17B5" w:rsidRDefault="005A628F">
      <w:pPr>
        <w:spacing w:after="240"/>
      </w:pPr>
      <w:r>
        <w:t>The increase in the county c</w:t>
      </w:r>
      <w:r w:rsidR="00BD38BE" w:rsidRPr="002F17B5">
        <w:t>ouncil’s defined benefit scheme obligation (pension scheme liability) as a result of employees’ service during the current year.</w:t>
      </w:r>
    </w:p>
    <w:p w14:paraId="5D6F4BB2" w14:textId="77777777" w:rsidR="00BD38BE" w:rsidRPr="002F17B5" w:rsidRDefault="00BD38BE">
      <w:pPr>
        <w:spacing w:after="0"/>
        <w:rPr>
          <w:b/>
        </w:rPr>
      </w:pPr>
      <w:r w:rsidRPr="002F17B5">
        <w:rPr>
          <w:b/>
        </w:rPr>
        <w:t>Curtailment cost (IAS 19)</w:t>
      </w:r>
    </w:p>
    <w:p w14:paraId="11B7DCE2" w14:textId="77777777" w:rsidR="00BD38BE" w:rsidRPr="002F17B5" w:rsidRDefault="00BD38BE">
      <w:pPr>
        <w:spacing w:after="240"/>
      </w:pPr>
      <w:r w:rsidRPr="002F17B5">
        <w:t>Additional pension scheme liabilities as a result of redundancies and efficiency retirements during the year.</w:t>
      </w:r>
    </w:p>
    <w:p w14:paraId="55A18F2F" w14:textId="77777777" w:rsidR="00BD38BE" w:rsidRPr="002F17B5" w:rsidRDefault="00BD38BE">
      <w:pPr>
        <w:spacing w:after="0"/>
        <w:rPr>
          <w:b/>
        </w:rPr>
      </w:pPr>
      <w:r w:rsidRPr="002F17B5">
        <w:rPr>
          <w:b/>
        </w:rPr>
        <w:t>Debt redemption</w:t>
      </w:r>
    </w:p>
    <w:p w14:paraId="31FEEA0C" w14:textId="77777777" w:rsidR="00BD38BE" w:rsidRPr="002F17B5" w:rsidRDefault="00BD38BE">
      <w:pPr>
        <w:spacing w:after="240"/>
      </w:pPr>
      <w:r w:rsidRPr="002F17B5">
        <w:t>Where a debt is repaid early.</w:t>
      </w:r>
    </w:p>
    <w:p w14:paraId="1B659E63" w14:textId="77777777" w:rsidR="00BD38BE" w:rsidRPr="002F17B5" w:rsidRDefault="00BD38BE">
      <w:pPr>
        <w:spacing w:after="0"/>
        <w:rPr>
          <w:b/>
        </w:rPr>
      </w:pPr>
      <w:r w:rsidRPr="002F17B5">
        <w:rPr>
          <w:b/>
        </w:rPr>
        <w:t>Debtors</w:t>
      </w:r>
    </w:p>
    <w:p w14:paraId="2479EF25" w14:textId="500D3876" w:rsidR="00BD38BE" w:rsidRPr="002F17B5" w:rsidRDefault="005A628F">
      <w:pPr>
        <w:spacing w:after="240"/>
        <w:rPr>
          <w:b/>
        </w:rPr>
      </w:pPr>
      <w:r>
        <w:t>Amounts owed to the county c</w:t>
      </w:r>
      <w:r w:rsidR="00BD38BE" w:rsidRPr="002F17B5">
        <w:t>ouncil which had not been paid by the date of the balance sheet.</w:t>
      </w:r>
    </w:p>
    <w:p w14:paraId="74D8143D" w14:textId="77777777" w:rsidR="00BD38BE" w:rsidRPr="002F17B5" w:rsidRDefault="00BD38BE">
      <w:pPr>
        <w:spacing w:after="0"/>
        <w:rPr>
          <w:b/>
        </w:rPr>
      </w:pPr>
      <w:r w:rsidRPr="002F17B5">
        <w:rPr>
          <w:b/>
        </w:rPr>
        <w:t>Deferred liabilities</w:t>
      </w:r>
    </w:p>
    <w:p w14:paraId="208D5209" w14:textId="77777777" w:rsidR="00BD38BE" w:rsidRPr="002F17B5" w:rsidRDefault="00BD38BE">
      <w:pPr>
        <w:spacing w:after="240"/>
      </w:pPr>
      <w:r w:rsidRPr="002F17B5">
        <w:t>Debts to be settled sometime in the future, but the actual date is not certain.</w:t>
      </w:r>
    </w:p>
    <w:p w14:paraId="6890F012" w14:textId="77777777" w:rsidR="00BD38BE" w:rsidRPr="002F17B5" w:rsidRDefault="00BD38BE">
      <w:pPr>
        <w:spacing w:after="0"/>
        <w:rPr>
          <w:b/>
        </w:rPr>
      </w:pPr>
      <w:r w:rsidRPr="002F17B5">
        <w:rPr>
          <w:b/>
        </w:rPr>
        <w:t>Defined benefit scheme</w:t>
      </w:r>
    </w:p>
    <w:p w14:paraId="1B56C359" w14:textId="77777777" w:rsidR="00BD38BE" w:rsidRDefault="00BD38BE">
      <w:pPr>
        <w:spacing w:after="240"/>
      </w:pPr>
      <w:r w:rsidRPr="002F17B5">
        <w:t>A pension or other retirement benefit scheme other than a defined contribution scheme. Usually, the scheme rules define the benefits independently of the contributions payable, and the benefits are not directly related to the investments of the scheme. The scheme may be funded or unfunded.</w:t>
      </w:r>
    </w:p>
    <w:p w14:paraId="09E92057" w14:textId="77777777" w:rsidR="003B3B64" w:rsidRPr="002F17B5" w:rsidRDefault="003B3B64">
      <w:pPr>
        <w:spacing w:after="240"/>
      </w:pPr>
    </w:p>
    <w:p w14:paraId="6A90FAE1" w14:textId="77777777" w:rsidR="00BD38BE" w:rsidRPr="002F17B5" w:rsidRDefault="00BD38BE">
      <w:pPr>
        <w:spacing w:after="0"/>
      </w:pPr>
      <w:r w:rsidRPr="002F17B5">
        <w:rPr>
          <w:b/>
        </w:rPr>
        <w:t>Defined contribution scheme</w:t>
      </w:r>
    </w:p>
    <w:p w14:paraId="56F589DD" w14:textId="77777777" w:rsidR="00BD38BE" w:rsidRPr="002F17B5" w:rsidRDefault="00BD38BE">
      <w:pPr>
        <w:spacing w:after="240"/>
      </w:pPr>
      <w:r w:rsidRPr="002F17B5">
        <w:t>A pension or other retirement benefit scheme into which an employer pays regular contributions fixed as an amount or as a percentage of pay and will have no legal or constructive obligation to pay further contributions if the scheme does not have sufficient assets to pay all employee benefits relating to employee service in the current and prior periods.</w:t>
      </w:r>
    </w:p>
    <w:p w14:paraId="24B6D45B" w14:textId="77777777" w:rsidR="00BD38BE" w:rsidRPr="002F17B5" w:rsidRDefault="00BD38BE">
      <w:pPr>
        <w:spacing w:after="0"/>
        <w:rPr>
          <w:b/>
        </w:rPr>
      </w:pPr>
      <w:r w:rsidRPr="002F17B5">
        <w:rPr>
          <w:b/>
        </w:rPr>
        <w:t>Depreciation</w:t>
      </w:r>
    </w:p>
    <w:p w14:paraId="14FD5E35" w14:textId="77777777" w:rsidR="00BD38BE" w:rsidRPr="002F17B5" w:rsidRDefault="00BD38BE">
      <w:pPr>
        <w:spacing w:after="240"/>
      </w:pPr>
      <w:r w:rsidRPr="002F17B5">
        <w:t>Charges to the income and expenditure account to reflect a decrease in the value of assets as a result of use or ageing.</w:t>
      </w:r>
    </w:p>
    <w:p w14:paraId="5713E51A" w14:textId="77777777" w:rsidR="00BD38BE" w:rsidRPr="002F17B5" w:rsidRDefault="00BD38BE">
      <w:pPr>
        <w:spacing w:after="0"/>
        <w:rPr>
          <w:b/>
        </w:rPr>
      </w:pPr>
      <w:r w:rsidRPr="002F17B5">
        <w:rPr>
          <w:b/>
        </w:rPr>
        <w:t>Discretionary benefits</w:t>
      </w:r>
    </w:p>
    <w:p w14:paraId="31490C15" w14:textId="77777777" w:rsidR="00BD38BE" w:rsidRPr="002F17B5" w:rsidRDefault="00BD38BE">
      <w:pPr>
        <w:spacing w:after="240"/>
      </w:pPr>
      <w:r w:rsidRPr="002F17B5">
        <w:t>Retirement benefits which the employer has no legal, contractual or constructive obligation to award and are awarded under the authority’s discretionary powers.</w:t>
      </w:r>
    </w:p>
    <w:p w14:paraId="5A616236" w14:textId="77777777" w:rsidR="00BD38BE" w:rsidRPr="002F17B5" w:rsidRDefault="00BD38BE">
      <w:pPr>
        <w:spacing w:after="0"/>
        <w:rPr>
          <w:b/>
        </w:rPr>
      </w:pPr>
      <w:r w:rsidRPr="002F17B5">
        <w:rPr>
          <w:b/>
        </w:rPr>
        <w:t>Devolved financial management (DFM)</w:t>
      </w:r>
    </w:p>
    <w:p w14:paraId="650190A0" w14:textId="77777777" w:rsidR="00BD38BE" w:rsidRPr="002F17B5" w:rsidRDefault="00BD38BE">
      <w:pPr>
        <w:spacing w:after="240"/>
      </w:pPr>
      <w:r w:rsidRPr="002F17B5">
        <w:t>The county council’s budget management system. The budget is managed by those who make the decisions in each area of responsibility (‘accountable officers’).</w:t>
      </w:r>
    </w:p>
    <w:p w14:paraId="08163042" w14:textId="77777777" w:rsidR="00BD38BE" w:rsidRPr="002F17B5" w:rsidRDefault="00BD38BE">
      <w:pPr>
        <w:spacing w:after="0"/>
        <w:rPr>
          <w:b/>
        </w:rPr>
      </w:pPr>
      <w:r w:rsidRPr="002F17B5">
        <w:rPr>
          <w:b/>
        </w:rPr>
        <w:t>Direct service organisation (DSO)</w:t>
      </w:r>
    </w:p>
    <w:p w14:paraId="5645F731" w14:textId="77777777" w:rsidR="00BD38BE" w:rsidRPr="002F17B5" w:rsidRDefault="00BD38BE">
      <w:pPr>
        <w:spacing w:after="240"/>
      </w:pPr>
      <w:r w:rsidRPr="002F17B5">
        <w:t>An organisation set up within the county council to carry out certain activities subject to competitive tendering.</w:t>
      </w:r>
    </w:p>
    <w:p w14:paraId="5528FAE0" w14:textId="77777777" w:rsidR="00BD38BE" w:rsidRPr="002F17B5" w:rsidRDefault="00BD38BE">
      <w:pPr>
        <w:spacing w:after="0"/>
        <w:rPr>
          <w:b/>
        </w:rPr>
      </w:pPr>
      <w:r w:rsidRPr="002F17B5">
        <w:rPr>
          <w:b/>
        </w:rPr>
        <w:t>Employer’s pension contributions</w:t>
      </w:r>
    </w:p>
    <w:p w14:paraId="202D48AE" w14:textId="77777777" w:rsidR="00BD38BE" w:rsidRPr="002F17B5" w:rsidRDefault="00BD38BE">
      <w:pPr>
        <w:spacing w:after="240"/>
      </w:pPr>
      <w:r w:rsidRPr="002F17B5">
        <w:t>Payments to the pension scheme made by the county council for current employees.</w:t>
      </w:r>
    </w:p>
    <w:p w14:paraId="044A04DF" w14:textId="77777777" w:rsidR="00BD38BE" w:rsidRPr="002F17B5" w:rsidRDefault="00BD38BE">
      <w:pPr>
        <w:spacing w:after="0"/>
        <w:rPr>
          <w:b/>
        </w:rPr>
      </w:pPr>
      <w:r w:rsidRPr="002F17B5">
        <w:rPr>
          <w:b/>
        </w:rPr>
        <w:t>Expected return on assets (IAS 19)</w:t>
      </w:r>
    </w:p>
    <w:p w14:paraId="26A98155" w14:textId="77777777" w:rsidR="00BD38BE" w:rsidRPr="002F17B5" w:rsidRDefault="00BD38BE">
      <w:pPr>
        <w:spacing w:after="240"/>
      </w:pPr>
      <w:r w:rsidRPr="002F17B5">
        <w:t>The average rate of return expected on investment assets held by the pension scheme.</w:t>
      </w:r>
    </w:p>
    <w:p w14:paraId="4FD354B2" w14:textId="77777777" w:rsidR="00BD38BE" w:rsidRPr="002F17B5" w:rsidRDefault="00BD38BE">
      <w:pPr>
        <w:spacing w:after="0"/>
        <w:rPr>
          <w:b/>
        </w:rPr>
      </w:pPr>
      <w:r w:rsidRPr="002F17B5">
        <w:rPr>
          <w:b/>
        </w:rPr>
        <w:t>Fair value</w:t>
      </w:r>
    </w:p>
    <w:p w14:paraId="7965210E" w14:textId="77777777" w:rsidR="00BD38BE" w:rsidRPr="002F17B5" w:rsidRDefault="00BD38BE">
      <w:pPr>
        <w:spacing w:after="240"/>
      </w:pPr>
      <w:r w:rsidRPr="002F17B5">
        <w:t>The amount for which an asset could be exchanged, or a liability settled, in an arm’s length transaction less, where applicable, any grants receivable towards the purchase or use of the asset.</w:t>
      </w:r>
    </w:p>
    <w:p w14:paraId="37B2019C" w14:textId="412F4347" w:rsidR="00BD38BE" w:rsidRPr="002F17B5" w:rsidRDefault="00BD38BE">
      <w:pPr>
        <w:spacing w:after="0"/>
        <w:rPr>
          <w:b/>
        </w:rPr>
      </w:pPr>
      <w:r w:rsidRPr="002F17B5">
        <w:rPr>
          <w:b/>
        </w:rPr>
        <w:t xml:space="preserve">Finance </w:t>
      </w:r>
      <w:r w:rsidR="008E7863">
        <w:rPr>
          <w:b/>
        </w:rPr>
        <w:t>l</w:t>
      </w:r>
      <w:r w:rsidRPr="002F17B5">
        <w:rPr>
          <w:b/>
        </w:rPr>
        <w:t>ease</w:t>
      </w:r>
    </w:p>
    <w:p w14:paraId="42F48A53" w14:textId="77777777" w:rsidR="00BD38BE" w:rsidRPr="002F17B5" w:rsidRDefault="00BD38BE">
      <w:pPr>
        <w:spacing w:after="240"/>
      </w:pPr>
      <w:r w:rsidRPr="002F17B5">
        <w:t>A lease that transfers substantially all the risks and rewards related to the ownership of the asset to the lessee.</w:t>
      </w:r>
    </w:p>
    <w:p w14:paraId="3A6B6506" w14:textId="77777777" w:rsidR="00BD38BE" w:rsidRPr="002F17B5" w:rsidRDefault="00BD38BE">
      <w:pPr>
        <w:spacing w:after="0"/>
        <w:rPr>
          <w:b/>
        </w:rPr>
      </w:pPr>
      <w:r w:rsidRPr="002F17B5">
        <w:rPr>
          <w:b/>
        </w:rPr>
        <w:t xml:space="preserve">Financial Instruments Adjustment Account </w:t>
      </w:r>
      <w:r w:rsidRPr="002F17B5">
        <w:rPr>
          <w:b/>
        </w:rPr>
        <w:tab/>
      </w:r>
    </w:p>
    <w:p w14:paraId="450F6CF9" w14:textId="77777777" w:rsidR="00BD38BE" w:rsidRPr="002F17B5" w:rsidRDefault="00BD38BE">
      <w:pPr>
        <w:spacing w:after="240"/>
      </w:pPr>
      <w:r w:rsidRPr="002F17B5">
        <w:t xml:space="preserve">The financial instruments adjustment account absorbs the timing differences arising from the different arrangements for accounting for income and expenses relating to certain financial instruments and for bearing losses or benefiting from gains per statutory provisions. </w:t>
      </w:r>
    </w:p>
    <w:p w14:paraId="7BD46578" w14:textId="77777777" w:rsidR="00BD38BE" w:rsidRPr="002F17B5" w:rsidRDefault="00BD38BE">
      <w:pPr>
        <w:spacing w:after="0"/>
        <w:rPr>
          <w:b/>
        </w:rPr>
      </w:pPr>
      <w:r w:rsidRPr="002F17B5">
        <w:rPr>
          <w:b/>
        </w:rPr>
        <w:t>Financial year</w:t>
      </w:r>
    </w:p>
    <w:p w14:paraId="1E45A4B5" w14:textId="77777777" w:rsidR="00BD38BE" w:rsidRPr="002F17B5" w:rsidRDefault="00BD38BE">
      <w:pPr>
        <w:spacing w:after="240"/>
      </w:pPr>
      <w:r w:rsidRPr="002F17B5">
        <w:t>The period of 12 months for which the accounts are drawn up. For local authorities the financial year (or ‘accounting period’) begins on 1 April and finishes on 31 March of the following year.</w:t>
      </w:r>
    </w:p>
    <w:p w14:paraId="70CC6DD2" w14:textId="77777777" w:rsidR="00BD38BE" w:rsidRPr="002F17B5" w:rsidRDefault="00BD38BE">
      <w:pPr>
        <w:spacing w:after="0"/>
        <w:rPr>
          <w:b/>
        </w:rPr>
      </w:pPr>
      <w:r w:rsidRPr="002F17B5">
        <w:rPr>
          <w:b/>
        </w:rPr>
        <w:t>Financing charges</w:t>
      </w:r>
    </w:p>
    <w:p w14:paraId="6D9E08B9" w14:textId="77777777" w:rsidR="00BD38BE" w:rsidRPr="002F17B5" w:rsidRDefault="00BD38BE">
      <w:pPr>
        <w:spacing w:after="240"/>
      </w:pPr>
      <w:r w:rsidRPr="002F17B5">
        <w:t>Repayments on amounts loaned to the county council by external organisations. These charges include interest as well as repayment of the amount borrowed (the ‘principal’).</w:t>
      </w:r>
    </w:p>
    <w:p w14:paraId="62C18FB9" w14:textId="77777777" w:rsidR="00BD38BE" w:rsidRPr="002F17B5" w:rsidRDefault="00BD38BE">
      <w:pPr>
        <w:spacing w:after="0"/>
        <w:rPr>
          <w:b/>
        </w:rPr>
      </w:pPr>
      <w:r w:rsidRPr="002F17B5">
        <w:rPr>
          <w:b/>
        </w:rPr>
        <w:t>Financial instrument</w:t>
      </w:r>
    </w:p>
    <w:p w14:paraId="36B3A96A" w14:textId="77777777" w:rsidR="00BD38BE" w:rsidRPr="002F17B5" w:rsidRDefault="00BD38BE">
      <w:pPr>
        <w:spacing w:after="240"/>
        <w:rPr>
          <w:b/>
        </w:rPr>
      </w:pPr>
      <w:r w:rsidRPr="002F17B5">
        <w:t>A financial instrument can be a financial asset or a financial liability.  A financial asset is a contract such as an investment or loan representing amounts due to the authority. A financial liability is a contract such as borrowing representing amounts owed by the authority.</w:t>
      </w:r>
    </w:p>
    <w:p w14:paraId="25770EFE" w14:textId="77777777" w:rsidR="00BD38BE" w:rsidRPr="002F17B5" w:rsidRDefault="00BD38BE">
      <w:pPr>
        <w:spacing w:after="0"/>
        <w:rPr>
          <w:b/>
        </w:rPr>
      </w:pPr>
      <w:r w:rsidRPr="002F17B5">
        <w:rPr>
          <w:b/>
        </w:rPr>
        <w:t>Fixed assets</w:t>
      </w:r>
    </w:p>
    <w:p w14:paraId="6386E4B0" w14:textId="77777777" w:rsidR="00BD38BE" w:rsidRPr="002F17B5" w:rsidRDefault="00BD38BE">
      <w:pPr>
        <w:spacing w:after="240"/>
      </w:pPr>
      <w:r w:rsidRPr="002F17B5">
        <w:t>Assets intended to be used for several years – for example, buildings, machinery and vehicles.</w:t>
      </w:r>
    </w:p>
    <w:p w14:paraId="4900198A" w14:textId="77777777" w:rsidR="00BD38BE" w:rsidRPr="002F17B5" w:rsidRDefault="00BD38BE">
      <w:pPr>
        <w:spacing w:after="0"/>
        <w:rPr>
          <w:b/>
        </w:rPr>
      </w:pPr>
      <w:r w:rsidRPr="002F17B5">
        <w:rPr>
          <w:b/>
        </w:rPr>
        <w:t>Global custodian</w:t>
      </w:r>
    </w:p>
    <w:p w14:paraId="23E0A8AA" w14:textId="77777777" w:rsidR="00BD38BE" w:rsidRPr="002F17B5" w:rsidRDefault="00BD38BE">
      <w:pPr>
        <w:spacing w:after="240"/>
      </w:pPr>
      <w:r w:rsidRPr="002F17B5">
        <w:t>A financial institution responsible for keeping up-to-date records of equities and bonds owned by a pension fund.</w:t>
      </w:r>
    </w:p>
    <w:p w14:paraId="7CB339F3" w14:textId="77777777" w:rsidR="00BD38BE" w:rsidRPr="002F17B5" w:rsidRDefault="00BD38BE">
      <w:pPr>
        <w:spacing w:after="0"/>
        <w:rPr>
          <w:b/>
        </w:rPr>
      </w:pPr>
      <w:r w:rsidRPr="002F17B5">
        <w:rPr>
          <w:b/>
        </w:rPr>
        <w:t>Government grants</w:t>
      </w:r>
    </w:p>
    <w:p w14:paraId="02C32853" w14:textId="77777777" w:rsidR="00BD38BE" w:rsidRPr="002F17B5" w:rsidRDefault="00BD38BE">
      <w:pPr>
        <w:spacing w:after="240"/>
      </w:pPr>
      <w:r w:rsidRPr="002F17B5">
        <w:t>Assistance by government and inter-government agencies and similar bodies, whether local, national or international, in the form of cash or transfers of assets to an authority in return for past or future compliance with certain conditions relating to the activities of the authority.</w:t>
      </w:r>
    </w:p>
    <w:p w14:paraId="13EEB42C" w14:textId="77777777" w:rsidR="00BD38BE" w:rsidRPr="002F17B5" w:rsidRDefault="00BD38BE">
      <w:pPr>
        <w:spacing w:after="0"/>
        <w:rPr>
          <w:b/>
        </w:rPr>
      </w:pPr>
      <w:r w:rsidRPr="002F17B5">
        <w:rPr>
          <w:b/>
        </w:rPr>
        <w:t>Historic cost</w:t>
      </w:r>
    </w:p>
    <w:p w14:paraId="4782C26B" w14:textId="77777777" w:rsidR="00BD38BE" w:rsidRPr="002F17B5" w:rsidRDefault="00BD38BE">
      <w:pPr>
        <w:spacing w:after="240"/>
      </w:pPr>
      <w:r w:rsidRPr="002F17B5">
        <w:t>The cost of an asset at the time it was bought.</w:t>
      </w:r>
    </w:p>
    <w:p w14:paraId="7E6969D2" w14:textId="77777777" w:rsidR="00BD38BE" w:rsidRPr="002F17B5" w:rsidRDefault="00BD38BE">
      <w:pPr>
        <w:spacing w:after="0"/>
        <w:rPr>
          <w:b/>
        </w:rPr>
      </w:pPr>
      <w:r w:rsidRPr="002F17B5">
        <w:rPr>
          <w:b/>
        </w:rPr>
        <w:t>Impairment</w:t>
      </w:r>
    </w:p>
    <w:p w14:paraId="2D0D8D29" w14:textId="77777777" w:rsidR="00BD38BE" w:rsidRPr="002F17B5" w:rsidRDefault="00BD38BE">
      <w:pPr>
        <w:spacing w:after="240"/>
      </w:pPr>
      <w:r w:rsidRPr="002F17B5">
        <w:t>Where the useful working life of an asset is significantly reduced – for example, because of damage to a piece of equipment or changes in technology which mean that a service can be provided more efficiently in other ways.  When the amount at which the asset is held exceeds the amount the authority could receive for the asset, an impairment loss is recognised.</w:t>
      </w:r>
    </w:p>
    <w:p w14:paraId="7BED18B6" w14:textId="77777777" w:rsidR="00BD38BE" w:rsidRPr="002F17B5" w:rsidRDefault="00BD38BE">
      <w:pPr>
        <w:spacing w:after="0"/>
        <w:rPr>
          <w:b/>
        </w:rPr>
      </w:pPr>
      <w:r w:rsidRPr="002F17B5">
        <w:rPr>
          <w:b/>
        </w:rPr>
        <w:t>Infrastructure assets</w:t>
      </w:r>
    </w:p>
    <w:p w14:paraId="51D9EE82" w14:textId="77777777" w:rsidR="00BD38BE" w:rsidRPr="002F17B5" w:rsidRDefault="00BD38BE">
      <w:pPr>
        <w:spacing w:after="240"/>
      </w:pPr>
      <w:r w:rsidRPr="002F17B5">
        <w:t>Highways fixed assets – for example, roads and bridges.</w:t>
      </w:r>
    </w:p>
    <w:p w14:paraId="309FDCC0" w14:textId="77777777" w:rsidR="00BD38BE" w:rsidRPr="002F17B5" w:rsidRDefault="00BD38BE">
      <w:pPr>
        <w:spacing w:after="0"/>
        <w:rPr>
          <w:b/>
        </w:rPr>
      </w:pPr>
      <w:r w:rsidRPr="002F17B5">
        <w:rPr>
          <w:b/>
        </w:rPr>
        <w:t>Intangible assets</w:t>
      </w:r>
    </w:p>
    <w:p w14:paraId="7FE47E53" w14:textId="77777777" w:rsidR="00BD38BE" w:rsidRDefault="00BD38BE">
      <w:pPr>
        <w:spacing w:after="240"/>
      </w:pPr>
      <w:r w:rsidRPr="002F17B5">
        <w:t>Assets which do not have a physical form. Examples include computer software, brand names, patents and copyrights.</w:t>
      </w:r>
    </w:p>
    <w:p w14:paraId="7BCF286A" w14:textId="77777777" w:rsidR="00BD38BE" w:rsidRPr="002F17B5" w:rsidRDefault="00BD38BE">
      <w:pPr>
        <w:spacing w:after="0"/>
        <w:rPr>
          <w:b/>
        </w:rPr>
      </w:pPr>
      <w:r w:rsidRPr="002F17B5">
        <w:rPr>
          <w:b/>
        </w:rPr>
        <w:t>Interest cost (pensions)</w:t>
      </w:r>
    </w:p>
    <w:p w14:paraId="554E6ADC" w14:textId="77777777" w:rsidR="00BD38BE" w:rsidRPr="002F17B5" w:rsidRDefault="00BD38BE">
      <w:pPr>
        <w:spacing w:after="240"/>
      </w:pPr>
      <w:r w:rsidRPr="002F17B5">
        <w:t>The expected increase in the value of pension scheme liabilities because benefits are one year closer to being paid.</w:t>
      </w:r>
    </w:p>
    <w:p w14:paraId="3C66599B" w14:textId="77777777" w:rsidR="00BD38BE" w:rsidRPr="002F17B5" w:rsidRDefault="00BD38BE" w:rsidP="00A06955">
      <w:pPr>
        <w:spacing w:after="0"/>
        <w:rPr>
          <w:b/>
        </w:rPr>
      </w:pPr>
      <w:r w:rsidRPr="002F17B5">
        <w:rPr>
          <w:b/>
        </w:rPr>
        <w:t>Investing activities</w:t>
      </w:r>
    </w:p>
    <w:p w14:paraId="3D88676D" w14:textId="77777777" w:rsidR="00BD38BE" w:rsidRPr="002F17B5" w:rsidRDefault="00BD38BE" w:rsidP="00A06955">
      <w:r w:rsidRPr="002F17B5">
        <w:t>The acquisition of and disposal of long term assets and other investments not included as part of cash equivalents.</w:t>
      </w:r>
    </w:p>
    <w:p w14:paraId="34F48B74" w14:textId="77777777" w:rsidR="00BD38BE" w:rsidRPr="002F17B5" w:rsidRDefault="00BD38BE" w:rsidP="00BD38BE">
      <w:pPr>
        <w:spacing w:after="0"/>
        <w:rPr>
          <w:b/>
        </w:rPr>
      </w:pPr>
      <w:r w:rsidRPr="002F17B5">
        <w:rPr>
          <w:b/>
        </w:rPr>
        <w:t>Investment property</w:t>
      </w:r>
    </w:p>
    <w:p w14:paraId="2496A63A" w14:textId="77777777" w:rsidR="00BD38BE" w:rsidRPr="002F17B5" w:rsidRDefault="00BD38BE" w:rsidP="002F7DF7">
      <w:pPr>
        <w:spacing w:after="240"/>
      </w:pPr>
      <w:r w:rsidRPr="002F17B5">
        <w:t>Property held solely to earn rentals or for capital appreciation, not as part of service delivery.</w:t>
      </w:r>
    </w:p>
    <w:p w14:paraId="4273C4AE" w14:textId="77777777" w:rsidR="00BD38BE" w:rsidRPr="002F17B5" w:rsidRDefault="00BD38BE">
      <w:pPr>
        <w:spacing w:after="0"/>
        <w:rPr>
          <w:b/>
        </w:rPr>
      </w:pPr>
      <w:r w:rsidRPr="002F17B5">
        <w:rPr>
          <w:b/>
        </w:rPr>
        <w:t>Market value</w:t>
      </w:r>
    </w:p>
    <w:p w14:paraId="6E4D173B" w14:textId="77777777" w:rsidR="00BD38BE" w:rsidRPr="002F17B5" w:rsidRDefault="00BD38BE">
      <w:pPr>
        <w:spacing w:after="240"/>
      </w:pPr>
      <w:r w:rsidRPr="002F17B5">
        <w:t>The monetary value of an asset as determined by current market conditions at the balance sheet date.</w:t>
      </w:r>
    </w:p>
    <w:p w14:paraId="1E813257" w14:textId="77777777" w:rsidR="00BD38BE" w:rsidRPr="002F17B5" w:rsidRDefault="00BD38BE">
      <w:pPr>
        <w:spacing w:after="0"/>
        <w:rPr>
          <w:b/>
        </w:rPr>
      </w:pPr>
      <w:r w:rsidRPr="002F17B5">
        <w:rPr>
          <w:b/>
        </w:rPr>
        <w:t>Materiality</w:t>
      </w:r>
    </w:p>
    <w:p w14:paraId="5D74E97A" w14:textId="77777777" w:rsidR="00BD38BE" w:rsidRPr="002F17B5" w:rsidRDefault="00BD38BE">
      <w:pPr>
        <w:spacing w:after="240"/>
      </w:pPr>
      <w:r w:rsidRPr="002F17B5">
        <w:t>The concept that any omission from or inaccuracy in the statement of accounts should not be so large as to affect the understanding of those statements by a reader.</w:t>
      </w:r>
    </w:p>
    <w:p w14:paraId="692DDE29" w14:textId="77777777" w:rsidR="00BD38BE" w:rsidRPr="002F17B5" w:rsidRDefault="00BD38BE">
      <w:pPr>
        <w:spacing w:after="0"/>
        <w:rPr>
          <w:b/>
        </w:rPr>
      </w:pPr>
      <w:r w:rsidRPr="002F17B5">
        <w:rPr>
          <w:b/>
        </w:rPr>
        <w:t>Minimum revenue provision</w:t>
      </w:r>
    </w:p>
    <w:p w14:paraId="1FB0B9DE" w14:textId="77777777" w:rsidR="00BD38BE" w:rsidRPr="002F17B5" w:rsidRDefault="00BD38BE">
      <w:pPr>
        <w:spacing w:after="240"/>
      </w:pPr>
      <w:r w:rsidRPr="002F17B5">
        <w:t>The minimum amount (as laid down in statute) that the county council must charge to the accounts each year in order to meet the costs of repaying amounts borrowed.</w:t>
      </w:r>
    </w:p>
    <w:p w14:paraId="59D72D7F" w14:textId="77777777" w:rsidR="00BD38BE" w:rsidRPr="002F17B5" w:rsidRDefault="00BD38BE">
      <w:pPr>
        <w:rPr>
          <w:b/>
          <w:sz w:val="2"/>
        </w:rPr>
      </w:pPr>
    </w:p>
    <w:p w14:paraId="2EF955A7" w14:textId="77777777" w:rsidR="00BD38BE" w:rsidRPr="002F17B5" w:rsidRDefault="00BD38BE">
      <w:pPr>
        <w:spacing w:after="0"/>
        <w:rPr>
          <w:b/>
        </w:rPr>
      </w:pPr>
      <w:r w:rsidRPr="002F17B5">
        <w:rPr>
          <w:b/>
        </w:rPr>
        <w:t>National non-domestic rate (NDR)</w:t>
      </w:r>
    </w:p>
    <w:p w14:paraId="2E57AC74" w14:textId="77777777" w:rsidR="00BD38BE" w:rsidRPr="002F17B5" w:rsidRDefault="00BD38BE">
      <w:pPr>
        <w:spacing w:after="240"/>
      </w:pPr>
      <w:r w:rsidRPr="002F17B5">
        <w:t>The government levies a standard rate on all properties used for commercial purposes and cannot increase it by any more that the retail price index. Rates are collected on behalf of the government by district councils, and are then redistributed from a national pot as part of formula grant.</w:t>
      </w:r>
    </w:p>
    <w:p w14:paraId="747FAE3C" w14:textId="77777777" w:rsidR="00BD38BE" w:rsidRPr="002F17B5" w:rsidRDefault="00BD38BE">
      <w:pPr>
        <w:spacing w:after="0"/>
        <w:rPr>
          <w:b/>
        </w:rPr>
      </w:pPr>
      <w:r w:rsidRPr="002F17B5">
        <w:rPr>
          <w:b/>
        </w:rPr>
        <w:t>Net book value</w:t>
      </w:r>
    </w:p>
    <w:p w14:paraId="614C3AAB" w14:textId="77777777" w:rsidR="00BD38BE" w:rsidRPr="002F17B5" w:rsidRDefault="00BD38BE">
      <w:pPr>
        <w:spacing w:after="240"/>
      </w:pPr>
      <w:r w:rsidRPr="002F17B5">
        <w:t>The amount at which fixed assets are included in the balance sheet (i.e. their historical cost or current value less the cumulative amounts provided for depreciation).</w:t>
      </w:r>
    </w:p>
    <w:p w14:paraId="44738A29" w14:textId="77777777" w:rsidR="00BD38BE" w:rsidRPr="002F17B5" w:rsidRDefault="00BD38BE">
      <w:pPr>
        <w:spacing w:after="0"/>
        <w:rPr>
          <w:b/>
        </w:rPr>
      </w:pPr>
      <w:r w:rsidRPr="002F17B5">
        <w:rPr>
          <w:b/>
        </w:rPr>
        <w:t>Net nil trading position</w:t>
      </w:r>
    </w:p>
    <w:p w14:paraId="1F883125" w14:textId="77777777" w:rsidR="00BD38BE" w:rsidRDefault="00BD38BE">
      <w:pPr>
        <w:spacing w:after="240"/>
      </w:pPr>
      <w:r w:rsidRPr="002F17B5">
        <w:t>This is where spending matches income.</w:t>
      </w:r>
    </w:p>
    <w:p w14:paraId="2791867F" w14:textId="77777777" w:rsidR="00B06EA4" w:rsidRDefault="00B06EA4">
      <w:pPr>
        <w:spacing w:after="0"/>
        <w:rPr>
          <w:b/>
        </w:rPr>
      </w:pPr>
    </w:p>
    <w:p w14:paraId="46D221A5" w14:textId="77777777" w:rsidR="00BD38BE" w:rsidRPr="002F17B5" w:rsidRDefault="00BD38BE">
      <w:pPr>
        <w:spacing w:after="0"/>
        <w:rPr>
          <w:b/>
        </w:rPr>
      </w:pPr>
      <w:r w:rsidRPr="002F17B5">
        <w:rPr>
          <w:b/>
        </w:rPr>
        <w:t>Net pension liability</w:t>
      </w:r>
    </w:p>
    <w:p w14:paraId="0661A28B" w14:textId="77777777" w:rsidR="00BD38BE" w:rsidRPr="002F17B5" w:rsidRDefault="00BD38BE">
      <w:pPr>
        <w:spacing w:after="240"/>
      </w:pPr>
      <w:r w:rsidRPr="002F17B5">
        <w:t>The amount the pension scheme will have to pay out in the future, less the value of pension fund assets.</w:t>
      </w:r>
    </w:p>
    <w:p w14:paraId="6AA55BAD" w14:textId="77777777" w:rsidR="00BD38BE" w:rsidRPr="002F17B5" w:rsidRDefault="00BD38BE">
      <w:pPr>
        <w:spacing w:after="0"/>
        <w:rPr>
          <w:b/>
        </w:rPr>
      </w:pPr>
      <w:r w:rsidRPr="002F17B5">
        <w:rPr>
          <w:b/>
        </w:rPr>
        <w:t>Net realisable value</w:t>
      </w:r>
    </w:p>
    <w:p w14:paraId="64BAE9FE" w14:textId="77777777" w:rsidR="00BD38BE" w:rsidRPr="002F17B5" w:rsidRDefault="00BD38BE">
      <w:pPr>
        <w:spacing w:after="240"/>
      </w:pPr>
      <w:r w:rsidRPr="002F17B5">
        <w:t>The amount for which an asset can be sold, less the cost of selling it.</w:t>
      </w:r>
    </w:p>
    <w:p w14:paraId="71AF8F8F" w14:textId="77777777" w:rsidR="00BD38BE" w:rsidRPr="002F17B5" w:rsidRDefault="00BD38BE">
      <w:pPr>
        <w:spacing w:after="0"/>
        <w:rPr>
          <w:b/>
        </w:rPr>
      </w:pPr>
      <w:r w:rsidRPr="002F17B5">
        <w:rPr>
          <w:b/>
        </w:rPr>
        <w:t>Nil consideration</w:t>
      </w:r>
    </w:p>
    <w:p w14:paraId="77235C6E" w14:textId="77777777" w:rsidR="00BD38BE" w:rsidRPr="002F17B5" w:rsidRDefault="00BD38BE">
      <w:pPr>
        <w:spacing w:after="240"/>
      </w:pPr>
      <w:r w:rsidRPr="002F17B5">
        <w:t>Where no charge is made for an item.</w:t>
      </w:r>
    </w:p>
    <w:p w14:paraId="229DCEFD" w14:textId="77777777" w:rsidR="00BD38BE" w:rsidRPr="002F17B5" w:rsidRDefault="00BD38BE">
      <w:pPr>
        <w:spacing w:after="0"/>
        <w:rPr>
          <w:b/>
        </w:rPr>
      </w:pPr>
      <w:r w:rsidRPr="002F17B5">
        <w:rPr>
          <w:b/>
        </w:rPr>
        <w:t>Nominal value of a financial instrument</w:t>
      </w:r>
    </w:p>
    <w:p w14:paraId="1B1A9076" w14:textId="77777777" w:rsidR="00BD38BE" w:rsidRPr="002F17B5" w:rsidRDefault="00BD38BE">
      <w:pPr>
        <w:spacing w:after="200"/>
      </w:pPr>
      <w:r w:rsidRPr="002F17B5">
        <w:t>The nominal value of a financial instrument is the amount, exclusive of interest, payable or receivable when the instrument matures.</w:t>
      </w:r>
    </w:p>
    <w:p w14:paraId="6524BC75" w14:textId="77777777" w:rsidR="00BD38BE" w:rsidRPr="002F17B5" w:rsidRDefault="00BD38BE">
      <w:pPr>
        <w:spacing w:after="0"/>
        <w:rPr>
          <w:b/>
        </w:rPr>
      </w:pPr>
      <w:r w:rsidRPr="002F17B5">
        <w:rPr>
          <w:b/>
        </w:rPr>
        <w:t>Non-distributed costs</w:t>
      </w:r>
    </w:p>
    <w:p w14:paraId="4D5EBA2E" w14:textId="77777777" w:rsidR="00BD38BE" w:rsidRPr="002F17B5" w:rsidRDefault="00BD38BE">
      <w:pPr>
        <w:spacing w:after="240"/>
      </w:pPr>
      <w:r w:rsidRPr="002F17B5">
        <w:t>These are costs that cannot be specifically applied to a service or services and are held centrally, comprising certain pension costs and the costs of unused shares of IT facilities and other assets.</w:t>
      </w:r>
    </w:p>
    <w:p w14:paraId="46196335" w14:textId="77777777" w:rsidR="00BD38BE" w:rsidRPr="002F17B5" w:rsidRDefault="00BD38BE">
      <w:pPr>
        <w:spacing w:after="0"/>
        <w:rPr>
          <w:b/>
        </w:rPr>
      </w:pPr>
      <w:r w:rsidRPr="002F17B5">
        <w:rPr>
          <w:b/>
        </w:rPr>
        <w:t>Non-operational assets</w:t>
      </w:r>
    </w:p>
    <w:p w14:paraId="56FFC2B1" w14:textId="77777777" w:rsidR="00BD38BE" w:rsidRPr="002F17B5" w:rsidRDefault="00BD38BE">
      <w:pPr>
        <w:spacing w:after="240"/>
      </w:pPr>
      <w:r w:rsidRPr="002F17B5">
        <w:t>Assets which are not in use.</w:t>
      </w:r>
    </w:p>
    <w:p w14:paraId="2CDCE35C" w14:textId="77777777" w:rsidR="00BD38BE" w:rsidRPr="002F17B5" w:rsidRDefault="00BD38BE">
      <w:pPr>
        <w:spacing w:after="0"/>
        <w:rPr>
          <w:b/>
        </w:rPr>
      </w:pPr>
      <w:r w:rsidRPr="002F17B5">
        <w:rPr>
          <w:b/>
        </w:rPr>
        <w:t>Operating lease</w:t>
      </w:r>
    </w:p>
    <w:p w14:paraId="310AF8D8" w14:textId="77777777" w:rsidR="00BD38BE" w:rsidRPr="002F17B5" w:rsidRDefault="00BD38BE">
      <w:pPr>
        <w:spacing w:after="240"/>
      </w:pPr>
      <w:r w:rsidRPr="002F17B5">
        <w:t xml:space="preserve">A lease where ownership of the goods remains with the company leasing them. </w:t>
      </w:r>
    </w:p>
    <w:p w14:paraId="0CF947B2" w14:textId="77777777" w:rsidR="00BD38BE" w:rsidRPr="002F17B5" w:rsidRDefault="00BD38BE">
      <w:pPr>
        <w:spacing w:after="0"/>
        <w:rPr>
          <w:b/>
        </w:rPr>
      </w:pPr>
      <w:r w:rsidRPr="002F17B5">
        <w:rPr>
          <w:b/>
        </w:rPr>
        <w:t>Operational assets</w:t>
      </w:r>
    </w:p>
    <w:p w14:paraId="5240273E" w14:textId="77777777" w:rsidR="00BD38BE" w:rsidRPr="002F17B5" w:rsidRDefault="00BD38BE">
      <w:pPr>
        <w:spacing w:after="240"/>
      </w:pPr>
      <w:r w:rsidRPr="002F17B5">
        <w:t>Assets used for day-to-day activities – for example, land, buildings, furniture and equipment.</w:t>
      </w:r>
    </w:p>
    <w:p w14:paraId="022E5C7B" w14:textId="77777777" w:rsidR="00BD38BE" w:rsidRPr="002F17B5" w:rsidRDefault="00BD38BE">
      <w:pPr>
        <w:spacing w:after="0"/>
        <w:rPr>
          <w:b/>
        </w:rPr>
      </w:pPr>
      <w:r w:rsidRPr="002F17B5">
        <w:rPr>
          <w:b/>
        </w:rPr>
        <w:t>Past service cost or gain (IAS 19)</w:t>
      </w:r>
    </w:p>
    <w:p w14:paraId="479E7DD3" w14:textId="77777777" w:rsidR="00BD38BE" w:rsidRPr="002F17B5" w:rsidRDefault="00BD38BE">
      <w:pPr>
        <w:spacing w:after="240"/>
      </w:pPr>
      <w:r w:rsidRPr="002F17B5">
        <w:t>The increase or decrease in pension scheme liabilities as a result of changes to benefits earned in previous years – for example, because of early retirement or changes to regulations.</w:t>
      </w:r>
    </w:p>
    <w:p w14:paraId="264DE8C3" w14:textId="77777777" w:rsidR="00BD38BE" w:rsidRPr="002F17B5" w:rsidRDefault="00BD38BE">
      <w:pPr>
        <w:spacing w:after="0"/>
        <w:rPr>
          <w:b/>
        </w:rPr>
      </w:pPr>
      <w:r w:rsidRPr="002F17B5">
        <w:rPr>
          <w:b/>
        </w:rPr>
        <w:t>Pension enhancements</w:t>
      </w:r>
    </w:p>
    <w:p w14:paraId="15E75AE8" w14:textId="77777777" w:rsidR="00BD38BE" w:rsidRPr="002F17B5" w:rsidRDefault="00BD38BE">
      <w:pPr>
        <w:spacing w:after="240"/>
      </w:pPr>
      <w:r w:rsidRPr="002F17B5">
        <w:t>Additional pension benefits (such as added years on early retirement) awarded to scheme members in line with the county council’s general conditions of employment.</w:t>
      </w:r>
    </w:p>
    <w:p w14:paraId="6797367E" w14:textId="77777777" w:rsidR="00BD38BE" w:rsidRPr="002F17B5" w:rsidRDefault="00BD38BE">
      <w:pPr>
        <w:spacing w:after="0"/>
        <w:rPr>
          <w:b/>
        </w:rPr>
      </w:pPr>
      <w:r w:rsidRPr="002F17B5">
        <w:rPr>
          <w:b/>
        </w:rPr>
        <w:t>Pooled investment vehicle</w:t>
      </w:r>
    </w:p>
    <w:p w14:paraId="2F12732A" w14:textId="77777777" w:rsidR="00BD38BE" w:rsidRPr="002F17B5" w:rsidRDefault="00BD38BE">
      <w:pPr>
        <w:spacing w:after="240"/>
      </w:pPr>
      <w:r w:rsidRPr="002F17B5">
        <w:t>Where a pension fund invests in a fund with other investors. This fund in turn buys and owns assets.</w:t>
      </w:r>
    </w:p>
    <w:p w14:paraId="71D8E19B" w14:textId="77777777" w:rsidR="00BD38BE" w:rsidRPr="002F17B5" w:rsidRDefault="00BD38BE">
      <w:pPr>
        <w:spacing w:after="0"/>
        <w:rPr>
          <w:b/>
        </w:rPr>
      </w:pPr>
      <w:r w:rsidRPr="002F17B5">
        <w:rPr>
          <w:b/>
        </w:rPr>
        <w:t>Precept</w:t>
      </w:r>
    </w:p>
    <w:p w14:paraId="2853DEDC" w14:textId="77777777" w:rsidR="00BD38BE" w:rsidRPr="002F17B5" w:rsidRDefault="00BD38BE">
      <w:pPr>
        <w:spacing w:after="240"/>
      </w:pPr>
      <w:r w:rsidRPr="002F17B5">
        <w:t>A charge made by one authority which is collected by another authority – for example, the council tax precept.</w:t>
      </w:r>
    </w:p>
    <w:p w14:paraId="349978F6" w14:textId="77777777" w:rsidR="00BD38BE" w:rsidRPr="002F17B5" w:rsidRDefault="00BD38BE">
      <w:pPr>
        <w:spacing w:after="0"/>
        <w:rPr>
          <w:b/>
        </w:rPr>
      </w:pPr>
      <w:r w:rsidRPr="002F17B5">
        <w:rPr>
          <w:b/>
        </w:rPr>
        <w:t>Principal</w:t>
      </w:r>
    </w:p>
    <w:p w14:paraId="7EC24370" w14:textId="77777777" w:rsidR="00BD38BE" w:rsidRPr="002F17B5" w:rsidRDefault="00BD38BE">
      <w:pPr>
        <w:spacing w:after="240"/>
      </w:pPr>
      <w:r w:rsidRPr="002F17B5">
        <w:t>The amount of money borrowed, not including interest charges.</w:t>
      </w:r>
    </w:p>
    <w:p w14:paraId="7DA22A3A" w14:textId="77777777" w:rsidR="00BD38BE" w:rsidRPr="002F17B5" w:rsidRDefault="00BD38BE">
      <w:pPr>
        <w:spacing w:after="0"/>
        <w:rPr>
          <w:b/>
        </w:rPr>
      </w:pPr>
      <w:r w:rsidRPr="002F17B5">
        <w:rPr>
          <w:b/>
        </w:rPr>
        <w:t>Principal repayment of debt</w:t>
      </w:r>
    </w:p>
    <w:p w14:paraId="513AEDBA" w14:textId="77777777" w:rsidR="00BD38BE" w:rsidRPr="002F17B5" w:rsidRDefault="00BD38BE">
      <w:pPr>
        <w:spacing w:after="240"/>
      </w:pPr>
      <w:r w:rsidRPr="002F17B5">
        <w:t>Re-payment of a loan, not including interest charges.</w:t>
      </w:r>
    </w:p>
    <w:p w14:paraId="5CBEDFBF" w14:textId="77777777" w:rsidR="00BD38BE" w:rsidRPr="002F17B5" w:rsidRDefault="00BD38BE">
      <w:pPr>
        <w:spacing w:after="0"/>
        <w:rPr>
          <w:b/>
        </w:rPr>
      </w:pPr>
      <w:r w:rsidRPr="002F17B5">
        <w:rPr>
          <w:b/>
        </w:rPr>
        <w:t>Prior period adjustments</w:t>
      </w:r>
    </w:p>
    <w:p w14:paraId="5AEC757F" w14:textId="77777777" w:rsidR="00021254" w:rsidRDefault="00BD38BE">
      <w:pPr>
        <w:spacing w:after="240"/>
      </w:pPr>
      <w:r w:rsidRPr="002F17B5">
        <w:t xml:space="preserve">Those material adjustments applicable to prior years arising from changes in accounting policies or from the correction of fundamental errors. </w:t>
      </w:r>
    </w:p>
    <w:p w14:paraId="3F4BE6DB" w14:textId="3C6465AC" w:rsidR="00BD38BE" w:rsidRPr="002F17B5" w:rsidRDefault="00BD38BE">
      <w:pPr>
        <w:spacing w:after="240"/>
      </w:pPr>
      <w:r w:rsidRPr="002F17B5">
        <w:t>A fundamental error is one that is of such significance as to destroy the validity of the financial statements. They do not include normal recurring corrections or adjustments of accounting estimates made in prior years.</w:t>
      </w:r>
    </w:p>
    <w:p w14:paraId="5DE423BE" w14:textId="77D7BD7A" w:rsidR="00BD38BE" w:rsidRPr="002F17B5" w:rsidRDefault="008E7863">
      <w:pPr>
        <w:spacing w:after="0"/>
        <w:rPr>
          <w:b/>
        </w:rPr>
      </w:pPr>
      <w:r>
        <w:rPr>
          <w:b/>
        </w:rPr>
        <w:t>Private Finance I</w:t>
      </w:r>
      <w:r w:rsidR="00BD38BE" w:rsidRPr="002F17B5">
        <w:rPr>
          <w:b/>
        </w:rPr>
        <w:t>nitiative (PFI)</w:t>
      </w:r>
    </w:p>
    <w:p w14:paraId="143C151B" w14:textId="77777777" w:rsidR="00BD38BE" w:rsidRDefault="00BD38BE">
      <w:pPr>
        <w:spacing w:after="240"/>
      </w:pPr>
      <w:r w:rsidRPr="002F17B5">
        <w:t>A means of securing new assets and associated services in partnership with the private sector.</w:t>
      </w:r>
    </w:p>
    <w:p w14:paraId="6002618E" w14:textId="77777777" w:rsidR="00BD38BE" w:rsidRPr="002F17B5" w:rsidRDefault="00BD38BE">
      <w:pPr>
        <w:spacing w:after="0"/>
        <w:rPr>
          <w:b/>
        </w:rPr>
      </w:pPr>
      <w:r w:rsidRPr="002F17B5">
        <w:rPr>
          <w:b/>
        </w:rPr>
        <w:t>Projected unit method (Pensions)</w:t>
      </w:r>
    </w:p>
    <w:p w14:paraId="56657FFE" w14:textId="77777777" w:rsidR="00BD38BE" w:rsidRPr="002F17B5" w:rsidRDefault="00BD38BE">
      <w:pPr>
        <w:spacing w:after="240"/>
      </w:pPr>
      <w:r w:rsidRPr="002F17B5">
        <w:t>An accrued benefits valuation method in which the scheme liabilities make allowance for the projected earnings. An accrued benefits valuation method is a valuation method in which the scheme liabilities at the valuation date relate to:</w:t>
      </w:r>
    </w:p>
    <w:p w14:paraId="0EEC1356" w14:textId="77777777" w:rsidR="00BD38BE" w:rsidRPr="002F17B5" w:rsidRDefault="00BD38BE">
      <w:pPr>
        <w:spacing w:after="0"/>
        <w:ind w:left="720" w:hanging="720"/>
      </w:pPr>
      <w:r w:rsidRPr="002F17B5">
        <w:t>(a)</w:t>
      </w:r>
      <w:r w:rsidRPr="002F17B5">
        <w:tab/>
        <w:t>the benefits for pensioners and deferred pensioners (i.e. individuals who have ceased to be active members but are entitled to benefits payable at a later date) and their dependants, allowing where appropriate for future increases, and</w:t>
      </w:r>
    </w:p>
    <w:p w14:paraId="11AE787A" w14:textId="77777777" w:rsidR="00BD38BE" w:rsidRPr="002F17B5" w:rsidRDefault="00BD38BE">
      <w:pPr>
        <w:spacing w:after="0"/>
        <w:ind w:left="720" w:hanging="720"/>
      </w:pPr>
    </w:p>
    <w:p w14:paraId="6D509691" w14:textId="77777777" w:rsidR="00BD38BE" w:rsidRPr="002F17B5" w:rsidRDefault="00BD38BE">
      <w:pPr>
        <w:spacing w:after="0"/>
        <w:ind w:left="720" w:hanging="720"/>
        <w:rPr>
          <w:sz w:val="23"/>
          <w:szCs w:val="23"/>
        </w:rPr>
      </w:pPr>
      <w:r w:rsidRPr="002F17B5">
        <w:t>(b)</w:t>
      </w:r>
      <w:r w:rsidRPr="002F17B5">
        <w:tab/>
        <w:t>The accrued benefits for members in service on the valuation date (a</w:t>
      </w:r>
      <w:r w:rsidRPr="002F17B5">
        <w:rPr>
          <w:sz w:val="23"/>
          <w:szCs w:val="23"/>
        </w:rPr>
        <w:t xml:space="preserve">ccrued benefits are the benefits for service up to a given point in time, whether vested rights or not). </w:t>
      </w:r>
    </w:p>
    <w:p w14:paraId="47AD25FF" w14:textId="77777777" w:rsidR="00BD38BE" w:rsidRPr="002F17B5" w:rsidRDefault="00BD38BE">
      <w:pPr>
        <w:spacing w:after="0"/>
        <w:ind w:left="720" w:hanging="720"/>
        <w:rPr>
          <w:sz w:val="8"/>
        </w:rPr>
      </w:pPr>
    </w:p>
    <w:p w14:paraId="58978213" w14:textId="77777777" w:rsidR="00BD38BE" w:rsidRPr="002F17B5" w:rsidRDefault="00BD38BE">
      <w:pPr>
        <w:spacing w:after="0"/>
        <w:rPr>
          <w:b/>
        </w:rPr>
      </w:pPr>
      <w:r w:rsidRPr="002F17B5">
        <w:rPr>
          <w:b/>
        </w:rPr>
        <w:t>Provisions</w:t>
      </w:r>
    </w:p>
    <w:p w14:paraId="4765F5F5" w14:textId="77777777" w:rsidR="00BD38BE" w:rsidRPr="002F17B5" w:rsidRDefault="00BD38BE">
      <w:pPr>
        <w:spacing w:after="240"/>
      </w:pPr>
      <w:r w:rsidRPr="002F17B5">
        <w:t>Liabilities of uncertain timing or amount.</w:t>
      </w:r>
    </w:p>
    <w:p w14:paraId="2D9996CA" w14:textId="77777777" w:rsidR="00BD38BE" w:rsidRPr="002F17B5" w:rsidRDefault="00BD38BE">
      <w:pPr>
        <w:spacing w:after="0"/>
        <w:rPr>
          <w:b/>
        </w:rPr>
      </w:pPr>
      <w:r w:rsidRPr="002F17B5">
        <w:rPr>
          <w:b/>
        </w:rPr>
        <w:t>Public Works Loan Board (PWLB)</w:t>
      </w:r>
    </w:p>
    <w:p w14:paraId="783A949A" w14:textId="77777777" w:rsidR="00BD38BE" w:rsidRPr="002F17B5" w:rsidRDefault="00BD38BE">
      <w:pPr>
        <w:spacing w:after="240"/>
      </w:pPr>
      <w:r w:rsidRPr="002F17B5">
        <w:t>A government agency which provides longer</w:t>
      </w:r>
      <w:r w:rsidRPr="002F17B5">
        <w:noBreakHyphen/>
        <w:t>term loans to local authorities at interest rates only slightly higher than those at which the government itself can borrow.</w:t>
      </w:r>
    </w:p>
    <w:p w14:paraId="7A63D440" w14:textId="77777777" w:rsidR="00BD38BE" w:rsidRPr="002F17B5" w:rsidRDefault="00BD38BE">
      <w:pPr>
        <w:spacing w:after="0"/>
        <w:rPr>
          <w:b/>
        </w:rPr>
      </w:pPr>
      <w:r w:rsidRPr="002F17B5">
        <w:rPr>
          <w:b/>
        </w:rPr>
        <w:t>Realisable value</w:t>
      </w:r>
    </w:p>
    <w:p w14:paraId="62D28246" w14:textId="77777777" w:rsidR="00BD38BE" w:rsidRPr="002F17B5" w:rsidRDefault="00BD38BE">
      <w:pPr>
        <w:spacing w:after="240"/>
      </w:pPr>
      <w:r w:rsidRPr="002F17B5">
        <w:t>The amount for which an asset can be sold.</w:t>
      </w:r>
    </w:p>
    <w:p w14:paraId="40DCAE57" w14:textId="77777777" w:rsidR="00BD38BE" w:rsidRPr="002F17B5" w:rsidRDefault="00BD38BE">
      <w:pPr>
        <w:spacing w:after="0"/>
        <w:rPr>
          <w:b/>
        </w:rPr>
      </w:pPr>
      <w:r w:rsidRPr="002F17B5">
        <w:rPr>
          <w:b/>
        </w:rPr>
        <w:t>Reconciliation</w:t>
      </w:r>
    </w:p>
    <w:p w14:paraId="6D19238F" w14:textId="77777777" w:rsidR="00BD38BE" w:rsidRPr="002F17B5" w:rsidRDefault="00BD38BE">
      <w:pPr>
        <w:spacing w:after="240"/>
      </w:pPr>
      <w:r w:rsidRPr="002F17B5">
        <w:t>The process of checking figures from different sources which should logically match up – for example, matching invoices paid against amounts banked.</w:t>
      </w:r>
    </w:p>
    <w:p w14:paraId="78760AA0" w14:textId="77777777" w:rsidR="00BD38BE" w:rsidRPr="002F17B5" w:rsidRDefault="00BD38BE">
      <w:pPr>
        <w:spacing w:after="0"/>
        <w:rPr>
          <w:b/>
        </w:rPr>
      </w:pPr>
      <w:r w:rsidRPr="002F17B5">
        <w:rPr>
          <w:b/>
        </w:rPr>
        <w:t>REFCUS (Revenue Expenditure Funded from Capital Under Statute)</w:t>
      </w:r>
    </w:p>
    <w:p w14:paraId="638288B2" w14:textId="77777777" w:rsidR="00BD38BE" w:rsidRDefault="00BD38BE" w:rsidP="00A06955">
      <w:r w:rsidRPr="002F17B5">
        <w:t>Capital expenditure which does not create or add to the value of an item of property, plant</w:t>
      </w:r>
      <w:r w:rsidR="003311AD">
        <w:t xml:space="preserve"> </w:t>
      </w:r>
      <w:r w:rsidRPr="002F17B5">
        <w:t>or equipment belonging to Lancashire County Council.</w:t>
      </w:r>
    </w:p>
    <w:p w14:paraId="21C2F626" w14:textId="77777777" w:rsidR="003311AD" w:rsidRPr="002F17B5" w:rsidRDefault="003311AD" w:rsidP="00A06955">
      <w:pPr>
        <w:rPr>
          <w:sz w:val="2"/>
        </w:rPr>
      </w:pPr>
    </w:p>
    <w:p w14:paraId="4F69CF58" w14:textId="77777777" w:rsidR="00BD38BE" w:rsidRPr="002F17B5" w:rsidRDefault="00BD38BE" w:rsidP="003311AD">
      <w:pPr>
        <w:spacing w:after="0"/>
        <w:rPr>
          <w:b/>
        </w:rPr>
      </w:pPr>
      <w:r w:rsidRPr="002F17B5">
        <w:rPr>
          <w:b/>
        </w:rPr>
        <w:t>Related party</w:t>
      </w:r>
    </w:p>
    <w:p w14:paraId="29443E02" w14:textId="77777777" w:rsidR="00BD38BE" w:rsidRPr="002F17B5" w:rsidRDefault="00BD38BE" w:rsidP="002F7DF7">
      <w:pPr>
        <w:spacing w:after="240"/>
      </w:pPr>
      <w:r w:rsidRPr="002F17B5">
        <w:t>A person or organisation which has influence over another person or organisation.</w:t>
      </w:r>
    </w:p>
    <w:p w14:paraId="3A0BA0CD" w14:textId="77777777" w:rsidR="00BD38BE" w:rsidRPr="002F17B5" w:rsidRDefault="00BD38BE">
      <w:pPr>
        <w:spacing w:after="0"/>
        <w:rPr>
          <w:rFonts w:cs="Arial"/>
          <w:b/>
          <w:szCs w:val="22"/>
        </w:rPr>
      </w:pPr>
      <w:r w:rsidRPr="002F17B5">
        <w:rPr>
          <w:rFonts w:cs="Arial"/>
          <w:b/>
          <w:szCs w:val="22"/>
        </w:rPr>
        <w:t>Re</w:t>
      </w:r>
      <w:r>
        <w:rPr>
          <w:rFonts w:cs="Arial"/>
          <w:b/>
          <w:szCs w:val="22"/>
        </w:rPr>
        <w:t>-</w:t>
      </w:r>
      <w:r w:rsidRPr="002F17B5">
        <w:rPr>
          <w:rFonts w:cs="Arial"/>
          <w:b/>
          <w:szCs w:val="22"/>
        </w:rPr>
        <w:t>measurements – Assets (IAS 19)</w:t>
      </w:r>
    </w:p>
    <w:p w14:paraId="6B24BCA6" w14:textId="77777777" w:rsidR="00BD38BE" w:rsidRPr="002F17B5" w:rsidRDefault="00BD38BE">
      <w:pPr>
        <w:rPr>
          <w:rFonts w:cs="Arial"/>
          <w:szCs w:val="22"/>
        </w:rPr>
      </w:pPr>
      <w:r w:rsidRPr="002F17B5">
        <w:rPr>
          <w:rFonts w:cs="Arial"/>
          <w:szCs w:val="22"/>
        </w:rPr>
        <w:t>The return on assets net of administration expenses and interest on income</w:t>
      </w:r>
      <w:r w:rsidR="003311AD">
        <w:rPr>
          <w:rFonts w:cs="Arial"/>
          <w:szCs w:val="22"/>
        </w:rPr>
        <w:t>.</w:t>
      </w:r>
    </w:p>
    <w:p w14:paraId="7B6626E2" w14:textId="77777777" w:rsidR="00BD38BE" w:rsidRDefault="00BD38BE">
      <w:pPr>
        <w:spacing w:after="0"/>
        <w:rPr>
          <w:rFonts w:cs="Arial"/>
          <w:b/>
          <w:szCs w:val="22"/>
        </w:rPr>
      </w:pPr>
    </w:p>
    <w:p w14:paraId="18EEB29A" w14:textId="77777777" w:rsidR="00BD38BE" w:rsidRPr="002F17B5" w:rsidRDefault="00BD38BE">
      <w:pPr>
        <w:spacing w:after="0"/>
        <w:rPr>
          <w:b/>
          <w:sz w:val="26"/>
        </w:rPr>
      </w:pPr>
      <w:r w:rsidRPr="002F17B5">
        <w:rPr>
          <w:rFonts w:cs="Arial"/>
          <w:b/>
          <w:szCs w:val="22"/>
        </w:rPr>
        <w:t>Re</w:t>
      </w:r>
      <w:r>
        <w:rPr>
          <w:rFonts w:cs="Arial"/>
          <w:b/>
          <w:szCs w:val="22"/>
        </w:rPr>
        <w:t>-</w:t>
      </w:r>
      <w:r w:rsidRPr="002F17B5">
        <w:rPr>
          <w:rFonts w:cs="Arial"/>
          <w:b/>
          <w:szCs w:val="22"/>
        </w:rPr>
        <w:t>measurements – Liabilities (IAS 19)</w:t>
      </w:r>
    </w:p>
    <w:p w14:paraId="18467339" w14:textId="77777777" w:rsidR="00BD38BE" w:rsidRPr="002F17B5" w:rsidRDefault="00BD38BE">
      <w:r w:rsidRPr="002F17B5">
        <w:t>Re</w:t>
      </w:r>
      <w:r w:rsidR="003311AD">
        <w:t>-measurement o</w:t>
      </w:r>
      <w:r w:rsidRPr="002F17B5">
        <w:t>n liabilities that are subdivided into 'Experience gains (losses) on liabilities, gain (loss) on financial assumptions and gain (loss) on demographic assumption</w:t>
      </w:r>
      <w:r w:rsidR="003311AD">
        <w:t>.</w:t>
      </w:r>
    </w:p>
    <w:p w14:paraId="61BF0ACD" w14:textId="77777777" w:rsidR="00BD38BE" w:rsidRPr="002F17B5" w:rsidRDefault="00BD38BE">
      <w:pPr>
        <w:rPr>
          <w:b/>
          <w:sz w:val="2"/>
        </w:rPr>
      </w:pPr>
    </w:p>
    <w:p w14:paraId="790E440B" w14:textId="77777777" w:rsidR="00BD38BE" w:rsidRPr="002F17B5" w:rsidRDefault="00BD38BE">
      <w:pPr>
        <w:spacing w:after="0"/>
        <w:rPr>
          <w:b/>
        </w:rPr>
      </w:pPr>
      <w:r w:rsidRPr="002F17B5">
        <w:rPr>
          <w:b/>
        </w:rPr>
        <w:t>Reserves</w:t>
      </w:r>
    </w:p>
    <w:p w14:paraId="33555794" w14:textId="77777777" w:rsidR="00BD38BE" w:rsidRPr="002F17B5" w:rsidRDefault="00BD38BE">
      <w:pPr>
        <w:spacing w:after="240"/>
      </w:pPr>
      <w:r w:rsidRPr="002F17B5">
        <w:t>Amounts set aside in one year’s accounts which can be spent in later years. Some types of reserve can only be spent if certain conditions are met.</w:t>
      </w:r>
    </w:p>
    <w:p w14:paraId="6C0D8CB9" w14:textId="77777777" w:rsidR="00BD38BE" w:rsidRPr="002F17B5" w:rsidRDefault="00BD38BE">
      <w:pPr>
        <w:spacing w:after="0"/>
        <w:rPr>
          <w:b/>
        </w:rPr>
      </w:pPr>
      <w:r w:rsidRPr="002F17B5">
        <w:rPr>
          <w:b/>
        </w:rPr>
        <w:t>Residual value</w:t>
      </w:r>
    </w:p>
    <w:p w14:paraId="5EDC8BBE" w14:textId="77777777" w:rsidR="00BD38BE" w:rsidRDefault="00BD38BE">
      <w:pPr>
        <w:spacing w:after="240"/>
      </w:pPr>
      <w:r w:rsidRPr="002F17B5">
        <w:t>The amount an asset can be sold for, less the cost of selling it.</w:t>
      </w:r>
    </w:p>
    <w:p w14:paraId="47D97A82" w14:textId="77777777" w:rsidR="003528C2" w:rsidRDefault="003528C2">
      <w:pPr>
        <w:spacing w:after="0"/>
        <w:rPr>
          <w:b/>
        </w:rPr>
      </w:pPr>
    </w:p>
    <w:p w14:paraId="7D3DA7D0" w14:textId="77777777" w:rsidR="003528C2" w:rsidRDefault="003528C2">
      <w:pPr>
        <w:spacing w:after="0"/>
        <w:rPr>
          <w:b/>
        </w:rPr>
      </w:pPr>
    </w:p>
    <w:p w14:paraId="4DE9DFA6" w14:textId="77777777" w:rsidR="00BD38BE" w:rsidRPr="002F17B5" w:rsidRDefault="00BD38BE">
      <w:pPr>
        <w:spacing w:after="0"/>
        <w:rPr>
          <w:b/>
        </w:rPr>
      </w:pPr>
      <w:r w:rsidRPr="002F17B5">
        <w:rPr>
          <w:b/>
        </w:rPr>
        <w:t>Revenue account</w:t>
      </w:r>
    </w:p>
    <w:p w14:paraId="2035C52A" w14:textId="77777777" w:rsidR="00BD38BE" w:rsidRPr="002F17B5" w:rsidRDefault="00BD38BE">
      <w:pPr>
        <w:spacing w:after="240"/>
      </w:pPr>
      <w:r w:rsidRPr="002F17B5">
        <w:t>An account which records the county council’s day to day expenditure and income relating to items such as salaries, wages and the costs of running services.</w:t>
      </w:r>
    </w:p>
    <w:p w14:paraId="49D99846" w14:textId="77777777" w:rsidR="00BD38BE" w:rsidRPr="002F17B5" w:rsidRDefault="00BD38BE">
      <w:pPr>
        <w:spacing w:after="0"/>
        <w:rPr>
          <w:b/>
        </w:rPr>
      </w:pPr>
      <w:r w:rsidRPr="002F17B5">
        <w:rPr>
          <w:b/>
        </w:rPr>
        <w:t>Revenue expenditure</w:t>
      </w:r>
    </w:p>
    <w:p w14:paraId="3BB3A23A" w14:textId="77777777" w:rsidR="00BD38BE" w:rsidRPr="002F17B5" w:rsidRDefault="00BD38BE">
      <w:pPr>
        <w:spacing w:after="240"/>
      </w:pPr>
      <w:r w:rsidRPr="002F17B5">
        <w:t>The county council’s day-to-day spending. This consists mainly of salaries and wages, running costs and financing charges.</w:t>
      </w:r>
    </w:p>
    <w:p w14:paraId="75635B04" w14:textId="77777777" w:rsidR="00BD38BE" w:rsidRPr="002F17B5" w:rsidRDefault="00BD38BE">
      <w:pPr>
        <w:spacing w:after="0"/>
        <w:rPr>
          <w:b/>
        </w:rPr>
      </w:pPr>
      <w:r w:rsidRPr="002F17B5">
        <w:rPr>
          <w:b/>
        </w:rPr>
        <w:t>Revenue Support Grant</w:t>
      </w:r>
    </w:p>
    <w:p w14:paraId="7FA7A162" w14:textId="77777777" w:rsidR="00BD38BE" w:rsidRPr="002F17B5" w:rsidRDefault="00BD38BE">
      <w:pPr>
        <w:spacing w:after="240"/>
      </w:pPr>
      <w:r w:rsidRPr="002F17B5">
        <w:t>A general grant from central government to contribute towards the cost of providing services.</w:t>
      </w:r>
    </w:p>
    <w:p w14:paraId="5CE73365" w14:textId="77777777" w:rsidR="00BD38BE" w:rsidRPr="002F17B5" w:rsidRDefault="00BD38BE">
      <w:pPr>
        <w:spacing w:after="0"/>
        <w:rPr>
          <w:b/>
        </w:rPr>
      </w:pPr>
      <w:r w:rsidRPr="002F17B5">
        <w:rPr>
          <w:b/>
        </w:rPr>
        <w:t>Reversed out</w:t>
      </w:r>
    </w:p>
    <w:p w14:paraId="2CABA134" w14:textId="77777777" w:rsidR="00BD38BE" w:rsidRPr="002F17B5" w:rsidRDefault="00BD38BE">
      <w:pPr>
        <w:spacing w:after="240"/>
      </w:pPr>
      <w:r w:rsidRPr="002F17B5">
        <w:t>This is where an opposite entry is made in the accounts, to cancel the effect of a transaction.</w:t>
      </w:r>
    </w:p>
    <w:p w14:paraId="4F5416DD" w14:textId="77777777" w:rsidR="00BD38BE" w:rsidRPr="002F17B5" w:rsidRDefault="00BD38BE">
      <w:pPr>
        <w:spacing w:after="0"/>
        <w:rPr>
          <w:b/>
        </w:rPr>
      </w:pPr>
      <w:r w:rsidRPr="002F17B5">
        <w:rPr>
          <w:b/>
        </w:rPr>
        <w:t>Specific grants</w:t>
      </w:r>
    </w:p>
    <w:p w14:paraId="67FE075B" w14:textId="77777777" w:rsidR="00BD38BE" w:rsidRPr="002F17B5" w:rsidRDefault="00BD38BE">
      <w:pPr>
        <w:spacing w:after="240"/>
      </w:pPr>
      <w:r w:rsidRPr="002F17B5">
        <w:t>Government grants for a particular service – for example, the Standards Fund Grant.</w:t>
      </w:r>
    </w:p>
    <w:p w14:paraId="176D1D8E" w14:textId="77777777" w:rsidR="00BD38BE" w:rsidRPr="002F17B5" w:rsidRDefault="00BD38BE">
      <w:pPr>
        <w:spacing w:after="0"/>
        <w:rPr>
          <w:b/>
        </w:rPr>
      </w:pPr>
      <w:r w:rsidRPr="002F17B5">
        <w:rPr>
          <w:b/>
        </w:rPr>
        <w:t>Tangible assets</w:t>
      </w:r>
    </w:p>
    <w:p w14:paraId="50138EDA" w14:textId="77777777" w:rsidR="00BD38BE" w:rsidRPr="002F17B5" w:rsidRDefault="00BD38BE">
      <w:pPr>
        <w:spacing w:after="240"/>
      </w:pPr>
      <w:r w:rsidRPr="002F17B5">
        <w:t>Assets which have a physical form – for example, buildings, furniture and equipment.</w:t>
      </w:r>
    </w:p>
    <w:p w14:paraId="195C18DD" w14:textId="77777777" w:rsidR="00BD38BE" w:rsidRPr="002F17B5" w:rsidRDefault="00BD38BE">
      <w:pPr>
        <w:spacing w:after="0"/>
        <w:rPr>
          <w:b/>
        </w:rPr>
      </w:pPr>
      <w:r w:rsidRPr="002F17B5">
        <w:rPr>
          <w:b/>
        </w:rPr>
        <w:t>Transfers in/out</w:t>
      </w:r>
    </w:p>
    <w:p w14:paraId="7D329DB0" w14:textId="77777777" w:rsidR="00BD38BE" w:rsidRPr="002F17B5" w:rsidRDefault="00BD38BE">
      <w:pPr>
        <w:spacing w:after="240"/>
      </w:pPr>
      <w:r w:rsidRPr="002F17B5">
        <w:t>Transfers of money either into or out of the pension fund, from another pension fund.</w:t>
      </w:r>
    </w:p>
    <w:p w14:paraId="19D86D1D" w14:textId="77777777" w:rsidR="00BD38BE" w:rsidRPr="002F17B5" w:rsidRDefault="00BD38BE">
      <w:pPr>
        <w:spacing w:after="0"/>
        <w:rPr>
          <w:b/>
        </w:rPr>
      </w:pPr>
      <w:r w:rsidRPr="002F17B5">
        <w:rPr>
          <w:b/>
        </w:rPr>
        <w:t>Transfer value</w:t>
      </w:r>
    </w:p>
    <w:p w14:paraId="1EDEB4E6" w14:textId="77777777" w:rsidR="00BD38BE" w:rsidRPr="002F17B5" w:rsidRDefault="00BD38BE">
      <w:pPr>
        <w:spacing w:after="240"/>
      </w:pPr>
      <w:r w:rsidRPr="002F17B5">
        <w:t>A payment made by one pension fund to another when a scheme member changes schemes.</w:t>
      </w:r>
    </w:p>
    <w:p w14:paraId="60CE9A58" w14:textId="77777777" w:rsidR="00BD38BE" w:rsidRPr="002F17B5" w:rsidRDefault="00BD38BE">
      <w:pPr>
        <w:spacing w:after="0"/>
        <w:rPr>
          <w:b/>
        </w:rPr>
      </w:pPr>
      <w:r w:rsidRPr="002F17B5">
        <w:rPr>
          <w:b/>
        </w:rPr>
        <w:t>Useful life</w:t>
      </w:r>
    </w:p>
    <w:p w14:paraId="7104040C" w14:textId="77777777" w:rsidR="00BD38BE" w:rsidRPr="002F17B5" w:rsidRDefault="00BD38BE">
      <w:pPr>
        <w:spacing w:after="240"/>
      </w:pPr>
      <w:r w:rsidRPr="002F17B5">
        <w:t>The period which an asset is expected to be available for use.</w:t>
      </w:r>
    </w:p>
    <w:p w14:paraId="421C37A5" w14:textId="77777777" w:rsidR="00BD38BE" w:rsidRPr="002F17B5" w:rsidRDefault="00BD38BE">
      <w:pPr>
        <w:spacing w:after="0"/>
      </w:pPr>
      <w:r w:rsidRPr="002F17B5">
        <w:rPr>
          <w:b/>
        </w:rPr>
        <w:t>Write down</w:t>
      </w:r>
    </w:p>
    <w:p w14:paraId="4F8F9560" w14:textId="06A38B45" w:rsidR="00E22B66" w:rsidRDefault="00BD38BE">
      <w:pPr>
        <w:rPr>
          <w:lang w:eastAsia="en-GB"/>
        </w:rPr>
      </w:pPr>
      <w:r w:rsidRPr="002F17B5">
        <w:t>This is where amounts are charged to the revenue account or offset against another balance sheet account.</w:t>
      </w:r>
    </w:p>
    <w:p w14:paraId="02306FE2" w14:textId="77777777" w:rsidR="00E22B66" w:rsidRPr="00E22B66" w:rsidRDefault="00E22B66" w:rsidP="00E22B66">
      <w:pPr>
        <w:rPr>
          <w:lang w:eastAsia="en-GB"/>
        </w:rPr>
      </w:pPr>
    </w:p>
    <w:p w14:paraId="2E154462" w14:textId="77777777" w:rsidR="00E22B66" w:rsidRPr="00E22B66" w:rsidRDefault="00E22B66" w:rsidP="00E22B66">
      <w:pPr>
        <w:rPr>
          <w:lang w:eastAsia="en-GB"/>
        </w:rPr>
      </w:pPr>
    </w:p>
    <w:p w14:paraId="2666C03A" w14:textId="77777777" w:rsidR="00E22B66" w:rsidRPr="00E22B66" w:rsidRDefault="00E22B66" w:rsidP="00E22B66">
      <w:pPr>
        <w:rPr>
          <w:lang w:eastAsia="en-GB"/>
        </w:rPr>
      </w:pPr>
    </w:p>
    <w:p w14:paraId="65143F06" w14:textId="77777777" w:rsidR="00E22B66" w:rsidRPr="00E22B66" w:rsidRDefault="00E22B66" w:rsidP="00E22B66">
      <w:pPr>
        <w:rPr>
          <w:lang w:eastAsia="en-GB"/>
        </w:rPr>
      </w:pPr>
    </w:p>
    <w:p w14:paraId="4FA0672E" w14:textId="77777777" w:rsidR="00E22B66" w:rsidRPr="00E22B66" w:rsidRDefault="00E22B66" w:rsidP="00E22B66">
      <w:pPr>
        <w:rPr>
          <w:lang w:eastAsia="en-GB"/>
        </w:rPr>
      </w:pPr>
    </w:p>
    <w:p w14:paraId="27FF8919" w14:textId="77777777" w:rsidR="00E22B66" w:rsidRPr="00E22B66" w:rsidRDefault="00E22B66" w:rsidP="00E22B66">
      <w:pPr>
        <w:rPr>
          <w:lang w:eastAsia="en-GB"/>
        </w:rPr>
      </w:pPr>
    </w:p>
    <w:p w14:paraId="4B227A8E" w14:textId="113B4220" w:rsidR="00E22B66" w:rsidRDefault="00E22B66" w:rsidP="00E22B66">
      <w:pPr>
        <w:rPr>
          <w:lang w:eastAsia="en-GB"/>
        </w:rPr>
      </w:pPr>
    </w:p>
    <w:p w14:paraId="29648863" w14:textId="10D111BD" w:rsidR="00BD38BE" w:rsidRPr="00E22B66" w:rsidRDefault="00E22B66" w:rsidP="00E22B66">
      <w:pPr>
        <w:tabs>
          <w:tab w:val="left" w:pos="3953"/>
        </w:tabs>
        <w:rPr>
          <w:lang w:eastAsia="en-GB"/>
        </w:rPr>
      </w:pPr>
      <w:r>
        <w:rPr>
          <w:lang w:eastAsia="en-GB"/>
        </w:rPr>
        <w:tab/>
      </w:r>
    </w:p>
    <w:sectPr w:rsidR="00BD38BE" w:rsidRPr="00E22B66" w:rsidSect="00771B22">
      <w:pgSz w:w="11900" w:h="16840" w:code="9"/>
      <w:pgMar w:top="720" w:right="720" w:bottom="720" w:left="720" w:header="284" w:footer="284" w:gutter="0"/>
      <w:cols w:space="292"/>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White, Jacqueline" w:date="2015-06-18T17:52:00Z" w:initials="WJ">
    <w:p w14:paraId="0D35A96A" w14:textId="5B2E37AE" w:rsidR="00081119" w:rsidRDefault="00081119">
      <w:r>
        <w:annotationRef/>
      </w:r>
      <w:r>
        <w:t>Footnote "Includes "£107.1m revaluation loss relating to waste treatment facilities" removed per Abbi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35A9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A7A27" w14:textId="77777777" w:rsidR="00081119" w:rsidRDefault="00081119" w:rsidP="00124FDC">
      <w:pPr>
        <w:spacing w:after="0"/>
      </w:pPr>
      <w:r>
        <w:separator/>
      </w:r>
    </w:p>
  </w:endnote>
  <w:endnote w:type="continuationSeparator" w:id="0">
    <w:p w14:paraId="180FC22A" w14:textId="77777777" w:rsidR="00081119" w:rsidRDefault="00081119"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S Lola">
    <w:altName w:val="FS Lola"/>
    <w:panose1 w:val="00000000000000000000"/>
    <w:charset w:val="00"/>
    <w:family w:val="roman"/>
    <w:notTrueType/>
    <w:pitch w:val="default"/>
    <w:sig w:usb0="00000003" w:usb1="00000000" w:usb2="00000000" w:usb3="00000000" w:csb0="00000001" w:csb1="00000000"/>
  </w:font>
  <w:font w:name="TT4FF7o00">
    <w:panose1 w:val="00000000000000000000"/>
    <w:charset w:val="00"/>
    <w:family w:val="auto"/>
    <w:notTrueType/>
    <w:pitch w:val="default"/>
    <w:sig w:usb0="00000003" w:usb1="00000000" w:usb2="00000000" w:usb3="00000000" w:csb0="00000001" w:csb1="00000000"/>
  </w:font>
  <w:font w:name="TT9CAo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10460"/>
    </w:tblGrid>
    <w:tr w:rsidR="00081119" w:rsidRPr="008E5502" w14:paraId="692E02B1" w14:textId="77777777" w:rsidTr="00C74127">
      <w:trPr>
        <w:jc w:val="center"/>
      </w:trPr>
      <w:tc>
        <w:tcPr>
          <w:tcW w:w="5000" w:type="pct"/>
          <w:shd w:val="clear" w:color="auto" w:fill="BFBFBF"/>
        </w:tcPr>
        <w:p w14:paraId="4E2128FB" w14:textId="77777777" w:rsidR="00081119" w:rsidRPr="008E5502" w:rsidRDefault="00081119" w:rsidP="00DB6FF3">
          <w:pPr>
            <w:pStyle w:val="Footer"/>
          </w:pPr>
          <w:r w:rsidRPr="008E5502">
            <w:t xml:space="preserve">• </w:t>
          </w:r>
          <w:r>
            <w:fldChar w:fldCharType="begin"/>
          </w:r>
          <w:r>
            <w:instrText xml:space="preserve"> PAGE   \* MERGEFORMAT </w:instrText>
          </w:r>
          <w:r>
            <w:fldChar w:fldCharType="separate"/>
          </w:r>
          <w:r w:rsidR="00B15246">
            <w:rPr>
              <w:noProof/>
            </w:rPr>
            <w:t>17</w:t>
          </w:r>
          <w:r>
            <w:fldChar w:fldCharType="end"/>
          </w:r>
          <w:r w:rsidRPr="008E5502">
            <w:t xml:space="preserve"> •</w:t>
          </w:r>
        </w:p>
      </w:tc>
    </w:tr>
  </w:tbl>
  <w:p w14:paraId="252A3484" w14:textId="77777777" w:rsidR="00081119" w:rsidRDefault="00081119" w:rsidP="008E55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15400"/>
    </w:tblGrid>
    <w:tr w:rsidR="00081119" w:rsidRPr="008E5502" w14:paraId="7003334A" w14:textId="77777777" w:rsidTr="00C74127">
      <w:trPr>
        <w:jc w:val="center"/>
      </w:trPr>
      <w:tc>
        <w:tcPr>
          <w:tcW w:w="5000" w:type="pct"/>
          <w:shd w:val="clear" w:color="auto" w:fill="BFBFBF"/>
        </w:tcPr>
        <w:p w14:paraId="03690C22" w14:textId="77777777" w:rsidR="00081119" w:rsidRPr="008E5502" w:rsidRDefault="00081119" w:rsidP="00DB6FF3">
          <w:pPr>
            <w:pStyle w:val="Footer"/>
          </w:pPr>
          <w:r w:rsidRPr="008E5502">
            <w:t xml:space="preserve">• </w:t>
          </w:r>
          <w:r>
            <w:fldChar w:fldCharType="begin"/>
          </w:r>
          <w:r>
            <w:instrText xml:space="preserve"> PAGE   \* MERGEFORMAT </w:instrText>
          </w:r>
          <w:r>
            <w:fldChar w:fldCharType="separate"/>
          </w:r>
          <w:r w:rsidR="00B15246">
            <w:rPr>
              <w:noProof/>
            </w:rPr>
            <w:t>34</w:t>
          </w:r>
          <w:r>
            <w:fldChar w:fldCharType="end"/>
          </w:r>
          <w:r w:rsidRPr="008E5502">
            <w:t xml:space="preserve"> •</w:t>
          </w:r>
        </w:p>
      </w:tc>
    </w:tr>
  </w:tbl>
  <w:p w14:paraId="45D38DE7" w14:textId="77777777" w:rsidR="00081119" w:rsidRDefault="00081119" w:rsidP="008E55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10460"/>
    </w:tblGrid>
    <w:tr w:rsidR="00081119" w:rsidRPr="008E5502" w14:paraId="1AA90417" w14:textId="77777777" w:rsidTr="00C74127">
      <w:trPr>
        <w:jc w:val="center"/>
      </w:trPr>
      <w:tc>
        <w:tcPr>
          <w:tcW w:w="5000" w:type="pct"/>
          <w:shd w:val="clear" w:color="auto" w:fill="BFBFBF"/>
        </w:tcPr>
        <w:p w14:paraId="06418571" w14:textId="77777777" w:rsidR="00081119" w:rsidRPr="008E5502" w:rsidRDefault="00081119" w:rsidP="00853936">
          <w:pPr>
            <w:pStyle w:val="Footer"/>
            <w:tabs>
              <w:tab w:val="left" w:pos="3683"/>
              <w:tab w:val="center" w:pos="5230"/>
            </w:tabs>
            <w:jc w:val="left"/>
          </w:pPr>
          <w:r>
            <w:tab/>
          </w:r>
          <w:r>
            <w:tab/>
          </w:r>
          <w:r w:rsidRPr="008E5502">
            <w:t xml:space="preserve">• </w:t>
          </w:r>
          <w:r>
            <w:fldChar w:fldCharType="begin"/>
          </w:r>
          <w:r>
            <w:instrText xml:space="preserve"> PAGE   \* MERGEFORMAT </w:instrText>
          </w:r>
          <w:r>
            <w:fldChar w:fldCharType="separate"/>
          </w:r>
          <w:r w:rsidR="00B15246">
            <w:rPr>
              <w:noProof/>
            </w:rPr>
            <w:t>56</w:t>
          </w:r>
          <w:r>
            <w:fldChar w:fldCharType="end"/>
          </w:r>
          <w:r w:rsidRPr="008E5502">
            <w:t xml:space="preserve"> •</w:t>
          </w:r>
        </w:p>
      </w:tc>
    </w:tr>
  </w:tbl>
  <w:p w14:paraId="610E9722" w14:textId="77777777" w:rsidR="00081119" w:rsidRDefault="00081119" w:rsidP="008E550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15400"/>
    </w:tblGrid>
    <w:tr w:rsidR="00081119" w:rsidRPr="008E5502" w14:paraId="39307F69" w14:textId="77777777" w:rsidTr="00C74127">
      <w:trPr>
        <w:jc w:val="center"/>
      </w:trPr>
      <w:tc>
        <w:tcPr>
          <w:tcW w:w="5000" w:type="pct"/>
          <w:shd w:val="clear" w:color="auto" w:fill="BFBFBF"/>
        </w:tcPr>
        <w:p w14:paraId="5BFDF86E" w14:textId="268AC890" w:rsidR="00081119" w:rsidRPr="008E5502" w:rsidRDefault="00081119" w:rsidP="00A43D52">
          <w:pPr>
            <w:pStyle w:val="Footer"/>
            <w:tabs>
              <w:tab w:val="left" w:pos="3683"/>
              <w:tab w:val="center" w:pos="5230"/>
            </w:tabs>
          </w:pPr>
          <w:r w:rsidRPr="008E5502">
            <w:t xml:space="preserve">• </w:t>
          </w:r>
          <w:r>
            <w:fldChar w:fldCharType="begin"/>
          </w:r>
          <w:r>
            <w:instrText xml:space="preserve"> PAGE   \* MERGEFORMAT </w:instrText>
          </w:r>
          <w:r>
            <w:fldChar w:fldCharType="separate"/>
          </w:r>
          <w:r w:rsidR="00B15246">
            <w:rPr>
              <w:noProof/>
            </w:rPr>
            <w:t>60</w:t>
          </w:r>
          <w:r>
            <w:fldChar w:fldCharType="end"/>
          </w:r>
          <w:r w:rsidRPr="008E5502">
            <w:t xml:space="preserve"> •</w:t>
          </w:r>
        </w:p>
      </w:tc>
    </w:tr>
  </w:tbl>
  <w:p w14:paraId="1494A4C2" w14:textId="77777777" w:rsidR="00081119" w:rsidRDefault="00081119" w:rsidP="008E550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10460"/>
    </w:tblGrid>
    <w:tr w:rsidR="00081119" w:rsidRPr="008E5502" w14:paraId="25495D52" w14:textId="77777777" w:rsidTr="00C74127">
      <w:trPr>
        <w:jc w:val="center"/>
      </w:trPr>
      <w:tc>
        <w:tcPr>
          <w:tcW w:w="5000" w:type="pct"/>
          <w:shd w:val="clear" w:color="auto" w:fill="BFBFBF"/>
        </w:tcPr>
        <w:p w14:paraId="7C3C02EE" w14:textId="77777777" w:rsidR="00081119" w:rsidRPr="008E5502" w:rsidRDefault="00081119" w:rsidP="00853936">
          <w:pPr>
            <w:pStyle w:val="Footer"/>
            <w:tabs>
              <w:tab w:val="left" w:pos="3683"/>
              <w:tab w:val="center" w:pos="5230"/>
            </w:tabs>
            <w:jc w:val="left"/>
          </w:pPr>
          <w:r>
            <w:tab/>
          </w:r>
          <w:r>
            <w:tab/>
          </w:r>
          <w:r w:rsidRPr="008E5502">
            <w:t xml:space="preserve">• </w:t>
          </w:r>
          <w:r>
            <w:fldChar w:fldCharType="begin"/>
          </w:r>
          <w:r>
            <w:instrText xml:space="preserve"> PAGE   \* MERGEFORMAT </w:instrText>
          </w:r>
          <w:r>
            <w:fldChar w:fldCharType="separate"/>
          </w:r>
          <w:r w:rsidR="00B15246">
            <w:rPr>
              <w:noProof/>
            </w:rPr>
            <w:t>61</w:t>
          </w:r>
          <w:r>
            <w:fldChar w:fldCharType="end"/>
          </w:r>
          <w:r w:rsidRPr="008E5502">
            <w:t xml:space="preserve"> •</w:t>
          </w:r>
        </w:p>
      </w:tc>
    </w:tr>
  </w:tbl>
  <w:p w14:paraId="0A8DEC2F" w14:textId="77777777" w:rsidR="00081119" w:rsidRDefault="00081119" w:rsidP="008E550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15400"/>
    </w:tblGrid>
    <w:tr w:rsidR="00081119" w:rsidRPr="008E5502" w14:paraId="09E35EC1" w14:textId="77777777" w:rsidTr="00C74127">
      <w:trPr>
        <w:jc w:val="center"/>
      </w:trPr>
      <w:tc>
        <w:tcPr>
          <w:tcW w:w="5000" w:type="pct"/>
          <w:shd w:val="clear" w:color="auto" w:fill="BFBFBF"/>
        </w:tcPr>
        <w:p w14:paraId="23CCFBC4" w14:textId="5647415E" w:rsidR="00081119" w:rsidRPr="008E5502" w:rsidRDefault="00081119" w:rsidP="00E22B66">
          <w:pPr>
            <w:pStyle w:val="Footer"/>
            <w:tabs>
              <w:tab w:val="left" w:pos="3586"/>
              <w:tab w:val="left" w:pos="3683"/>
              <w:tab w:val="left" w:pos="3960"/>
              <w:tab w:val="center" w:pos="5230"/>
            </w:tabs>
          </w:pPr>
          <w:r w:rsidRPr="008E5502">
            <w:t xml:space="preserve">• </w:t>
          </w:r>
          <w:r>
            <w:fldChar w:fldCharType="begin"/>
          </w:r>
          <w:r>
            <w:instrText xml:space="preserve"> PAGE   \* MERGEFORMAT </w:instrText>
          </w:r>
          <w:r>
            <w:fldChar w:fldCharType="separate"/>
          </w:r>
          <w:r w:rsidR="00B15246">
            <w:rPr>
              <w:noProof/>
            </w:rPr>
            <w:t>70</w:t>
          </w:r>
          <w:r>
            <w:fldChar w:fldCharType="end"/>
          </w:r>
          <w:r w:rsidRPr="008E5502">
            <w:t xml:space="preserve"> •</w:t>
          </w:r>
        </w:p>
      </w:tc>
    </w:tr>
  </w:tbl>
  <w:p w14:paraId="72B6CFB4" w14:textId="77777777" w:rsidR="00081119" w:rsidRDefault="00081119" w:rsidP="008E550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10460"/>
    </w:tblGrid>
    <w:tr w:rsidR="00081119" w:rsidRPr="008E5502" w14:paraId="70992AAB" w14:textId="77777777" w:rsidTr="00C74127">
      <w:trPr>
        <w:jc w:val="center"/>
      </w:trPr>
      <w:tc>
        <w:tcPr>
          <w:tcW w:w="5000" w:type="pct"/>
          <w:shd w:val="clear" w:color="auto" w:fill="BFBFBF"/>
        </w:tcPr>
        <w:p w14:paraId="4861F24C" w14:textId="77777777" w:rsidR="00081119" w:rsidRPr="008E5502" w:rsidRDefault="00081119" w:rsidP="00DB6FF3">
          <w:pPr>
            <w:pStyle w:val="Footer"/>
          </w:pPr>
          <w:r w:rsidRPr="008E5502">
            <w:t xml:space="preserve">• </w:t>
          </w:r>
          <w:r>
            <w:fldChar w:fldCharType="begin"/>
          </w:r>
          <w:r>
            <w:instrText xml:space="preserve"> PAGE   \* MERGEFORMAT </w:instrText>
          </w:r>
          <w:r>
            <w:fldChar w:fldCharType="separate"/>
          </w:r>
          <w:r w:rsidR="00B15246">
            <w:rPr>
              <w:noProof/>
            </w:rPr>
            <w:t>71</w:t>
          </w:r>
          <w:r>
            <w:fldChar w:fldCharType="end"/>
          </w:r>
          <w:r w:rsidRPr="008E5502">
            <w:t xml:space="preserve"> •</w:t>
          </w:r>
        </w:p>
      </w:tc>
    </w:tr>
  </w:tbl>
  <w:p w14:paraId="3F06D2E3" w14:textId="77777777" w:rsidR="00081119" w:rsidRDefault="00081119" w:rsidP="008E550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10460"/>
    </w:tblGrid>
    <w:tr w:rsidR="00081119" w:rsidRPr="008E5502" w14:paraId="02126F52" w14:textId="77777777" w:rsidTr="00C74127">
      <w:trPr>
        <w:jc w:val="center"/>
      </w:trPr>
      <w:tc>
        <w:tcPr>
          <w:tcW w:w="5000" w:type="pct"/>
          <w:shd w:val="clear" w:color="auto" w:fill="BFBFBF"/>
        </w:tcPr>
        <w:p w14:paraId="4A3C3036" w14:textId="77777777" w:rsidR="00081119" w:rsidRPr="008E5502" w:rsidRDefault="00081119" w:rsidP="00DA4031">
          <w:pPr>
            <w:pStyle w:val="Footer"/>
            <w:tabs>
              <w:tab w:val="left" w:pos="3586"/>
              <w:tab w:val="left" w:pos="3683"/>
              <w:tab w:val="left" w:pos="3960"/>
              <w:tab w:val="center" w:pos="5230"/>
            </w:tabs>
            <w:jc w:val="left"/>
          </w:pPr>
          <w:r>
            <w:tab/>
          </w:r>
          <w:r>
            <w:tab/>
          </w:r>
          <w:r>
            <w:tab/>
          </w:r>
          <w:r>
            <w:tab/>
          </w:r>
          <w:r w:rsidRPr="008E5502">
            <w:t xml:space="preserve">• </w:t>
          </w:r>
          <w:r>
            <w:fldChar w:fldCharType="begin"/>
          </w:r>
          <w:r>
            <w:instrText xml:space="preserve"> PAGE   \* MERGEFORMAT </w:instrText>
          </w:r>
          <w:r>
            <w:fldChar w:fldCharType="separate"/>
          </w:r>
          <w:r w:rsidR="00B15246">
            <w:rPr>
              <w:noProof/>
            </w:rPr>
            <w:t>75</w:t>
          </w:r>
          <w:r>
            <w:fldChar w:fldCharType="end"/>
          </w:r>
          <w:r w:rsidRPr="008E5502">
            <w:t xml:space="preserve"> •</w:t>
          </w:r>
        </w:p>
      </w:tc>
    </w:tr>
  </w:tbl>
  <w:p w14:paraId="18455F41" w14:textId="77777777" w:rsidR="00081119" w:rsidRDefault="00081119" w:rsidP="008E550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10460"/>
    </w:tblGrid>
    <w:tr w:rsidR="00081119" w:rsidRPr="008E5502" w14:paraId="018F3EA4" w14:textId="77777777" w:rsidTr="00C74127">
      <w:trPr>
        <w:jc w:val="center"/>
      </w:trPr>
      <w:tc>
        <w:tcPr>
          <w:tcW w:w="5000" w:type="pct"/>
          <w:shd w:val="clear" w:color="auto" w:fill="BFBFBF"/>
        </w:tcPr>
        <w:p w14:paraId="4973FBCA" w14:textId="77777777" w:rsidR="00081119" w:rsidRPr="008E5502" w:rsidRDefault="00081119" w:rsidP="00DA4031">
          <w:pPr>
            <w:pStyle w:val="Footer"/>
            <w:tabs>
              <w:tab w:val="left" w:pos="3586"/>
              <w:tab w:val="left" w:pos="3683"/>
              <w:tab w:val="left" w:pos="3960"/>
              <w:tab w:val="center" w:pos="5230"/>
            </w:tabs>
            <w:jc w:val="left"/>
          </w:pPr>
          <w:r>
            <w:tab/>
          </w:r>
          <w:r>
            <w:tab/>
          </w:r>
          <w:r>
            <w:tab/>
          </w:r>
          <w:r>
            <w:tab/>
          </w:r>
          <w:r w:rsidRPr="008E5502">
            <w:t xml:space="preserve">• </w:t>
          </w:r>
          <w:r>
            <w:fldChar w:fldCharType="begin"/>
          </w:r>
          <w:r>
            <w:instrText xml:space="preserve"> PAGE   \* MERGEFORMAT </w:instrText>
          </w:r>
          <w:r>
            <w:fldChar w:fldCharType="separate"/>
          </w:r>
          <w:r w:rsidR="00B15246">
            <w:rPr>
              <w:noProof/>
            </w:rPr>
            <w:t>80</w:t>
          </w:r>
          <w:r>
            <w:fldChar w:fldCharType="end"/>
          </w:r>
          <w:r w:rsidRPr="008E5502">
            <w:t xml:space="preserve"> •</w:t>
          </w:r>
        </w:p>
      </w:tc>
    </w:tr>
  </w:tbl>
  <w:p w14:paraId="6F62CD47" w14:textId="77777777" w:rsidR="00081119" w:rsidRDefault="00081119"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AB1C0" w14:textId="77777777" w:rsidR="00081119" w:rsidRDefault="00081119" w:rsidP="00124FDC">
      <w:pPr>
        <w:spacing w:after="0"/>
      </w:pPr>
      <w:r>
        <w:separator/>
      </w:r>
    </w:p>
  </w:footnote>
  <w:footnote w:type="continuationSeparator" w:id="0">
    <w:p w14:paraId="13145E6C" w14:textId="77777777" w:rsidR="00081119" w:rsidRDefault="00081119"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6BB46" w14:textId="5AF85A53" w:rsidR="00081119" w:rsidRDefault="00081119">
    <w:pPr>
      <w:pStyle w:val="Header"/>
    </w:pPr>
    <w:r>
      <w:rPr>
        <w:noProof/>
        <w:lang w:eastAsia="en-GB"/>
      </w:rPr>
      <w:drawing>
        <wp:anchor distT="0" distB="0" distL="114300" distR="114300" simplePos="0" relativeHeight="251657728" behindDoc="1" locked="0" layoutInCell="1" allowOverlap="1" wp14:anchorId="655A0DC7" wp14:editId="4ACF7085">
          <wp:simplePos x="0" y="0"/>
          <wp:positionH relativeFrom="page">
            <wp:align>left</wp:align>
          </wp:positionH>
          <wp:positionV relativeFrom="page">
            <wp:align>top</wp:align>
          </wp:positionV>
          <wp:extent cx="7565390" cy="1069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9EF6" w14:textId="66534310" w:rsidR="00081119" w:rsidRPr="00081119" w:rsidRDefault="00081119" w:rsidP="00081119">
    <w:pPr>
      <w:pStyle w:val="Header"/>
      <w:tabs>
        <w:tab w:val="clear" w:pos="8640"/>
      </w:tabs>
      <w:ind w:right="-455"/>
      <w:jc w:val="right"/>
      <w:rPr>
        <w:b/>
        <w:color w:val="auto"/>
      </w:rPr>
    </w:pPr>
    <w:r w:rsidRPr="00081119">
      <w:rPr>
        <w:b/>
        <w:noProof/>
        <w:color w:val="auto"/>
        <w:lang w:eastAsia="en-GB"/>
      </w:rPr>
      <w:drawing>
        <wp:anchor distT="0" distB="0" distL="114300" distR="114300" simplePos="0" relativeHeight="251656704" behindDoc="1" locked="0" layoutInCell="1" allowOverlap="1" wp14:anchorId="131C875E" wp14:editId="4881EDF3">
          <wp:simplePos x="0" y="0"/>
          <wp:positionH relativeFrom="column">
            <wp:posOffset>-457200</wp:posOffset>
          </wp:positionH>
          <wp:positionV relativeFrom="paragraph">
            <wp:posOffset>-474980</wp:posOffset>
          </wp:positionV>
          <wp:extent cx="7568565" cy="10704830"/>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119">
      <w:rPr>
        <w:b/>
        <w:color w:val="auto"/>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10460"/>
    </w:tblGrid>
    <w:tr w:rsidR="00081119" w14:paraId="0728CC47" w14:textId="77777777" w:rsidTr="00C74127">
      <w:trPr>
        <w:jc w:val="center"/>
      </w:trPr>
      <w:tc>
        <w:tcPr>
          <w:tcW w:w="5000" w:type="pct"/>
          <w:shd w:val="clear" w:color="auto" w:fill="D31145"/>
        </w:tcPr>
        <w:p w14:paraId="199513E4" w14:textId="04A91BB3" w:rsidR="00081119" w:rsidRPr="00C74127" w:rsidRDefault="00081119" w:rsidP="00F41BA1">
          <w:pPr>
            <w:pStyle w:val="Header"/>
            <w:tabs>
              <w:tab w:val="left" w:pos="223"/>
              <w:tab w:val="center" w:pos="5122"/>
            </w:tabs>
            <w:jc w:val="left"/>
          </w:pPr>
          <w:r>
            <w:tab/>
          </w:r>
          <w:r>
            <w:tab/>
            <w:t>Lancashire County Council  -  Statement of Accounts 2014/2015</w:t>
          </w:r>
        </w:p>
      </w:tc>
    </w:tr>
  </w:tbl>
  <w:p w14:paraId="433166FB" w14:textId="0479BDC6" w:rsidR="00081119" w:rsidRDefault="00081119" w:rsidP="00D104DA">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9DC1" w14:textId="2B13E0F2" w:rsidR="00081119" w:rsidRDefault="000811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10460"/>
    </w:tblGrid>
    <w:tr w:rsidR="00081119" w14:paraId="77C17C99" w14:textId="77777777" w:rsidTr="00C74127">
      <w:trPr>
        <w:jc w:val="center"/>
      </w:trPr>
      <w:tc>
        <w:tcPr>
          <w:tcW w:w="5000" w:type="pct"/>
          <w:shd w:val="clear" w:color="auto" w:fill="D31145"/>
        </w:tcPr>
        <w:p w14:paraId="024DA50C" w14:textId="77777777" w:rsidR="00081119" w:rsidRPr="00C74127" w:rsidRDefault="00081119" w:rsidP="00F41BA1">
          <w:pPr>
            <w:pStyle w:val="Header"/>
            <w:tabs>
              <w:tab w:val="left" w:pos="223"/>
              <w:tab w:val="center" w:pos="5122"/>
            </w:tabs>
            <w:jc w:val="left"/>
          </w:pPr>
          <w:r>
            <w:tab/>
          </w:r>
          <w:r>
            <w:tab/>
            <w:t>Lancashire County Council  -  Statement of Accounts 2014/2015</w:t>
          </w:r>
        </w:p>
      </w:tc>
    </w:tr>
  </w:tbl>
  <w:p w14:paraId="54D5DF1C" w14:textId="77777777" w:rsidR="00081119" w:rsidRDefault="00081119" w:rsidP="00D104DA">
    <w:pPr>
      <w:jc w:val="center"/>
    </w:pPr>
    <w:sdt>
      <w:sdtPr>
        <w:id w:val="-2073264788"/>
        <w:docPartObj>
          <w:docPartGallery w:val="Watermarks"/>
          <w:docPartUnique/>
        </w:docPartObj>
      </w:sdtPr>
      <w:sdtContent>
        <w:r>
          <w:rPr>
            <w:noProof/>
            <w:lang w:val="en-US"/>
          </w:rPr>
          <w:pict w14:anchorId="3E4A4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2170" type="#_x0000_t136" style="position:absolute;left:0;text-align:left;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02C27" w14:textId="52589333" w:rsidR="00081119" w:rsidRDefault="000811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10460"/>
    </w:tblGrid>
    <w:tr w:rsidR="00081119" w14:paraId="227A490F" w14:textId="77777777" w:rsidTr="00C74127">
      <w:trPr>
        <w:jc w:val="center"/>
      </w:trPr>
      <w:tc>
        <w:tcPr>
          <w:tcW w:w="5000" w:type="pct"/>
          <w:shd w:val="clear" w:color="auto" w:fill="D31145"/>
        </w:tcPr>
        <w:p w14:paraId="7EAF3467" w14:textId="5D986146" w:rsidR="00081119" w:rsidRPr="00C74127" w:rsidRDefault="00081119" w:rsidP="0056479B">
          <w:pPr>
            <w:pStyle w:val="Header"/>
            <w:tabs>
              <w:tab w:val="left" w:pos="223"/>
              <w:tab w:val="center" w:pos="5122"/>
            </w:tabs>
            <w:jc w:val="left"/>
          </w:pPr>
          <w:r>
            <w:tab/>
          </w:r>
          <w:r>
            <w:tab/>
            <w:t>Lancashire County Pension Fund  -  Statement of Accounts 2014/2015</w:t>
          </w:r>
        </w:p>
      </w:tc>
    </w:tr>
  </w:tbl>
  <w:p w14:paraId="48517ED1" w14:textId="77777777" w:rsidR="00081119" w:rsidRDefault="00081119" w:rsidP="00D104DA">
    <w:pPr>
      <w:jc w:val="center"/>
    </w:pPr>
    <w:sdt>
      <w:sdtPr>
        <w:id w:val="-434670715"/>
        <w:docPartObj>
          <w:docPartGallery w:val="Watermarks"/>
          <w:docPartUnique/>
        </w:docPartObj>
      </w:sdtPr>
      <w:sdtContent>
        <w:r>
          <w:rPr>
            <w:noProof/>
            <w:lang w:val="en-US"/>
          </w:rPr>
          <w:pict w14:anchorId="4597F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2171" type="#_x0000_t136" style="position:absolute;left:0;text-align:left;margin-left:0;margin-top:0;width:412.4pt;height:247.4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6A"/>
    <w:multiLevelType w:val="hybridMultilevel"/>
    <w:tmpl w:val="F10A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62B73"/>
    <w:multiLevelType w:val="hybridMultilevel"/>
    <w:tmpl w:val="24FE8B7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02E40224"/>
    <w:multiLevelType w:val="hybridMultilevel"/>
    <w:tmpl w:val="690080DA"/>
    <w:lvl w:ilvl="0" w:tplc="08090001">
      <w:start w:val="1"/>
      <w:numFmt w:val="bullet"/>
      <w:lvlText w:val=""/>
      <w:lvlJc w:val="left"/>
      <w:pPr>
        <w:ind w:left="644"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35014"/>
    <w:multiLevelType w:val="hybridMultilevel"/>
    <w:tmpl w:val="A796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F7631"/>
    <w:multiLevelType w:val="hybridMultilevel"/>
    <w:tmpl w:val="BE74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517938"/>
    <w:multiLevelType w:val="hybridMultilevel"/>
    <w:tmpl w:val="4CD0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93DEE"/>
    <w:multiLevelType w:val="hybridMultilevel"/>
    <w:tmpl w:val="4AAE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AB1A95"/>
    <w:multiLevelType w:val="hybridMultilevel"/>
    <w:tmpl w:val="F9225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B24697"/>
    <w:multiLevelType w:val="hybridMultilevel"/>
    <w:tmpl w:val="CEF63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E3E08FF"/>
    <w:multiLevelType w:val="hybridMultilevel"/>
    <w:tmpl w:val="D48CB2E8"/>
    <w:lvl w:ilvl="0" w:tplc="08090001">
      <w:start w:val="1"/>
      <w:numFmt w:val="bullet"/>
      <w:lvlText w:val=""/>
      <w:lvlJc w:val="left"/>
      <w:pPr>
        <w:ind w:left="1713" w:hanging="360"/>
      </w:pPr>
      <w:rPr>
        <w:rFonts w:ascii="Symbol" w:hAnsi="Symbol"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0F78197F"/>
    <w:multiLevelType w:val="hybridMultilevel"/>
    <w:tmpl w:val="A9B62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123F9"/>
    <w:multiLevelType w:val="hybridMultilevel"/>
    <w:tmpl w:val="64AC93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2487F86"/>
    <w:multiLevelType w:val="hybridMultilevel"/>
    <w:tmpl w:val="F2008FAE"/>
    <w:lvl w:ilvl="0" w:tplc="08090001">
      <w:start w:val="1"/>
      <w:numFmt w:val="bullet"/>
      <w:lvlText w:val=""/>
      <w:lvlJc w:val="left"/>
      <w:pPr>
        <w:ind w:left="1713" w:hanging="360"/>
      </w:pPr>
      <w:rPr>
        <w:rFonts w:ascii="Symbol" w:hAnsi="Symbol"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138C1DB5"/>
    <w:multiLevelType w:val="hybridMultilevel"/>
    <w:tmpl w:val="DE445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4F06F8C"/>
    <w:multiLevelType w:val="multilevel"/>
    <w:tmpl w:val="5330D414"/>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15" w15:restartNumberingAfterBreak="0">
    <w:nsid w:val="154C4A79"/>
    <w:multiLevelType w:val="hybridMultilevel"/>
    <w:tmpl w:val="9842A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8552461"/>
    <w:multiLevelType w:val="hybridMultilevel"/>
    <w:tmpl w:val="C118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692C56"/>
    <w:multiLevelType w:val="hybridMultilevel"/>
    <w:tmpl w:val="2884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A64523"/>
    <w:multiLevelType w:val="multilevel"/>
    <w:tmpl w:val="2C3E9C90"/>
    <w:lvl w:ilvl="0">
      <w:start w:val="3"/>
      <w:numFmt w:val="decimal"/>
      <w:lvlText w:val="%1"/>
      <w:lvlJc w:val="left"/>
      <w:pPr>
        <w:ind w:left="525" w:hanging="525"/>
      </w:pPr>
      <w:rPr>
        <w:rFonts w:hint="default"/>
        <w:b/>
      </w:rPr>
    </w:lvl>
    <w:lvl w:ilvl="1">
      <w:start w:val="1"/>
      <w:numFmt w:val="decimal"/>
      <w:lvlText w:val="%1.%2"/>
      <w:lvlJc w:val="left"/>
      <w:pPr>
        <w:ind w:left="808" w:hanging="525"/>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19" w15:restartNumberingAfterBreak="0">
    <w:nsid w:val="22B37282"/>
    <w:multiLevelType w:val="hybridMultilevel"/>
    <w:tmpl w:val="597C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156133"/>
    <w:multiLevelType w:val="hybridMultilevel"/>
    <w:tmpl w:val="6220E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45B009F"/>
    <w:multiLevelType w:val="hybridMultilevel"/>
    <w:tmpl w:val="F01AC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64D1C8E"/>
    <w:multiLevelType w:val="hybridMultilevel"/>
    <w:tmpl w:val="7AE8972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736020D"/>
    <w:multiLevelType w:val="hybridMultilevel"/>
    <w:tmpl w:val="DD5C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EF3D72"/>
    <w:multiLevelType w:val="hybridMultilevel"/>
    <w:tmpl w:val="C6CC0890"/>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C93E1C"/>
    <w:multiLevelType w:val="hybridMultilevel"/>
    <w:tmpl w:val="0F72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2A4331"/>
    <w:multiLevelType w:val="multilevel"/>
    <w:tmpl w:val="9558CE62"/>
    <w:lvl w:ilvl="0">
      <w:start w:val="1"/>
      <w:numFmt w:val="decimal"/>
      <w:lvlText w:val="%1."/>
      <w:lvlJc w:val="left"/>
      <w:pPr>
        <w:tabs>
          <w:tab w:val="num" w:pos="862"/>
        </w:tabs>
        <w:ind w:left="862"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32D148C0"/>
    <w:multiLevelType w:val="hybridMultilevel"/>
    <w:tmpl w:val="7A162AC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8"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9" w15:restartNumberingAfterBreak="0">
    <w:nsid w:val="33AC78CC"/>
    <w:multiLevelType w:val="hybridMultilevel"/>
    <w:tmpl w:val="B7A82F30"/>
    <w:lvl w:ilvl="0" w:tplc="46CEC5F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52A40FE"/>
    <w:multiLevelType w:val="hybridMultilevel"/>
    <w:tmpl w:val="04A0C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80735A8"/>
    <w:multiLevelType w:val="hybridMultilevel"/>
    <w:tmpl w:val="7C5434A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2" w15:restartNumberingAfterBreak="0">
    <w:nsid w:val="38F714A8"/>
    <w:multiLevelType w:val="hybridMultilevel"/>
    <w:tmpl w:val="62B2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1216C3"/>
    <w:multiLevelType w:val="hybridMultilevel"/>
    <w:tmpl w:val="EF0E9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9A51D7B"/>
    <w:multiLevelType w:val="hybridMultilevel"/>
    <w:tmpl w:val="517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3E17B0"/>
    <w:multiLevelType w:val="hybridMultilevel"/>
    <w:tmpl w:val="DD2C9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00E2BB7"/>
    <w:multiLevelType w:val="hybridMultilevel"/>
    <w:tmpl w:val="C8E456F6"/>
    <w:lvl w:ilvl="0" w:tplc="08090001">
      <w:start w:val="1"/>
      <w:numFmt w:val="bullet"/>
      <w:lvlText w:val=""/>
      <w:lvlJc w:val="left"/>
      <w:pPr>
        <w:ind w:left="1254" w:hanging="360"/>
      </w:pPr>
      <w:rPr>
        <w:rFonts w:ascii="Symbol" w:hAnsi="Symbol" w:hint="default"/>
      </w:rPr>
    </w:lvl>
    <w:lvl w:ilvl="1" w:tplc="08090003" w:tentative="1">
      <w:start w:val="1"/>
      <w:numFmt w:val="bullet"/>
      <w:lvlText w:val="o"/>
      <w:lvlJc w:val="left"/>
      <w:pPr>
        <w:ind w:left="1974" w:hanging="360"/>
      </w:pPr>
      <w:rPr>
        <w:rFonts w:ascii="Courier New" w:hAnsi="Courier New" w:cs="Courier New" w:hint="default"/>
      </w:rPr>
    </w:lvl>
    <w:lvl w:ilvl="2" w:tplc="08090005" w:tentative="1">
      <w:start w:val="1"/>
      <w:numFmt w:val="bullet"/>
      <w:lvlText w:val=""/>
      <w:lvlJc w:val="left"/>
      <w:pPr>
        <w:ind w:left="2694" w:hanging="360"/>
      </w:pPr>
      <w:rPr>
        <w:rFonts w:ascii="Wingdings" w:hAnsi="Wingdings" w:hint="default"/>
      </w:rPr>
    </w:lvl>
    <w:lvl w:ilvl="3" w:tplc="08090001" w:tentative="1">
      <w:start w:val="1"/>
      <w:numFmt w:val="bullet"/>
      <w:lvlText w:val=""/>
      <w:lvlJc w:val="left"/>
      <w:pPr>
        <w:ind w:left="3414" w:hanging="360"/>
      </w:pPr>
      <w:rPr>
        <w:rFonts w:ascii="Symbol" w:hAnsi="Symbol" w:hint="default"/>
      </w:rPr>
    </w:lvl>
    <w:lvl w:ilvl="4" w:tplc="08090003" w:tentative="1">
      <w:start w:val="1"/>
      <w:numFmt w:val="bullet"/>
      <w:lvlText w:val="o"/>
      <w:lvlJc w:val="left"/>
      <w:pPr>
        <w:ind w:left="4134" w:hanging="360"/>
      </w:pPr>
      <w:rPr>
        <w:rFonts w:ascii="Courier New" w:hAnsi="Courier New" w:cs="Courier New" w:hint="default"/>
      </w:rPr>
    </w:lvl>
    <w:lvl w:ilvl="5" w:tplc="08090005" w:tentative="1">
      <w:start w:val="1"/>
      <w:numFmt w:val="bullet"/>
      <w:lvlText w:val=""/>
      <w:lvlJc w:val="left"/>
      <w:pPr>
        <w:ind w:left="4854" w:hanging="360"/>
      </w:pPr>
      <w:rPr>
        <w:rFonts w:ascii="Wingdings" w:hAnsi="Wingdings" w:hint="default"/>
      </w:rPr>
    </w:lvl>
    <w:lvl w:ilvl="6" w:tplc="08090001" w:tentative="1">
      <w:start w:val="1"/>
      <w:numFmt w:val="bullet"/>
      <w:lvlText w:val=""/>
      <w:lvlJc w:val="left"/>
      <w:pPr>
        <w:ind w:left="5574" w:hanging="360"/>
      </w:pPr>
      <w:rPr>
        <w:rFonts w:ascii="Symbol" w:hAnsi="Symbol" w:hint="default"/>
      </w:rPr>
    </w:lvl>
    <w:lvl w:ilvl="7" w:tplc="08090003" w:tentative="1">
      <w:start w:val="1"/>
      <w:numFmt w:val="bullet"/>
      <w:lvlText w:val="o"/>
      <w:lvlJc w:val="left"/>
      <w:pPr>
        <w:ind w:left="6294" w:hanging="360"/>
      </w:pPr>
      <w:rPr>
        <w:rFonts w:ascii="Courier New" w:hAnsi="Courier New" w:cs="Courier New" w:hint="default"/>
      </w:rPr>
    </w:lvl>
    <w:lvl w:ilvl="8" w:tplc="08090005" w:tentative="1">
      <w:start w:val="1"/>
      <w:numFmt w:val="bullet"/>
      <w:lvlText w:val=""/>
      <w:lvlJc w:val="left"/>
      <w:pPr>
        <w:ind w:left="7014" w:hanging="360"/>
      </w:pPr>
      <w:rPr>
        <w:rFonts w:ascii="Wingdings" w:hAnsi="Wingdings" w:hint="default"/>
      </w:rPr>
    </w:lvl>
  </w:abstractNum>
  <w:abstractNum w:abstractNumId="37" w15:restartNumberingAfterBreak="0">
    <w:nsid w:val="41DB3939"/>
    <w:multiLevelType w:val="hybridMultilevel"/>
    <w:tmpl w:val="DAE05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32B7D50"/>
    <w:multiLevelType w:val="hybridMultilevel"/>
    <w:tmpl w:val="8564C4F0"/>
    <w:lvl w:ilvl="0" w:tplc="F49A7B1C">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5A7221"/>
    <w:multiLevelType w:val="singleLevel"/>
    <w:tmpl w:val="08090001"/>
    <w:lvl w:ilvl="0">
      <w:start w:val="1"/>
      <w:numFmt w:val="bullet"/>
      <w:lvlText w:val=""/>
      <w:lvlJc w:val="left"/>
      <w:pPr>
        <w:ind w:left="360" w:hanging="360"/>
      </w:pPr>
      <w:rPr>
        <w:rFonts w:ascii="Symbol" w:hAnsi="Symbol" w:hint="default"/>
      </w:rPr>
    </w:lvl>
  </w:abstractNum>
  <w:abstractNum w:abstractNumId="41" w15:restartNumberingAfterBreak="0">
    <w:nsid w:val="448C7A18"/>
    <w:multiLevelType w:val="hybridMultilevel"/>
    <w:tmpl w:val="678C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087D36"/>
    <w:multiLevelType w:val="multilevel"/>
    <w:tmpl w:val="C29EA9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6417BB9"/>
    <w:multiLevelType w:val="hybridMultilevel"/>
    <w:tmpl w:val="817C00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6C659F1"/>
    <w:multiLevelType w:val="hybridMultilevel"/>
    <w:tmpl w:val="5FB29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4A295D1B"/>
    <w:multiLevelType w:val="hybridMultilevel"/>
    <w:tmpl w:val="602256BA"/>
    <w:lvl w:ilvl="0" w:tplc="0114CD96">
      <w:start w:val="26"/>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B7F1ADB"/>
    <w:multiLevelType w:val="hybridMultilevel"/>
    <w:tmpl w:val="0D8293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4C7E33E1"/>
    <w:multiLevelType w:val="hybridMultilevel"/>
    <w:tmpl w:val="E0689446"/>
    <w:lvl w:ilvl="0" w:tplc="75409D74">
      <w:start w:val="732"/>
      <w:numFmt w:val="bullet"/>
      <w:lvlText w:val="-"/>
      <w:lvlJc w:val="left"/>
      <w:pPr>
        <w:ind w:left="2225" w:hanging="360"/>
      </w:pPr>
      <w:rPr>
        <w:rFonts w:ascii="Arial" w:eastAsia="Arial Unicode MS" w:hAnsi="Arial" w:cs="Aria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48" w15:restartNumberingAfterBreak="0">
    <w:nsid w:val="4DE87FA8"/>
    <w:multiLevelType w:val="hybridMultilevel"/>
    <w:tmpl w:val="30E8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3D47DA"/>
    <w:multiLevelType w:val="singleLevel"/>
    <w:tmpl w:val="08090001"/>
    <w:lvl w:ilvl="0">
      <w:start w:val="1"/>
      <w:numFmt w:val="bullet"/>
      <w:lvlText w:val=""/>
      <w:lvlJc w:val="left"/>
      <w:pPr>
        <w:tabs>
          <w:tab w:val="num" w:pos="1353"/>
        </w:tabs>
        <w:ind w:left="1353" w:hanging="360"/>
      </w:pPr>
      <w:rPr>
        <w:rFonts w:ascii="Symbol" w:hAnsi="Symbol" w:hint="default"/>
      </w:rPr>
    </w:lvl>
  </w:abstractNum>
  <w:abstractNum w:abstractNumId="50" w15:restartNumberingAfterBreak="0">
    <w:nsid w:val="4FC03DBC"/>
    <w:multiLevelType w:val="hybridMultilevel"/>
    <w:tmpl w:val="2C14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D61C5A"/>
    <w:multiLevelType w:val="hybridMultilevel"/>
    <w:tmpl w:val="DCFC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F420B6"/>
    <w:multiLevelType w:val="hybridMultilevel"/>
    <w:tmpl w:val="4CDC10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F448ED"/>
    <w:multiLevelType w:val="hybridMultilevel"/>
    <w:tmpl w:val="49B07B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4" w15:restartNumberingAfterBreak="0">
    <w:nsid w:val="56332D6D"/>
    <w:multiLevelType w:val="multilevel"/>
    <w:tmpl w:val="C7720096"/>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435" w:hanging="180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936" w:hanging="2520"/>
      </w:pPr>
      <w:rPr>
        <w:rFonts w:hint="default"/>
      </w:rPr>
    </w:lvl>
  </w:abstractNum>
  <w:abstractNum w:abstractNumId="55" w15:restartNumberingAfterBreak="0">
    <w:nsid w:val="56C87AB0"/>
    <w:multiLevelType w:val="hybridMultilevel"/>
    <w:tmpl w:val="2FA2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D01B75"/>
    <w:multiLevelType w:val="hybridMultilevel"/>
    <w:tmpl w:val="A864A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9636E9D"/>
    <w:multiLevelType w:val="hybridMultilevel"/>
    <w:tmpl w:val="A87E8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59D17DF5"/>
    <w:multiLevelType w:val="hybridMultilevel"/>
    <w:tmpl w:val="0958B6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59E91844"/>
    <w:multiLevelType w:val="hybridMultilevel"/>
    <w:tmpl w:val="C04C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324EDA"/>
    <w:multiLevelType w:val="hybridMultilevel"/>
    <w:tmpl w:val="834A4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5D350EA4"/>
    <w:multiLevelType w:val="hybridMultilevel"/>
    <w:tmpl w:val="9F18EED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2" w15:restartNumberingAfterBreak="0">
    <w:nsid w:val="5E6216C3"/>
    <w:multiLevelType w:val="hybridMultilevel"/>
    <w:tmpl w:val="3976DDC6"/>
    <w:lvl w:ilvl="0" w:tplc="08090001">
      <w:start w:val="1"/>
      <w:numFmt w:val="bullet"/>
      <w:lvlText w:val=""/>
      <w:lvlJc w:val="left"/>
      <w:pPr>
        <w:ind w:left="1288"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13E5E4C"/>
    <w:multiLevelType w:val="hybridMultilevel"/>
    <w:tmpl w:val="8454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648D492F"/>
    <w:multiLevelType w:val="hybridMultilevel"/>
    <w:tmpl w:val="02E0B61A"/>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66" w15:restartNumberingAfterBreak="0">
    <w:nsid w:val="66F5053B"/>
    <w:multiLevelType w:val="hybridMultilevel"/>
    <w:tmpl w:val="96863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67A61E24"/>
    <w:multiLevelType w:val="hybridMultilevel"/>
    <w:tmpl w:val="2AF458CA"/>
    <w:lvl w:ilvl="0" w:tplc="733E842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A936408"/>
    <w:multiLevelType w:val="hybridMultilevel"/>
    <w:tmpl w:val="BFACD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3F272C"/>
    <w:multiLevelType w:val="hybridMultilevel"/>
    <w:tmpl w:val="ADB45EAA"/>
    <w:lvl w:ilvl="0" w:tplc="FA68F8F6">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C816E59"/>
    <w:multiLevelType w:val="hybridMultilevel"/>
    <w:tmpl w:val="2DD25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6D0F1D7D"/>
    <w:multiLevelType w:val="hybridMultilevel"/>
    <w:tmpl w:val="342CC4A4"/>
    <w:lvl w:ilvl="0" w:tplc="08090001">
      <w:start w:val="1"/>
      <w:numFmt w:val="bullet"/>
      <w:lvlText w:val=""/>
      <w:lvlJc w:val="left"/>
      <w:pPr>
        <w:ind w:left="1713" w:hanging="360"/>
      </w:pPr>
      <w:rPr>
        <w:rFonts w:ascii="Symbol" w:hAnsi="Symbol" w:hint="default"/>
        <w:b/>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2" w15:restartNumberingAfterBreak="0">
    <w:nsid w:val="6F611FA4"/>
    <w:multiLevelType w:val="multilevel"/>
    <w:tmpl w:val="6094AA90"/>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15:restartNumberingAfterBreak="0">
    <w:nsid w:val="6FF84F60"/>
    <w:multiLevelType w:val="multilevel"/>
    <w:tmpl w:val="AC5818EA"/>
    <w:lvl w:ilvl="0">
      <w:start w:val="3"/>
      <w:numFmt w:val="decimal"/>
      <w:lvlText w:val="%1"/>
      <w:lvlJc w:val="left"/>
      <w:pPr>
        <w:ind w:left="720" w:hanging="720"/>
      </w:pPr>
      <w:rPr>
        <w:rFonts w:hint="default"/>
        <w:b/>
      </w:rPr>
    </w:lvl>
    <w:lvl w:ilvl="1">
      <w:start w:val="1"/>
      <w:numFmt w:val="decimal"/>
      <w:lvlText w:val="%1.%2"/>
      <w:lvlJc w:val="left"/>
      <w:pPr>
        <w:ind w:left="955" w:hanging="720"/>
      </w:pPr>
      <w:rPr>
        <w:rFonts w:hint="default"/>
        <w:b/>
      </w:rPr>
    </w:lvl>
    <w:lvl w:ilvl="2">
      <w:start w:val="3"/>
      <w:numFmt w:val="decimal"/>
      <w:lvlText w:val="%1.%2.%3"/>
      <w:lvlJc w:val="left"/>
      <w:pPr>
        <w:ind w:left="1190" w:hanging="720"/>
      </w:pPr>
      <w:rPr>
        <w:rFonts w:hint="default"/>
        <w:b/>
      </w:rPr>
    </w:lvl>
    <w:lvl w:ilvl="3">
      <w:start w:val="2"/>
      <w:numFmt w:val="decimal"/>
      <w:lvlText w:val="%1.%2.%3.%4"/>
      <w:lvlJc w:val="left"/>
      <w:pPr>
        <w:ind w:left="1785" w:hanging="1080"/>
      </w:pPr>
      <w:rPr>
        <w:rFonts w:hint="default"/>
        <w:b/>
      </w:rPr>
    </w:lvl>
    <w:lvl w:ilvl="4">
      <w:start w:val="1"/>
      <w:numFmt w:val="decimal"/>
      <w:lvlText w:val="%1.%2.%3.%4.%5"/>
      <w:lvlJc w:val="left"/>
      <w:pPr>
        <w:ind w:left="2020" w:hanging="1080"/>
      </w:pPr>
      <w:rPr>
        <w:rFonts w:hint="default"/>
        <w:b/>
      </w:rPr>
    </w:lvl>
    <w:lvl w:ilvl="5">
      <w:start w:val="1"/>
      <w:numFmt w:val="decimal"/>
      <w:lvlText w:val="%1.%2.%3.%4.%5.%6"/>
      <w:lvlJc w:val="left"/>
      <w:pPr>
        <w:ind w:left="2615" w:hanging="1440"/>
      </w:pPr>
      <w:rPr>
        <w:rFonts w:hint="default"/>
        <w:b/>
      </w:rPr>
    </w:lvl>
    <w:lvl w:ilvl="6">
      <w:start w:val="1"/>
      <w:numFmt w:val="decimal"/>
      <w:lvlText w:val="%1.%2.%3.%4.%5.%6.%7"/>
      <w:lvlJc w:val="left"/>
      <w:pPr>
        <w:ind w:left="2850" w:hanging="1440"/>
      </w:pPr>
      <w:rPr>
        <w:rFonts w:hint="default"/>
        <w:b/>
      </w:rPr>
    </w:lvl>
    <w:lvl w:ilvl="7">
      <w:start w:val="1"/>
      <w:numFmt w:val="decimal"/>
      <w:lvlText w:val="%1.%2.%3.%4.%5.%6.%7.%8"/>
      <w:lvlJc w:val="left"/>
      <w:pPr>
        <w:ind w:left="3445" w:hanging="1800"/>
      </w:pPr>
      <w:rPr>
        <w:rFonts w:hint="default"/>
        <w:b/>
      </w:rPr>
    </w:lvl>
    <w:lvl w:ilvl="8">
      <w:start w:val="1"/>
      <w:numFmt w:val="decimal"/>
      <w:lvlText w:val="%1.%2.%3.%4.%5.%6.%7.%8.%9"/>
      <w:lvlJc w:val="left"/>
      <w:pPr>
        <w:ind w:left="3680" w:hanging="1800"/>
      </w:pPr>
      <w:rPr>
        <w:rFonts w:hint="default"/>
        <w:b/>
      </w:rPr>
    </w:lvl>
  </w:abstractNum>
  <w:abstractNum w:abstractNumId="74" w15:restartNumberingAfterBreak="0">
    <w:nsid w:val="6FFB4F9F"/>
    <w:multiLevelType w:val="hybridMultilevel"/>
    <w:tmpl w:val="ABF68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71047354"/>
    <w:multiLevelType w:val="multilevel"/>
    <w:tmpl w:val="B0E265DA"/>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1080"/>
        </w:tabs>
        <w:ind w:left="1080" w:hanging="360"/>
      </w:pPr>
      <w:rPr>
        <w:rFonts w:hint="default"/>
      </w:rPr>
    </w:lvl>
    <w:lvl w:ilvl="2">
      <w:start w:val="8"/>
      <w:numFmt w:val="upperLetter"/>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722958B5"/>
    <w:multiLevelType w:val="hybridMultilevel"/>
    <w:tmpl w:val="DFF2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775D39"/>
    <w:multiLevelType w:val="hybridMultilevel"/>
    <w:tmpl w:val="43907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74164B74"/>
    <w:multiLevelType w:val="hybridMultilevel"/>
    <w:tmpl w:val="EBA24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74251334"/>
    <w:multiLevelType w:val="hybridMultilevel"/>
    <w:tmpl w:val="2F2E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4897CB9"/>
    <w:multiLevelType w:val="hybridMultilevel"/>
    <w:tmpl w:val="0CA804EA"/>
    <w:lvl w:ilvl="0" w:tplc="08090001">
      <w:start w:val="1"/>
      <w:numFmt w:val="bullet"/>
      <w:lvlText w:val=""/>
      <w:lvlJc w:val="left"/>
      <w:pPr>
        <w:ind w:left="2312" w:hanging="360"/>
      </w:pPr>
      <w:rPr>
        <w:rFonts w:ascii="Symbol" w:hAnsi="Symbol" w:hint="default"/>
      </w:rPr>
    </w:lvl>
    <w:lvl w:ilvl="1" w:tplc="08090003" w:tentative="1">
      <w:start w:val="1"/>
      <w:numFmt w:val="bullet"/>
      <w:lvlText w:val="o"/>
      <w:lvlJc w:val="left"/>
      <w:pPr>
        <w:ind w:left="3032" w:hanging="360"/>
      </w:pPr>
      <w:rPr>
        <w:rFonts w:ascii="Courier New" w:hAnsi="Courier New" w:cs="Courier New" w:hint="default"/>
      </w:rPr>
    </w:lvl>
    <w:lvl w:ilvl="2" w:tplc="08090005" w:tentative="1">
      <w:start w:val="1"/>
      <w:numFmt w:val="bullet"/>
      <w:lvlText w:val=""/>
      <w:lvlJc w:val="left"/>
      <w:pPr>
        <w:ind w:left="3752" w:hanging="360"/>
      </w:pPr>
      <w:rPr>
        <w:rFonts w:ascii="Wingdings" w:hAnsi="Wingdings" w:hint="default"/>
      </w:rPr>
    </w:lvl>
    <w:lvl w:ilvl="3" w:tplc="08090001" w:tentative="1">
      <w:start w:val="1"/>
      <w:numFmt w:val="bullet"/>
      <w:lvlText w:val=""/>
      <w:lvlJc w:val="left"/>
      <w:pPr>
        <w:ind w:left="4472" w:hanging="360"/>
      </w:pPr>
      <w:rPr>
        <w:rFonts w:ascii="Symbol" w:hAnsi="Symbol" w:hint="default"/>
      </w:rPr>
    </w:lvl>
    <w:lvl w:ilvl="4" w:tplc="08090003" w:tentative="1">
      <w:start w:val="1"/>
      <w:numFmt w:val="bullet"/>
      <w:lvlText w:val="o"/>
      <w:lvlJc w:val="left"/>
      <w:pPr>
        <w:ind w:left="5192" w:hanging="360"/>
      </w:pPr>
      <w:rPr>
        <w:rFonts w:ascii="Courier New" w:hAnsi="Courier New" w:cs="Courier New" w:hint="default"/>
      </w:rPr>
    </w:lvl>
    <w:lvl w:ilvl="5" w:tplc="08090005" w:tentative="1">
      <w:start w:val="1"/>
      <w:numFmt w:val="bullet"/>
      <w:lvlText w:val=""/>
      <w:lvlJc w:val="left"/>
      <w:pPr>
        <w:ind w:left="5912" w:hanging="360"/>
      </w:pPr>
      <w:rPr>
        <w:rFonts w:ascii="Wingdings" w:hAnsi="Wingdings" w:hint="default"/>
      </w:rPr>
    </w:lvl>
    <w:lvl w:ilvl="6" w:tplc="08090001" w:tentative="1">
      <w:start w:val="1"/>
      <w:numFmt w:val="bullet"/>
      <w:lvlText w:val=""/>
      <w:lvlJc w:val="left"/>
      <w:pPr>
        <w:ind w:left="6632" w:hanging="360"/>
      </w:pPr>
      <w:rPr>
        <w:rFonts w:ascii="Symbol" w:hAnsi="Symbol" w:hint="default"/>
      </w:rPr>
    </w:lvl>
    <w:lvl w:ilvl="7" w:tplc="08090003" w:tentative="1">
      <w:start w:val="1"/>
      <w:numFmt w:val="bullet"/>
      <w:lvlText w:val="o"/>
      <w:lvlJc w:val="left"/>
      <w:pPr>
        <w:ind w:left="7352" w:hanging="360"/>
      </w:pPr>
      <w:rPr>
        <w:rFonts w:ascii="Courier New" w:hAnsi="Courier New" w:cs="Courier New" w:hint="default"/>
      </w:rPr>
    </w:lvl>
    <w:lvl w:ilvl="8" w:tplc="08090005" w:tentative="1">
      <w:start w:val="1"/>
      <w:numFmt w:val="bullet"/>
      <w:lvlText w:val=""/>
      <w:lvlJc w:val="left"/>
      <w:pPr>
        <w:ind w:left="8072" w:hanging="360"/>
      </w:pPr>
      <w:rPr>
        <w:rFonts w:ascii="Wingdings" w:hAnsi="Wingdings" w:hint="default"/>
      </w:rPr>
    </w:lvl>
  </w:abstractNum>
  <w:abstractNum w:abstractNumId="82" w15:restartNumberingAfterBreak="0">
    <w:nsid w:val="75243DC0"/>
    <w:multiLevelType w:val="hybridMultilevel"/>
    <w:tmpl w:val="5B6E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7E3951"/>
    <w:multiLevelType w:val="hybridMultilevel"/>
    <w:tmpl w:val="7A60169E"/>
    <w:lvl w:ilvl="0" w:tplc="08090001">
      <w:start w:val="1"/>
      <w:numFmt w:val="bullet"/>
      <w:lvlText w:val=""/>
      <w:lvlJc w:val="left"/>
      <w:pPr>
        <w:ind w:left="1713"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89F4F19"/>
    <w:multiLevelType w:val="hybridMultilevel"/>
    <w:tmpl w:val="625A8BEC"/>
    <w:lvl w:ilvl="0" w:tplc="B6127B4E">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8F64093"/>
    <w:multiLevelType w:val="hybridMultilevel"/>
    <w:tmpl w:val="08724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7AE85F2E"/>
    <w:multiLevelType w:val="hybridMultilevel"/>
    <w:tmpl w:val="630A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C6A53FB"/>
    <w:multiLevelType w:val="hybridMultilevel"/>
    <w:tmpl w:val="3724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CFB7B74"/>
    <w:multiLevelType w:val="singleLevel"/>
    <w:tmpl w:val="08090001"/>
    <w:lvl w:ilvl="0">
      <w:start w:val="1"/>
      <w:numFmt w:val="bullet"/>
      <w:pStyle w:val="Bodytextnumbered"/>
      <w:lvlText w:val=""/>
      <w:lvlJc w:val="left"/>
      <w:pPr>
        <w:tabs>
          <w:tab w:val="num" w:pos="360"/>
        </w:tabs>
        <w:ind w:left="360" w:hanging="360"/>
      </w:pPr>
      <w:rPr>
        <w:rFonts w:ascii="Symbol" w:hAnsi="Symbol" w:hint="default"/>
      </w:rPr>
    </w:lvl>
  </w:abstractNum>
  <w:num w:numId="1">
    <w:abstractNumId w:val="28"/>
  </w:num>
  <w:num w:numId="2">
    <w:abstractNumId w:val="38"/>
  </w:num>
  <w:num w:numId="3">
    <w:abstractNumId w:val="76"/>
  </w:num>
  <w:num w:numId="4">
    <w:abstractNumId w:val="64"/>
  </w:num>
  <w:num w:numId="5">
    <w:abstractNumId w:val="77"/>
  </w:num>
  <w:num w:numId="6">
    <w:abstractNumId w:val="51"/>
  </w:num>
  <w:num w:numId="7">
    <w:abstractNumId w:val="55"/>
  </w:num>
  <w:num w:numId="8">
    <w:abstractNumId w:val="80"/>
  </w:num>
  <w:num w:numId="9">
    <w:abstractNumId w:val="6"/>
  </w:num>
  <w:num w:numId="10">
    <w:abstractNumId w:val="19"/>
  </w:num>
  <w:num w:numId="11">
    <w:abstractNumId w:val="2"/>
  </w:num>
  <w:num w:numId="12">
    <w:abstractNumId w:val="70"/>
  </w:num>
  <w:num w:numId="13">
    <w:abstractNumId w:val="78"/>
  </w:num>
  <w:num w:numId="14">
    <w:abstractNumId w:val="57"/>
  </w:num>
  <w:num w:numId="15">
    <w:abstractNumId w:val="35"/>
  </w:num>
  <w:num w:numId="16">
    <w:abstractNumId w:val="15"/>
  </w:num>
  <w:num w:numId="17">
    <w:abstractNumId w:val="85"/>
  </w:num>
  <w:num w:numId="18">
    <w:abstractNumId w:val="21"/>
  </w:num>
  <w:num w:numId="19">
    <w:abstractNumId w:val="20"/>
  </w:num>
  <w:num w:numId="20">
    <w:abstractNumId w:val="56"/>
  </w:num>
  <w:num w:numId="21">
    <w:abstractNumId w:val="47"/>
  </w:num>
  <w:num w:numId="22">
    <w:abstractNumId w:val="74"/>
  </w:num>
  <w:num w:numId="23">
    <w:abstractNumId w:val="79"/>
  </w:num>
  <w:num w:numId="24">
    <w:abstractNumId w:val="58"/>
  </w:num>
  <w:num w:numId="25">
    <w:abstractNumId w:val="66"/>
  </w:num>
  <w:num w:numId="26">
    <w:abstractNumId w:val="13"/>
  </w:num>
  <w:num w:numId="27">
    <w:abstractNumId w:val="7"/>
  </w:num>
  <w:num w:numId="28">
    <w:abstractNumId w:val="8"/>
  </w:num>
  <w:num w:numId="29">
    <w:abstractNumId w:val="81"/>
  </w:num>
  <w:num w:numId="30">
    <w:abstractNumId w:val="24"/>
  </w:num>
  <w:num w:numId="31">
    <w:abstractNumId w:val="36"/>
  </w:num>
  <w:num w:numId="32">
    <w:abstractNumId w:val="52"/>
  </w:num>
  <w:num w:numId="33">
    <w:abstractNumId w:val="59"/>
  </w:num>
  <w:num w:numId="34">
    <w:abstractNumId w:val="3"/>
  </w:num>
  <w:num w:numId="35">
    <w:abstractNumId w:val="4"/>
  </w:num>
  <w:num w:numId="36">
    <w:abstractNumId w:val="23"/>
  </w:num>
  <w:num w:numId="37">
    <w:abstractNumId w:val="17"/>
  </w:num>
  <w:num w:numId="38">
    <w:abstractNumId w:val="41"/>
  </w:num>
  <w:num w:numId="39">
    <w:abstractNumId w:val="63"/>
  </w:num>
  <w:num w:numId="40">
    <w:abstractNumId w:val="25"/>
  </w:num>
  <w:num w:numId="41">
    <w:abstractNumId w:val="86"/>
  </w:num>
  <w:num w:numId="42">
    <w:abstractNumId w:val="1"/>
  </w:num>
  <w:num w:numId="43">
    <w:abstractNumId w:val="42"/>
  </w:num>
  <w:num w:numId="44">
    <w:abstractNumId w:val="69"/>
  </w:num>
  <w:num w:numId="45">
    <w:abstractNumId w:val="50"/>
  </w:num>
  <w:num w:numId="46">
    <w:abstractNumId w:val="48"/>
  </w:num>
  <w:num w:numId="47">
    <w:abstractNumId w:val="65"/>
  </w:num>
  <w:num w:numId="48">
    <w:abstractNumId w:val="30"/>
  </w:num>
  <w:num w:numId="49">
    <w:abstractNumId w:val="43"/>
  </w:num>
  <w:num w:numId="50">
    <w:abstractNumId w:val="88"/>
  </w:num>
  <w:num w:numId="51">
    <w:abstractNumId w:val="12"/>
  </w:num>
  <w:num w:numId="52">
    <w:abstractNumId w:val="9"/>
  </w:num>
  <w:num w:numId="53">
    <w:abstractNumId w:val="71"/>
  </w:num>
  <w:num w:numId="54">
    <w:abstractNumId w:val="83"/>
  </w:num>
  <w:num w:numId="55">
    <w:abstractNumId w:val="62"/>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68"/>
  </w:num>
  <w:num w:numId="59">
    <w:abstractNumId w:val="53"/>
  </w:num>
  <w:num w:numId="60">
    <w:abstractNumId w:val="22"/>
  </w:num>
  <w:num w:numId="61">
    <w:abstractNumId w:val="37"/>
  </w:num>
  <w:num w:numId="62">
    <w:abstractNumId w:val="33"/>
  </w:num>
  <w:num w:numId="63">
    <w:abstractNumId w:val="61"/>
  </w:num>
  <w:num w:numId="64">
    <w:abstractNumId w:val="27"/>
  </w:num>
  <w:num w:numId="65">
    <w:abstractNumId w:val="0"/>
  </w:num>
  <w:num w:numId="66">
    <w:abstractNumId w:val="31"/>
  </w:num>
  <w:num w:numId="67">
    <w:abstractNumId w:val="39"/>
  </w:num>
  <w:num w:numId="68">
    <w:abstractNumId w:val="84"/>
  </w:num>
  <w:num w:numId="69">
    <w:abstractNumId w:val="29"/>
  </w:num>
  <w:num w:numId="70">
    <w:abstractNumId w:val="40"/>
  </w:num>
  <w:num w:numId="71">
    <w:abstractNumId w:val="26"/>
  </w:num>
  <w:num w:numId="72">
    <w:abstractNumId w:val="67"/>
  </w:num>
  <w:num w:numId="73">
    <w:abstractNumId w:val="72"/>
  </w:num>
  <w:num w:numId="74">
    <w:abstractNumId w:val="75"/>
  </w:num>
  <w:num w:numId="75">
    <w:abstractNumId w:val="49"/>
  </w:num>
  <w:num w:numId="76">
    <w:abstractNumId w:val="46"/>
  </w:num>
  <w:num w:numId="77">
    <w:abstractNumId w:val="54"/>
  </w:num>
  <w:num w:numId="78">
    <w:abstractNumId w:val="18"/>
  </w:num>
  <w:num w:numId="79">
    <w:abstractNumId w:val="14"/>
  </w:num>
  <w:num w:numId="80">
    <w:abstractNumId w:val="73"/>
  </w:num>
  <w:num w:numId="81">
    <w:abstractNumId w:val="11"/>
  </w:num>
  <w:num w:numId="82">
    <w:abstractNumId w:val="87"/>
  </w:num>
  <w:num w:numId="83">
    <w:abstractNumId w:val="34"/>
  </w:num>
  <w:num w:numId="84">
    <w:abstractNumId w:val="32"/>
  </w:num>
  <w:num w:numId="85">
    <w:abstractNumId w:val="16"/>
  </w:num>
  <w:num w:numId="86">
    <w:abstractNumId w:val="5"/>
  </w:num>
  <w:num w:numId="87">
    <w:abstractNumId w:val="82"/>
  </w:num>
  <w:num w:numId="88">
    <w:abstractNumId w:val="10"/>
  </w:num>
  <w:num w:numId="89">
    <w:abstractNumId w:val="45"/>
  </w:num>
  <w:num w:numId="90">
    <w:abstractNumId w:val="44"/>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 Jacqueline">
    <w15:presenceInfo w15:providerId="AD" w15:userId="S-1-5-21-3073725641-1204123029-569601206-46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ocumentProtection w:edit="readOnly" w:enforcement="0"/>
  <w:defaultTabStop w:val="720"/>
  <w:drawingGridHorizontalSpacing w:val="120"/>
  <w:drawingGridVerticalSpacing w:val="360"/>
  <w:displayHorizontalDrawingGridEvery w:val="0"/>
  <w:displayVerticalDrawingGridEvery w:val="0"/>
  <w:characterSpacingControl w:val="doNotCompress"/>
  <w:hdrShapeDefaults>
    <o:shapedefaults v:ext="edit" spidmax="132172">
      <o:colormru v:ext="edit" colors="#d31145,#fffddf,#ffecd6"/>
      <o:colormenu v:ext="edit" fillcolor="none"/>
    </o:shapedefaults>
    <o:shapelayout v:ext="edit">
      <o:idmap v:ext="edit" data="12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938"/>
    <w:rsid w:val="00000CB1"/>
    <w:rsid w:val="00000DB6"/>
    <w:rsid w:val="00002B14"/>
    <w:rsid w:val="00004D48"/>
    <w:rsid w:val="00007A08"/>
    <w:rsid w:val="00010335"/>
    <w:rsid w:val="0001341B"/>
    <w:rsid w:val="0001390E"/>
    <w:rsid w:val="00014BCF"/>
    <w:rsid w:val="00015200"/>
    <w:rsid w:val="000158C8"/>
    <w:rsid w:val="00015A09"/>
    <w:rsid w:val="0001702E"/>
    <w:rsid w:val="00017E95"/>
    <w:rsid w:val="0002009B"/>
    <w:rsid w:val="00020DB3"/>
    <w:rsid w:val="00021254"/>
    <w:rsid w:val="00022554"/>
    <w:rsid w:val="00022AF9"/>
    <w:rsid w:val="0002567A"/>
    <w:rsid w:val="00027E0F"/>
    <w:rsid w:val="00032185"/>
    <w:rsid w:val="000328F4"/>
    <w:rsid w:val="00033BA8"/>
    <w:rsid w:val="00034E28"/>
    <w:rsid w:val="00034E7C"/>
    <w:rsid w:val="00035309"/>
    <w:rsid w:val="00035A10"/>
    <w:rsid w:val="0003737D"/>
    <w:rsid w:val="00037486"/>
    <w:rsid w:val="00037A7D"/>
    <w:rsid w:val="00037ECC"/>
    <w:rsid w:val="00042A67"/>
    <w:rsid w:val="000439DF"/>
    <w:rsid w:val="00044C9F"/>
    <w:rsid w:val="0004609F"/>
    <w:rsid w:val="00052104"/>
    <w:rsid w:val="00053326"/>
    <w:rsid w:val="00053FC1"/>
    <w:rsid w:val="00054752"/>
    <w:rsid w:val="00054C03"/>
    <w:rsid w:val="00054E95"/>
    <w:rsid w:val="00056716"/>
    <w:rsid w:val="00061CA4"/>
    <w:rsid w:val="00061CE5"/>
    <w:rsid w:val="00062D48"/>
    <w:rsid w:val="0006747A"/>
    <w:rsid w:val="000701AB"/>
    <w:rsid w:val="000701C6"/>
    <w:rsid w:val="00070418"/>
    <w:rsid w:val="00070B21"/>
    <w:rsid w:val="000727B1"/>
    <w:rsid w:val="0007293D"/>
    <w:rsid w:val="0007390C"/>
    <w:rsid w:val="00075711"/>
    <w:rsid w:val="00075F6C"/>
    <w:rsid w:val="0007606B"/>
    <w:rsid w:val="00077D4E"/>
    <w:rsid w:val="00081119"/>
    <w:rsid w:val="00081513"/>
    <w:rsid w:val="0008360D"/>
    <w:rsid w:val="00085D9C"/>
    <w:rsid w:val="00086981"/>
    <w:rsid w:val="00086D71"/>
    <w:rsid w:val="00087E68"/>
    <w:rsid w:val="00090184"/>
    <w:rsid w:val="000918C4"/>
    <w:rsid w:val="000921FB"/>
    <w:rsid w:val="00092756"/>
    <w:rsid w:val="000932CB"/>
    <w:rsid w:val="0009438D"/>
    <w:rsid w:val="000944CD"/>
    <w:rsid w:val="00094A51"/>
    <w:rsid w:val="0009662C"/>
    <w:rsid w:val="000967DA"/>
    <w:rsid w:val="000A0396"/>
    <w:rsid w:val="000A0F60"/>
    <w:rsid w:val="000A1E1B"/>
    <w:rsid w:val="000A3BD2"/>
    <w:rsid w:val="000A41BB"/>
    <w:rsid w:val="000A4272"/>
    <w:rsid w:val="000A6E92"/>
    <w:rsid w:val="000B11F8"/>
    <w:rsid w:val="000B1B3C"/>
    <w:rsid w:val="000B29E0"/>
    <w:rsid w:val="000B350C"/>
    <w:rsid w:val="000C0011"/>
    <w:rsid w:val="000C181B"/>
    <w:rsid w:val="000C1D88"/>
    <w:rsid w:val="000C6D8B"/>
    <w:rsid w:val="000C6DA1"/>
    <w:rsid w:val="000C7083"/>
    <w:rsid w:val="000C7B42"/>
    <w:rsid w:val="000C7D6E"/>
    <w:rsid w:val="000D067E"/>
    <w:rsid w:val="000D1574"/>
    <w:rsid w:val="000D15C8"/>
    <w:rsid w:val="000D27EB"/>
    <w:rsid w:val="000D2964"/>
    <w:rsid w:val="000D2C8B"/>
    <w:rsid w:val="000D3601"/>
    <w:rsid w:val="000D3DBB"/>
    <w:rsid w:val="000D4BF2"/>
    <w:rsid w:val="000D69E2"/>
    <w:rsid w:val="000D7E01"/>
    <w:rsid w:val="000D7E09"/>
    <w:rsid w:val="000E00B0"/>
    <w:rsid w:val="000E10B0"/>
    <w:rsid w:val="000E1A52"/>
    <w:rsid w:val="000E256D"/>
    <w:rsid w:val="000E28B2"/>
    <w:rsid w:val="000E2DE1"/>
    <w:rsid w:val="000E2EE7"/>
    <w:rsid w:val="000E3906"/>
    <w:rsid w:val="000E4471"/>
    <w:rsid w:val="000E5FE1"/>
    <w:rsid w:val="000E7E71"/>
    <w:rsid w:val="000F0540"/>
    <w:rsid w:val="000F06B2"/>
    <w:rsid w:val="000F09D4"/>
    <w:rsid w:val="000F2763"/>
    <w:rsid w:val="000F2931"/>
    <w:rsid w:val="000F6A36"/>
    <w:rsid w:val="000F7490"/>
    <w:rsid w:val="000F779F"/>
    <w:rsid w:val="001001D6"/>
    <w:rsid w:val="00100442"/>
    <w:rsid w:val="00100CD3"/>
    <w:rsid w:val="00102DEF"/>
    <w:rsid w:val="00103032"/>
    <w:rsid w:val="00103704"/>
    <w:rsid w:val="0010377F"/>
    <w:rsid w:val="001039A9"/>
    <w:rsid w:val="00103A89"/>
    <w:rsid w:val="00104F0E"/>
    <w:rsid w:val="00106ABF"/>
    <w:rsid w:val="00107F8E"/>
    <w:rsid w:val="00110ABE"/>
    <w:rsid w:val="0011254F"/>
    <w:rsid w:val="00112B05"/>
    <w:rsid w:val="00112D69"/>
    <w:rsid w:val="001148C6"/>
    <w:rsid w:val="00114D2A"/>
    <w:rsid w:val="00116B87"/>
    <w:rsid w:val="001218D1"/>
    <w:rsid w:val="0012225F"/>
    <w:rsid w:val="0012241D"/>
    <w:rsid w:val="00122C43"/>
    <w:rsid w:val="001248E1"/>
    <w:rsid w:val="00124FDC"/>
    <w:rsid w:val="00125CE8"/>
    <w:rsid w:val="00127519"/>
    <w:rsid w:val="001318F2"/>
    <w:rsid w:val="00131E85"/>
    <w:rsid w:val="001339B9"/>
    <w:rsid w:val="00133A4F"/>
    <w:rsid w:val="0013526A"/>
    <w:rsid w:val="00135601"/>
    <w:rsid w:val="00135873"/>
    <w:rsid w:val="001378E8"/>
    <w:rsid w:val="00141057"/>
    <w:rsid w:val="00142E26"/>
    <w:rsid w:val="0014363B"/>
    <w:rsid w:val="00144B95"/>
    <w:rsid w:val="001456E0"/>
    <w:rsid w:val="00145C7C"/>
    <w:rsid w:val="00145E37"/>
    <w:rsid w:val="0014608E"/>
    <w:rsid w:val="001477BC"/>
    <w:rsid w:val="00150029"/>
    <w:rsid w:val="0015063B"/>
    <w:rsid w:val="00151BF3"/>
    <w:rsid w:val="00153F60"/>
    <w:rsid w:val="001542C1"/>
    <w:rsid w:val="00154ADD"/>
    <w:rsid w:val="001557A6"/>
    <w:rsid w:val="00156D8C"/>
    <w:rsid w:val="00157352"/>
    <w:rsid w:val="001575F2"/>
    <w:rsid w:val="00157938"/>
    <w:rsid w:val="00157D3D"/>
    <w:rsid w:val="00160E22"/>
    <w:rsid w:val="0016157E"/>
    <w:rsid w:val="00165163"/>
    <w:rsid w:val="001706B1"/>
    <w:rsid w:val="001713AC"/>
    <w:rsid w:val="00174280"/>
    <w:rsid w:val="00174617"/>
    <w:rsid w:val="00174B8C"/>
    <w:rsid w:val="00175AFB"/>
    <w:rsid w:val="0017632B"/>
    <w:rsid w:val="00176601"/>
    <w:rsid w:val="00177847"/>
    <w:rsid w:val="00181728"/>
    <w:rsid w:val="001836C0"/>
    <w:rsid w:val="00184C22"/>
    <w:rsid w:val="00185640"/>
    <w:rsid w:val="00185CA5"/>
    <w:rsid w:val="001873E0"/>
    <w:rsid w:val="001878A2"/>
    <w:rsid w:val="00191E2E"/>
    <w:rsid w:val="00191F0F"/>
    <w:rsid w:val="00194FAD"/>
    <w:rsid w:val="00196738"/>
    <w:rsid w:val="00196DA7"/>
    <w:rsid w:val="00197244"/>
    <w:rsid w:val="001A12A9"/>
    <w:rsid w:val="001A134C"/>
    <w:rsid w:val="001A5CBC"/>
    <w:rsid w:val="001A5E75"/>
    <w:rsid w:val="001A6E72"/>
    <w:rsid w:val="001A6F15"/>
    <w:rsid w:val="001B148D"/>
    <w:rsid w:val="001B41FF"/>
    <w:rsid w:val="001B5046"/>
    <w:rsid w:val="001B508D"/>
    <w:rsid w:val="001B5383"/>
    <w:rsid w:val="001B5873"/>
    <w:rsid w:val="001B6AC1"/>
    <w:rsid w:val="001B77FA"/>
    <w:rsid w:val="001C18FB"/>
    <w:rsid w:val="001C1EC7"/>
    <w:rsid w:val="001C26E0"/>
    <w:rsid w:val="001C2887"/>
    <w:rsid w:val="001C291B"/>
    <w:rsid w:val="001C3D64"/>
    <w:rsid w:val="001C6C91"/>
    <w:rsid w:val="001D1101"/>
    <w:rsid w:val="001D1A6F"/>
    <w:rsid w:val="001D1E46"/>
    <w:rsid w:val="001D219D"/>
    <w:rsid w:val="001D51CD"/>
    <w:rsid w:val="001D6BDF"/>
    <w:rsid w:val="001D6C4E"/>
    <w:rsid w:val="001D6F25"/>
    <w:rsid w:val="001D7C99"/>
    <w:rsid w:val="001E107C"/>
    <w:rsid w:val="001E22B3"/>
    <w:rsid w:val="001E2463"/>
    <w:rsid w:val="001E3F93"/>
    <w:rsid w:val="001E417F"/>
    <w:rsid w:val="001E44F9"/>
    <w:rsid w:val="001E537B"/>
    <w:rsid w:val="001E587C"/>
    <w:rsid w:val="001E6BBC"/>
    <w:rsid w:val="001E7EF0"/>
    <w:rsid w:val="001F2704"/>
    <w:rsid w:val="001F343E"/>
    <w:rsid w:val="001F44C2"/>
    <w:rsid w:val="001F510F"/>
    <w:rsid w:val="001F5BD0"/>
    <w:rsid w:val="001F73A0"/>
    <w:rsid w:val="002003E6"/>
    <w:rsid w:val="002004B1"/>
    <w:rsid w:val="002005C3"/>
    <w:rsid w:val="002006C0"/>
    <w:rsid w:val="002017A3"/>
    <w:rsid w:val="00202157"/>
    <w:rsid w:val="002029B8"/>
    <w:rsid w:val="0020376F"/>
    <w:rsid w:val="00206658"/>
    <w:rsid w:val="00207327"/>
    <w:rsid w:val="00210D52"/>
    <w:rsid w:val="0021107F"/>
    <w:rsid w:val="00211FCA"/>
    <w:rsid w:val="002126F8"/>
    <w:rsid w:val="002133B0"/>
    <w:rsid w:val="002135E7"/>
    <w:rsid w:val="0021367C"/>
    <w:rsid w:val="00214801"/>
    <w:rsid w:val="00214C65"/>
    <w:rsid w:val="002172E4"/>
    <w:rsid w:val="002174EA"/>
    <w:rsid w:val="00220AA6"/>
    <w:rsid w:val="00221002"/>
    <w:rsid w:val="00221154"/>
    <w:rsid w:val="0022136A"/>
    <w:rsid w:val="00222D1E"/>
    <w:rsid w:val="00224A51"/>
    <w:rsid w:val="00227E9E"/>
    <w:rsid w:val="002308BE"/>
    <w:rsid w:val="00232714"/>
    <w:rsid w:val="00233054"/>
    <w:rsid w:val="00233C18"/>
    <w:rsid w:val="00234529"/>
    <w:rsid w:val="002345FB"/>
    <w:rsid w:val="00234DBE"/>
    <w:rsid w:val="00235001"/>
    <w:rsid w:val="002358F5"/>
    <w:rsid w:val="00243101"/>
    <w:rsid w:val="00244913"/>
    <w:rsid w:val="00246A2C"/>
    <w:rsid w:val="0025058C"/>
    <w:rsid w:val="00250CDF"/>
    <w:rsid w:val="0025336A"/>
    <w:rsid w:val="0025449C"/>
    <w:rsid w:val="0025657A"/>
    <w:rsid w:val="00257261"/>
    <w:rsid w:val="002578B8"/>
    <w:rsid w:val="00257F6A"/>
    <w:rsid w:val="002625D5"/>
    <w:rsid w:val="002628C1"/>
    <w:rsid w:val="002628D2"/>
    <w:rsid w:val="00263BA8"/>
    <w:rsid w:val="0026428F"/>
    <w:rsid w:val="00264798"/>
    <w:rsid w:val="00264A2A"/>
    <w:rsid w:val="00264B87"/>
    <w:rsid w:val="00265B66"/>
    <w:rsid w:val="0026647B"/>
    <w:rsid w:val="0026678D"/>
    <w:rsid w:val="002676E3"/>
    <w:rsid w:val="00267BDA"/>
    <w:rsid w:val="00267E3B"/>
    <w:rsid w:val="00271A9D"/>
    <w:rsid w:val="0027316E"/>
    <w:rsid w:val="00273828"/>
    <w:rsid w:val="002741D2"/>
    <w:rsid w:val="00274D3F"/>
    <w:rsid w:val="00274E33"/>
    <w:rsid w:val="00274F0F"/>
    <w:rsid w:val="00275B89"/>
    <w:rsid w:val="00276325"/>
    <w:rsid w:val="00281E6D"/>
    <w:rsid w:val="002831E1"/>
    <w:rsid w:val="00284158"/>
    <w:rsid w:val="00285898"/>
    <w:rsid w:val="00285E4D"/>
    <w:rsid w:val="00286064"/>
    <w:rsid w:val="002911F9"/>
    <w:rsid w:val="002918E8"/>
    <w:rsid w:val="00292DF9"/>
    <w:rsid w:val="00294782"/>
    <w:rsid w:val="00294CB8"/>
    <w:rsid w:val="00294F80"/>
    <w:rsid w:val="00295A66"/>
    <w:rsid w:val="00295D91"/>
    <w:rsid w:val="00297204"/>
    <w:rsid w:val="002976A9"/>
    <w:rsid w:val="002A0203"/>
    <w:rsid w:val="002A132A"/>
    <w:rsid w:val="002A1E8F"/>
    <w:rsid w:val="002A2514"/>
    <w:rsid w:val="002A2C10"/>
    <w:rsid w:val="002A3292"/>
    <w:rsid w:val="002A3820"/>
    <w:rsid w:val="002A428F"/>
    <w:rsid w:val="002A4846"/>
    <w:rsid w:val="002A5575"/>
    <w:rsid w:val="002A61A5"/>
    <w:rsid w:val="002A6DE2"/>
    <w:rsid w:val="002A6E73"/>
    <w:rsid w:val="002B011F"/>
    <w:rsid w:val="002B199B"/>
    <w:rsid w:val="002B2843"/>
    <w:rsid w:val="002B3169"/>
    <w:rsid w:val="002B44CD"/>
    <w:rsid w:val="002B5FB2"/>
    <w:rsid w:val="002B6FC4"/>
    <w:rsid w:val="002C00AD"/>
    <w:rsid w:val="002C285E"/>
    <w:rsid w:val="002C3559"/>
    <w:rsid w:val="002C4196"/>
    <w:rsid w:val="002C5386"/>
    <w:rsid w:val="002C656A"/>
    <w:rsid w:val="002C6E84"/>
    <w:rsid w:val="002D1147"/>
    <w:rsid w:val="002D1E49"/>
    <w:rsid w:val="002D42BD"/>
    <w:rsid w:val="002D5781"/>
    <w:rsid w:val="002D602D"/>
    <w:rsid w:val="002D7504"/>
    <w:rsid w:val="002D7994"/>
    <w:rsid w:val="002E0B12"/>
    <w:rsid w:val="002E0CED"/>
    <w:rsid w:val="002E5340"/>
    <w:rsid w:val="002E5A17"/>
    <w:rsid w:val="002E5E0D"/>
    <w:rsid w:val="002E65DC"/>
    <w:rsid w:val="002E775A"/>
    <w:rsid w:val="002E792F"/>
    <w:rsid w:val="002F4AF1"/>
    <w:rsid w:val="002F5A33"/>
    <w:rsid w:val="002F68A4"/>
    <w:rsid w:val="002F7A5B"/>
    <w:rsid w:val="002F7DF7"/>
    <w:rsid w:val="003006E7"/>
    <w:rsid w:val="003059E8"/>
    <w:rsid w:val="0031070E"/>
    <w:rsid w:val="00311222"/>
    <w:rsid w:val="00311BBA"/>
    <w:rsid w:val="00313657"/>
    <w:rsid w:val="00313C69"/>
    <w:rsid w:val="00316F78"/>
    <w:rsid w:val="00320821"/>
    <w:rsid w:val="00321276"/>
    <w:rsid w:val="003218D4"/>
    <w:rsid w:val="0032276D"/>
    <w:rsid w:val="0032298A"/>
    <w:rsid w:val="00324B65"/>
    <w:rsid w:val="003253A2"/>
    <w:rsid w:val="00325446"/>
    <w:rsid w:val="00325CF6"/>
    <w:rsid w:val="00326867"/>
    <w:rsid w:val="003311AD"/>
    <w:rsid w:val="003317B4"/>
    <w:rsid w:val="003321F2"/>
    <w:rsid w:val="00332C7E"/>
    <w:rsid w:val="003338D2"/>
    <w:rsid w:val="003348C9"/>
    <w:rsid w:val="003350AF"/>
    <w:rsid w:val="00335342"/>
    <w:rsid w:val="003361F6"/>
    <w:rsid w:val="003363A4"/>
    <w:rsid w:val="00340774"/>
    <w:rsid w:val="003408DA"/>
    <w:rsid w:val="00342A1F"/>
    <w:rsid w:val="00343F72"/>
    <w:rsid w:val="00344756"/>
    <w:rsid w:val="00344EB1"/>
    <w:rsid w:val="00345EA4"/>
    <w:rsid w:val="00346D44"/>
    <w:rsid w:val="00347129"/>
    <w:rsid w:val="00350DC2"/>
    <w:rsid w:val="00350F56"/>
    <w:rsid w:val="003528C2"/>
    <w:rsid w:val="00352C6F"/>
    <w:rsid w:val="0035371C"/>
    <w:rsid w:val="0035446B"/>
    <w:rsid w:val="003547A0"/>
    <w:rsid w:val="003558FE"/>
    <w:rsid w:val="00355ACF"/>
    <w:rsid w:val="003568B0"/>
    <w:rsid w:val="00356B52"/>
    <w:rsid w:val="0035713A"/>
    <w:rsid w:val="00360EBC"/>
    <w:rsid w:val="00363FC7"/>
    <w:rsid w:val="00365825"/>
    <w:rsid w:val="00371403"/>
    <w:rsid w:val="0037260D"/>
    <w:rsid w:val="00373964"/>
    <w:rsid w:val="00374C3E"/>
    <w:rsid w:val="00377319"/>
    <w:rsid w:val="00380469"/>
    <w:rsid w:val="003813DE"/>
    <w:rsid w:val="00383EFD"/>
    <w:rsid w:val="003858B1"/>
    <w:rsid w:val="00385AB1"/>
    <w:rsid w:val="00385ED8"/>
    <w:rsid w:val="00385F32"/>
    <w:rsid w:val="00386B6C"/>
    <w:rsid w:val="00386B95"/>
    <w:rsid w:val="003911D6"/>
    <w:rsid w:val="00391266"/>
    <w:rsid w:val="003921DD"/>
    <w:rsid w:val="003931E0"/>
    <w:rsid w:val="00393976"/>
    <w:rsid w:val="003946ED"/>
    <w:rsid w:val="00394975"/>
    <w:rsid w:val="0039580E"/>
    <w:rsid w:val="00395F5E"/>
    <w:rsid w:val="00397FE7"/>
    <w:rsid w:val="003A0737"/>
    <w:rsid w:val="003A08E1"/>
    <w:rsid w:val="003A0DB3"/>
    <w:rsid w:val="003A4EE6"/>
    <w:rsid w:val="003A55F8"/>
    <w:rsid w:val="003A64F0"/>
    <w:rsid w:val="003A6574"/>
    <w:rsid w:val="003A75B4"/>
    <w:rsid w:val="003A7DCB"/>
    <w:rsid w:val="003B081D"/>
    <w:rsid w:val="003B084A"/>
    <w:rsid w:val="003B0C73"/>
    <w:rsid w:val="003B1E43"/>
    <w:rsid w:val="003B2CA9"/>
    <w:rsid w:val="003B34F6"/>
    <w:rsid w:val="003B3B64"/>
    <w:rsid w:val="003B4013"/>
    <w:rsid w:val="003B49DD"/>
    <w:rsid w:val="003B5674"/>
    <w:rsid w:val="003B6F58"/>
    <w:rsid w:val="003B75EF"/>
    <w:rsid w:val="003B77BD"/>
    <w:rsid w:val="003B7918"/>
    <w:rsid w:val="003C0D03"/>
    <w:rsid w:val="003C0F16"/>
    <w:rsid w:val="003C140F"/>
    <w:rsid w:val="003C18F0"/>
    <w:rsid w:val="003C2910"/>
    <w:rsid w:val="003C468B"/>
    <w:rsid w:val="003C4E67"/>
    <w:rsid w:val="003C588E"/>
    <w:rsid w:val="003C5D0D"/>
    <w:rsid w:val="003C77A6"/>
    <w:rsid w:val="003C7B37"/>
    <w:rsid w:val="003D1166"/>
    <w:rsid w:val="003D2EB4"/>
    <w:rsid w:val="003D51BF"/>
    <w:rsid w:val="003D69D9"/>
    <w:rsid w:val="003E1A55"/>
    <w:rsid w:val="003E1CEE"/>
    <w:rsid w:val="003E2955"/>
    <w:rsid w:val="003E4C50"/>
    <w:rsid w:val="003E6188"/>
    <w:rsid w:val="003E6DDA"/>
    <w:rsid w:val="003E743D"/>
    <w:rsid w:val="003F0703"/>
    <w:rsid w:val="003F1F7C"/>
    <w:rsid w:val="003F3523"/>
    <w:rsid w:val="003F3AFC"/>
    <w:rsid w:val="003F55B6"/>
    <w:rsid w:val="003F6AAD"/>
    <w:rsid w:val="003F774D"/>
    <w:rsid w:val="00401A9D"/>
    <w:rsid w:val="0040246F"/>
    <w:rsid w:val="00403308"/>
    <w:rsid w:val="00404017"/>
    <w:rsid w:val="004043B5"/>
    <w:rsid w:val="00404D81"/>
    <w:rsid w:val="00407D12"/>
    <w:rsid w:val="00411B4C"/>
    <w:rsid w:val="00411CCE"/>
    <w:rsid w:val="00411E30"/>
    <w:rsid w:val="004122E6"/>
    <w:rsid w:val="004128E3"/>
    <w:rsid w:val="00412F92"/>
    <w:rsid w:val="00413839"/>
    <w:rsid w:val="00413EA5"/>
    <w:rsid w:val="0041714E"/>
    <w:rsid w:val="004179DE"/>
    <w:rsid w:val="0042015C"/>
    <w:rsid w:val="004206F9"/>
    <w:rsid w:val="00420A8F"/>
    <w:rsid w:val="00420E03"/>
    <w:rsid w:val="004221FD"/>
    <w:rsid w:val="00422CDB"/>
    <w:rsid w:val="004233D5"/>
    <w:rsid w:val="00424AFC"/>
    <w:rsid w:val="00424E57"/>
    <w:rsid w:val="0042503D"/>
    <w:rsid w:val="00425C6E"/>
    <w:rsid w:val="00425E01"/>
    <w:rsid w:val="00426385"/>
    <w:rsid w:val="00426609"/>
    <w:rsid w:val="00427F9B"/>
    <w:rsid w:val="00433837"/>
    <w:rsid w:val="0043385F"/>
    <w:rsid w:val="00433FEC"/>
    <w:rsid w:val="0043558B"/>
    <w:rsid w:val="004367A7"/>
    <w:rsid w:val="00442061"/>
    <w:rsid w:val="00442270"/>
    <w:rsid w:val="0044554C"/>
    <w:rsid w:val="0044699B"/>
    <w:rsid w:val="00446D79"/>
    <w:rsid w:val="00447CBB"/>
    <w:rsid w:val="00451CE6"/>
    <w:rsid w:val="004533FD"/>
    <w:rsid w:val="00454C06"/>
    <w:rsid w:val="00455438"/>
    <w:rsid w:val="004574D1"/>
    <w:rsid w:val="0046185C"/>
    <w:rsid w:val="004620AE"/>
    <w:rsid w:val="0046220F"/>
    <w:rsid w:val="004625AB"/>
    <w:rsid w:val="004630D6"/>
    <w:rsid w:val="0046414E"/>
    <w:rsid w:val="004646D6"/>
    <w:rsid w:val="004709A4"/>
    <w:rsid w:val="00472A0F"/>
    <w:rsid w:val="00472FF4"/>
    <w:rsid w:val="0047381F"/>
    <w:rsid w:val="0047480A"/>
    <w:rsid w:val="0047699E"/>
    <w:rsid w:val="00477D0D"/>
    <w:rsid w:val="0048060C"/>
    <w:rsid w:val="00480676"/>
    <w:rsid w:val="00481495"/>
    <w:rsid w:val="00481923"/>
    <w:rsid w:val="0048314D"/>
    <w:rsid w:val="00484AF1"/>
    <w:rsid w:val="00486AB2"/>
    <w:rsid w:val="00487350"/>
    <w:rsid w:val="00491750"/>
    <w:rsid w:val="004924FC"/>
    <w:rsid w:val="0049286A"/>
    <w:rsid w:val="004930DD"/>
    <w:rsid w:val="004939D0"/>
    <w:rsid w:val="00493E3A"/>
    <w:rsid w:val="00493F89"/>
    <w:rsid w:val="0049479A"/>
    <w:rsid w:val="00494D95"/>
    <w:rsid w:val="004951A6"/>
    <w:rsid w:val="00495C7F"/>
    <w:rsid w:val="004971E2"/>
    <w:rsid w:val="0049771B"/>
    <w:rsid w:val="00497F27"/>
    <w:rsid w:val="004A03A3"/>
    <w:rsid w:val="004A3933"/>
    <w:rsid w:val="004A4F18"/>
    <w:rsid w:val="004A6048"/>
    <w:rsid w:val="004A76AB"/>
    <w:rsid w:val="004A7AA5"/>
    <w:rsid w:val="004B01A1"/>
    <w:rsid w:val="004B0E77"/>
    <w:rsid w:val="004B2471"/>
    <w:rsid w:val="004B2A7E"/>
    <w:rsid w:val="004B34AE"/>
    <w:rsid w:val="004B42C9"/>
    <w:rsid w:val="004B5121"/>
    <w:rsid w:val="004B573E"/>
    <w:rsid w:val="004B5A98"/>
    <w:rsid w:val="004B7141"/>
    <w:rsid w:val="004B7A81"/>
    <w:rsid w:val="004B7E75"/>
    <w:rsid w:val="004C0139"/>
    <w:rsid w:val="004C119A"/>
    <w:rsid w:val="004C1B6E"/>
    <w:rsid w:val="004C22BB"/>
    <w:rsid w:val="004C2626"/>
    <w:rsid w:val="004C338D"/>
    <w:rsid w:val="004C589B"/>
    <w:rsid w:val="004C720D"/>
    <w:rsid w:val="004C7947"/>
    <w:rsid w:val="004D09B1"/>
    <w:rsid w:val="004D0F2F"/>
    <w:rsid w:val="004D1888"/>
    <w:rsid w:val="004D5CCA"/>
    <w:rsid w:val="004D7DC4"/>
    <w:rsid w:val="004E0FD6"/>
    <w:rsid w:val="004E4B89"/>
    <w:rsid w:val="004E5727"/>
    <w:rsid w:val="004F10A4"/>
    <w:rsid w:val="004F1182"/>
    <w:rsid w:val="004F1D7A"/>
    <w:rsid w:val="004F1DA7"/>
    <w:rsid w:val="004F3F10"/>
    <w:rsid w:val="004F47D0"/>
    <w:rsid w:val="004F4F4A"/>
    <w:rsid w:val="004F5D91"/>
    <w:rsid w:val="004F5E31"/>
    <w:rsid w:val="004F62F5"/>
    <w:rsid w:val="004F7221"/>
    <w:rsid w:val="004F7C7D"/>
    <w:rsid w:val="005001EC"/>
    <w:rsid w:val="00500F8E"/>
    <w:rsid w:val="00501339"/>
    <w:rsid w:val="00501C68"/>
    <w:rsid w:val="0050380D"/>
    <w:rsid w:val="005042E8"/>
    <w:rsid w:val="0050616C"/>
    <w:rsid w:val="005107F5"/>
    <w:rsid w:val="00510A25"/>
    <w:rsid w:val="00510E39"/>
    <w:rsid w:val="00511271"/>
    <w:rsid w:val="00511F5D"/>
    <w:rsid w:val="00512B2C"/>
    <w:rsid w:val="00516099"/>
    <w:rsid w:val="00516FCA"/>
    <w:rsid w:val="00517E39"/>
    <w:rsid w:val="00523D9B"/>
    <w:rsid w:val="00523EE0"/>
    <w:rsid w:val="00524341"/>
    <w:rsid w:val="005259C7"/>
    <w:rsid w:val="00525A6A"/>
    <w:rsid w:val="00531A8F"/>
    <w:rsid w:val="00531F2A"/>
    <w:rsid w:val="0053259C"/>
    <w:rsid w:val="005330B8"/>
    <w:rsid w:val="005331E8"/>
    <w:rsid w:val="00533982"/>
    <w:rsid w:val="005360E5"/>
    <w:rsid w:val="005419E5"/>
    <w:rsid w:val="0054261B"/>
    <w:rsid w:val="00542FB2"/>
    <w:rsid w:val="005446EF"/>
    <w:rsid w:val="00546E30"/>
    <w:rsid w:val="00547102"/>
    <w:rsid w:val="00553EFD"/>
    <w:rsid w:val="005546BD"/>
    <w:rsid w:val="005551C5"/>
    <w:rsid w:val="005564E4"/>
    <w:rsid w:val="005602EE"/>
    <w:rsid w:val="00561248"/>
    <w:rsid w:val="00562427"/>
    <w:rsid w:val="005632D5"/>
    <w:rsid w:val="0056479B"/>
    <w:rsid w:val="00565C76"/>
    <w:rsid w:val="00565DF7"/>
    <w:rsid w:val="00567A6F"/>
    <w:rsid w:val="005708A1"/>
    <w:rsid w:val="00570D50"/>
    <w:rsid w:val="00570E23"/>
    <w:rsid w:val="0057262E"/>
    <w:rsid w:val="0057533D"/>
    <w:rsid w:val="00575A91"/>
    <w:rsid w:val="005760F1"/>
    <w:rsid w:val="005802BF"/>
    <w:rsid w:val="005802F2"/>
    <w:rsid w:val="00581AF4"/>
    <w:rsid w:val="005846E3"/>
    <w:rsid w:val="00584F74"/>
    <w:rsid w:val="0058708B"/>
    <w:rsid w:val="0059059D"/>
    <w:rsid w:val="00591F1A"/>
    <w:rsid w:val="00592516"/>
    <w:rsid w:val="00594064"/>
    <w:rsid w:val="0059752F"/>
    <w:rsid w:val="00597BEE"/>
    <w:rsid w:val="005A08A9"/>
    <w:rsid w:val="005A4493"/>
    <w:rsid w:val="005A577C"/>
    <w:rsid w:val="005A5F7F"/>
    <w:rsid w:val="005A628F"/>
    <w:rsid w:val="005A6798"/>
    <w:rsid w:val="005A6BE8"/>
    <w:rsid w:val="005B154E"/>
    <w:rsid w:val="005B2413"/>
    <w:rsid w:val="005B29BD"/>
    <w:rsid w:val="005B3E95"/>
    <w:rsid w:val="005B4833"/>
    <w:rsid w:val="005B59ED"/>
    <w:rsid w:val="005C018F"/>
    <w:rsid w:val="005C06B4"/>
    <w:rsid w:val="005C14AC"/>
    <w:rsid w:val="005C2A62"/>
    <w:rsid w:val="005C2EFD"/>
    <w:rsid w:val="005C38AB"/>
    <w:rsid w:val="005C3AA8"/>
    <w:rsid w:val="005C4EC9"/>
    <w:rsid w:val="005C5693"/>
    <w:rsid w:val="005C5E74"/>
    <w:rsid w:val="005C79B0"/>
    <w:rsid w:val="005D04B4"/>
    <w:rsid w:val="005D1C8B"/>
    <w:rsid w:val="005D53D6"/>
    <w:rsid w:val="005D61A4"/>
    <w:rsid w:val="005D7511"/>
    <w:rsid w:val="005D76DD"/>
    <w:rsid w:val="005E1F95"/>
    <w:rsid w:val="005E53B8"/>
    <w:rsid w:val="005E5506"/>
    <w:rsid w:val="005E5F42"/>
    <w:rsid w:val="005E6D70"/>
    <w:rsid w:val="005E738C"/>
    <w:rsid w:val="005E7EC8"/>
    <w:rsid w:val="005E7FB5"/>
    <w:rsid w:val="005F0A9A"/>
    <w:rsid w:val="005F0CC3"/>
    <w:rsid w:val="005F2D5F"/>
    <w:rsid w:val="005F43DD"/>
    <w:rsid w:val="005F63D8"/>
    <w:rsid w:val="005F6C88"/>
    <w:rsid w:val="005F6CD7"/>
    <w:rsid w:val="005F7526"/>
    <w:rsid w:val="005F7CD3"/>
    <w:rsid w:val="00601A0B"/>
    <w:rsid w:val="00602CF5"/>
    <w:rsid w:val="00602D56"/>
    <w:rsid w:val="00603A55"/>
    <w:rsid w:val="0060696F"/>
    <w:rsid w:val="00606F51"/>
    <w:rsid w:val="00607939"/>
    <w:rsid w:val="006105AC"/>
    <w:rsid w:val="0061106D"/>
    <w:rsid w:val="00613C8B"/>
    <w:rsid w:val="006148DA"/>
    <w:rsid w:val="006208E7"/>
    <w:rsid w:val="0062134E"/>
    <w:rsid w:val="006226CB"/>
    <w:rsid w:val="00622BBD"/>
    <w:rsid w:val="0062341F"/>
    <w:rsid w:val="00623F50"/>
    <w:rsid w:val="00625161"/>
    <w:rsid w:val="006273FA"/>
    <w:rsid w:val="00632343"/>
    <w:rsid w:val="0063576A"/>
    <w:rsid w:val="00637BE3"/>
    <w:rsid w:val="00637CA2"/>
    <w:rsid w:val="00640348"/>
    <w:rsid w:val="0064101C"/>
    <w:rsid w:val="00641054"/>
    <w:rsid w:val="006416C9"/>
    <w:rsid w:val="00642818"/>
    <w:rsid w:val="00642CD8"/>
    <w:rsid w:val="00642E92"/>
    <w:rsid w:val="0064317B"/>
    <w:rsid w:val="0064378B"/>
    <w:rsid w:val="0064475E"/>
    <w:rsid w:val="00644C80"/>
    <w:rsid w:val="00645244"/>
    <w:rsid w:val="006472EE"/>
    <w:rsid w:val="00650336"/>
    <w:rsid w:val="00651878"/>
    <w:rsid w:val="00654564"/>
    <w:rsid w:val="006549D3"/>
    <w:rsid w:val="00656788"/>
    <w:rsid w:val="00656B78"/>
    <w:rsid w:val="0065700D"/>
    <w:rsid w:val="006570EF"/>
    <w:rsid w:val="006573DF"/>
    <w:rsid w:val="00657E34"/>
    <w:rsid w:val="006617B6"/>
    <w:rsid w:val="00661B7F"/>
    <w:rsid w:val="0066330B"/>
    <w:rsid w:val="006639E5"/>
    <w:rsid w:val="00663E2A"/>
    <w:rsid w:val="00665326"/>
    <w:rsid w:val="006662A4"/>
    <w:rsid w:val="00671973"/>
    <w:rsid w:val="00675165"/>
    <w:rsid w:val="00675407"/>
    <w:rsid w:val="00675B77"/>
    <w:rsid w:val="00675E5D"/>
    <w:rsid w:val="00677CCF"/>
    <w:rsid w:val="006803D3"/>
    <w:rsid w:val="0068273B"/>
    <w:rsid w:val="00682C7C"/>
    <w:rsid w:val="00684B24"/>
    <w:rsid w:val="00687526"/>
    <w:rsid w:val="00690C5C"/>
    <w:rsid w:val="00691924"/>
    <w:rsid w:val="006928DC"/>
    <w:rsid w:val="00693D94"/>
    <w:rsid w:val="0069456E"/>
    <w:rsid w:val="00695740"/>
    <w:rsid w:val="0069591C"/>
    <w:rsid w:val="00697CFD"/>
    <w:rsid w:val="00697D15"/>
    <w:rsid w:val="006A1DEC"/>
    <w:rsid w:val="006A3DA8"/>
    <w:rsid w:val="006A5B3C"/>
    <w:rsid w:val="006A6453"/>
    <w:rsid w:val="006A6584"/>
    <w:rsid w:val="006A7810"/>
    <w:rsid w:val="006B0F93"/>
    <w:rsid w:val="006B17B3"/>
    <w:rsid w:val="006B1A9B"/>
    <w:rsid w:val="006B1F53"/>
    <w:rsid w:val="006B3F26"/>
    <w:rsid w:val="006B57B8"/>
    <w:rsid w:val="006B5E98"/>
    <w:rsid w:val="006B6F3A"/>
    <w:rsid w:val="006C210D"/>
    <w:rsid w:val="006C2145"/>
    <w:rsid w:val="006C21E4"/>
    <w:rsid w:val="006C27CC"/>
    <w:rsid w:val="006C29C6"/>
    <w:rsid w:val="006C2EE6"/>
    <w:rsid w:val="006C4724"/>
    <w:rsid w:val="006C4F7E"/>
    <w:rsid w:val="006C5A66"/>
    <w:rsid w:val="006D054A"/>
    <w:rsid w:val="006D0BBA"/>
    <w:rsid w:val="006D1ED6"/>
    <w:rsid w:val="006D260D"/>
    <w:rsid w:val="006D2DDD"/>
    <w:rsid w:val="006D2EFB"/>
    <w:rsid w:val="006D4547"/>
    <w:rsid w:val="006D4E52"/>
    <w:rsid w:val="006D74BF"/>
    <w:rsid w:val="006D7BB1"/>
    <w:rsid w:val="006E001A"/>
    <w:rsid w:val="006E0DBD"/>
    <w:rsid w:val="006E16DD"/>
    <w:rsid w:val="006E1E08"/>
    <w:rsid w:val="006E230C"/>
    <w:rsid w:val="006E349B"/>
    <w:rsid w:val="006E5CA7"/>
    <w:rsid w:val="006E7490"/>
    <w:rsid w:val="006E7CBB"/>
    <w:rsid w:val="006E7E40"/>
    <w:rsid w:val="006F05AE"/>
    <w:rsid w:val="006F3313"/>
    <w:rsid w:val="006F358D"/>
    <w:rsid w:val="006F4002"/>
    <w:rsid w:val="006F47E5"/>
    <w:rsid w:val="006F7E6A"/>
    <w:rsid w:val="00700B18"/>
    <w:rsid w:val="00701537"/>
    <w:rsid w:val="00702A72"/>
    <w:rsid w:val="00704152"/>
    <w:rsid w:val="00705C83"/>
    <w:rsid w:val="007069E8"/>
    <w:rsid w:val="0070774D"/>
    <w:rsid w:val="0071090F"/>
    <w:rsid w:val="00712D2E"/>
    <w:rsid w:val="00713292"/>
    <w:rsid w:val="00713F7F"/>
    <w:rsid w:val="007156A5"/>
    <w:rsid w:val="007159A8"/>
    <w:rsid w:val="00715B22"/>
    <w:rsid w:val="007161FF"/>
    <w:rsid w:val="00716937"/>
    <w:rsid w:val="00717052"/>
    <w:rsid w:val="0071709A"/>
    <w:rsid w:val="00717919"/>
    <w:rsid w:val="007239A2"/>
    <w:rsid w:val="0072568E"/>
    <w:rsid w:val="00730385"/>
    <w:rsid w:val="00730B2B"/>
    <w:rsid w:val="00730C46"/>
    <w:rsid w:val="00731D7C"/>
    <w:rsid w:val="007323D0"/>
    <w:rsid w:val="00732FE7"/>
    <w:rsid w:val="00733AF2"/>
    <w:rsid w:val="00733B1D"/>
    <w:rsid w:val="00733B33"/>
    <w:rsid w:val="00734EA9"/>
    <w:rsid w:val="00735DB8"/>
    <w:rsid w:val="00736579"/>
    <w:rsid w:val="00737491"/>
    <w:rsid w:val="00741A1D"/>
    <w:rsid w:val="007423F7"/>
    <w:rsid w:val="00742BE9"/>
    <w:rsid w:val="0074334C"/>
    <w:rsid w:val="00743926"/>
    <w:rsid w:val="00743B3C"/>
    <w:rsid w:val="00745413"/>
    <w:rsid w:val="00745B0F"/>
    <w:rsid w:val="0074670A"/>
    <w:rsid w:val="007468E3"/>
    <w:rsid w:val="007479CB"/>
    <w:rsid w:val="00747B0B"/>
    <w:rsid w:val="00751196"/>
    <w:rsid w:val="00753B55"/>
    <w:rsid w:val="00753FFD"/>
    <w:rsid w:val="0075556B"/>
    <w:rsid w:val="007564F2"/>
    <w:rsid w:val="0075798A"/>
    <w:rsid w:val="00760625"/>
    <w:rsid w:val="00760752"/>
    <w:rsid w:val="007630BA"/>
    <w:rsid w:val="00763852"/>
    <w:rsid w:val="00763E72"/>
    <w:rsid w:val="00765AE9"/>
    <w:rsid w:val="00770CBB"/>
    <w:rsid w:val="00771B22"/>
    <w:rsid w:val="00771D81"/>
    <w:rsid w:val="00772716"/>
    <w:rsid w:val="00773587"/>
    <w:rsid w:val="0077399D"/>
    <w:rsid w:val="00775A39"/>
    <w:rsid w:val="00775BB3"/>
    <w:rsid w:val="00777247"/>
    <w:rsid w:val="0077740B"/>
    <w:rsid w:val="007809A7"/>
    <w:rsid w:val="007815BD"/>
    <w:rsid w:val="007818AC"/>
    <w:rsid w:val="00782BD5"/>
    <w:rsid w:val="00783CAB"/>
    <w:rsid w:val="00784105"/>
    <w:rsid w:val="00784BFA"/>
    <w:rsid w:val="007860DD"/>
    <w:rsid w:val="007871E4"/>
    <w:rsid w:val="00787E47"/>
    <w:rsid w:val="00792C96"/>
    <w:rsid w:val="00794581"/>
    <w:rsid w:val="00795732"/>
    <w:rsid w:val="00796660"/>
    <w:rsid w:val="00796721"/>
    <w:rsid w:val="00797100"/>
    <w:rsid w:val="007977AB"/>
    <w:rsid w:val="00797D2C"/>
    <w:rsid w:val="007A2DD0"/>
    <w:rsid w:val="007A2F97"/>
    <w:rsid w:val="007A3465"/>
    <w:rsid w:val="007A5DF9"/>
    <w:rsid w:val="007A5E4E"/>
    <w:rsid w:val="007A7D0A"/>
    <w:rsid w:val="007B079E"/>
    <w:rsid w:val="007B2088"/>
    <w:rsid w:val="007B2B76"/>
    <w:rsid w:val="007B2BBB"/>
    <w:rsid w:val="007B39CC"/>
    <w:rsid w:val="007B51B1"/>
    <w:rsid w:val="007B5C1B"/>
    <w:rsid w:val="007C02E2"/>
    <w:rsid w:val="007C12D1"/>
    <w:rsid w:val="007C4C39"/>
    <w:rsid w:val="007C530B"/>
    <w:rsid w:val="007D042D"/>
    <w:rsid w:val="007D0CE0"/>
    <w:rsid w:val="007D133A"/>
    <w:rsid w:val="007D3119"/>
    <w:rsid w:val="007D3F65"/>
    <w:rsid w:val="007D547D"/>
    <w:rsid w:val="007D74A1"/>
    <w:rsid w:val="007D7604"/>
    <w:rsid w:val="007E1CBA"/>
    <w:rsid w:val="007E1FED"/>
    <w:rsid w:val="007E2848"/>
    <w:rsid w:val="007E5301"/>
    <w:rsid w:val="007E53CA"/>
    <w:rsid w:val="007E5ECB"/>
    <w:rsid w:val="007E778D"/>
    <w:rsid w:val="007E7AA4"/>
    <w:rsid w:val="007F0E6B"/>
    <w:rsid w:val="007F158D"/>
    <w:rsid w:val="007F24A4"/>
    <w:rsid w:val="007F2F31"/>
    <w:rsid w:val="007F3EAD"/>
    <w:rsid w:val="007F40E6"/>
    <w:rsid w:val="00800270"/>
    <w:rsid w:val="00803F29"/>
    <w:rsid w:val="00804177"/>
    <w:rsid w:val="00804318"/>
    <w:rsid w:val="00806F78"/>
    <w:rsid w:val="0080760D"/>
    <w:rsid w:val="00811C47"/>
    <w:rsid w:val="00813CEC"/>
    <w:rsid w:val="00813F68"/>
    <w:rsid w:val="00814732"/>
    <w:rsid w:val="00816E30"/>
    <w:rsid w:val="00817D25"/>
    <w:rsid w:val="0082003B"/>
    <w:rsid w:val="008220F6"/>
    <w:rsid w:val="00827047"/>
    <w:rsid w:val="00831101"/>
    <w:rsid w:val="00832021"/>
    <w:rsid w:val="0083707C"/>
    <w:rsid w:val="008370E5"/>
    <w:rsid w:val="008371D0"/>
    <w:rsid w:val="00840CCB"/>
    <w:rsid w:val="00842F30"/>
    <w:rsid w:val="00843427"/>
    <w:rsid w:val="00843FA3"/>
    <w:rsid w:val="00844D78"/>
    <w:rsid w:val="00844D81"/>
    <w:rsid w:val="00846066"/>
    <w:rsid w:val="00846982"/>
    <w:rsid w:val="00846AEA"/>
    <w:rsid w:val="00846DAF"/>
    <w:rsid w:val="00850008"/>
    <w:rsid w:val="00850704"/>
    <w:rsid w:val="008523A5"/>
    <w:rsid w:val="00853262"/>
    <w:rsid w:val="00853903"/>
    <w:rsid w:val="00853936"/>
    <w:rsid w:val="008559AD"/>
    <w:rsid w:val="008574B3"/>
    <w:rsid w:val="0086138B"/>
    <w:rsid w:val="00861533"/>
    <w:rsid w:val="008648CF"/>
    <w:rsid w:val="008656E7"/>
    <w:rsid w:val="00865859"/>
    <w:rsid w:val="00865A79"/>
    <w:rsid w:val="008707EB"/>
    <w:rsid w:val="0087087E"/>
    <w:rsid w:val="00871143"/>
    <w:rsid w:val="00871A44"/>
    <w:rsid w:val="008742B4"/>
    <w:rsid w:val="00874FCD"/>
    <w:rsid w:val="00875A22"/>
    <w:rsid w:val="00876360"/>
    <w:rsid w:val="00876D2C"/>
    <w:rsid w:val="00877090"/>
    <w:rsid w:val="008776DE"/>
    <w:rsid w:val="008779E1"/>
    <w:rsid w:val="0088030E"/>
    <w:rsid w:val="0088319C"/>
    <w:rsid w:val="0088444B"/>
    <w:rsid w:val="00886A5B"/>
    <w:rsid w:val="00887C6E"/>
    <w:rsid w:val="0089112D"/>
    <w:rsid w:val="00891EBE"/>
    <w:rsid w:val="00895575"/>
    <w:rsid w:val="008A11D9"/>
    <w:rsid w:val="008A1A4C"/>
    <w:rsid w:val="008A2266"/>
    <w:rsid w:val="008A301D"/>
    <w:rsid w:val="008A32DA"/>
    <w:rsid w:val="008A3958"/>
    <w:rsid w:val="008A54CC"/>
    <w:rsid w:val="008A5D00"/>
    <w:rsid w:val="008A6B0E"/>
    <w:rsid w:val="008A7D4E"/>
    <w:rsid w:val="008B0110"/>
    <w:rsid w:val="008B08B8"/>
    <w:rsid w:val="008B0D8D"/>
    <w:rsid w:val="008B2058"/>
    <w:rsid w:val="008B2FCC"/>
    <w:rsid w:val="008B4CBD"/>
    <w:rsid w:val="008C1677"/>
    <w:rsid w:val="008C2430"/>
    <w:rsid w:val="008C31C8"/>
    <w:rsid w:val="008C3748"/>
    <w:rsid w:val="008C377C"/>
    <w:rsid w:val="008C377E"/>
    <w:rsid w:val="008C485C"/>
    <w:rsid w:val="008C4E67"/>
    <w:rsid w:val="008C77A2"/>
    <w:rsid w:val="008C786C"/>
    <w:rsid w:val="008C79F4"/>
    <w:rsid w:val="008D0533"/>
    <w:rsid w:val="008D1B78"/>
    <w:rsid w:val="008D1E21"/>
    <w:rsid w:val="008D2654"/>
    <w:rsid w:val="008D3771"/>
    <w:rsid w:val="008D4B18"/>
    <w:rsid w:val="008D4FF6"/>
    <w:rsid w:val="008D5152"/>
    <w:rsid w:val="008D6E36"/>
    <w:rsid w:val="008E05BA"/>
    <w:rsid w:val="008E11C5"/>
    <w:rsid w:val="008E155A"/>
    <w:rsid w:val="008E213D"/>
    <w:rsid w:val="008E2FD8"/>
    <w:rsid w:val="008E40DA"/>
    <w:rsid w:val="008E4793"/>
    <w:rsid w:val="008E5502"/>
    <w:rsid w:val="008E7863"/>
    <w:rsid w:val="008F01EE"/>
    <w:rsid w:val="008F1F95"/>
    <w:rsid w:val="008F2A0C"/>
    <w:rsid w:val="008F3386"/>
    <w:rsid w:val="008F3BD1"/>
    <w:rsid w:val="008F44ED"/>
    <w:rsid w:val="008F510B"/>
    <w:rsid w:val="009012FB"/>
    <w:rsid w:val="00901A47"/>
    <w:rsid w:val="0090262D"/>
    <w:rsid w:val="00902718"/>
    <w:rsid w:val="009028CB"/>
    <w:rsid w:val="009079AB"/>
    <w:rsid w:val="00910FC4"/>
    <w:rsid w:val="009135AE"/>
    <w:rsid w:val="009138A9"/>
    <w:rsid w:val="00913AFB"/>
    <w:rsid w:val="00914EC4"/>
    <w:rsid w:val="009157E7"/>
    <w:rsid w:val="00917036"/>
    <w:rsid w:val="009223F2"/>
    <w:rsid w:val="009227C1"/>
    <w:rsid w:val="0092413A"/>
    <w:rsid w:val="00924973"/>
    <w:rsid w:val="00925A89"/>
    <w:rsid w:val="00926AF1"/>
    <w:rsid w:val="00927834"/>
    <w:rsid w:val="00930D30"/>
    <w:rsid w:val="00931D3E"/>
    <w:rsid w:val="00932A59"/>
    <w:rsid w:val="00932B44"/>
    <w:rsid w:val="009337DD"/>
    <w:rsid w:val="009343D3"/>
    <w:rsid w:val="009347BD"/>
    <w:rsid w:val="00936F0E"/>
    <w:rsid w:val="00937C88"/>
    <w:rsid w:val="00937EE0"/>
    <w:rsid w:val="0094138A"/>
    <w:rsid w:val="00941642"/>
    <w:rsid w:val="00941788"/>
    <w:rsid w:val="009422EF"/>
    <w:rsid w:val="00942AF1"/>
    <w:rsid w:val="00942BC2"/>
    <w:rsid w:val="00942CC4"/>
    <w:rsid w:val="00942F14"/>
    <w:rsid w:val="00943E96"/>
    <w:rsid w:val="009502D8"/>
    <w:rsid w:val="00950368"/>
    <w:rsid w:val="00950383"/>
    <w:rsid w:val="00950979"/>
    <w:rsid w:val="0095107A"/>
    <w:rsid w:val="009513B1"/>
    <w:rsid w:val="009527CC"/>
    <w:rsid w:val="0095519F"/>
    <w:rsid w:val="009554C0"/>
    <w:rsid w:val="00955619"/>
    <w:rsid w:val="009574F4"/>
    <w:rsid w:val="009605B8"/>
    <w:rsid w:val="00961639"/>
    <w:rsid w:val="009622FF"/>
    <w:rsid w:val="00962C7A"/>
    <w:rsid w:val="0096401E"/>
    <w:rsid w:val="009652E6"/>
    <w:rsid w:val="00966418"/>
    <w:rsid w:val="009677B6"/>
    <w:rsid w:val="00971041"/>
    <w:rsid w:val="009716DC"/>
    <w:rsid w:val="00974C76"/>
    <w:rsid w:val="00975110"/>
    <w:rsid w:val="00975370"/>
    <w:rsid w:val="00975458"/>
    <w:rsid w:val="009761A6"/>
    <w:rsid w:val="009805A5"/>
    <w:rsid w:val="00980C35"/>
    <w:rsid w:val="00980C49"/>
    <w:rsid w:val="009837B1"/>
    <w:rsid w:val="00983E11"/>
    <w:rsid w:val="00984A45"/>
    <w:rsid w:val="0098555C"/>
    <w:rsid w:val="0098579B"/>
    <w:rsid w:val="00987099"/>
    <w:rsid w:val="00990D1C"/>
    <w:rsid w:val="0099187C"/>
    <w:rsid w:val="00992FC6"/>
    <w:rsid w:val="00994E2D"/>
    <w:rsid w:val="00996E51"/>
    <w:rsid w:val="00996E68"/>
    <w:rsid w:val="009A1135"/>
    <w:rsid w:val="009A22ED"/>
    <w:rsid w:val="009A34B3"/>
    <w:rsid w:val="009A45BC"/>
    <w:rsid w:val="009A49D9"/>
    <w:rsid w:val="009A6BCA"/>
    <w:rsid w:val="009B36E3"/>
    <w:rsid w:val="009B3761"/>
    <w:rsid w:val="009B53E2"/>
    <w:rsid w:val="009C05C8"/>
    <w:rsid w:val="009C0921"/>
    <w:rsid w:val="009C09EC"/>
    <w:rsid w:val="009C1250"/>
    <w:rsid w:val="009C12B3"/>
    <w:rsid w:val="009C134D"/>
    <w:rsid w:val="009C1D66"/>
    <w:rsid w:val="009C31BA"/>
    <w:rsid w:val="009C33F5"/>
    <w:rsid w:val="009C4C42"/>
    <w:rsid w:val="009C53FE"/>
    <w:rsid w:val="009C6556"/>
    <w:rsid w:val="009C760E"/>
    <w:rsid w:val="009C7BD0"/>
    <w:rsid w:val="009D0B5A"/>
    <w:rsid w:val="009D26B5"/>
    <w:rsid w:val="009D3D93"/>
    <w:rsid w:val="009D4341"/>
    <w:rsid w:val="009D4EC2"/>
    <w:rsid w:val="009D54CE"/>
    <w:rsid w:val="009D65B8"/>
    <w:rsid w:val="009D6EAC"/>
    <w:rsid w:val="009D7933"/>
    <w:rsid w:val="009E2E9D"/>
    <w:rsid w:val="009E4F66"/>
    <w:rsid w:val="009E5FB1"/>
    <w:rsid w:val="009E6314"/>
    <w:rsid w:val="009E64A6"/>
    <w:rsid w:val="009E64EC"/>
    <w:rsid w:val="009E65C2"/>
    <w:rsid w:val="009E70E9"/>
    <w:rsid w:val="009E7619"/>
    <w:rsid w:val="009F0317"/>
    <w:rsid w:val="009F22E0"/>
    <w:rsid w:val="009F4CEB"/>
    <w:rsid w:val="009F6553"/>
    <w:rsid w:val="009F6B07"/>
    <w:rsid w:val="009F727E"/>
    <w:rsid w:val="00A0033E"/>
    <w:rsid w:val="00A01D15"/>
    <w:rsid w:val="00A02D4D"/>
    <w:rsid w:val="00A02D9F"/>
    <w:rsid w:val="00A03562"/>
    <w:rsid w:val="00A0563B"/>
    <w:rsid w:val="00A061F9"/>
    <w:rsid w:val="00A06955"/>
    <w:rsid w:val="00A07590"/>
    <w:rsid w:val="00A07B04"/>
    <w:rsid w:val="00A07C70"/>
    <w:rsid w:val="00A10AD2"/>
    <w:rsid w:val="00A118ED"/>
    <w:rsid w:val="00A1235C"/>
    <w:rsid w:val="00A1365D"/>
    <w:rsid w:val="00A14003"/>
    <w:rsid w:val="00A14DEF"/>
    <w:rsid w:val="00A16078"/>
    <w:rsid w:val="00A172F8"/>
    <w:rsid w:val="00A20072"/>
    <w:rsid w:val="00A20090"/>
    <w:rsid w:val="00A210DB"/>
    <w:rsid w:val="00A21A1F"/>
    <w:rsid w:val="00A320C3"/>
    <w:rsid w:val="00A33695"/>
    <w:rsid w:val="00A33DBA"/>
    <w:rsid w:val="00A372F6"/>
    <w:rsid w:val="00A417A5"/>
    <w:rsid w:val="00A42996"/>
    <w:rsid w:val="00A43A8C"/>
    <w:rsid w:val="00A43D52"/>
    <w:rsid w:val="00A44CEC"/>
    <w:rsid w:val="00A46490"/>
    <w:rsid w:val="00A465A2"/>
    <w:rsid w:val="00A46850"/>
    <w:rsid w:val="00A46C0B"/>
    <w:rsid w:val="00A47773"/>
    <w:rsid w:val="00A50CD2"/>
    <w:rsid w:val="00A50E81"/>
    <w:rsid w:val="00A5127C"/>
    <w:rsid w:val="00A51AFF"/>
    <w:rsid w:val="00A523F2"/>
    <w:rsid w:val="00A5251F"/>
    <w:rsid w:val="00A552FB"/>
    <w:rsid w:val="00A55927"/>
    <w:rsid w:val="00A56555"/>
    <w:rsid w:val="00A571D9"/>
    <w:rsid w:val="00A57C56"/>
    <w:rsid w:val="00A57E90"/>
    <w:rsid w:val="00A57FD2"/>
    <w:rsid w:val="00A60F61"/>
    <w:rsid w:val="00A62099"/>
    <w:rsid w:val="00A63984"/>
    <w:rsid w:val="00A63DEF"/>
    <w:rsid w:val="00A657ED"/>
    <w:rsid w:val="00A65B8D"/>
    <w:rsid w:val="00A66014"/>
    <w:rsid w:val="00A67157"/>
    <w:rsid w:val="00A67398"/>
    <w:rsid w:val="00A70636"/>
    <w:rsid w:val="00A7149E"/>
    <w:rsid w:val="00A71A6A"/>
    <w:rsid w:val="00A71D3B"/>
    <w:rsid w:val="00A72004"/>
    <w:rsid w:val="00A742E7"/>
    <w:rsid w:val="00A748E6"/>
    <w:rsid w:val="00A75E7D"/>
    <w:rsid w:val="00A76229"/>
    <w:rsid w:val="00A80311"/>
    <w:rsid w:val="00A83AF9"/>
    <w:rsid w:val="00A84DB6"/>
    <w:rsid w:val="00A87041"/>
    <w:rsid w:val="00A87D18"/>
    <w:rsid w:val="00A913E7"/>
    <w:rsid w:val="00A936B3"/>
    <w:rsid w:val="00A9462E"/>
    <w:rsid w:val="00A954CA"/>
    <w:rsid w:val="00A95E7C"/>
    <w:rsid w:val="00A96B67"/>
    <w:rsid w:val="00AA1DBA"/>
    <w:rsid w:val="00AA2702"/>
    <w:rsid w:val="00AA40CC"/>
    <w:rsid w:val="00AA60FA"/>
    <w:rsid w:val="00AA62F4"/>
    <w:rsid w:val="00AA797F"/>
    <w:rsid w:val="00AB0D5A"/>
    <w:rsid w:val="00AB1FE7"/>
    <w:rsid w:val="00AB202F"/>
    <w:rsid w:val="00AB29EA"/>
    <w:rsid w:val="00AB2F90"/>
    <w:rsid w:val="00AB3033"/>
    <w:rsid w:val="00AB4059"/>
    <w:rsid w:val="00AB4388"/>
    <w:rsid w:val="00AB559D"/>
    <w:rsid w:val="00AB5928"/>
    <w:rsid w:val="00AB5CBE"/>
    <w:rsid w:val="00AB61E2"/>
    <w:rsid w:val="00AB7587"/>
    <w:rsid w:val="00AC0313"/>
    <w:rsid w:val="00AC05A7"/>
    <w:rsid w:val="00AC0D32"/>
    <w:rsid w:val="00AC24DC"/>
    <w:rsid w:val="00AC2E64"/>
    <w:rsid w:val="00AC4E66"/>
    <w:rsid w:val="00AC729D"/>
    <w:rsid w:val="00AD0FE1"/>
    <w:rsid w:val="00AD3083"/>
    <w:rsid w:val="00AD3264"/>
    <w:rsid w:val="00AD7422"/>
    <w:rsid w:val="00AD74BB"/>
    <w:rsid w:val="00AE0D82"/>
    <w:rsid w:val="00AE1174"/>
    <w:rsid w:val="00AE22F5"/>
    <w:rsid w:val="00AE338C"/>
    <w:rsid w:val="00AE3779"/>
    <w:rsid w:val="00AE42BD"/>
    <w:rsid w:val="00AE50AD"/>
    <w:rsid w:val="00AE562D"/>
    <w:rsid w:val="00AE5A99"/>
    <w:rsid w:val="00AE644A"/>
    <w:rsid w:val="00AE64DA"/>
    <w:rsid w:val="00AE6ADB"/>
    <w:rsid w:val="00AF0D89"/>
    <w:rsid w:val="00AF20FA"/>
    <w:rsid w:val="00AF49C5"/>
    <w:rsid w:val="00AF646E"/>
    <w:rsid w:val="00AF785F"/>
    <w:rsid w:val="00AF7D37"/>
    <w:rsid w:val="00B0026F"/>
    <w:rsid w:val="00B0117D"/>
    <w:rsid w:val="00B02322"/>
    <w:rsid w:val="00B028C2"/>
    <w:rsid w:val="00B0309F"/>
    <w:rsid w:val="00B03A78"/>
    <w:rsid w:val="00B06715"/>
    <w:rsid w:val="00B06EA4"/>
    <w:rsid w:val="00B06F0A"/>
    <w:rsid w:val="00B1048E"/>
    <w:rsid w:val="00B10531"/>
    <w:rsid w:val="00B10F0A"/>
    <w:rsid w:val="00B12067"/>
    <w:rsid w:val="00B14367"/>
    <w:rsid w:val="00B15246"/>
    <w:rsid w:val="00B15E2A"/>
    <w:rsid w:val="00B16F99"/>
    <w:rsid w:val="00B179C7"/>
    <w:rsid w:val="00B2047C"/>
    <w:rsid w:val="00B21315"/>
    <w:rsid w:val="00B21BF4"/>
    <w:rsid w:val="00B229A6"/>
    <w:rsid w:val="00B22B8A"/>
    <w:rsid w:val="00B236CE"/>
    <w:rsid w:val="00B2759E"/>
    <w:rsid w:val="00B27A58"/>
    <w:rsid w:val="00B3034E"/>
    <w:rsid w:val="00B30CBD"/>
    <w:rsid w:val="00B3168E"/>
    <w:rsid w:val="00B3248D"/>
    <w:rsid w:val="00B33E1E"/>
    <w:rsid w:val="00B34787"/>
    <w:rsid w:val="00B36058"/>
    <w:rsid w:val="00B36B38"/>
    <w:rsid w:val="00B402FE"/>
    <w:rsid w:val="00B405D4"/>
    <w:rsid w:val="00B406F6"/>
    <w:rsid w:val="00B40C7A"/>
    <w:rsid w:val="00B414DF"/>
    <w:rsid w:val="00B47927"/>
    <w:rsid w:val="00B5131C"/>
    <w:rsid w:val="00B535C8"/>
    <w:rsid w:val="00B54F54"/>
    <w:rsid w:val="00B556DD"/>
    <w:rsid w:val="00B5575D"/>
    <w:rsid w:val="00B558C7"/>
    <w:rsid w:val="00B55D6F"/>
    <w:rsid w:val="00B5681F"/>
    <w:rsid w:val="00B5683E"/>
    <w:rsid w:val="00B57CAF"/>
    <w:rsid w:val="00B624BD"/>
    <w:rsid w:val="00B62678"/>
    <w:rsid w:val="00B62B65"/>
    <w:rsid w:val="00B63172"/>
    <w:rsid w:val="00B663F9"/>
    <w:rsid w:val="00B66AEA"/>
    <w:rsid w:val="00B66B74"/>
    <w:rsid w:val="00B70011"/>
    <w:rsid w:val="00B70BB6"/>
    <w:rsid w:val="00B7145A"/>
    <w:rsid w:val="00B71A4F"/>
    <w:rsid w:val="00B72FE7"/>
    <w:rsid w:val="00B739B8"/>
    <w:rsid w:val="00B73FC4"/>
    <w:rsid w:val="00B74BCA"/>
    <w:rsid w:val="00B772F4"/>
    <w:rsid w:val="00B77E1F"/>
    <w:rsid w:val="00B801DA"/>
    <w:rsid w:val="00B801F4"/>
    <w:rsid w:val="00B80B3B"/>
    <w:rsid w:val="00B81795"/>
    <w:rsid w:val="00B8312E"/>
    <w:rsid w:val="00B8525E"/>
    <w:rsid w:val="00B85D94"/>
    <w:rsid w:val="00B85FA4"/>
    <w:rsid w:val="00B85FAD"/>
    <w:rsid w:val="00B865AE"/>
    <w:rsid w:val="00B868AF"/>
    <w:rsid w:val="00B87E5F"/>
    <w:rsid w:val="00B90034"/>
    <w:rsid w:val="00B913A7"/>
    <w:rsid w:val="00B9298C"/>
    <w:rsid w:val="00B941A5"/>
    <w:rsid w:val="00B94332"/>
    <w:rsid w:val="00B94F19"/>
    <w:rsid w:val="00BA0BBC"/>
    <w:rsid w:val="00BA0C8C"/>
    <w:rsid w:val="00BA0D13"/>
    <w:rsid w:val="00BA1EEA"/>
    <w:rsid w:val="00BA1F75"/>
    <w:rsid w:val="00BA2C0C"/>
    <w:rsid w:val="00BA2DD1"/>
    <w:rsid w:val="00BA2E6B"/>
    <w:rsid w:val="00BA3029"/>
    <w:rsid w:val="00BA41AE"/>
    <w:rsid w:val="00BA46B3"/>
    <w:rsid w:val="00BA4AC3"/>
    <w:rsid w:val="00BA4F6F"/>
    <w:rsid w:val="00BA5922"/>
    <w:rsid w:val="00BA613A"/>
    <w:rsid w:val="00BA7E5C"/>
    <w:rsid w:val="00BB0CB4"/>
    <w:rsid w:val="00BB1ACD"/>
    <w:rsid w:val="00BB3793"/>
    <w:rsid w:val="00BB6F2A"/>
    <w:rsid w:val="00BC08C4"/>
    <w:rsid w:val="00BC138D"/>
    <w:rsid w:val="00BC2A0F"/>
    <w:rsid w:val="00BC4E7E"/>
    <w:rsid w:val="00BC5961"/>
    <w:rsid w:val="00BC5A58"/>
    <w:rsid w:val="00BD0148"/>
    <w:rsid w:val="00BD38BE"/>
    <w:rsid w:val="00BD5127"/>
    <w:rsid w:val="00BD6097"/>
    <w:rsid w:val="00BD618D"/>
    <w:rsid w:val="00BD7307"/>
    <w:rsid w:val="00BD7E7E"/>
    <w:rsid w:val="00BE0ACD"/>
    <w:rsid w:val="00BE1183"/>
    <w:rsid w:val="00BE23FB"/>
    <w:rsid w:val="00BE3088"/>
    <w:rsid w:val="00BE3105"/>
    <w:rsid w:val="00BE54C9"/>
    <w:rsid w:val="00BE7EE5"/>
    <w:rsid w:val="00BF229F"/>
    <w:rsid w:val="00BF2543"/>
    <w:rsid w:val="00BF33FC"/>
    <w:rsid w:val="00BF3819"/>
    <w:rsid w:val="00BF3B3C"/>
    <w:rsid w:val="00BF4753"/>
    <w:rsid w:val="00BF4E6A"/>
    <w:rsid w:val="00BF5930"/>
    <w:rsid w:val="00BF5968"/>
    <w:rsid w:val="00BF6F2B"/>
    <w:rsid w:val="00BF79A4"/>
    <w:rsid w:val="00C0047D"/>
    <w:rsid w:val="00C00F24"/>
    <w:rsid w:val="00C024DE"/>
    <w:rsid w:val="00C03F5F"/>
    <w:rsid w:val="00C111B4"/>
    <w:rsid w:val="00C11396"/>
    <w:rsid w:val="00C12D34"/>
    <w:rsid w:val="00C16288"/>
    <w:rsid w:val="00C1649B"/>
    <w:rsid w:val="00C1787A"/>
    <w:rsid w:val="00C22348"/>
    <w:rsid w:val="00C22BCC"/>
    <w:rsid w:val="00C22C40"/>
    <w:rsid w:val="00C2368E"/>
    <w:rsid w:val="00C236DF"/>
    <w:rsid w:val="00C24E88"/>
    <w:rsid w:val="00C24F75"/>
    <w:rsid w:val="00C2570F"/>
    <w:rsid w:val="00C26050"/>
    <w:rsid w:val="00C269A4"/>
    <w:rsid w:val="00C26F63"/>
    <w:rsid w:val="00C27319"/>
    <w:rsid w:val="00C306B3"/>
    <w:rsid w:val="00C30A1A"/>
    <w:rsid w:val="00C30FC1"/>
    <w:rsid w:val="00C31B13"/>
    <w:rsid w:val="00C321E4"/>
    <w:rsid w:val="00C32320"/>
    <w:rsid w:val="00C358F9"/>
    <w:rsid w:val="00C36273"/>
    <w:rsid w:val="00C36D09"/>
    <w:rsid w:val="00C36F68"/>
    <w:rsid w:val="00C37317"/>
    <w:rsid w:val="00C413A8"/>
    <w:rsid w:val="00C41811"/>
    <w:rsid w:val="00C428F9"/>
    <w:rsid w:val="00C42B44"/>
    <w:rsid w:val="00C42D1A"/>
    <w:rsid w:val="00C43082"/>
    <w:rsid w:val="00C457F9"/>
    <w:rsid w:val="00C45AF1"/>
    <w:rsid w:val="00C45BA9"/>
    <w:rsid w:val="00C47120"/>
    <w:rsid w:val="00C47EAA"/>
    <w:rsid w:val="00C50636"/>
    <w:rsid w:val="00C50E19"/>
    <w:rsid w:val="00C50F7E"/>
    <w:rsid w:val="00C51174"/>
    <w:rsid w:val="00C51A09"/>
    <w:rsid w:val="00C53823"/>
    <w:rsid w:val="00C53844"/>
    <w:rsid w:val="00C53D94"/>
    <w:rsid w:val="00C543EE"/>
    <w:rsid w:val="00C54542"/>
    <w:rsid w:val="00C54C72"/>
    <w:rsid w:val="00C5642C"/>
    <w:rsid w:val="00C564CF"/>
    <w:rsid w:val="00C60331"/>
    <w:rsid w:val="00C60A65"/>
    <w:rsid w:val="00C615DA"/>
    <w:rsid w:val="00C620F1"/>
    <w:rsid w:val="00C6220F"/>
    <w:rsid w:val="00C622A8"/>
    <w:rsid w:val="00C624A2"/>
    <w:rsid w:val="00C6292A"/>
    <w:rsid w:val="00C62BE1"/>
    <w:rsid w:val="00C62E86"/>
    <w:rsid w:val="00C650F9"/>
    <w:rsid w:val="00C655F3"/>
    <w:rsid w:val="00C66054"/>
    <w:rsid w:val="00C700F5"/>
    <w:rsid w:val="00C703EF"/>
    <w:rsid w:val="00C71064"/>
    <w:rsid w:val="00C72C12"/>
    <w:rsid w:val="00C734A4"/>
    <w:rsid w:val="00C73D39"/>
    <w:rsid w:val="00C74127"/>
    <w:rsid w:val="00C80D24"/>
    <w:rsid w:val="00C81A25"/>
    <w:rsid w:val="00C8211E"/>
    <w:rsid w:val="00C8506B"/>
    <w:rsid w:val="00C85A16"/>
    <w:rsid w:val="00C85B55"/>
    <w:rsid w:val="00C85F21"/>
    <w:rsid w:val="00C864F6"/>
    <w:rsid w:val="00C8665B"/>
    <w:rsid w:val="00C868B0"/>
    <w:rsid w:val="00C868B1"/>
    <w:rsid w:val="00C87A66"/>
    <w:rsid w:val="00C910DC"/>
    <w:rsid w:val="00C91973"/>
    <w:rsid w:val="00C91FFD"/>
    <w:rsid w:val="00C94ABC"/>
    <w:rsid w:val="00CA0B06"/>
    <w:rsid w:val="00CA1BFD"/>
    <w:rsid w:val="00CA30DC"/>
    <w:rsid w:val="00CA38A1"/>
    <w:rsid w:val="00CA3E1D"/>
    <w:rsid w:val="00CA50C4"/>
    <w:rsid w:val="00CA5767"/>
    <w:rsid w:val="00CA6E44"/>
    <w:rsid w:val="00CB199D"/>
    <w:rsid w:val="00CB332F"/>
    <w:rsid w:val="00CB33F7"/>
    <w:rsid w:val="00CB35D2"/>
    <w:rsid w:val="00CB361E"/>
    <w:rsid w:val="00CB3ECF"/>
    <w:rsid w:val="00CB4610"/>
    <w:rsid w:val="00CB4CE8"/>
    <w:rsid w:val="00CB5342"/>
    <w:rsid w:val="00CB5BC6"/>
    <w:rsid w:val="00CB7F8C"/>
    <w:rsid w:val="00CC0395"/>
    <w:rsid w:val="00CC274F"/>
    <w:rsid w:val="00CC2998"/>
    <w:rsid w:val="00CC34A1"/>
    <w:rsid w:val="00CC35AE"/>
    <w:rsid w:val="00CC528B"/>
    <w:rsid w:val="00CC6D50"/>
    <w:rsid w:val="00CD05F0"/>
    <w:rsid w:val="00CD0DDC"/>
    <w:rsid w:val="00CD1FC1"/>
    <w:rsid w:val="00CD5A88"/>
    <w:rsid w:val="00CD7BD0"/>
    <w:rsid w:val="00CE093C"/>
    <w:rsid w:val="00CE0E4F"/>
    <w:rsid w:val="00CE14DE"/>
    <w:rsid w:val="00CE23BA"/>
    <w:rsid w:val="00CE69E0"/>
    <w:rsid w:val="00CE7A1F"/>
    <w:rsid w:val="00CF214A"/>
    <w:rsid w:val="00CF39EC"/>
    <w:rsid w:val="00CF3E99"/>
    <w:rsid w:val="00CF4BC3"/>
    <w:rsid w:val="00CF5BCD"/>
    <w:rsid w:val="00CF78B2"/>
    <w:rsid w:val="00D013A1"/>
    <w:rsid w:val="00D02330"/>
    <w:rsid w:val="00D026A6"/>
    <w:rsid w:val="00D028F4"/>
    <w:rsid w:val="00D02CFE"/>
    <w:rsid w:val="00D04825"/>
    <w:rsid w:val="00D04FD5"/>
    <w:rsid w:val="00D06FB1"/>
    <w:rsid w:val="00D07DEC"/>
    <w:rsid w:val="00D104DA"/>
    <w:rsid w:val="00D12059"/>
    <w:rsid w:val="00D12E3E"/>
    <w:rsid w:val="00D12F0B"/>
    <w:rsid w:val="00D13CB1"/>
    <w:rsid w:val="00D14608"/>
    <w:rsid w:val="00D15D7A"/>
    <w:rsid w:val="00D1697D"/>
    <w:rsid w:val="00D20251"/>
    <w:rsid w:val="00D20AC8"/>
    <w:rsid w:val="00D2133B"/>
    <w:rsid w:val="00D219D3"/>
    <w:rsid w:val="00D22399"/>
    <w:rsid w:val="00D22B6E"/>
    <w:rsid w:val="00D23209"/>
    <w:rsid w:val="00D237C4"/>
    <w:rsid w:val="00D23CD1"/>
    <w:rsid w:val="00D24D58"/>
    <w:rsid w:val="00D25C1A"/>
    <w:rsid w:val="00D2689C"/>
    <w:rsid w:val="00D273FE"/>
    <w:rsid w:val="00D305D0"/>
    <w:rsid w:val="00D307EE"/>
    <w:rsid w:val="00D311BD"/>
    <w:rsid w:val="00D33F1A"/>
    <w:rsid w:val="00D345CC"/>
    <w:rsid w:val="00D3460F"/>
    <w:rsid w:val="00D36351"/>
    <w:rsid w:val="00D40A15"/>
    <w:rsid w:val="00D41E1D"/>
    <w:rsid w:val="00D44703"/>
    <w:rsid w:val="00D4476A"/>
    <w:rsid w:val="00D447F1"/>
    <w:rsid w:val="00D4530C"/>
    <w:rsid w:val="00D50E0C"/>
    <w:rsid w:val="00D51CD6"/>
    <w:rsid w:val="00D5249B"/>
    <w:rsid w:val="00D53C07"/>
    <w:rsid w:val="00D5654F"/>
    <w:rsid w:val="00D565E0"/>
    <w:rsid w:val="00D579AB"/>
    <w:rsid w:val="00D64811"/>
    <w:rsid w:val="00D64947"/>
    <w:rsid w:val="00D65029"/>
    <w:rsid w:val="00D65237"/>
    <w:rsid w:val="00D65F52"/>
    <w:rsid w:val="00D66B17"/>
    <w:rsid w:val="00D671D4"/>
    <w:rsid w:val="00D800BD"/>
    <w:rsid w:val="00D80B89"/>
    <w:rsid w:val="00D80E98"/>
    <w:rsid w:val="00D8105D"/>
    <w:rsid w:val="00D83949"/>
    <w:rsid w:val="00D8469E"/>
    <w:rsid w:val="00D8682B"/>
    <w:rsid w:val="00D877CB"/>
    <w:rsid w:val="00D9025F"/>
    <w:rsid w:val="00D90995"/>
    <w:rsid w:val="00D928EE"/>
    <w:rsid w:val="00D92D73"/>
    <w:rsid w:val="00D96124"/>
    <w:rsid w:val="00D971DE"/>
    <w:rsid w:val="00DA25B7"/>
    <w:rsid w:val="00DA2863"/>
    <w:rsid w:val="00DA2F2B"/>
    <w:rsid w:val="00DA4031"/>
    <w:rsid w:val="00DA420C"/>
    <w:rsid w:val="00DA486D"/>
    <w:rsid w:val="00DA518D"/>
    <w:rsid w:val="00DB11EF"/>
    <w:rsid w:val="00DB1F5D"/>
    <w:rsid w:val="00DB2982"/>
    <w:rsid w:val="00DB3093"/>
    <w:rsid w:val="00DB322F"/>
    <w:rsid w:val="00DB3590"/>
    <w:rsid w:val="00DB368D"/>
    <w:rsid w:val="00DB3CCE"/>
    <w:rsid w:val="00DB3EE2"/>
    <w:rsid w:val="00DB52CA"/>
    <w:rsid w:val="00DB6790"/>
    <w:rsid w:val="00DB6FF3"/>
    <w:rsid w:val="00DB7B00"/>
    <w:rsid w:val="00DC13D9"/>
    <w:rsid w:val="00DC22AE"/>
    <w:rsid w:val="00DC4101"/>
    <w:rsid w:val="00DC52F6"/>
    <w:rsid w:val="00DC5CDF"/>
    <w:rsid w:val="00DC5E5E"/>
    <w:rsid w:val="00DC6733"/>
    <w:rsid w:val="00DD2D65"/>
    <w:rsid w:val="00DD3337"/>
    <w:rsid w:val="00DD5730"/>
    <w:rsid w:val="00DD6562"/>
    <w:rsid w:val="00DD6C57"/>
    <w:rsid w:val="00DD7221"/>
    <w:rsid w:val="00DD79AB"/>
    <w:rsid w:val="00DE02BD"/>
    <w:rsid w:val="00DE22A3"/>
    <w:rsid w:val="00DE295E"/>
    <w:rsid w:val="00DE4A34"/>
    <w:rsid w:val="00DE5A75"/>
    <w:rsid w:val="00DF27F7"/>
    <w:rsid w:val="00DF4542"/>
    <w:rsid w:val="00DF6CCD"/>
    <w:rsid w:val="00E02EEF"/>
    <w:rsid w:val="00E03053"/>
    <w:rsid w:val="00E03696"/>
    <w:rsid w:val="00E03FD1"/>
    <w:rsid w:val="00E07974"/>
    <w:rsid w:val="00E07BE9"/>
    <w:rsid w:val="00E12DB9"/>
    <w:rsid w:val="00E1306A"/>
    <w:rsid w:val="00E130AB"/>
    <w:rsid w:val="00E13FD0"/>
    <w:rsid w:val="00E14527"/>
    <w:rsid w:val="00E14702"/>
    <w:rsid w:val="00E14BA1"/>
    <w:rsid w:val="00E154A1"/>
    <w:rsid w:val="00E15D60"/>
    <w:rsid w:val="00E1678D"/>
    <w:rsid w:val="00E17A6E"/>
    <w:rsid w:val="00E17D8F"/>
    <w:rsid w:val="00E22B66"/>
    <w:rsid w:val="00E24FE4"/>
    <w:rsid w:val="00E25972"/>
    <w:rsid w:val="00E26430"/>
    <w:rsid w:val="00E27B55"/>
    <w:rsid w:val="00E317E9"/>
    <w:rsid w:val="00E32866"/>
    <w:rsid w:val="00E334B0"/>
    <w:rsid w:val="00E33FA3"/>
    <w:rsid w:val="00E34346"/>
    <w:rsid w:val="00E35139"/>
    <w:rsid w:val="00E37580"/>
    <w:rsid w:val="00E42A0F"/>
    <w:rsid w:val="00E42B06"/>
    <w:rsid w:val="00E44E3F"/>
    <w:rsid w:val="00E44E58"/>
    <w:rsid w:val="00E459E6"/>
    <w:rsid w:val="00E45E0A"/>
    <w:rsid w:val="00E45E58"/>
    <w:rsid w:val="00E46B9B"/>
    <w:rsid w:val="00E50240"/>
    <w:rsid w:val="00E51921"/>
    <w:rsid w:val="00E52131"/>
    <w:rsid w:val="00E52A6C"/>
    <w:rsid w:val="00E54CC0"/>
    <w:rsid w:val="00E55436"/>
    <w:rsid w:val="00E562A1"/>
    <w:rsid w:val="00E570CC"/>
    <w:rsid w:val="00E57BDA"/>
    <w:rsid w:val="00E604ED"/>
    <w:rsid w:val="00E62CA3"/>
    <w:rsid w:val="00E640FC"/>
    <w:rsid w:val="00E64C9A"/>
    <w:rsid w:val="00E6598B"/>
    <w:rsid w:val="00E65B34"/>
    <w:rsid w:val="00E65E00"/>
    <w:rsid w:val="00E65E1C"/>
    <w:rsid w:val="00E66027"/>
    <w:rsid w:val="00E67B45"/>
    <w:rsid w:val="00E71558"/>
    <w:rsid w:val="00E721A9"/>
    <w:rsid w:val="00E729E2"/>
    <w:rsid w:val="00E72FE7"/>
    <w:rsid w:val="00E75DE6"/>
    <w:rsid w:val="00E7723E"/>
    <w:rsid w:val="00E77545"/>
    <w:rsid w:val="00E802DD"/>
    <w:rsid w:val="00E80732"/>
    <w:rsid w:val="00E80A5D"/>
    <w:rsid w:val="00E820B6"/>
    <w:rsid w:val="00E8218D"/>
    <w:rsid w:val="00E82A30"/>
    <w:rsid w:val="00E8437F"/>
    <w:rsid w:val="00E84F87"/>
    <w:rsid w:val="00E87D04"/>
    <w:rsid w:val="00E9240B"/>
    <w:rsid w:val="00E926FA"/>
    <w:rsid w:val="00E92A6B"/>
    <w:rsid w:val="00E94E07"/>
    <w:rsid w:val="00E957DA"/>
    <w:rsid w:val="00E9585B"/>
    <w:rsid w:val="00E95D60"/>
    <w:rsid w:val="00E95E0F"/>
    <w:rsid w:val="00E95E56"/>
    <w:rsid w:val="00E9654A"/>
    <w:rsid w:val="00E97235"/>
    <w:rsid w:val="00E977F1"/>
    <w:rsid w:val="00EA1031"/>
    <w:rsid w:val="00EA3A34"/>
    <w:rsid w:val="00EA3F42"/>
    <w:rsid w:val="00EA4081"/>
    <w:rsid w:val="00EA41E9"/>
    <w:rsid w:val="00EA6068"/>
    <w:rsid w:val="00EA704F"/>
    <w:rsid w:val="00EB0AB2"/>
    <w:rsid w:val="00EB2057"/>
    <w:rsid w:val="00EB27D8"/>
    <w:rsid w:val="00EB46B7"/>
    <w:rsid w:val="00EB5D06"/>
    <w:rsid w:val="00EB68A7"/>
    <w:rsid w:val="00EC00DF"/>
    <w:rsid w:val="00EC0A4D"/>
    <w:rsid w:val="00EC0ABA"/>
    <w:rsid w:val="00EC0F93"/>
    <w:rsid w:val="00EC22C9"/>
    <w:rsid w:val="00EC25A8"/>
    <w:rsid w:val="00EC2A52"/>
    <w:rsid w:val="00EC34EA"/>
    <w:rsid w:val="00EC3ECA"/>
    <w:rsid w:val="00EC401F"/>
    <w:rsid w:val="00EC40DE"/>
    <w:rsid w:val="00EC4790"/>
    <w:rsid w:val="00EC48FE"/>
    <w:rsid w:val="00EC4E05"/>
    <w:rsid w:val="00EC57B0"/>
    <w:rsid w:val="00EC6790"/>
    <w:rsid w:val="00EC7F9B"/>
    <w:rsid w:val="00ED10E0"/>
    <w:rsid w:val="00ED1F92"/>
    <w:rsid w:val="00ED2793"/>
    <w:rsid w:val="00ED454B"/>
    <w:rsid w:val="00ED55BB"/>
    <w:rsid w:val="00ED6001"/>
    <w:rsid w:val="00ED6E00"/>
    <w:rsid w:val="00ED7AB8"/>
    <w:rsid w:val="00ED7F1D"/>
    <w:rsid w:val="00EE0CCA"/>
    <w:rsid w:val="00EE1511"/>
    <w:rsid w:val="00EE1775"/>
    <w:rsid w:val="00EE1BF5"/>
    <w:rsid w:val="00EE3747"/>
    <w:rsid w:val="00EE3A6B"/>
    <w:rsid w:val="00EE3B36"/>
    <w:rsid w:val="00EE4C10"/>
    <w:rsid w:val="00EE7572"/>
    <w:rsid w:val="00EF10D3"/>
    <w:rsid w:val="00EF2F73"/>
    <w:rsid w:val="00EF3144"/>
    <w:rsid w:val="00EF3750"/>
    <w:rsid w:val="00EF39F5"/>
    <w:rsid w:val="00EF3FF5"/>
    <w:rsid w:val="00EF4880"/>
    <w:rsid w:val="00EF596C"/>
    <w:rsid w:val="00EF5D7C"/>
    <w:rsid w:val="00EF5F4D"/>
    <w:rsid w:val="00F00A79"/>
    <w:rsid w:val="00F03254"/>
    <w:rsid w:val="00F0378D"/>
    <w:rsid w:val="00F03A72"/>
    <w:rsid w:val="00F04A9E"/>
    <w:rsid w:val="00F052FB"/>
    <w:rsid w:val="00F0788E"/>
    <w:rsid w:val="00F07CC6"/>
    <w:rsid w:val="00F07D42"/>
    <w:rsid w:val="00F114E9"/>
    <w:rsid w:val="00F11809"/>
    <w:rsid w:val="00F13104"/>
    <w:rsid w:val="00F134C8"/>
    <w:rsid w:val="00F13C0D"/>
    <w:rsid w:val="00F13CB6"/>
    <w:rsid w:val="00F13E21"/>
    <w:rsid w:val="00F147A0"/>
    <w:rsid w:val="00F157D6"/>
    <w:rsid w:val="00F16533"/>
    <w:rsid w:val="00F16591"/>
    <w:rsid w:val="00F2084D"/>
    <w:rsid w:val="00F20B94"/>
    <w:rsid w:val="00F213DE"/>
    <w:rsid w:val="00F2181C"/>
    <w:rsid w:val="00F21961"/>
    <w:rsid w:val="00F21FC8"/>
    <w:rsid w:val="00F2285D"/>
    <w:rsid w:val="00F24AB8"/>
    <w:rsid w:val="00F24CF7"/>
    <w:rsid w:val="00F30BAC"/>
    <w:rsid w:val="00F31D75"/>
    <w:rsid w:val="00F33163"/>
    <w:rsid w:val="00F33217"/>
    <w:rsid w:val="00F33A8E"/>
    <w:rsid w:val="00F33B2D"/>
    <w:rsid w:val="00F33C42"/>
    <w:rsid w:val="00F3439E"/>
    <w:rsid w:val="00F3508E"/>
    <w:rsid w:val="00F3615F"/>
    <w:rsid w:val="00F3688A"/>
    <w:rsid w:val="00F410F6"/>
    <w:rsid w:val="00F41BA1"/>
    <w:rsid w:val="00F42317"/>
    <w:rsid w:val="00F44077"/>
    <w:rsid w:val="00F44132"/>
    <w:rsid w:val="00F44430"/>
    <w:rsid w:val="00F448DB"/>
    <w:rsid w:val="00F44F66"/>
    <w:rsid w:val="00F455F2"/>
    <w:rsid w:val="00F45847"/>
    <w:rsid w:val="00F45CBC"/>
    <w:rsid w:val="00F468F5"/>
    <w:rsid w:val="00F47477"/>
    <w:rsid w:val="00F504E7"/>
    <w:rsid w:val="00F506EC"/>
    <w:rsid w:val="00F51FC4"/>
    <w:rsid w:val="00F53AF1"/>
    <w:rsid w:val="00F54DB1"/>
    <w:rsid w:val="00F5519A"/>
    <w:rsid w:val="00F555F0"/>
    <w:rsid w:val="00F556DB"/>
    <w:rsid w:val="00F55A01"/>
    <w:rsid w:val="00F56451"/>
    <w:rsid w:val="00F60257"/>
    <w:rsid w:val="00F604CA"/>
    <w:rsid w:val="00F62A33"/>
    <w:rsid w:val="00F647AE"/>
    <w:rsid w:val="00F649E6"/>
    <w:rsid w:val="00F6551E"/>
    <w:rsid w:val="00F66001"/>
    <w:rsid w:val="00F707A2"/>
    <w:rsid w:val="00F71517"/>
    <w:rsid w:val="00F730D0"/>
    <w:rsid w:val="00F751E0"/>
    <w:rsid w:val="00F757F1"/>
    <w:rsid w:val="00F760A7"/>
    <w:rsid w:val="00F763BF"/>
    <w:rsid w:val="00F76406"/>
    <w:rsid w:val="00F76A52"/>
    <w:rsid w:val="00F76FF0"/>
    <w:rsid w:val="00F77838"/>
    <w:rsid w:val="00F8190D"/>
    <w:rsid w:val="00F8203E"/>
    <w:rsid w:val="00F82DEF"/>
    <w:rsid w:val="00F83C7E"/>
    <w:rsid w:val="00F84B46"/>
    <w:rsid w:val="00F868A9"/>
    <w:rsid w:val="00F86954"/>
    <w:rsid w:val="00F87055"/>
    <w:rsid w:val="00F8706E"/>
    <w:rsid w:val="00F902DE"/>
    <w:rsid w:val="00F90661"/>
    <w:rsid w:val="00F92D52"/>
    <w:rsid w:val="00F93292"/>
    <w:rsid w:val="00F93893"/>
    <w:rsid w:val="00F93E1D"/>
    <w:rsid w:val="00FA031A"/>
    <w:rsid w:val="00FA11FE"/>
    <w:rsid w:val="00FA2476"/>
    <w:rsid w:val="00FA3381"/>
    <w:rsid w:val="00FA363B"/>
    <w:rsid w:val="00FA55AE"/>
    <w:rsid w:val="00FA5FA5"/>
    <w:rsid w:val="00FA671F"/>
    <w:rsid w:val="00FB057B"/>
    <w:rsid w:val="00FB0D77"/>
    <w:rsid w:val="00FB3608"/>
    <w:rsid w:val="00FB3BE2"/>
    <w:rsid w:val="00FB7FFB"/>
    <w:rsid w:val="00FC11A1"/>
    <w:rsid w:val="00FC1261"/>
    <w:rsid w:val="00FC2051"/>
    <w:rsid w:val="00FC2261"/>
    <w:rsid w:val="00FC2752"/>
    <w:rsid w:val="00FC67A9"/>
    <w:rsid w:val="00FD089A"/>
    <w:rsid w:val="00FD0954"/>
    <w:rsid w:val="00FD42F2"/>
    <w:rsid w:val="00FD5408"/>
    <w:rsid w:val="00FD5A80"/>
    <w:rsid w:val="00FD637F"/>
    <w:rsid w:val="00FD74BF"/>
    <w:rsid w:val="00FE1058"/>
    <w:rsid w:val="00FE1594"/>
    <w:rsid w:val="00FE2210"/>
    <w:rsid w:val="00FE31FC"/>
    <w:rsid w:val="00FE3559"/>
    <w:rsid w:val="00FE3B95"/>
    <w:rsid w:val="00FE4C7F"/>
    <w:rsid w:val="00FE5D5B"/>
    <w:rsid w:val="00FE65E6"/>
    <w:rsid w:val="00FE67DF"/>
    <w:rsid w:val="00FE7DA4"/>
    <w:rsid w:val="00FF11A3"/>
    <w:rsid w:val="00FF17C6"/>
    <w:rsid w:val="00FF57DC"/>
    <w:rsid w:val="00FF5916"/>
    <w:rsid w:val="00FF5EFE"/>
    <w:rsid w:val="00FF71DA"/>
    <w:rsid w:val="00FF722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2172">
      <o:colormru v:ext="edit" colors="#d31145,#fffddf,#ffecd6"/>
      <o:colormenu v:ext="edit" fillcolor="none"/>
    </o:shapedefaults>
    <o:shapelayout v:ext="edit">
      <o:idmap v:ext="edit" data="1"/>
    </o:shapelayout>
  </w:shapeDefaults>
  <w:decimalSymbol w:val="."/>
  <w:listSeparator w:val=","/>
  <w14:docId w14:val="2DAF44B8"/>
  <w15:docId w15:val="{A116CA0B-5504-4B3A-B553-42CEDAC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426385"/>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link w:val="ListParagraphChar"/>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B94F19"/>
    <w:pPr>
      <w:keepLines/>
      <w:autoSpaceDE/>
      <w:autoSpaceDN/>
      <w:adjustRightInd/>
      <w:spacing w:before="240" w:after="0" w:line="259" w:lineRule="auto"/>
      <w:jc w:val="left"/>
      <w:outlineLvl w:val="9"/>
    </w:pPr>
    <w:rPr>
      <w:rFonts w:ascii="Calibri Light" w:hAnsi="Calibri Light" w:cs="Times New Roman"/>
      <w:b w:val="0"/>
      <w:bCs w:val="0"/>
      <w:color w:val="2E74B5"/>
      <w:sz w:val="32"/>
      <w:szCs w:val="32"/>
      <w:lang w:val="en-US" w:eastAsia="en-US"/>
    </w:rPr>
  </w:style>
  <w:style w:type="paragraph" w:customStyle="1" w:styleId="BodyText1">
    <w:name w:val="Body Text1"/>
    <w:basedOn w:val="Normal"/>
    <w:link w:val="BodytextChar0"/>
    <w:rsid w:val="007B39CC"/>
    <w:pPr>
      <w:keepLines/>
      <w:spacing w:before="140" w:after="140"/>
    </w:pPr>
    <w:rPr>
      <w:rFonts w:eastAsia="Times New Roman"/>
      <w:color w:val="auto"/>
      <w:lang w:eastAsia="en-GB"/>
    </w:rPr>
  </w:style>
  <w:style w:type="character" w:customStyle="1" w:styleId="BodytextChar0">
    <w:name w:val="Body text Char"/>
    <w:basedOn w:val="DefaultParagraphFont"/>
    <w:link w:val="BodyText1"/>
    <w:rsid w:val="007B39CC"/>
    <w:rPr>
      <w:rFonts w:eastAsia="Times New Roman" w:cs="Helvetica-Light"/>
      <w:sz w:val="24"/>
      <w:szCs w:val="24"/>
    </w:rPr>
  </w:style>
  <w:style w:type="paragraph" w:customStyle="1" w:styleId="Bodytextnumbered">
    <w:name w:val="Body text (numbered)"/>
    <w:basedOn w:val="Normal"/>
    <w:rsid w:val="007B39CC"/>
    <w:pPr>
      <w:numPr>
        <w:numId w:val="50"/>
      </w:numPr>
      <w:autoSpaceDE/>
      <w:autoSpaceDN/>
      <w:adjustRightInd/>
      <w:spacing w:before="140" w:after="140"/>
      <w:jc w:val="left"/>
    </w:pPr>
    <w:rPr>
      <w:rFonts w:eastAsia="Times New Roman" w:cs="Times New Roman"/>
      <w:color w:val="auto"/>
      <w:lang w:eastAsia="en-GB"/>
    </w:rPr>
  </w:style>
  <w:style w:type="paragraph" w:customStyle="1" w:styleId="Body1">
    <w:name w:val="Body 1"/>
    <w:rsid w:val="00B85FAD"/>
    <w:pPr>
      <w:spacing w:after="200" w:line="276" w:lineRule="auto"/>
      <w:outlineLvl w:val="0"/>
    </w:pPr>
    <w:rPr>
      <w:rFonts w:eastAsia="Arial Unicode MS"/>
      <w:color w:val="000000"/>
      <w:sz w:val="24"/>
      <w:u w:color="000000"/>
    </w:rPr>
  </w:style>
  <w:style w:type="character" w:styleId="CommentReference">
    <w:name w:val="annotation reference"/>
    <w:basedOn w:val="DefaultParagraphFont"/>
    <w:uiPriority w:val="99"/>
    <w:rsid w:val="00265B66"/>
    <w:rPr>
      <w:sz w:val="16"/>
      <w:szCs w:val="16"/>
    </w:rPr>
  </w:style>
  <w:style w:type="paragraph" w:styleId="CommentSubject">
    <w:name w:val="annotation subject"/>
    <w:basedOn w:val="CommentText"/>
    <w:next w:val="CommentText"/>
    <w:link w:val="CommentSubjectChar"/>
    <w:semiHidden/>
    <w:unhideWhenUsed/>
    <w:rsid w:val="00265B66"/>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265B66"/>
    <w:rPr>
      <w:rFonts w:eastAsia="Calibri" w:cs="Helvetica-Light"/>
      <w:b/>
      <w:bCs/>
      <w:color w:val="000000"/>
      <w:sz w:val="20"/>
      <w:szCs w:val="20"/>
      <w:lang w:eastAsia="en-US"/>
    </w:rPr>
  </w:style>
  <w:style w:type="paragraph" w:styleId="NormalWeb">
    <w:name w:val="Normal (Web)"/>
    <w:basedOn w:val="Normal"/>
    <w:uiPriority w:val="99"/>
    <w:unhideWhenUsed/>
    <w:rsid w:val="00804318"/>
    <w:pPr>
      <w:autoSpaceDE/>
      <w:autoSpaceDN/>
      <w:adjustRightInd/>
      <w:spacing w:before="100" w:beforeAutospacing="1" w:after="100" w:afterAutospacing="1"/>
      <w:jc w:val="left"/>
    </w:pPr>
    <w:rPr>
      <w:rFonts w:ascii="Times New Roman" w:eastAsiaTheme="minorEastAsia" w:hAnsi="Times New Roman" w:cs="Times New Roman"/>
      <w:color w:val="auto"/>
      <w:lang w:eastAsia="en-GB"/>
    </w:rPr>
  </w:style>
  <w:style w:type="character" w:customStyle="1" w:styleId="ListParagraphChar">
    <w:name w:val="List Paragraph Char"/>
    <w:basedOn w:val="DefaultParagraphFont"/>
    <w:link w:val="ListParagraph"/>
    <w:uiPriority w:val="34"/>
    <w:locked/>
    <w:rsid w:val="00324B65"/>
    <w:rPr>
      <w:rFonts w:eastAsia="Calibri" w:cs="Helvetica-Light"/>
      <w:color w:val="000000"/>
      <w:sz w:val="24"/>
      <w:szCs w:val="24"/>
      <w:lang w:eastAsia="en-US"/>
    </w:rPr>
  </w:style>
  <w:style w:type="paragraph" w:customStyle="1" w:styleId="Default">
    <w:name w:val="Default"/>
    <w:basedOn w:val="Normal"/>
    <w:rsid w:val="00324B65"/>
    <w:pPr>
      <w:adjustRightInd/>
      <w:spacing w:after="0"/>
      <w:jc w:val="left"/>
    </w:pPr>
    <w:rPr>
      <w:rFonts w:ascii="Calibri" w:eastAsiaTheme="minorHAnsi" w:hAnsi="Calibri" w:cs="Times New Roman"/>
    </w:rPr>
  </w:style>
  <w:style w:type="paragraph" w:styleId="BodyTextIndent2">
    <w:name w:val="Body Text Indent 2"/>
    <w:basedOn w:val="Normal"/>
    <w:link w:val="BodyTextIndent2Char"/>
    <w:semiHidden/>
    <w:unhideWhenUsed/>
    <w:rsid w:val="00BA2C0C"/>
    <w:pPr>
      <w:spacing w:line="480" w:lineRule="auto"/>
      <w:ind w:left="283"/>
    </w:pPr>
  </w:style>
  <w:style w:type="character" w:customStyle="1" w:styleId="BodyTextIndent2Char">
    <w:name w:val="Body Text Indent 2 Char"/>
    <w:basedOn w:val="DefaultParagraphFont"/>
    <w:link w:val="BodyTextIndent2"/>
    <w:semiHidden/>
    <w:rsid w:val="00BA2C0C"/>
    <w:rPr>
      <w:rFonts w:eastAsia="Calibri" w:cs="Helvetica-Light"/>
      <w:color w:val="000000"/>
      <w:sz w:val="24"/>
      <w:szCs w:val="24"/>
      <w:lang w:eastAsia="en-US"/>
    </w:rPr>
  </w:style>
  <w:style w:type="numbering" w:customStyle="1" w:styleId="NoList1">
    <w:name w:val="No List1"/>
    <w:next w:val="NoList"/>
    <w:uiPriority w:val="99"/>
    <w:semiHidden/>
    <w:unhideWhenUsed/>
    <w:rsid w:val="00B801F4"/>
  </w:style>
  <w:style w:type="table" w:customStyle="1" w:styleId="TableGrid1">
    <w:name w:val="Table Grid1"/>
    <w:basedOn w:val="TableNormal"/>
    <w:next w:val="TableGrid"/>
    <w:rsid w:val="00B80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
    <w:name w:val="Table List 41"/>
    <w:basedOn w:val="TableNormal"/>
    <w:next w:val="TableList4"/>
    <w:rsid w:val="00B801F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1">
    <w:name w:val="Table Grid11"/>
    <w:basedOn w:val="TableNormal"/>
    <w:next w:val="TableGrid"/>
    <w:rsid w:val="00B801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B801F4"/>
    <w:pPr>
      <w:adjustRightInd w:val="0"/>
      <w:spacing w:line="231" w:lineRule="atLeast"/>
    </w:pPr>
    <w:rPr>
      <w:rFonts w:ascii="FS Lola" w:hAnsi="FS Lola" w:cstheme="minorBidi"/>
      <w:color w:val="auto"/>
    </w:rPr>
  </w:style>
  <w:style w:type="table" w:styleId="LightList-Accent3">
    <w:name w:val="Light List Accent 3"/>
    <w:basedOn w:val="TableNormal"/>
    <w:uiPriority w:val="61"/>
    <w:rsid w:val="00350DC2"/>
    <w:rPr>
      <w:rFonts w:asciiTheme="minorHAnsi" w:eastAsiaTheme="minorEastAsia" w:hAnsiTheme="minorHAnsi" w:cstheme="minorBidi"/>
      <w:sz w:val="22"/>
      <w:szCs w:val="22"/>
      <w:lang w:val="en-US"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7303">
      <w:bodyDiv w:val="1"/>
      <w:marLeft w:val="0"/>
      <w:marRight w:val="0"/>
      <w:marTop w:val="0"/>
      <w:marBottom w:val="0"/>
      <w:divBdr>
        <w:top w:val="none" w:sz="0" w:space="0" w:color="auto"/>
        <w:left w:val="none" w:sz="0" w:space="0" w:color="auto"/>
        <w:bottom w:val="none" w:sz="0" w:space="0" w:color="auto"/>
        <w:right w:val="none" w:sz="0" w:space="0" w:color="auto"/>
      </w:divBdr>
    </w:div>
    <w:div w:id="190344000">
      <w:bodyDiv w:val="1"/>
      <w:marLeft w:val="0"/>
      <w:marRight w:val="0"/>
      <w:marTop w:val="0"/>
      <w:marBottom w:val="0"/>
      <w:divBdr>
        <w:top w:val="none" w:sz="0" w:space="0" w:color="auto"/>
        <w:left w:val="none" w:sz="0" w:space="0" w:color="auto"/>
        <w:bottom w:val="none" w:sz="0" w:space="0" w:color="auto"/>
        <w:right w:val="none" w:sz="0" w:space="0" w:color="auto"/>
      </w:divBdr>
    </w:div>
    <w:div w:id="706414677">
      <w:bodyDiv w:val="1"/>
      <w:marLeft w:val="0"/>
      <w:marRight w:val="0"/>
      <w:marTop w:val="0"/>
      <w:marBottom w:val="0"/>
      <w:divBdr>
        <w:top w:val="none" w:sz="0" w:space="0" w:color="auto"/>
        <w:left w:val="none" w:sz="0" w:space="0" w:color="auto"/>
        <w:bottom w:val="none" w:sz="0" w:space="0" w:color="auto"/>
        <w:right w:val="none" w:sz="0" w:space="0" w:color="auto"/>
      </w:divBdr>
    </w:div>
    <w:div w:id="712311565">
      <w:bodyDiv w:val="1"/>
      <w:marLeft w:val="0"/>
      <w:marRight w:val="0"/>
      <w:marTop w:val="0"/>
      <w:marBottom w:val="0"/>
      <w:divBdr>
        <w:top w:val="none" w:sz="0" w:space="0" w:color="auto"/>
        <w:left w:val="none" w:sz="0" w:space="0" w:color="auto"/>
        <w:bottom w:val="none" w:sz="0" w:space="0" w:color="auto"/>
        <w:right w:val="none" w:sz="0" w:space="0" w:color="auto"/>
      </w:divBdr>
    </w:div>
    <w:div w:id="790128286">
      <w:bodyDiv w:val="1"/>
      <w:marLeft w:val="0"/>
      <w:marRight w:val="0"/>
      <w:marTop w:val="0"/>
      <w:marBottom w:val="0"/>
      <w:divBdr>
        <w:top w:val="none" w:sz="0" w:space="0" w:color="auto"/>
        <w:left w:val="none" w:sz="0" w:space="0" w:color="auto"/>
        <w:bottom w:val="none" w:sz="0" w:space="0" w:color="auto"/>
        <w:right w:val="none" w:sz="0" w:space="0" w:color="auto"/>
      </w:divBdr>
    </w:div>
    <w:div w:id="874536887">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169827991">
      <w:bodyDiv w:val="1"/>
      <w:marLeft w:val="0"/>
      <w:marRight w:val="0"/>
      <w:marTop w:val="0"/>
      <w:marBottom w:val="0"/>
      <w:divBdr>
        <w:top w:val="none" w:sz="0" w:space="0" w:color="auto"/>
        <w:left w:val="none" w:sz="0" w:space="0" w:color="auto"/>
        <w:bottom w:val="none" w:sz="0" w:space="0" w:color="auto"/>
        <w:right w:val="none" w:sz="0" w:space="0" w:color="auto"/>
      </w:divBdr>
    </w:div>
    <w:div w:id="1277445108">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615363875">
      <w:bodyDiv w:val="1"/>
      <w:marLeft w:val="0"/>
      <w:marRight w:val="0"/>
      <w:marTop w:val="0"/>
      <w:marBottom w:val="0"/>
      <w:divBdr>
        <w:top w:val="none" w:sz="0" w:space="0" w:color="auto"/>
        <w:left w:val="none" w:sz="0" w:space="0" w:color="auto"/>
        <w:bottom w:val="none" w:sz="0" w:space="0" w:color="auto"/>
        <w:right w:val="none" w:sz="0" w:space="0" w:color="auto"/>
      </w:divBdr>
    </w:div>
    <w:div w:id="1646154208">
      <w:bodyDiv w:val="1"/>
      <w:marLeft w:val="0"/>
      <w:marRight w:val="0"/>
      <w:marTop w:val="0"/>
      <w:marBottom w:val="0"/>
      <w:divBdr>
        <w:top w:val="none" w:sz="0" w:space="0" w:color="auto"/>
        <w:left w:val="none" w:sz="0" w:space="0" w:color="auto"/>
        <w:bottom w:val="none" w:sz="0" w:space="0" w:color="auto"/>
        <w:right w:val="none" w:sz="0" w:space="0" w:color="auto"/>
      </w:divBdr>
    </w:div>
    <w:div w:id="1799646375">
      <w:bodyDiv w:val="1"/>
      <w:marLeft w:val="0"/>
      <w:marRight w:val="0"/>
      <w:marTop w:val="0"/>
      <w:marBottom w:val="0"/>
      <w:divBdr>
        <w:top w:val="none" w:sz="0" w:space="0" w:color="auto"/>
        <w:left w:val="none" w:sz="0" w:space="0" w:color="auto"/>
        <w:bottom w:val="none" w:sz="0" w:space="0" w:color="auto"/>
        <w:right w:val="none" w:sz="0" w:space="0" w:color="auto"/>
      </w:divBdr>
    </w:div>
    <w:div w:id="1804425355">
      <w:bodyDiv w:val="1"/>
      <w:marLeft w:val="0"/>
      <w:marRight w:val="0"/>
      <w:marTop w:val="0"/>
      <w:marBottom w:val="0"/>
      <w:divBdr>
        <w:top w:val="none" w:sz="0" w:space="0" w:color="auto"/>
        <w:left w:val="none" w:sz="0" w:space="0" w:color="auto"/>
        <w:bottom w:val="none" w:sz="0" w:space="0" w:color="auto"/>
        <w:right w:val="none" w:sz="0" w:space="0" w:color="auto"/>
      </w:divBdr>
    </w:div>
    <w:div w:id="1847356955">
      <w:bodyDiv w:val="1"/>
      <w:marLeft w:val="0"/>
      <w:marRight w:val="0"/>
      <w:marTop w:val="0"/>
      <w:marBottom w:val="0"/>
      <w:divBdr>
        <w:top w:val="none" w:sz="0" w:space="0" w:color="auto"/>
        <w:left w:val="none" w:sz="0" w:space="0" w:color="auto"/>
        <w:bottom w:val="none" w:sz="0" w:space="0" w:color="auto"/>
        <w:right w:val="none" w:sz="0" w:space="0" w:color="auto"/>
      </w:divBdr>
    </w:div>
    <w:div w:id="1905211857">
      <w:bodyDiv w:val="1"/>
      <w:marLeft w:val="0"/>
      <w:marRight w:val="0"/>
      <w:marTop w:val="0"/>
      <w:marBottom w:val="0"/>
      <w:divBdr>
        <w:top w:val="none" w:sz="0" w:space="0" w:color="auto"/>
        <w:left w:val="none" w:sz="0" w:space="0" w:color="auto"/>
        <w:bottom w:val="none" w:sz="0" w:space="0" w:color="auto"/>
        <w:right w:val="none" w:sz="0" w:space="0" w:color="auto"/>
      </w:divBdr>
    </w:div>
    <w:div w:id="1973555217">
      <w:bodyDiv w:val="1"/>
      <w:marLeft w:val="0"/>
      <w:marRight w:val="0"/>
      <w:marTop w:val="0"/>
      <w:marBottom w:val="0"/>
      <w:divBdr>
        <w:top w:val="none" w:sz="0" w:space="0" w:color="auto"/>
        <w:left w:val="none" w:sz="0" w:space="0" w:color="auto"/>
        <w:bottom w:val="none" w:sz="0" w:space="0" w:color="auto"/>
        <w:right w:val="none" w:sz="0" w:space="0" w:color="auto"/>
      </w:divBdr>
    </w:div>
    <w:div w:id="2092118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companieshouse.gov.uk"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lancashire.gov.uk" TargetMode="External"/><Relationship Id="rId34" Type="http://schemas.openxmlformats.org/officeDocument/2006/relationships/hyperlink" Target="http://www.yourpensionservice.org.uk/local_government/index.asp?siteid=5921&amp;pageid=33736&amp;e=e" TargetMode="External"/><Relationship Id="rId7" Type="http://schemas.openxmlformats.org/officeDocument/2006/relationships/endnotes" Target="endnotes.xml"/><Relationship Id="rId12" Type="http://schemas.openxmlformats.org/officeDocument/2006/relationships/hyperlink" Target="http://www.lancashire.gov.uk" TargetMode="External"/><Relationship Id="rId17" Type="http://schemas.openxmlformats.org/officeDocument/2006/relationships/footer" Target="footer4.xml"/><Relationship Id="rId25" Type="http://schemas.openxmlformats.org/officeDocument/2006/relationships/hyperlink" Target="http://www.lancashire.gov.uk/council/transparency/registers/county-councillors-register-of-interests/" TargetMode="External"/><Relationship Id="rId33" Type="http://schemas.openxmlformats.org/officeDocument/2006/relationships/hyperlink" Target="http://www3.lancashire.gov.uk/corporate/atoz/a_to_z/service.asp?u_id=1821&amp;tab=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Documents.aspx?CId=122&amp;MId=3457" TargetMode="External"/><Relationship Id="rId24" Type="http://schemas.microsoft.com/office/2011/relationships/commentsExtended" Target="commentsExtended.xml"/><Relationship Id="rId32" Type="http://schemas.openxmlformats.org/officeDocument/2006/relationships/hyperlink" Target="http://www.yourpensionservice.org.uk/local_government/index.asp?siteid=5921&amp;pageid=33736&amp;e=e" TargetMode="External"/><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omments" Target="comments.xml"/><Relationship Id="rId28" Type="http://schemas.openxmlformats.org/officeDocument/2006/relationships/header" Target="header4.xml"/><Relationship Id="rId36" Type="http://schemas.openxmlformats.org/officeDocument/2006/relationships/hyperlink" Target="http://www.yourpensionservice.org.uk/local_government/?siteid=5921&amp;pageid=33736&amp;e=e" TargetMode="External"/><Relationship Id="rId10" Type="http://schemas.openxmlformats.org/officeDocument/2006/relationships/chart" Target="charts/chart1.xml"/><Relationship Id="rId19" Type="http://schemas.openxmlformats.org/officeDocument/2006/relationships/footer" Target="footer6.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hyperlink" Target="http://www.legislation.gov.uk/uksi/2014/3322/pdfs/uksi_20143322_en.pdf" TargetMode="External"/><Relationship Id="rId30" Type="http://schemas.openxmlformats.org/officeDocument/2006/relationships/footer" Target="footer9.xml"/><Relationship Id="rId35"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542916235780838"/>
          <c:y val="1.6949152542372881E-2"/>
          <c:w val="0.71561530506721749"/>
          <c:h val="0.90508474576271059"/>
        </c:manualLayout>
      </c:layout>
      <c:barChart>
        <c:barDir val="bar"/>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2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'Data for Chart 1'!$A$5:$A$11</c:f>
              <c:strCache>
                <c:ptCount val="7"/>
                <c:pt idx="0">
                  <c:v>Libraries, Museums &amp; Community Services</c:v>
                </c:pt>
                <c:pt idx="1">
                  <c:v>Social Care</c:v>
                </c:pt>
                <c:pt idx="2">
                  <c:v>Lancashire County Commercial Group</c:v>
                </c:pt>
                <c:pt idx="3">
                  <c:v>Youth and Other</c:v>
                </c:pt>
                <c:pt idx="4">
                  <c:v>Central Services</c:v>
                </c:pt>
                <c:pt idx="5">
                  <c:v>Schools</c:v>
                </c:pt>
                <c:pt idx="6">
                  <c:v>Environment Transport &amp; Other</c:v>
                </c:pt>
              </c:strCache>
            </c:strRef>
          </c:cat>
          <c:val>
            <c:numRef>
              <c:f>'Data for Chart 1'!$B$5:$B$11</c:f>
              <c:numCache>
                <c:formatCode>#,##0.0</c:formatCode>
                <c:ptCount val="7"/>
                <c:pt idx="0">
                  <c:v>0.158</c:v>
                </c:pt>
                <c:pt idx="1">
                  <c:v>2.1120000000000001</c:v>
                </c:pt>
                <c:pt idx="2">
                  <c:v>6.3330000000000002</c:v>
                </c:pt>
                <c:pt idx="3">
                  <c:v>2.2959999999999998</c:v>
                </c:pt>
                <c:pt idx="4">
                  <c:v>5.931</c:v>
                </c:pt>
                <c:pt idx="5">
                  <c:v>41.360999999999997</c:v>
                </c:pt>
                <c:pt idx="6">
                  <c:v>119.825</c:v>
                </c:pt>
              </c:numCache>
            </c:numRef>
          </c:val>
        </c:ser>
        <c:dLbls>
          <c:showLegendKey val="0"/>
          <c:showVal val="0"/>
          <c:showCatName val="0"/>
          <c:showSerName val="0"/>
          <c:showPercent val="0"/>
          <c:showBubbleSize val="0"/>
        </c:dLbls>
        <c:gapWidth val="150"/>
        <c:axId val="139564328"/>
        <c:axId val="139564720"/>
      </c:barChart>
      <c:catAx>
        <c:axId val="13956432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39564720"/>
        <c:crosses val="autoZero"/>
        <c:auto val="1"/>
        <c:lblAlgn val="ctr"/>
        <c:lblOffset val="100"/>
        <c:tickLblSkip val="1"/>
        <c:tickMarkSkip val="1"/>
        <c:noMultiLvlLbl val="0"/>
      </c:catAx>
      <c:valAx>
        <c:axId val="139564720"/>
        <c:scaling>
          <c:orientation val="minMax"/>
        </c:scaling>
        <c:delete val="1"/>
        <c:axPos val="b"/>
        <c:numFmt formatCode="#,##0.0" sourceLinked="1"/>
        <c:majorTickMark val="out"/>
        <c:minorTickMark val="none"/>
        <c:tickLblPos val="nextTo"/>
        <c:crossAx val="1395643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4FAE-42BE-4AF3-B767-0F792E32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0</TotalTime>
  <Pages>184</Pages>
  <Words>55557</Words>
  <Characters>316679</Characters>
  <Application>Microsoft Office Word</Application>
  <DocSecurity>4</DocSecurity>
  <Lines>2638</Lines>
  <Paragraphs>742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371494</CharactersWithSpaces>
  <SharedDoc>false</SharedDoc>
  <HLinks>
    <vt:vector size="36" baseType="variant">
      <vt:variant>
        <vt:i4>5570664</vt:i4>
      </vt:variant>
      <vt:variant>
        <vt:i4>15</vt:i4>
      </vt:variant>
      <vt:variant>
        <vt:i4>0</vt:i4>
      </vt:variant>
      <vt:variant>
        <vt:i4>5</vt:i4>
      </vt:variant>
      <vt:variant>
        <vt:lpwstr>mailto:paul.wright@lancashire.gov.uk</vt:lpwstr>
      </vt:variant>
      <vt:variant>
        <vt:lpwstr/>
      </vt:variant>
      <vt:variant>
        <vt:i4>4587608</vt:i4>
      </vt:variant>
      <vt:variant>
        <vt:i4>12</vt:i4>
      </vt:variant>
      <vt:variant>
        <vt:i4>0</vt:i4>
      </vt:variant>
      <vt:variant>
        <vt:i4>5</vt:i4>
      </vt:variant>
      <vt:variant>
        <vt:lpwstr>http://www.companieshouse.gov.uk/</vt:lpwstr>
      </vt:variant>
      <vt:variant>
        <vt:lpwstr/>
      </vt:variant>
      <vt:variant>
        <vt:i4>4587608</vt:i4>
      </vt:variant>
      <vt:variant>
        <vt:i4>9</vt:i4>
      </vt:variant>
      <vt:variant>
        <vt:i4>0</vt:i4>
      </vt:variant>
      <vt:variant>
        <vt:i4>5</vt:i4>
      </vt:variant>
      <vt:variant>
        <vt:lpwstr>http://www.companieshouse.gov.uk/</vt:lpwstr>
      </vt:variant>
      <vt:variant>
        <vt:lpwstr/>
      </vt:variant>
      <vt:variant>
        <vt:i4>6291536</vt:i4>
      </vt:variant>
      <vt:variant>
        <vt:i4>6</vt:i4>
      </vt:variant>
      <vt:variant>
        <vt:i4>0</vt:i4>
      </vt:variant>
      <vt:variant>
        <vt:i4>5</vt:i4>
      </vt:variant>
      <vt:variant>
        <vt:lpwstr>http://www3.lancashire.gov.uk/corporate/atoz/a_to_z/service.asp?u_id=969&amp;tab=1</vt:lpwstr>
      </vt:variant>
      <vt:variant>
        <vt:lpwstr/>
      </vt:variant>
      <vt:variant>
        <vt:i4>5636169</vt:i4>
      </vt:variant>
      <vt:variant>
        <vt:i4>3</vt:i4>
      </vt:variant>
      <vt:variant>
        <vt:i4>0</vt:i4>
      </vt:variant>
      <vt:variant>
        <vt:i4>5</vt:i4>
      </vt:variant>
      <vt:variant>
        <vt:lpwstr>http://www.lancashire.gov.uk/</vt:lpwstr>
      </vt:variant>
      <vt:variant>
        <vt:lpwstr/>
      </vt:variant>
      <vt:variant>
        <vt:i4>7798820</vt:i4>
      </vt:variant>
      <vt:variant>
        <vt:i4>0</vt:i4>
      </vt:variant>
      <vt:variant>
        <vt:i4>0</vt:i4>
      </vt:variant>
      <vt:variant>
        <vt:i4>5</vt:i4>
      </vt:variant>
      <vt:variant>
        <vt:lpwstr>http://council.lancashire.gov.uk/ieListDocuments.aspx?CId=122&amp;MId=3457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Mather, Chris</cp:lastModifiedBy>
  <cp:revision>2</cp:revision>
  <cp:lastPrinted>2015-09-16T13:21:00Z</cp:lastPrinted>
  <dcterms:created xsi:type="dcterms:W3CDTF">2015-09-18T11:26:00Z</dcterms:created>
  <dcterms:modified xsi:type="dcterms:W3CDTF">2015-09-18T11:26:00Z</dcterms:modified>
</cp:coreProperties>
</file>